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55BEA6EA" w:rsidR="00C02410" w:rsidRDefault="004F6D8C" w:rsidP="00C02410">
      <w:pPr>
        <w:pStyle w:val="ProductNumber"/>
      </w:pPr>
      <w:r>
        <w:t>9B19B016</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61E49541" w:rsidR="00013360" w:rsidRDefault="004F6D8C" w:rsidP="00013360">
      <w:pPr>
        <w:pStyle w:val="CaseTitle"/>
        <w:spacing w:after="0" w:line="240" w:lineRule="auto"/>
        <w:rPr>
          <w:sz w:val="20"/>
          <w:szCs w:val="20"/>
        </w:rPr>
      </w:pPr>
      <w:r>
        <w:rPr>
          <w:lang w:val="en-GB"/>
        </w:rPr>
        <w:t>the academy: evaluating growth alternatives</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7126DF53" w:rsidR="00086B26" w:rsidRPr="00287D6F" w:rsidRDefault="004F6D8C" w:rsidP="00086B26">
      <w:pPr>
        <w:pStyle w:val="StyleCopyrightStatementAfter0ptBottomSinglesolidline1"/>
        <w:rPr>
          <w:lang w:val="en-GB"/>
        </w:rPr>
      </w:pPr>
      <w:r>
        <w:t xml:space="preserve">Pooja </w:t>
      </w:r>
      <w:proofErr w:type="spellStart"/>
      <w:r>
        <w:t>Krishen</w:t>
      </w:r>
      <w:proofErr w:type="spellEnd"/>
      <w:r w:rsidR="00ED7922" w:rsidRPr="00FD7E52">
        <w:rPr>
          <w:rFonts w:cs="Arial"/>
          <w:szCs w:val="16"/>
          <w:lang w:val="en-CA"/>
        </w:rPr>
        <w:t xml:space="preserve"> </w:t>
      </w:r>
      <w:r w:rsidR="00086B26" w:rsidRPr="00287D6F">
        <w:rPr>
          <w:lang w:val="en-GB"/>
        </w:rPr>
        <w:t xml:space="preserve">wrote this case </w:t>
      </w:r>
      <w:r>
        <w:rPr>
          <w:lang w:val="en-GB"/>
        </w:rPr>
        <w:t xml:space="preserve">under the supervision of Ian Dunn </w:t>
      </w:r>
      <w:r w:rsidR="00086B26" w:rsidRPr="00287D6F">
        <w:rPr>
          <w:lang w:val="en-GB"/>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36334BD5"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4F6D8C">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4F6D8C">
        <w:rPr>
          <w:rFonts w:cs="Arial"/>
          <w:iCs w:val="0"/>
          <w:color w:val="auto"/>
          <w:szCs w:val="16"/>
        </w:rPr>
        <w:t>19</w:t>
      </w:r>
      <w:r w:rsidRPr="00A323B0">
        <w:rPr>
          <w:rFonts w:cs="Arial"/>
          <w:iCs w:val="0"/>
          <w:color w:val="auto"/>
          <w:szCs w:val="16"/>
        </w:rPr>
        <w:t>-</w:t>
      </w:r>
      <w:r w:rsidR="004F6D8C">
        <w:rPr>
          <w:rFonts w:cs="Arial"/>
          <w:iCs w:val="0"/>
          <w:color w:val="auto"/>
          <w:szCs w:val="16"/>
        </w:rPr>
        <w:t>12</w:t>
      </w:r>
      <w:r w:rsidRPr="00A323B0">
        <w:rPr>
          <w:rFonts w:cs="Arial"/>
          <w:iCs w:val="0"/>
          <w:color w:val="auto"/>
          <w:szCs w:val="16"/>
        </w:rPr>
        <w:t>-</w:t>
      </w:r>
      <w:r w:rsidR="00714C37">
        <w:rPr>
          <w:rFonts w:cs="Arial"/>
          <w:iCs w:val="0"/>
          <w:color w:val="auto"/>
          <w:szCs w:val="16"/>
        </w:rPr>
        <w:t>20</w:t>
      </w:r>
    </w:p>
    <w:p w14:paraId="0A2A54E4" w14:textId="77777777" w:rsidR="00751E0B" w:rsidRPr="00F60786" w:rsidRDefault="00751E0B" w:rsidP="00751E0B">
      <w:pPr>
        <w:pStyle w:val="StyleCopyrightStatementAfter0ptBottomSinglesolidline1"/>
        <w:rPr>
          <w:rFonts w:ascii="Times New Roman" w:hAnsi="Times New Roman"/>
          <w:sz w:val="20"/>
        </w:rPr>
      </w:pPr>
    </w:p>
    <w:p w14:paraId="35268939" w14:textId="0C50E58D" w:rsidR="007D48BE" w:rsidRPr="007D48BE" w:rsidRDefault="007D48BE" w:rsidP="007D48BE">
      <w:pPr>
        <w:jc w:val="both"/>
        <w:rPr>
          <w:sz w:val="22"/>
          <w:szCs w:val="22"/>
          <w:lang w:val="en-GB"/>
        </w:rPr>
      </w:pPr>
      <w:r w:rsidRPr="007D48BE">
        <w:rPr>
          <w:sz w:val="22"/>
          <w:szCs w:val="22"/>
          <w:lang w:val="en-GB"/>
        </w:rPr>
        <w:t xml:space="preserve">In early October 2017, Jordan Sharp, co-owner and head coach for The Academy fitness club was considering how best to expand his facility in Kitchener, Ontario. The Academy had just completed its fifth year of operations, and Sharp was exploring potential expansion opportunities to grow the business and enhance profitability. He wanted to determine if it was a good time to open a second location in another part of the city and was also considering whether The Academy should invest in new equipment at its existing location. Prior to </w:t>
      </w:r>
      <w:proofErr w:type="gramStart"/>
      <w:r w:rsidRPr="007D48BE">
        <w:rPr>
          <w:sz w:val="22"/>
          <w:szCs w:val="22"/>
          <w:lang w:val="en-GB"/>
        </w:rPr>
        <w:t>making a decision</w:t>
      </w:r>
      <w:proofErr w:type="gramEnd"/>
      <w:r w:rsidRPr="007D48BE">
        <w:rPr>
          <w:sz w:val="22"/>
          <w:szCs w:val="22"/>
          <w:lang w:val="en-GB"/>
        </w:rPr>
        <w:t>, Sharp wanted to take a detailed look at current industry trends and the competitive landscape</w:t>
      </w:r>
      <w:r w:rsidR="00714C37">
        <w:rPr>
          <w:sz w:val="22"/>
          <w:szCs w:val="22"/>
          <w:lang w:val="en-GB"/>
        </w:rPr>
        <w:t xml:space="preserve">. He also wanted to </w:t>
      </w:r>
      <w:r w:rsidRPr="007D48BE">
        <w:rPr>
          <w:sz w:val="22"/>
          <w:szCs w:val="22"/>
          <w:lang w:val="en-GB"/>
        </w:rPr>
        <w:t xml:space="preserve">assess The Academy’s financial performance to determine if now was the right time to make either of these moves. He needed to work quickly to pitch his chosen expansion strategy to the other owners at their meeting in two weeks. He gathered The Academy’s financial statements (see Exhibits 1 and 2) and got to work.  </w:t>
      </w:r>
    </w:p>
    <w:p w14:paraId="226B273A" w14:textId="77777777" w:rsidR="007D48BE" w:rsidRPr="007D48BE" w:rsidRDefault="007D48BE" w:rsidP="007D48BE">
      <w:pPr>
        <w:jc w:val="both"/>
        <w:rPr>
          <w:sz w:val="22"/>
          <w:szCs w:val="22"/>
          <w:lang w:val="en-GB"/>
        </w:rPr>
      </w:pPr>
    </w:p>
    <w:p w14:paraId="03CC958B" w14:textId="77777777" w:rsidR="007D48BE" w:rsidRPr="007D48BE" w:rsidRDefault="007D48BE" w:rsidP="007D48BE">
      <w:pPr>
        <w:jc w:val="both"/>
        <w:rPr>
          <w:sz w:val="22"/>
          <w:szCs w:val="22"/>
          <w:lang w:val="en-GB"/>
        </w:rPr>
      </w:pPr>
    </w:p>
    <w:p w14:paraId="5A91B52F" w14:textId="77777777" w:rsidR="007D48BE" w:rsidRPr="007D48BE" w:rsidRDefault="007D48BE" w:rsidP="007D48BE">
      <w:pPr>
        <w:jc w:val="both"/>
        <w:rPr>
          <w:rFonts w:ascii="Arial" w:hAnsi="Arial" w:cs="Arial"/>
          <w:b/>
          <w:caps/>
          <w:lang w:val="en-GB"/>
        </w:rPr>
      </w:pPr>
      <w:r w:rsidRPr="007D48BE">
        <w:rPr>
          <w:rFonts w:ascii="Arial" w:hAnsi="Arial" w:cs="Arial"/>
          <w:b/>
          <w:caps/>
          <w:lang w:val="en-GB"/>
        </w:rPr>
        <w:t>THE FITNESS industry</w:t>
      </w:r>
    </w:p>
    <w:p w14:paraId="22E0B50D" w14:textId="77777777" w:rsidR="007D48BE" w:rsidRPr="007D48BE" w:rsidRDefault="007D48BE" w:rsidP="007D48BE">
      <w:pPr>
        <w:jc w:val="both"/>
        <w:rPr>
          <w:sz w:val="22"/>
          <w:szCs w:val="22"/>
          <w:lang w:val="en-GB"/>
        </w:rPr>
      </w:pPr>
    </w:p>
    <w:p w14:paraId="218E798F" w14:textId="2B8C2E90" w:rsidR="007D48BE" w:rsidRPr="007D48BE" w:rsidRDefault="007D48BE" w:rsidP="007D48BE">
      <w:pPr>
        <w:jc w:val="both"/>
        <w:rPr>
          <w:sz w:val="22"/>
          <w:szCs w:val="22"/>
          <w:lang w:val="en-GB"/>
        </w:rPr>
      </w:pPr>
      <w:r w:rsidRPr="007D48BE">
        <w:rPr>
          <w:sz w:val="22"/>
          <w:szCs w:val="22"/>
          <w:lang w:val="en-GB"/>
        </w:rPr>
        <w:t>Due to increasing obesity-related health concerns, the gym, health, and fitness clubs (GHFC) industry in Canada was projected to grow at a compound annual growth rate of 3.1 per cent from 2017 to 2022. The industry generated CA$3.1 billion</w:t>
      </w:r>
      <w:r w:rsidRPr="007D48BE">
        <w:rPr>
          <w:sz w:val="22"/>
          <w:szCs w:val="22"/>
          <w:vertAlign w:val="superscript"/>
          <w:lang w:val="en-GB"/>
        </w:rPr>
        <w:footnoteReference w:id="1"/>
      </w:r>
      <w:r w:rsidRPr="007D48BE">
        <w:rPr>
          <w:sz w:val="22"/>
          <w:szCs w:val="22"/>
          <w:lang w:val="en-GB"/>
        </w:rPr>
        <w:t xml:space="preserve"> in revenues, 61.4 per cent of which was attributed to fitness and recreation membership fees. Several population factors played a role in the GHFC industry’s success, including per capita disposable income, decreasing leisure time, the number of adults aged 20 to 64, and the adult obesity rate.</w:t>
      </w:r>
      <w:r w:rsidR="00820248">
        <w:rPr>
          <w:rStyle w:val="FootnoteReference"/>
          <w:sz w:val="22"/>
          <w:szCs w:val="22"/>
          <w:lang w:val="en-GB"/>
        </w:rPr>
        <w:footnoteReference w:id="2"/>
      </w:r>
      <w:r w:rsidRPr="007D48BE">
        <w:rPr>
          <w:sz w:val="22"/>
          <w:szCs w:val="22"/>
          <w:lang w:val="en-GB"/>
        </w:rPr>
        <w:t xml:space="preserve"> </w:t>
      </w:r>
    </w:p>
    <w:p w14:paraId="71DA2183" w14:textId="77777777" w:rsidR="007D48BE" w:rsidRPr="007D48BE" w:rsidRDefault="007D48BE" w:rsidP="007D48BE">
      <w:pPr>
        <w:jc w:val="both"/>
        <w:rPr>
          <w:sz w:val="22"/>
          <w:szCs w:val="22"/>
          <w:lang w:val="en-GB"/>
        </w:rPr>
      </w:pPr>
    </w:p>
    <w:p w14:paraId="58449221" w14:textId="3BE88E6B" w:rsidR="007D48BE" w:rsidRPr="007D48BE" w:rsidRDefault="007D48BE" w:rsidP="007D48BE">
      <w:pPr>
        <w:jc w:val="both"/>
        <w:rPr>
          <w:sz w:val="22"/>
          <w:szCs w:val="22"/>
          <w:lang w:val="en-GB"/>
        </w:rPr>
      </w:pPr>
      <w:r w:rsidRPr="007D48BE">
        <w:rPr>
          <w:sz w:val="22"/>
          <w:szCs w:val="22"/>
          <w:lang w:val="en-GB"/>
        </w:rPr>
        <w:t>Adults aged 20 to 64 tended to have the highest per capita income, making them the target consumer for industry players, particularly as this age group was continuing to increase. Discretionary spending allocated toward health and fitness was increasing, and industry profits were expected to grow from 5.2 per cent to 6.2 per cent. In contrast to traditional gym memberships,</w:t>
      </w:r>
      <w:r w:rsidRPr="007D48BE" w:rsidDel="00155564">
        <w:rPr>
          <w:sz w:val="22"/>
          <w:szCs w:val="22"/>
          <w:lang w:val="en-GB"/>
        </w:rPr>
        <w:t xml:space="preserve"> </w:t>
      </w:r>
      <w:r w:rsidRPr="007D48BE">
        <w:rPr>
          <w:sz w:val="22"/>
          <w:szCs w:val="22"/>
          <w:lang w:val="en-GB"/>
        </w:rPr>
        <w:t>services such as personal training and individualized nutrition planning were becoming increasingly popular. Further, per capita disposable income was expected to continue to grow in the coming years.</w:t>
      </w:r>
      <w:r w:rsidR="00820248">
        <w:rPr>
          <w:rStyle w:val="FootnoteReference"/>
          <w:sz w:val="22"/>
          <w:szCs w:val="22"/>
          <w:lang w:val="en-GB"/>
        </w:rPr>
        <w:footnoteReference w:id="3"/>
      </w:r>
    </w:p>
    <w:p w14:paraId="59A6D96C" w14:textId="77777777" w:rsidR="007D48BE" w:rsidRPr="007D48BE" w:rsidRDefault="007D48BE" w:rsidP="007D48BE">
      <w:pPr>
        <w:jc w:val="both"/>
        <w:rPr>
          <w:sz w:val="22"/>
          <w:szCs w:val="22"/>
          <w:lang w:val="en-GB"/>
        </w:rPr>
      </w:pPr>
    </w:p>
    <w:p w14:paraId="70EFF17A" w14:textId="77777777" w:rsidR="007D48BE" w:rsidRPr="004B083D" w:rsidRDefault="007D48BE" w:rsidP="007D48BE">
      <w:pPr>
        <w:jc w:val="both"/>
        <w:rPr>
          <w:spacing w:val="-2"/>
          <w:sz w:val="22"/>
          <w:szCs w:val="22"/>
          <w:lang w:val="en-GB"/>
        </w:rPr>
      </w:pPr>
      <w:r w:rsidRPr="004B083D">
        <w:rPr>
          <w:spacing w:val="-2"/>
          <w:sz w:val="22"/>
          <w:szCs w:val="22"/>
          <w:lang w:val="en-GB"/>
        </w:rPr>
        <w:lastRenderedPageBreak/>
        <w:t>The decrease in leisure time was another key factor to the industry’s success. As adults were spending more hours on the job or looking after family, fitness activities and other recreational pursuits were becoming lower-priority items. However, the adult obesity rate was expected to grow over the next five years.</w:t>
      </w:r>
      <w:r w:rsidRPr="004B083D">
        <w:rPr>
          <w:spacing w:val="-2"/>
          <w:sz w:val="22"/>
          <w:szCs w:val="22"/>
          <w:vertAlign w:val="superscript"/>
          <w:lang w:val="en-GB"/>
        </w:rPr>
        <w:footnoteReference w:id="4"/>
      </w:r>
      <w:r w:rsidRPr="004B083D">
        <w:rPr>
          <w:spacing w:val="-2"/>
          <w:sz w:val="22"/>
          <w:szCs w:val="22"/>
          <w:lang w:val="en-GB"/>
        </w:rPr>
        <w:t xml:space="preserve"> To help reduce the strain associated with higher healthcare costs,</w:t>
      </w:r>
      <w:r w:rsidRPr="004B083D" w:rsidDel="00B954BC">
        <w:rPr>
          <w:spacing w:val="-2"/>
          <w:sz w:val="22"/>
          <w:szCs w:val="22"/>
          <w:lang w:val="en-GB"/>
        </w:rPr>
        <w:t xml:space="preserve"> </w:t>
      </w:r>
      <w:r w:rsidRPr="004B083D">
        <w:rPr>
          <w:spacing w:val="-2"/>
          <w:sz w:val="22"/>
          <w:szCs w:val="22"/>
          <w:lang w:val="en-GB"/>
        </w:rPr>
        <w:t>many businesses and health insurance providers wanting to incentivize employees and clients to be more active were subsidizing gym memberships.</w:t>
      </w:r>
      <w:r w:rsidRPr="004B083D">
        <w:rPr>
          <w:spacing w:val="-2"/>
          <w:sz w:val="22"/>
          <w:szCs w:val="22"/>
          <w:vertAlign w:val="superscript"/>
          <w:lang w:val="en-GB"/>
        </w:rPr>
        <w:footnoteReference w:id="5"/>
      </w:r>
      <w:r w:rsidRPr="004B083D">
        <w:rPr>
          <w:spacing w:val="-2"/>
          <w:sz w:val="22"/>
          <w:szCs w:val="22"/>
          <w:lang w:val="en-GB"/>
        </w:rPr>
        <w:t xml:space="preserve"> </w:t>
      </w:r>
    </w:p>
    <w:p w14:paraId="400FCF14" w14:textId="77777777" w:rsidR="007D48BE" w:rsidRPr="007D48BE" w:rsidRDefault="007D48BE" w:rsidP="007D48BE">
      <w:pPr>
        <w:jc w:val="both"/>
        <w:rPr>
          <w:sz w:val="22"/>
          <w:szCs w:val="22"/>
          <w:lang w:val="en-GB"/>
        </w:rPr>
      </w:pPr>
    </w:p>
    <w:p w14:paraId="3988128D" w14:textId="77777777" w:rsidR="007D48BE" w:rsidRPr="007D48BE" w:rsidRDefault="007D48BE" w:rsidP="007D48BE">
      <w:pPr>
        <w:jc w:val="both"/>
        <w:rPr>
          <w:sz w:val="22"/>
          <w:szCs w:val="22"/>
          <w:lang w:val="en-GB"/>
        </w:rPr>
      </w:pPr>
      <w:r w:rsidRPr="007D48BE">
        <w:rPr>
          <w:sz w:val="22"/>
          <w:szCs w:val="22"/>
          <w:lang w:val="en-GB"/>
        </w:rPr>
        <w:t>The GHFC industry was still characterized by its growth phase, although increasing variable costs in 2017 had resulted in a slightly declining contribution. The majority of operational costs were comprised of facility upkeep and labour costs but despite the high upfront capital requirements, barriers to entry were low. Incumbents were able to increase profits and minimize revenue volatility by offering 12- or 24-month memberships and hiring part-time coaches. Given the low barriers to entry, many new facilities established themselves to benefit from the industry’s rapid growth.</w:t>
      </w:r>
    </w:p>
    <w:p w14:paraId="343C6E5C" w14:textId="77777777" w:rsidR="007D48BE" w:rsidRPr="007D48BE" w:rsidRDefault="007D48BE" w:rsidP="007D48BE">
      <w:pPr>
        <w:jc w:val="both"/>
        <w:rPr>
          <w:sz w:val="22"/>
          <w:szCs w:val="22"/>
          <w:lang w:val="en-GB"/>
        </w:rPr>
      </w:pPr>
    </w:p>
    <w:p w14:paraId="0D628FAC" w14:textId="77777777" w:rsidR="007D48BE" w:rsidRPr="007D48BE" w:rsidRDefault="007D48BE" w:rsidP="007D48BE">
      <w:pPr>
        <w:jc w:val="both"/>
        <w:rPr>
          <w:sz w:val="22"/>
          <w:szCs w:val="22"/>
          <w:lang w:val="en-GB"/>
        </w:rPr>
      </w:pPr>
    </w:p>
    <w:p w14:paraId="192E8191" w14:textId="77777777" w:rsidR="007D48BE" w:rsidRPr="007D48BE" w:rsidRDefault="007D48BE" w:rsidP="007D48BE">
      <w:pPr>
        <w:jc w:val="both"/>
        <w:rPr>
          <w:rFonts w:ascii="Arial" w:hAnsi="Arial" w:cs="Arial"/>
          <w:b/>
          <w:lang w:val="en-GB"/>
        </w:rPr>
      </w:pPr>
      <w:r w:rsidRPr="007D48BE">
        <w:rPr>
          <w:rFonts w:ascii="Arial" w:hAnsi="Arial" w:cs="Arial"/>
          <w:b/>
          <w:lang w:val="en-GB"/>
        </w:rPr>
        <w:t>CrossFit</w:t>
      </w:r>
    </w:p>
    <w:p w14:paraId="282D677A" w14:textId="77777777" w:rsidR="007D48BE" w:rsidRPr="007D48BE" w:rsidRDefault="007D48BE" w:rsidP="007D48BE">
      <w:pPr>
        <w:jc w:val="both"/>
        <w:rPr>
          <w:sz w:val="22"/>
          <w:szCs w:val="22"/>
          <w:lang w:val="en-GB"/>
        </w:rPr>
      </w:pPr>
    </w:p>
    <w:p w14:paraId="70E777F4" w14:textId="77777777" w:rsidR="007D48BE" w:rsidRPr="007D48BE" w:rsidRDefault="007D48BE" w:rsidP="007D48BE">
      <w:pPr>
        <w:jc w:val="both"/>
        <w:rPr>
          <w:sz w:val="22"/>
          <w:szCs w:val="22"/>
          <w:lang w:val="en-GB"/>
        </w:rPr>
      </w:pPr>
      <w:r w:rsidRPr="007D48BE">
        <w:rPr>
          <w:sz w:val="22"/>
          <w:szCs w:val="22"/>
          <w:lang w:val="en-GB"/>
        </w:rPr>
        <w:t>Since its founding by Greg Glassman in 2000, CrossFit had become one of the fastest growing global fitness trends. With over 13,000 CrossFit affiliates across 120 countries by 2017, over four million people were participating in the sport.</w:t>
      </w:r>
      <w:r w:rsidRPr="007D48BE">
        <w:rPr>
          <w:sz w:val="22"/>
          <w:szCs w:val="22"/>
          <w:vertAlign w:val="superscript"/>
          <w:lang w:val="en-GB"/>
        </w:rPr>
        <w:footnoteReference w:id="6"/>
      </w:r>
      <w:r w:rsidRPr="007D48BE">
        <w:rPr>
          <w:sz w:val="22"/>
          <w:szCs w:val="22"/>
          <w:lang w:val="en-GB"/>
        </w:rPr>
        <w:t xml:space="preserve"> </w:t>
      </w:r>
    </w:p>
    <w:p w14:paraId="7AF1B42A" w14:textId="77777777" w:rsidR="007D48BE" w:rsidRPr="007D48BE" w:rsidRDefault="007D48BE" w:rsidP="007D48BE">
      <w:pPr>
        <w:jc w:val="both"/>
        <w:rPr>
          <w:sz w:val="22"/>
          <w:szCs w:val="22"/>
          <w:lang w:val="en-GB"/>
        </w:rPr>
      </w:pPr>
    </w:p>
    <w:p w14:paraId="25999816" w14:textId="77777777" w:rsidR="007D48BE" w:rsidRPr="007D48BE" w:rsidRDefault="007D48BE" w:rsidP="007D48BE">
      <w:pPr>
        <w:jc w:val="both"/>
        <w:rPr>
          <w:sz w:val="22"/>
          <w:szCs w:val="22"/>
          <w:lang w:val="en-GB"/>
        </w:rPr>
      </w:pPr>
      <w:r w:rsidRPr="007D48BE">
        <w:rPr>
          <w:sz w:val="22"/>
          <w:szCs w:val="22"/>
          <w:lang w:val="en-GB"/>
        </w:rPr>
        <w:t>CrossFit combined various elements of fitness including weightlifting, gymnastics, and cardiovascular endurance. Its aim was to emphasize functional fitness with the goal of improving participants’ health and quality of life. A significant component to CrossFit’s success was in the community it created—CrossFit gyms created a safe space for people of all walks of life to come together to work toward their common goals. Members and coaches were supportive of one another and were often seen cheering each other on to complete workouts. The strong CrossFit community forged through completing challenging workouts together helped the sport gain much of its traction in the GHFC industry.</w:t>
      </w:r>
    </w:p>
    <w:p w14:paraId="106C3BF8" w14:textId="77777777" w:rsidR="007D48BE" w:rsidRPr="007D48BE" w:rsidRDefault="007D48BE" w:rsidP="007D48BE">
      <w:pPr>
        <w:jc w:val="both"/>
        <w:rPr>
          <w:sz w:val="22"/>
          <w:szCs w:val="22"/>
          <w:lang w:val="en-GB"/>
        </w:rPr>
      </w:pPr>
    </w:p>
    <w:p w14:paraId="23454082" w14:textId="77777777" w:rsidR="007D48BE" w:rsidRPr="007D48BE" w:rsidRDefault="007D48BE" w:rsidP="007D48BE">
      <w:pPr>
        <w:jc w:val="both"/>
        <w:rPr>
          <w:sz w:val="22"/>
          <w:szCs w:val="22"/>
          <w:lang w:val="en-GB"/>
        </w:rPr>
      </w:pPr>
      <w:r w:rsidRPr="007D48BE">
        <w:rPr>
          <w:sz w:val="22"/>
          <w:szCs w:val="22"/>
          <w:lang w:val="en-GB"/>
        </w:rPr>
        <w:t xml:space="preserve">Competition was another tool used to strengthen the CrossFit community. CrossFit headquarters (CFHQ) held three annual competitions: </w:t>
      </w:r>
      <w:proofErr w:type="gramStart"/>
      <w:r w:rsidRPr="007D48BE">
        <w:rPr>
          <w:sz w:val="22"/>
          <w:szCs w:val="22"/>
          <w:lang w:val="en-GB"/>
        </w:rPr>
        <w:t>the</w:t>
      </w:r>
      <w:proofErr w:type="gramEnd"/>
      <w:r w:rsidRPr="007D48BE">
        <w:rPr>
          <w:sz w:val="22"/>
          <w:szCs w:val="22"/>
          <w:lang w:val="en-GB"/>
        </w:rPr>
        <w:t xml:space="preserve"> Open, the Regionals, and the CrossFit Games. The Open took place over five weeks during February and March and allowed every CrossFit participant around the world to take part. Each Thursday for the five weeks, one workout was released, and all participants were given until Monday night to complete the workout at an official CrossFit affiliate and submit their scores online. At the end of the Open, the top athletes were invited to the next round of competition, the Regionals. There were 18 regions around the world, each hosting the three-day competition. The top 40 men, women, and teams were invited to compete at the CrossFit Games in August, where thousands of spectators gathered to watch.</w:t>
      </w:r>
      <w:r w:rsidRPr="007D48BE">
        <w:rPr>
          <w:sz w:val="22"/>
          <w:szCs w:val="22"/>
          <w:vertAlign w:val="superscript"/>
          <w:lang w:val="en-GB"/>
        </w:rPr>
        <w:footnoteReference w:id="7"/>
      </w:r>
      <w:r w:rsidRPr="007D48BE">
        <w:rPr>
          <w:sz w:val="22"/>
          <w:szCs w:val="22"/>
          <w:lang w:val="en-GB"/>
        </w:rPr>
        <w:t xml:space="preserve"> The Open gave all participants the ability to compete directly with the fittest athletes in the world, which was unique to the sport.</w:t>
      </w:r>
    </w:p>
    <w:p w14:paraId="32C88389" w14:textId="77777777" w:rsidR="007D48BE" w:rsidRPr="007D48BE" w:rsidRDefault="007D48BE" w:rsidP="007D48BE">
      <w:pPr>
        <w:jc w:val="both"/>
        <w:rPr>
          <w:sz w:val="22"/>
          <w:szCs w:val="22"/>
          <w:lang w:val="en-GB"/>
        </w:rPr>
      </w:pPr>
    </w:p>
    <w:p w14:paraId="516ADD1C" w14:textId="77777777" w:rsidR="007D48BE" w:rsidRPr="007D48BE" w:rsidRDefault="007D48BE" w:rsidP="007D48BE">
      <w:pPr>
        <w:jc w:val="both"/>
        <w:rPr>
          <w:sz w:val="22"/>
          <w:szCs w:val="22"/>
          <w:lang w:val="en-GB"/>
        </w:rPr>
      </w:pPr>
      <w:r w:rsidRPr="007D48BE">
        <w:rPr>
          <w:sz w:val="22"/>
          <w:szCs w:val="22"/>
          <w:lang w:val="en-GB"/>
        </w:rPr>
        <w:t>In order to use the trademarked CrossFit name, gyms—or boxes, as they were referred to in the CrossFit community—registered and paid annual affiliate fees to CFHQ. CrossFit coaches were certified by the company to administer fitness knowledge in a standardized way, though affiliates were run with complete autonomy. Boxes therefore had vastly different environments—from the difficulty of workouts, to the competitiveness, to number and type of classes offered.</w:t>
      </w:r>
    </w:p>
    <w:p w14:paraId="2DCF1D7C" w14:textId="77777777" w:rsidR="007D48BE" w:rsidRPr="007D48BE" w:rsidRDefault="007D48BE" w:rsidP="007D48BE">
      <w:pPr>
        <w:jc w:val="both"/>
        <w:rPr>
          <w:sz w:val="22"/>
          <w:szCs w:val="22"/>
          <w:lang w:val="en-GB"/>
        </w:rPr>
      </w:pPr>
      <w:r w:rsidRPr="007D48BE">
        <w:rPr>
          <w:sz w:val="22"/>
          <w:szCs w:val="22"/>
          <w:lang w:val="en-GB"/>
        </w:rPr>
        <w:lastRenderedPageBreak/>
        <w:t>In addition to the strong community fostered in the sport, CrossFit boxes differed from traditional gyms in several other ways including the distinct physical differences in facilities. CrossFit boxes were typically located in large warehouse-style spaces with significant open areas without typical gym equipment. Instead, members could find pull-up bars, squat racks, rowing machines, free weights, sandbags, tires, and a myriad of other functional fitness</w:t>
      </w:r>
      <w:r w:rsidRPr="007D48BE">
        <w:rPr>
          <w:sz w:val="22"/>
          <w:szCs w:val="22"/>
          <w:vertAlign w:val="superscript"/>
          <w:lang w:val="en-GB"/>
        </w:rPr>
        <w:footnoteReference w:id="8"/>
      </w:r>
      <w:r w:rsidRPr="007D48BE">
        <w:rPr>
          <w:sz w:val="22"/>
          <w:szCs w:val="22"/>
          <w:lang w:val="en-GB"/>
        </w:rPr>
        <w:t xml:space="preserve"> tools. This allowed for plenty of space to conduct coached CrossFit sessions. The majority of members took part in group classes as opposed to working out alone, which also helped strengthen the local community. Members frequently commented on how a CrossFit box felt like a safe space to work toward personal fitness goals, and this was not necessarily the case for traditional gyms. Finally, boxes offered an element of friendly competition in group classes, which helped push members to perform to the best of their abilities—this form of friendly competition was also not typically seen in traditional gyms. </w:t>
      </w:r>
    </w:p>
    <w:p w14:paraId="7DAAFC3A" w14:textId="77777777" w:rsidR="007D48BE" w:rsidRPr="007D48BE" w:rsidRDefault="007D48BE" w:rsidP="007D48BE">
      <w:pPr>
        <w:tabs>
          <w:tab w:val="left" w:pos="1332"/>
        </w:tabs>
        <w:jc w:val="both"/>
        <w:rPr>
          <w:sz w:val="22"/>
          <w:szCs w:val="22"/>
          <w:lang w:val="en-GB"/>
        </w:rPr>
      </w:pPr>
    </w:p>
    <w:p w14:paraId="239B49A3" w14:textId="77777777" w:rsidR="007D48BE" w:rsidRPr="007D48BE" w:rsidRDefault="007D48BE" w:rsidP="007D48BE">
      <w:pPr>
        <w:tabs>
          <w:tab w:val="left" w:pos="1332"/>
        </w:tabs>
        <w:jc w:val="both"/>
        <w:rPr>
          <w:sz w:val="22"/>
          <w:szCs w:val="22"/>
          <w:lang w:val="en-GB"/>
        </w:rPr>
      </w:pPr>
    </w:p>
    <w:p w14:paraId="1764C2C4" w14:textId="77777777" w:rsidR="007D48BE" w:rsidRPr="007D48BE" w:rsidRDefault="007D48BE" w:rsidP="007D48BE">
      <w:pPr>
        <w:jc w:val="both"/>
        <w:rPr>
          <w:rFonts w:ascii="Arial" w:hAnsi="Arial" w:cs="Arial"/>
          <w:b/>
          <w:caps/>
          <w:lang w:val="en-GB"/>
        </w:rPr>
      </w:pPr>
      <w:r w:rsidRPr="007D48BE">
        <w:rPr>
          <w:rFonts w:ascii="Arial" w:hAnsi="Arial" w:cs="Arial"/>
          <w:b/>
          <w:caps/>
          <w:lang w:val="en-GB"/>
        </w:rPr>
        <w:t>Consumers</w:t>
      </w:r>
    </w:p>
    <w:p w14:paraId="0F9096CC" w14:textId="77777777" w:rsidR="007D48BE" w:rsidRPr="007D48BE" w:rsidRDefault="007D48BE" w:rsidP="007D48BE">
      <w:pPr>
        <w:jc w:val="both"/>
        <w:rPr>
          <w:sz w:val="22"/>
          <w:szCs w:val="22"/>
          <w:lang w:val="en-GB"/>
        </w:rPr>
      </w:pPr>
    </w:p>
    <w:p w14:paraId="38F5CF6D" w14:textId="77777777" w:rsidR="007D48BE" w:rsidRPr="007D48BE" w:rsidRDefault="007D48BE" w:rsidP="007D48BE">
      <w:pPr>
        <w:jc w:val="both"/>
        <w:rPr>
          <w:sz w:val="22"/>
          <w:szCs w:val="22"/>
          <w:lang w:val="en-GB"/>
        </w:rPr>
      </w:pPr>
      <w:r w:rsidRPr="007D48BE">
        <w:rPr>
          <w:sz w:val="22"/>
          <w:szCs w:val="22"/>
          <w:lang w:val="en-GB"/>
        </w:rPr>
        <w:t>CrossFit gym consumers considered several factors when determining which affiliate to join. The priority of each of these factors depended on the type of consumer seeking the training facility. The majority of CrossFit members had an average annual household income of over US$150,000</w:t>
      </w:r>
      <w:r w:rsidRPr="007D48BE">
        <w:rPr>
          <w:sz w:val="22"/>
          <w:szCs w:val="22"/>
          <w:vertAlign w:val="superscript"/>
          <w:lang w:val="en-GB"/>
        </w:rPr>
        <w:footnoteReference w:id="9"/>
      </w:r>
      <w:r w:rsidRPr="007D48BE">
        <w:rPr>
          <w:sz w:val="22"/>
          <w:szCs w:val="22"/>
          <w:lang w:val="en-GB"/>
        </w:rPr>
        <w:t xml:space="preserve"> and could be categorized into three broad groups: beginners and casuals, regulars, and competitive athletes. </w:t>
      </w:r>
    </w:p>
    <w:p w14:paraId="49234EBB" w14:textId="77777777" w:rsidR="007D48BE" w:rsidRPr="007D48BE" w:rsidRDefault="007D48BE" w:rsidP="007D48BE">
      <w:pPr>
        <w:jc w:val="both"/>
        <w:rPr>
          <w:sz w:val="22"/>
          <w:szCs w:val="22"/>
          <w:lang w:val="en-GB"/>
        </w:rPr>
      </w:pPr>
    </w:p>
    <w:p w14:paraId="6A90365F" w14:textId="77777777" w:rsidR="007D48BE" w:rsidRPr="007D48BE" w:rsidRDefault="007D48BE" w:rsidP="007D48BE">
      <w:pPr>
        <w:jc w:val="both"/>
        <w:rPr>
          <w:sz w:val="22"/>
          <w:szCs w:val="22"/>
          <w:lang w:val="en-GB"/>
        </w:rPr>
      </w:pPr>
      <w:r w:rsidRPr="007D48BE">
        <w:rPr>
          <w:sz w:val="22"/>
          <w:szCs w:val="22"/>
          <w:lang w:val="en-GB"/>
        </w:rPr>
        <w:t>Beginners and casuals consisted of individuals trying the sport for the first time and those attending once or twice per week. This consumer group valued proximity, cost, and frequency of classes to meet their busy schedules. At most CrossFit affiliates, beginners were required to take part in an initial foundations course, which showcased the quality of the coaching staff and facility. The course was influential in determining whether a beginner would continue with their memberships or try another gym.</w:t>
      </w:r>
    </w:p>
    <w:p w14:paraId="3982BD91" w14:textId="77777777" w:rsidR="007D48BE" w:rsidRPr="007D48BE" w:rsidRDefault="007D48BE" w:rsidP="007D48BE">
      <w:pPr>
        <w:jc w:val="both"/>
        <w:rPr>
          <w:sz w:val="22"/>
          <w:szCs w:val="22"/>
          <w:lang w:val="en-GB"/>
        </w:rPr>
      </w:pPr>
    </w:p>
    <w:p w14:paraId="67AF4275" w14:textId="3B245F8B" w:rsidR="007D48BE" w:rsidRPr="007D48BE" w:rsidRDefault="007D48BE" w:rsidP="007D48BE">
      <w:pPr>
        <w:jc w:val="both"/>
        <w:rPr>
          <w:sz w:val="22"/>
          <w:szCs w:val="22"/>
          <w:lang w:val="en-GB"/>
        </w:rPr>
      </w:pPr>
      <w:r w:rsidRPr="007D48BE">
        <w:rPr>
          <w:sz w:val="22"/>
          <w:szCs w:val="22"/>
          <w:lang w:val="en-GB"/>
        </w:rPr>
        <w:t xml:space="preserve">Regulars typically attended classes four to six times per week and many of these consumers had experienced attending more than one CrossFit gym, allowing them to be more selective. Knowing what other gyms offered, these members valued the quality of programming, coaching, and facility. They were often willing to travel further away for a gym that met all of their requirements. Community and frequency of classes were also key factors for regulars, as they tended to spend more time at the gym and had busy schedules. </w:t>
      </w:r>
    </w:p>
    <w:p w14:paraId="49957A17" w14:textId="77777777" w:rsidR="007D48BE" w:rsidRPr="007D48BE" w:rsidRDefault="007D48BE" w:rsidP="007D48BE">
      <w:pPr>
        <w:jc w:val="both"/>
        <w:rPr>
          <w:sz w:val="22"/>
          <w:szCs w:val="22"/>
          <w:lang w:val="en-GB"/>
        </w:rPr>
      </w:pPr>
    </w:p>
    <w:p w14:paraId="06799A4D" w14:textId="77777777" w:rsidR="007D48BE" w:rsidRPr="007D48BE" w:rsidRDefault="007D48BE" w:rsidP="007D48BE">
      <w:pPr>
        <w:jc w:val="both"/>
        <w:rPr>
          <w:sz w:val="22"/>
          <w:szCs w:val="22"/>
          <w:lang w:val="en-GB"/>
        </w:rPr>
      </w:pPr>
      <w:r w:rsidRPr="007D48BE">
        <w:rPr>
          <w:sz w:val="22"/>
          <w:szCs w:val="22"/>
          <w:lang w:val="en-GB"/>
        </w:rPr>
        <w:t>Competitive athletes prioritized facility size, available equipment, and proximity. These consumers were not concerned with programming and coaching quality as they tended to pay for individualized programs and worked out on their own. They did not participate in group sessions and were not concerned about the frequency of classes. They preferred to work out at official CrossFit affiliates, and their gym needed to have enough space and equipment for them to complete their workouts. If multiple gyms in the area offered the same space and equipment, proximity and cost became the next most important choice factors.</w:t>
      </w:r>
    </w:p>
    <w:p w14:paraId="02213C91" w14:textId="77777777" w:rsidR="007D48BE" w:rsidRPr="007D48BE" w:rsidRDefault="007D48BE" w:rsidP="007D48BE">
      <w:pPr>
        <w:jc w:val="both"/>
        <w:rPr>
          <w:sz w:val="22"/>
          <w:szCs w:val="22"/>
          <w:lang w:val="en-GB"/>
        </w:rPr>
      </w:pPr>
    </w:p>
    <w:p w14:paraId="501D29D1" w14:textId="77777777" w:rsidR="007D48BE" w:rsidRPr="007D48BE" w:rsidRDefault="007D48BE" w:rsidP="007D48BE">
      <w:pPr>
        <w:jc w:val="both"/>
        <w:rPr>
          <w:sz w:val="22"/>
          <w:szCs w:val="22"/>
          <w:lang w:val="en-GB"/>
        </w:rPr>
      </w:pPr>
      <w:r w:rsidRPr="007D48BE">
        <w:rPr>
          <w:sz w:val="22"/>
          <w:szCs w:val="22"/>
          <w:lang w:val="en-GB"/>
        </w:rPr>
        <w:t xml:space="preserve">Traditional gyms were typically focused on a different type of consumer; however, of consumers falling within the CrossFit niche, traditional gyms competed for the beginners and </w:t>
      </w:r>
      <w:proofErr w:type="gramStart"/>
      <w:r w:rsidRPr="007D48BE">
        <w:rPr>
          <w:sz w:val="22"/>
          <w:szCs w:val="22"/>
          <w:lang w:val="en-GB"/>
        </w:rPr>
        <w:t>casuals</w:t>
      </w:r>
      <w:proofErr w:type="gramEnd"/>
      <w:r w:rsidRPr="007D48BE">
        <w:rPr>
          <w:sz w:val="22"/>
          <w:szCs w:val="22"/>
          <w:lang w:val="en-GB"/>
        </w:rPr>
        <w:t xml:space="preserve"> group. CrossFit gyms tended to focus on beginners, casuals, and regulars as their target consumer groups because they comprised the bulk of revenues. Competitive athletes often did research prior to seeking out the specific gyms they wanted to train at.</w:t>
      </w:r>
    </w:p>
    <w:p w14:paraId="09DA180A" w14:textId="77777777" w:rsidR="007D48BE" w:rsidRPr="007D48BE" w:rsidRDefault="007D48BE" w:rsidP="007D48BE">
      <w:pPr>
        <w:jc w:val="both"/>
        <w:rPr>
          <w:sz w:val="22"/>
          <w:szCs w:val="22"/>
          <w:lang w:val="en-GB"/>
        </w:rPr>
      </w:pPr>
    </w:p>
    <w:p w14:paraId="1F6012FD" w14:textId="77777777" w:rsidR="004B083D" w:rsidRDefault="004B083D" w:rsidP="007D48BE">
      <w:pPr>
        <w:jc w:val="both"/>
        <w:rPr>
          <w:rFonts w:ascii="Arial" w:hAnsi="Arial" w:cs="Arial"/>
          <w:b/>
          <w:caps/>
          <w:lang w:val="en-GB"/>
        </w:rPr>
      </w:pPr>
    </w:p>
    <w:p w14:paraId="32C90275" w14:textId="7D722771" w:rsidR="007D48BE" w:rsidRPr="007D48BE" w:rsidRDefault="007D48BE" w:rsidP="007D48BE">
      <w:pPr>
        <w:jc w:val="both"/>
        <w:rPr>
          <w:rFonts w:ascii="Arial" w:hAnsi="Arial" w:cs="Arial"/>
          <w:b/>
          <w:caps/>
          <w:lang w:val="en-GB"/>
        </w:rPr>
      </w:pPr>
      <w:r w:rsidRPr="007D48BE">
        <w:rPr>
          <w:rFonts w:ascii="Arial" w:hAnsi="Arial" w:cs="Arial"/>
          <w:b/>
          <w:caps/>
          <w:lang w:val="en-GB"/>
        </w:rPr>
        <w:lastRenderedPageBreak/>
        <w:t>Competition</w:t>
      </w:r>
    </w:p>
    <w:p w14:paraId="64700F87" w14:textId="77777777" w:rsidR="007D48BE" w:rsidRPr="007D48BE" w:rsidRDefault="007D48BE" w:rsidP="007D48BE">
      <w:pPr>
        <w:jc w:val="both"/>
        <w:rPr>
          <w:sz w:val="22"/>
          <w:szCs w:val="22"/>
          <w:lang w:val="en-GB"/>
        </w:rPr>
      </w:pPr>
    </w:p>
    <w:p w14:paraId="3A10A3C2" w14:textId="77777777" w:rsidR="007D48BE" w:rsidRPr="007D48BE" w:rsidRDefault="007D48BE" w:rsidP="007D48BE">
      <w:pPr>
        <w:jc w:val="both"/>
        <w:rPr>
          <w:rFonts w:ascii="Arial" w:hAnsi="Arial" w:cs="Arial"/>
          <w:b/>
          <w:lang w:val="en-GB"/>
        </w:rPr>
      </w:pPr>
      <w:r w:rsidRPr="007D48BE">
        <w:rPr>
          <w:rFonts w:ascii="Arial" w:hAnsi="Arial" w:cs="Arial"/>
          <w:b/>
          <w:lang w:val="en-GB"/>
        </w:rPr>
        <w:t>GoodLife Fitness</w:t>
      </w:r>
    </w:p>
    <w:p w14:paraId="2B670AAA" w14:textId="77777777" w:rsidR="007D48BE" w:rsidRPr="007D48BE" w:rsidRDefault="007D48BE" w:rsidP="007D48BE">
      <w:pPr>
        <w:jc w:val="both"/>
        <w:rPr>
          <w:sz w:val="22"/>
          <w:szCs w:val="22"/>
          <w:lang w:val="en-GB"/>
        </w:rPr>
      </w:pPr>
    </w:p>
    <w:p w14:paraId="2B10F6A6" w14:textId="77777777" w:rsidR="007D48BE" w:rsidRPr="007D48BE" w:rsidRDefault="007D48BE" w:rsidP="007D48BE">
      <w:pPr>
        <w:jc w:val="both"/>
        <w:rPr>
          <w:sz w:val="22"/>
          <w:szCs w:val="22"/>
          <w:lang w:val="en-GB"/>
        </w:rPr>
      </w:pPr>
      <w:r w:rsidRPr="007D48BE">
        <w:rPr>
          <w:sz w:val="22"/>
          <w:szCs w:val="22"/>
          <w:lang w:val="en-GB"/>
        </w:rPr>
        <w:t>GoodLife Fitness (GoodLife) was the largest health club chain in Canada, operating over 385 locations, with seven of these locations in Kitchener, Ontario. Established almost 40 years ago, GoodLife had grown to capture 21.2 per cent of industry market share, making it the largest player in the market.</w:t>
      </w:r>
      <w:r w:rsidRPr="007D48BE">
        <w:rPr>
          <w:sz w:val="22"/>
          <w:szCs w:val="22"/>
          <w:vertAlign w:val="superscript"/>
          <w:lang w:val="en-GB"/>
        </w:rPr>
        <w:footnoteReference w:id="10"/>
      </w:r>
      <w:r w:rsidRPr="007D48BE">
        <w:rPr>
          <w:sz w:val="22"/>
          <w:szCs w:val="22"/>
          <w:lang w:val="en-GB"/>
        </w:rPr>
        <w:t xml:space="preserve"> In line with its objective to be the most convenient health club, GoodLife offered two types of biweekly membership options. The first membership was offered at a cost of $29.99 biweekly with a one-time enrolment fee of $179.99. The second membership option cost $34.99 biweekly, waived the enrolment fee, and required members to commit to a full year of payments.</w:t>
      </w:r>
      <w:r w:rsidRPr="007D48BE">
        <w:rPr>
          <w:sz w:val="22"/>
          <w:szCs w:val="22"/>
          <w:vertAlign w:val="superscript"/>
          <w:lang w:val="en-GB"/>
        </w:rPr>
        <w:footnoteReference w:id="11"/>
      </w:r>
      <w:r w:rsidRPr="007D48BE">
        <w:rPr>
          <w:sz w:val="22"/>
          <w:szCs w:val="22"/>
          <w:lang w:val="en-GB"/>
        </w:rPr>
        <w:t xml:space="preserve"> GoodLife also owned Fit4Less, a price-sensitive alternative. Goodlife offered a traditional gym set-up in addition to group classes for a variety of different interests including yoga, strength, and cardio. It also offered personal training services for those wanting a more individualized fitness program.</w:t>
      </w:r>
      <w:r w:rsidRPr="007D48BE">
        <w:rPr>
          <w:sz w:val="22"/>
          <w:szCs w:val="22"/>
          <w:vertAlign w:val="superscript"/>
          <w:lang w:val="en-GB"/>
        </w:rPr>
        <w:footnoteReference w:id="12"/>
      </w:r>
      <w:r w:rsidRPr="007D48BE">
        <w:rPr>
          <w:sz w:val="22"/>
          <w:szCs w:val="22"/>
          <w:lang w:val="en-GB"/>
        </w:rPr>
        <w:t xml:space="preserve"> </w:t>
      </w:r>
    </w:p>
    <w:p w14:paraId="44D2FE71" w14:textId="77777777" w:rsidR="007D48BE" w:rsidRPr="007D48BE" w:rsidRDefault="007D48BE" w:rsidP="007D48BE">
      <w:pPr>
        <w:jc w:val="both"/>
        <w:rPr>
          <w:sz w:val="22"/>
          <w:szCs w:val="22"/>
          <w:lang w:val="en-GB"/>
        </w:rPr>
      </w:pPr>
    </w:p>
    <w:p w14:paraId="6D782178" w14:textId="77777777" w:rsidR="007D48BE" w:rsidRPr="007D48BE" w:rsidRDefault="007D48BE" w:rsidP="007D48BE">
      <w:pPr>
        <w:jc w:val="both"/>
        <w:rPr>
          <w:sz w:val="22"/>
          <w:szCs w:val="22"/>
          <w:lang w:val="en-GB"/>
        </w:rPr>
      </w:pPr>
    </w:p>
    <w:p w14:paraId="34A8F26E" w14:textId="77777777" w:rsidR="007D48BE" w:rsidRPr="007D48BE" w:rsidRDefault="007D48BE" w:rsidP="007D48BE">
      <w:pPr>
        <w:jc w:val="both"/>
        <w:rPr>
          <w:rFonts w:ascii="Arial" w:hAnsi="Arial" w:cs="Arial"/>
          <w:b/>
          <w:lang w:val="en-GB"/>
        </w:rPr>
      </w:pPr>
      <w:r w:rsidRPr="007D48BE">
        <w:rPr>
          <w:rFonts w:ascii="Arial" w:hAnsi="Arial" w:cs="Arial"/>
          <w:b/>
          <w:lang w:val="en-GB"/>
        </w:rPr>
        <w:t>Planet Fitness</w:t>
      </w:r>
    </w:p>
    <w:p w14:paraId="7E81C741" w14:textId="77777777" w:rsidR="004B083D" w:rsidRDefault="004B083D" w:rsidP="007D48BE">
      <w:pPr>
        <w:jc w:val="both"/>
        <w:rPr>
          <w:sz w:val="22"/>
          <w:szCs w:val="22"/>
          <w:lang w:val="en-GB"/>
        </w:rPr>
      </w:pPr>
    </w:p>
    <w:p w14:paraId="6D071814" w14:textId="53C5F6FB" w:rsidR="007D48BE" w:rsidRDefault="007D48BE" w:rsidP="007D48BE">
      <w:pPr>
        <w:jc w:val="both"/>
        <w:rPr>
          <w:sz w:val="22"/>
          <w:szCs w:val="22"/>
          <w:lang w:val="en-GB"/>
        </w:rPr>
      </w:pPr>
      <w:r w:rsidRPr="007D48BE">
        <w:rPr>
          <w:sz w:val="22"/>
          <w:szCs w:val="22"/>
          <w:lang w:val="en-GB"/>
        </w:rPr>
        <w:t>Established in 1992, Planet Fitness had worked on establishing itself throughout the United States, Canada, Dominican Republic, and Puerto Rico and had over 1,400 locations, 23 of which were in Canada, and one of these locations was in Kitchener, Ontario. Planet Fitness offered a traditional gym setup, similar to GoodLife, although it did not offer coached group classes. Planet Fitness was geared toward beginners and casuals and emphasized its mantra of creating a “judgment free zone.” Memberships started at $10 per month.</w:t>
      </w:r>
      <w:r w:rsidRPr="007D48BE">
        <w:rPr>
          <w:sz w:val="22"/>
          <w:szCs w:val="22"/>
          <w:vertAlign w:val="superscript"/>
          <w:lang w:val="en-GB"/>
        </w:rPr>
        <w:footnoteReference w:id="13"/>
      </w:r>
      <w:r w:rsidRPr="007D48BE">
        <w:rPr>
          <w:sz w:val="22"/>
          <w:szCs w:val="22"/>
          <w:lang w:val="en-GB"/>
        </w:rPr>
        <w:t xml:space="preserve"> Planet Fitness had approximately 1 per cent market share in the industry.</w:t>
      </w:r>
      <w:r w:rsidRPr="007D48BE">
        <w:rPr>
          <w:sz w:val="22"/>
          <w:szCs w:val="22"/>
          <w:vertAlign w:val="superscript"/>
          <w:lang w:val="en-GB"/>
        </w:rPr>
        <w:footnoteReference w:id="14"/>
      </w:r>
    </w:p>
    <w:p w14:paraId="6CA0EA73" w14:textId="744F33DD" w:rsidR="004B083D" w:rsidRDefault="004B083D" w:rsidP="007D48BE">
      <w:pPr>
        <w:jc w:val="both"/>
        <w:rPr>
          <w:sz w:val="22"/>
          <w:szCs w:val="22"/>
          <w:lang w:val="en-GB"/>
        </w:rPr>
      </w:pPr>
    </w:p>
    <w:p w14:paraId="1D858951" w14:textId="77777777" w:rsidR="004B083D" w:rsidRPr="007D48BE" w:rsidRDefault="004B083D" w:rsidP="007D48BE">
      <w:pPr>
        <w:jc w:val="both"/>
        <w:rPr>
          <w:sz w:val="22"/>
          <w:szCs w:val="22"/>
          <w:lang w:val="en-GB"/>
        </w:rPr>
      </w:pPr>
    </w:p>
    <w:p w14:paraId="1E78716D" w14:textId="77777777" w:rsidR="007D48BE" w:rsidRPr="007D48BE" w:rsidRDefault="007D48BE" w:rsidP="007D48BE">
      <w:pPr>
        <w:jc w:val="both"/>
        <w:rPr>
          <w:rFonts w:ascii="Arial" w:hAnsi="Arial" w:cs="Arial"/>
          <w:b/>
          <w:lang w:val="en-GB"/>
        </w:rPr>
      </w:pPr>
      <w:r w:rsidRPr="007D48BE">
        <w:rPr>
          <w:rFonts w:ascii="Arial" w:hAnsi="Arial" w:cs="Arial"/>
          <w:b/>
          <w:lang w:val="en-GB"/>
        </w:rPr>
        <w:t>Central Fitness Kitchener</w:t>
      </w:r>
    </w:p>
    <w:p w14:paraId="20CB1E00" w14:textId="77777777" w:rsidR="004B083D" w:rsidRDefault="004B083D" w:rsidP="007D48BE">
      <w:pPr>
        <w:jc w:val="both"/>
        <w:rPr>
          <w:sz w:val="22"/>
          <w:szCs w:val="22"/>
          <w:lang w:val="en-GB"/>
        </w:rPr>
      </w:pPr>
    </w:p>
    <w:p w14:paraId="6FD4F02F" w14:textId="40028846" w:rsidR="007D48BE" w:rsidRDefault="007D48BE" w:rsidP="007D48BE">
      <w:pPr>
        <w:jc w:val="both"/>
        <w:rPr>
          <w:sz w:val="22"/>
          <w:szCs w:val="22"/>
          <w:lang w:val="en-GB"/>
        </w:rPr>
      </w:pPr>
      <w:r w:rsidRPr="007D48BE">
        <w:rPr>
          <w:sz w:val="22"/>
          <w:szCs w:val="22"/>
          <w:lang w:val="en-GB"/>
        </w:rPr>
        <w:t xml:space="preserve">Founded in 2012, Central Fitness Kitchener (Central) was a local fitness facility offering a variety of coached group classes including those focusing on gymnastics, strength, conditioning, and mobility. A variety of membership options was available and tended to average approximately $160 per month. It was also an official CrossFit affiliate gym. Central Fitness was one of the two largest competitors in the local CrossFit space, the other being The Academy. Central currently operated out of a 15,000 square-foot (about 1,395 square metres) facility and was considering moving to a larger facility a few kilometres away from The Academy as the current facility was only accessible by one bus route in the city. In addition to group classes, Central offered personal training services. </w:t>
      </w:r>
    </w:p>
    <w:p w14:paraId="3C32CA5C" w14:textId="0389F89A" w:rsidR="004B083D" w:rsidRDefault="004B083D" w:rsidP="007D48BE">
      <w:pPr>
        <w:jc w:val="both"/>
        <w:rPr>
          <w:sz w:val="22"/>
          <w:szCs w:val="22"/>
          <w:lang w:val="en-GB"/>
        </w:rPr>
      </w:pPr>
    </w:p>
    <w:p w14:paraId="5F12E2DE" w14:textId="77777777" w:rsidR="004B083D" w:rsidRDefault="004B083D" w:rsidP="007D48BE">
      <w:pPr>
        <w:jc w:val="both"/>
        <w:rPr>
          <w:sz w:val="22"/>
          <w:szCs w:val="22"/>
          <w:lang w:val="en-GB"/>
        </w:rPr>
      </w:pPr>
    </w:p>
    <w:p w14:paraId="25FDA5F7" w14:textId="77777777" w:rsidR="007D48BE" w:rsidRPr="007D48BE" w:rsidRDefault="007D48BE" w:rsidP="007D48BE">
      <w:pPr>
        <w:jc w:val="both"/>
        <w:rPr>
          <w:rFonts w:ascii="Arial" w:hAnsi="Arial" w:cs="Arial"/>
          <w:b/>
          <w:lang w:val="en-GB"/>
        </w:rPr>
      </w:pPr>
      <w:r w:rsidRPr="007D48BE">
        <w:rPr>
          <w:rFonts w:ascii="Arial" w:hAnsi="Arial" w:cs="Arial"/>
          <w:b/>
          <w:lang w:val="en-GB"/>
        </w:rPr>
        <w:t>Other Competitors</w:t>
      </w:r>
    </w:p>
    <w:p w14:paraId="0ED4B5B2" w14:textId="77777777" w:rsidR="007D48BE" w:rsidRPr="007D48BE" w:rsidRDefault="007D48BE" w:rsidP="007D48BE">
      <w:pPr>
        <w:jc w:val="both"/>
        <w:rPr>
          <w:sz w:val="22"/>
          <w:szCs w:val="22"/>
          <w:lang w:val="en-GB"/>
        </w:rPr>
      </w:pPr>
    </w:p>
    <w:p w14:paraId="114B33A6" w14:textId="77777777" w:rsidR="007D48BE" w:rsidRPr="007D48BE" w:rsidRDefault="007D48BE" w:rsidP="007D48BE">
      <w:pPr>
        <w:jc w:val="both"/>
        <w:rPr>
          <w:sz w:val="22"/>
          <w:szCs w:val="22"/>
          <w:lang w:val="en-GB"/>
        </w:rPr>
      </w:pPr>
      <w:r w:rsidRPr="007D48BE">
        <w:rPr>
          <w:sz w:val="22"/>
          <w:szCs w:val="22"/>
          <w:lang w:val="en-GB"/>
        </w:rPr>
        <w:t xml:space="preserve">Several other CrossFit affiliates operated throughout the city. These affiliates typically had smaller facilities (less than 3,000 square feet, or 280 square metres, on average) and offered fewer training times, but they were convenient to consumers who lived nearby. Given their limited financial capabilities and differing </w:t>
      </w:r>
      <w:r w:rsidRPr="007D48BE">
        <w:rPr>
          <w:sz w:val="22"/>
          <w:szCs w:val="22"/>
          <w:lang w:val="en-GB"/>
        </w:rPr>
        <w:lastRenderedPageBreak/>
        <w:t xml:space="preserve">business objectives, they were not primary competitors of The Academy. Many other traditional gyms also operated in the Kitchener area targeting a different consumer group than The Academy and its direct competitors (see Exhibit 3). </w:t>
      </w:r>
    </w:p>
    <w:p w14:paraId="0D0933CF" w14:textId="77777777" w:rsidR="007D48BE" w:rsidRPr="007D48BE" w:rsidRDefault="007D48BE" w:rsidP="007D48BE">
      <w:pPr>
        <w:jc w:val="both"/>
        <w:rPr>
          <w:sz w:val="22"/>
          <w:szCs w:val="22"/>
          <w:lang w:val="en-GB"/>
        </w:rPr>
      </w:pPr>
    </w:p>
    <w:p w14:paraId="35155122" w14:textId="77777777" w:rsidR="007D48BE" w:rsidRPr="007D48BE" w:rsidRDefault="007D48BE" w:rsidP="007D48BE">
      <w:pPr>
        <w:jc w:val="both"/>
        <w:rPr>
          <w:sz w:val="22"/>
          <w:szCs w:val="22"/>
          <w:lang w:val="en-GB"/>
        </w:rPr>
      </w:pPr>
    </w:p>
    <w:p w14:paraId="0DD66364" w14:textId="77777777" w:rsidR="007D48BE" w:rsidRPr="007D48BE" w:rsidRDefault="007D48BE" w:rsidP="007D48BE">
      <w:pPr>
        <w:jc w:val="both"/>
        <w:rPr>
          <w:rFonts w:ascii="Arial" w:hAnsi="Arial" w:cs="Arial"/>
          <w:b/>
          <w:caps/>
          <w:lang w:val="en-GB"/>
        </w:rPr>
      </w:pPr>
      <w:r w:rsidRPr="007D48BE">
        <w:rPr>
          <w:rFonts w:ascii="Arial" w:hAnsi="Arial" w:cs="Arial"/>
          <w:b/>
          <w:caps/>
          <w:lang w:val="en-GB"/>
        </w:rPr>
        <w:t>The Academy</w:t>
      </w:r>
    </w:p>
    <w:p w14:paraId="74AFA53A" w14:textId="77777777" w:rsidR="007D48BE" w:rsidRPr="007D48BE" w:rsidRDefault="007D48BE" w:rsidP="007D48BE">
      <w:pPr>
        <w:jc w:val="both"/>
        <w:rPr>
          <w:sz w:val="22"/>
          <w:szCs w:val="22"/>
          <w:lang w:val="en-GB"/>
        </w:rPr>
      </w:pPr>
    </w:p>
    <w:p w14:paraId="1162A13A" w14:textId="77777777" w:rsidR="007D48BE" w:rsidRPr="007D48BE" w:rsidRDefault="007D48BE" w:rsidP="007D48BE">
      <w:pPr>
        <w:jc w:val="both"/>
        <w:rPr>
          <w:sz w:val="22"/>
          <w:szCs w:val="22"/>
          <w:lang w:val="en-GB"/>
        </w:rPr>
      </w:pPr>
      <w:r w:rsidRPr="007D48BE">
        <w:rPr>
          <w:sz w:val="22"/>
          <w:szCs w:val="22"/>
          <w:lang w:val="en-GB"/>
        </w:rPr>
        <w:t xml:space="preserve">The Academy began operations in Kitchener, Ontario, in 2012 and was founded by four partners who had a common passion for fitness and improving the health of their community. Over its years in operation, The Academy had expanded to offer 50 group classes per week and was constantly looking to add new classes based on member demand. The gym was open for 52 weeks of the year. The gym’s popularity could be seen by how full the classes were, particularly during weeknight evenings. Coaches offered personal training and were CrossFit Level 1 certified and were, or had been, competitive athletes throughout their lives. Coming from a variety of backgrounds including gymnastics, powerlifting, Olympic weightlifting, and functional fitness, the coaches shared one common goal—to help The Academy’s members improve and work toward their personal fitness goals. The Academy operated in a 5,500 square-foot (about 511 square metres) facility, and was continuing to grow rapidly with over 400 current members. </w:t>
      </w:r>
    </w:p>
    <w:p w14:paraId="0FCFEAFE" w14:textId="77777777" w:rsidR="007D48BE" w:rsidRPr="007D48BE" w:rsidRDefault="007D48BE" w:rsidP="007D48BE">
      <w:pPr>
        <w:jc w:val="both"/>
        <w:rPr>
          <w:sz w:val="22"/>
          <w:szCs w:val="22"/>
          <w:lang w:val="en-GB"/>
        </w:rPr>
      </w:pPr>
    </w:p>
    <w:p w14:paraId="3676B93D" w14:textId="77777777" w:rsidR="007D48BE" w:rsidRPr="007D48BE" w:rsidRDefault="007D48BE" w:rsidP="007D48BE">
      <w:pPr>
        <w:jc w:val="both"/>
        <w:rPr>
          <w:sz w:val="22"/>
          <w:szCs w:val="22"/>
          <w:lang w:val="en-GB"/>
        </w:rPr>
      </w:pPr>
      <w:r w:rsidRPr="007D48BE">
        <w:rPr>
          <w:sz w:val="22"/>
          <w:szCs w:val="22"/>
          <w:lang w:val="en-GB"/>
        </w:rPr>
        <w:t>After graduating from Fanshawe College in 2012 with a diploma in Fitness and Health Promotion, Sharp spent over two and a half years coaching at GoodLife Fitness prior to joining The Academy, where he served as head coach and co-owner for over three years. Sharp spent years competing in athletic disciplines such as martial arts, hockey, and functional fitness before pursuing a career in coaching, and was still a competitive CrossFit athlete. Sharp’s talent for fitness programming allowed him to successfully launch his own personal training business two years ago, through which he personally coached several athletes to compete at a regionals level. Sharp was dedicated to the fitness process and passionate about helping his clients reach their health and fitness goals.</w:t>
      </w:r>
    </w:p>
    <w:p w14:paraId="03AD1E06" w14:textId="77777777" w:rsidR="007D48BE" w:rsidRPr="007D48BE" w:rsidRDefault="007D48BE" w:rsidP="007D48BE">
      <w:pPr>
        <w:jc w:val="both"/>
        <w:rPr>
          <w:sz w:val="22"/>
          <w:szCs w:val="22"/>
          <w:lang w:val="en-GB"/>
        </w:rPr>
      </w:pPr>
    </w:p>
    <w:p w14:paraId="23657CE3" w14:textId="77777777" w:rsidR="007D48BE" w:rsidRPr="007D48BE" w:rsidRDefault="007D48BE" w:rsidP="007D48BE">
      <w:pPr>
        <w:jc w:val="both"/>
        <w:rPr>
          <w:sz w:val="22"/>
          <w:szCs w:val="22"/>
          <w:lang w:val="en-GB"/>
        </w:rPr>
      </w:pPr>
      <w:r w:rsidRPr="007D48BE">
        <w:rPr>
          <w:sz w:val="22"/>
          <w:szCs w:val="22"/>
          <w:lang w:val="en-GB"/>
        </w:rPr>
        <w:t xml:space="preserve">The community aspect of CrossFit was important to The Academy and was embodied through community events, annual intra-gym competitions, and the daily support members and coaches shared when milestones were achieved. These factors led to the gym becoming one of the largest CrossFit communities in the city. It was important to Sharp that any future growth experienced by The Academy fostered the community that had been created. </w:t>
      </w:r>
    </w:p>
    <w:p w14:paraId="0774C67E" w14:textId="77777777" w:rsidR="007D48BE" w:rsidRPr="007D48BE" w:rsidRDefault="007D48BE" w:rsidP="007D48BE">
      <w:pPr>
        <w:jc w:val="both"/>
        <w:rPr>
          <w:sz w:val="22"/>
          <w:szCs w:val="22"/>
          <w:lang w:val="en-GB"/>
        </w:rPr>
      </w:pPr>
    </w:p>
    <w:p w14:paraId="25EF81D4" w14:textId="77777777" w:rsidR="007D48BE" w:rsidRPr="007D48BE" w:rsidRDefault="007D48BE" w:rsidP="007D48BE">
      <w:pPr>
        <w:jc w:val="both"/>
        <w:rPr>
          <w:sz w:val="22"/>
          <w:szCs w:val="22"/>
          <w:lang w:val="en-GB"/>
        </w:rPr>
      </w:pPr>
    </w:p>
    <w:p w14:paraId="70546260" w14:textId="77777777" w:rsidR="007D48BE" w:rsidRPr="007D48BE" w:rsidRDefault="007D48BE" w:rsidP="007D48BE">
      <w:pPr>
        <w:jc w:val="both"/>
        <w:rPr>
          <w:rFonts w:ascii="Arial" w:hAnsi="Arial" w:cs="Arial"/>
          <w:b/>
          <w:caps/>
          <w:lang w:val="en-GB"/>
        </w:rPr>
      </w:pPr>
      <w:r w:rsidRPr="007D48BE">
        <w:rPr>
          <w:rFonts w:ascii="Arial" w:hAnsi="Arial" w:cs="Arial"/>
          <w:b/>
          <w:caps/>
          <w:lang w:val="en-GB"/>
        </w:rPr>
        <w:t>The Expansion Opportunity</w:t>
      </w:r>
    </w:p>
    <w:p w14:paraId="704EFE33" w14:textId="77777777" w:rsidR="007D48BE" w:rsidRPr="007D48BE" w:rsidRDefault="007D48BE" w:rsidP="007D48BE">
      <w:pPr>
        <w:jc w:val="both"/>
        <w:rPr>
          <w:sz w:val="22"/>
          <w:szCs w:val="22"/>
          <w:lang w:val="en-GB"/>
        </w:rPr>
      </w:pPr>
    </w:p>
    <w:p w14:paraId="217AD826" w14:textId="77777777" w:rsidR="007D48BE" w:rsidRPr="007D48BE" w:rsidRDefault="007D48BE" w:rsidP="007D48BE">
      <w:pPr>
        <w:jc w:val="both"/>
        <w:rPr>
          <w:sz w:val="22"/>
          <w:szCs w:val="22"/>
          <w:lang w:val="en-GB"/>
        </w:rPr>
      </w:pPr>
      <w:r w:rsidRPr="007D48BE">
        <w:rPr>
          <w:sz w:val="22"/>
          <w:szCs w:val="22"/>
          <w:lang w:val="en-GB"/>
        </w:rPr>
        <w:t>With the increasing number of competitors setting up CrossFit gyms within the city, Sharp was keen to implement a strategy that would allow The Academy to continue to grow and remain one of the top training facilities. He believed that opening a second location would allow The Academy to capture a segment of the market that was at present limited by distance and travel time. Sharp also considered that a second location would provide The Academy with a competitive advantage as Central also had only one location in the city. However, Sharp was not sure how successful a second gym would be, and he knew it would require a significant amount of his time. He was concerned that this might affect the quality of coaching at the existing location.</w:t>
      </w:r>
    </w:p>
    <w:p w14:paraId="00C2F9C2" w14:textId="77777777" w:rsidR="007D48BE" w:rsidRPr="007D48BE" w:rsidRDefault="007D48BE" w:rsidP="007D48BE">
      <w:pPr>
        <w:jc w:val="both"/>
        <w:rPr>
          <w:sz w:val="22"/>
          <w:szCs w:val="22"/>
          <w:lang w:val="en-GB"/>
        </w:rPr>
      </w:pPr>
    </w:p>
    <w:p w14:paraId="52F433AF" w14:textId="77777777" w:rsidR="007D48BE" w:rsidRPr="007D48BE" w:rsidRDefault="007D48BE" w:rsidP="007D48BE">
      <w:pPr>
        <w:jc w:val="both"/>
        <w:rPr>
          <w:sz w:val="22"/>
          <w:szCs w:val="22"/>
          <w:lang w:val="en-GB"/>
        </w:rPr>
      </w:pPr>
      <w:r w:rsidRPr="007D48BE">
        <w:rPr>
          <w:sz w:val="22"/>
          <w:szCs w:val="22"/>
          <w:lang w:val="en-GB"/>
        </w:rPr>
        <w:t xml:space="preserve">With or without any expansion, Sharp expected The Academy’s sales to grow by the same percentage as the prior fiscal year. He expected the second location would generate 40 to 80 per cent of The Academy’s projected 2018 sales. As with the existing location, he expected all the new sales to be made on credit. Under both scenarios, he expected 5 per cent of the existing location’s projected fiscal 2018 sales to be lost to cannibalization as existing members would benefit from a closer location and transfer their memberships. </w:t>
      </w:r>
      <w:r w:rsidRPr="007D48BE">
        <w:rPr>
          <w:sz w:val="22"/>
          <w:szCs w:val="22"/>
          <w:lang w:val="en-GB"/>
        </w:rPr>
        <w:lastRenderedPageBreak/>
        <w:t>Sharp located a facility space in the east part of the city, which was available to rent for $40,000 per year. He also planned on hiring a part-time administrative assistant for an annual salary of $30,000. All other cash expenses for the new location would remain at the same percentage of sales as The Academy’s fiscal 2017 expenses, although Sharp expected to realize several cost synergies. Expenses including interest and bank charges, professional fees, meals and entertainment, and conventions and courses would not be incurred by the second location, and 50 per cent of business taxes, licenses, and memberships expenses would be allocated to the new location.</w:t>
      </w:r>
    </w:p>
    <w:p w14:paraId="7D6FA0DB" w14:textId="77777777" w:rsidR="007D48BE" w:rsidRPr="007D48BE" w:rsidRDefault="007D48BE" w:rsidP="007D48BE">
      <w:pPr>
        <w:jc w:val="both"/>
        <w:rPr>
          <w:sz w:val="22"/>
          <w:szCs w:val="22"/>
          <w:lang w:val="en-GB"/>
        </w:rPr>
      </w:pPr>
    </w:p>
    <w:p w14:paraId="3E7AE686" w14:textId="77777777" w:rsidR="007D48BE" w:rsidRPr="007D48BE" w:rsidRDefault="007D48BE" w:rsidP="007D48BE">
      <w:pPr>
        <w:jc w:val="both"/>
        <w:rPr>
          <w:sz w:val="22"/>
          <w:szCs w:val="22"/>
          <w:lang w:val="en-GB"/>
        </w:rPr>
      </w:pPr>
      <w:r w:rsidRPr="007D48BE">
        <w:rPr>
          <w:sz w:val="22"/>
          <w:szCs w:val="22"/>
          <w:lang w:val="en-GB"/>
        </w:rPr>
        <w:t xml:space="preserve">The initial investments required to set up the new facility included renovation and installation of fixtures, totalling $30,000. The fixtures comprised one third of the investment and had a useful life of five years. Sharp was debating between two sets of equipment—one that could facilitate classes up to 15 people, or a smaller set, facilitating classes up to 10 people. These equipment costs were $60,000 and $45,000, respectively, and he anticipated that if sales were on the higher end of his estimate, larger class sizes would be necessary (see Exhibit 4). Both equipment sets would be depreciated on a straight-line basis over five years, after which, each would be donated and replaced. To promote the new location, Sharp wanted to spend $15,000 on a launch event. </w:t>
      </w:r>
    </w:p>
    <w:p w14:paraId="0BEA6AFD" w14:textId="77777777" w:rsidR="007D48BE" w:rsidRPr="007D48BE" w:rsidRDefault="007D48BE" w:rsidP="007D48BE">
      <w:pPr>
        <w:jc w:val="both"/>
        <w:rPr>
          <w:sz w:val="22"/>
          <w:szCs w:val="22"/>
          <w:lang w:val="en-GB"/>
        </w:rPr>
      </w:pPr>
    </w:p>
    <w:p w14:paraId="3B172A40" w14:textId="77777777" w:rsidR="007D48BE" w:rsidRPr="007D48BE" w:rsidRDefault="007D48BE" w:rsidP="007D48BE">
      <w:pPr>
        <w:jc w:val="both"/>
        <w:rPr>
          <w:sz w:val="22"/>
          <w:szCs w:val="22"/>
          <w:lang w:val="en-GB"/>
        </w:rPr>
      </w:pPr>
      <w:r w:rsidRPr="007D48BE">
        <w:rPr>
          <w:sz w:val="22"/>
          <w:szCs w:val="22"/>
          <w:lang w:val="en-GB"/>
        </w:rPr>
        <w:t>Sharp considered that cash tied up in working capital accounts would also change. He projected that the added operations would average 35 days of accounts payable and 10 days of accounts receivable. No initial inventory investment was anticipated. Sharp wanted to ensure the decision met a hurdle rate of 20 per cent.</w:t>
      </w:r>
    </w:p>
    <w:p w14:paraId="02BCB7E3" w14:textId="77777777" w:rsidR="007D48BE" w:rsidRPr="007D48BE" w:rsidRDefault="007D48BE" w:rsidP="007D48BE">
      <w:pPr>
        <w:jc w:val="both"/>
        <w:rPr>
          <w:sz w:val="22"/>
          <w:szCs w:val="22"/>
          <w:lang w:val="en-GB"/>
        </w:rPr>
      </w:pPr>
    </w:p>
    <w:p w14:paraId="1CE742C1" w14:textId="77777777" w:rsidR="007D48BE" w:rsidRPr="007D48BE" w:rsidRDefault="007D48BE" w:rsidP="007D48BE">
      <w:pPr>
        <w:jc w:val="both"/>
        <w:rPr>
          <w:sz w:val="22"/>
          <w:szCs w:val="22"/>
          <w:lang w:val="en-GB"/>
        </w:rPr>
      </w:pPr>
    </w:p>
    <w:p w14:paraId="6EF89DEF" w14:textId="77777777" w:rsidR="007D48BE" w:rsidRPr="007D48BE" w:rsidRDefault="007D48BE" w:rsidP="007D48BE">
      <w:pPr>
        <w:jc w:val="both"/>
        <w:rPr>
          <w:rFonts w:ascii="Arial" w:hAnsi="Arial" w:cs="Arial"/>
          <w:b/>
          <w:caps/>
          <w:lang w:val="en-GB"/>
        </w:rPr>
      </w:pPr>
      <w:r w:rsidRPr="007D48BE">
        <w:rPr>
          <w:rFonts w:ascii="Arial" w:hAnsi="Arial" w:cs="Arial"/>
          <w:b/>
          <w:caps/>
          <w:lang w:val="en-GB"/>
        </w:rPr>
        <w:t>THE FACILITY UPGRADE</w:t>
      </w:r>
    </w:p>
    <w:p w14:paraId="52CFD707" w14:textId="77777777" w:rsidR="007D48BE" w:rsidRPr="007D48BE" w:rsidRDefault="007D48BE" w:rsidP="007D48BE">
      <w:pPr>
        <w:jc w:val="both"/>
        <w:rPr>
          <w:sz w:val="22"/>
          <w:szCs w:val="22"/>
          <w:lang w:val="en-GB"/>
        </w:rPr>
      </w:pPr>
    </w:p>
    <w:p w14:paraId="0A791577" w14:textId="77777777" w:rsidR="007D48BE" w:rsidRPr="007D48BE" w:rsidRDefault="007D48BE" w:rsidP="007D48BE">
      <w:pPr>
        <w:jc w:val="both"/>
        <w:rPr>
          <w:sz w:val="22"/>
          <w:szCs w:val="22"/>
          <w:lang w:val="en-GB"/>
        </w:rPr>
      </w:pPr>
      <w:r w:rsidRPr="007D48BE">
        <w:rPr>
          <w:sz w:val="22"/>
          <w:szCs w:val="22"/>
          <w:lang w:val="en-GB"/>
        </w:rPr>
        <w:t>The second alternative Sharp considered was upgrading and adding to the equipment at the existing location. He envisioned the facility upgrade would have a positive impact on The Academy in several ways. Given the new equipment, the upgrade would allow the gym to offer additional classes, and the new equipment would also improve the aesthetic appeal of the facility. However, a significant capital investment would be required in addition to increased cost of sales, and he was uncertain of the return. Sharp knew that some members might want to use only the new equipment.</w:t>
      </w:r>
    </w:p>
    <w:p w14:paraId="62393B9D" w14:textId="77777777" w:rsidR="007D48BE" w:rsidRPr="007D48BE" w:rsidRDefault="007D48BE" w:rsidP="007D48BE">
      <w:pPr>
        <w:jc w:val="both"/>
        <w:rPr>
          <w:sz w:val="22"/>
          <w:szCs w:val="22"/>
          <w:lang w:val="en-GB"/>
        </w:rPr>
      </w:pPr>
    </w:p>
    <w:p w14:paraId="48B0D784" w14:textId="77777777" w:rsidR="007D48BE" w:rsidRPr="007D48BE" w:rsidRDefault="007D48BE" w:rsidP="007D48BE">
      <w:pPr>
        <w:jc w:val="both"/>
        <w:rPr>
          <w:sz w:val="22"/>
          <w:szCs w:val="22"/>
          <w:lang w:val="en-GB"/>
        </w:rPr>
      </w:pPr>
      <w:r w:rsidRPr="007D48BE">
        <w:rPr>
          <w:sz w:val="22"/>
          <w:szCs w:val="22"/>
          <w:lang w:val="en-GB"/>
        </w:rPr>
        <w:t xml:space="preserve">To estimate additional sales arising from the upgrade, Sharp considered that a fair estimate would be to use the same average revenue per class. He expected one to four additional classes to be offered per week and that 80 per cent of these sales would be made on credit. Given the additional classes, he anticipated cost of sales to remain at the same percentage of sales as in fiscal 2017. The new equipment would require repairs and cleaning, and those expenses were also expected to remain at the same percentage of sales as in fiscal 2017. In the event that four classes would be added per week, utilities would increase by $500 annually. Administrative duties would increase due to the greater volume of classes, and Sharp believed that The Academy’s office expense would increase by $40 per month. If only one class was added, this expense would increase by $24 per month. </w:t>
      </w:r>
    </w:p>
    <w:p w14:paraId="4348C8DB" w14:textId="77777777" w:rsidR="007D48BE" w:rsidRPr="007D48BE" w:rsidRDefault="007D48BE" w:rsidP="007D48BE">
      <w:pPr>
        <w:jc w:val="both"/>
        <w:rPr>
          <w:sz w:val="22"/>
          <w:szCs w:val="22"/>
          <w:lang w:val="en-GB"/>
        </w:rPr>
      </w:pPr>
    </w:p>
    <w:p w14:paraId="5A4E5498" w14:textId="77777777" w:rsidR="007D48BE" w:rsidRPr="007D48BE" w:rsidRDefault="007D48BE" w:rsidP="007D48BE">
      <w:pPr>
        <w:jc w:val="both"/>
        <w:rPr>
          <w:sz w:val="22"/>
          <w:szCs w:val="22"/>
          <w:lang w:val="en-GB"/>
        </w:rPr>
      </w:pPr>
      <w:r w:rsidRPr="007D48BE">
        <w:rPr>
          <w:sz w:val="22"/>
          <w:szCs w:val="22"/>
          <w:lang w:val="en-GB"/>
        </w:rPr>
        <w:t>The cost of the upgrade—equipment and installation—was expected to be $28,000. The new equipment would be depreciated on a straight-line basis over a useful life of 10 years. To advertise the new classes being offered, Sharp was going to put $2,000 toward a media campaign that would run immediately leading up to the launch of the upgraded facility. He estimated the same permanent changes in working capital account estimates as with the new location alternative.</w:t>
      </w:r>
    </w:p>
    <w:p w14:paraId="0A103FA9" w14:textId="77777777" w:rsidR="007D48BE" w:rsidRPr="007D48BE" w:rsidRDefault="007D48BE" w:rsidP="007D48BE">
      <w:pPr>
        <w:jc w:val="both"/>
        <w:rPr>
          <w:sz w:val="22"/>
          <w:szCs w:val="22"/>
          <w:lang w:val="en-GB"/>
        </w:rPr>
      </w:pPr>
    </w:p>
    <w:p w14:paraId="2C66F436" w14:textId="77777777" w:rsidR="007D48BE" w:rsidRPr="007D48BE" w:rsidRDefault="007D48BE" w:rsidP="007D48BE">
      <w:pPr>
        <w:jc w:val="both"/>
        <w:rPr>
          <w:sz w:val="22"/>
          <w:szCs w:val="22"/>
          <w:lang w:val="en-GB"/>
        </w:rPr>
      </w:pPr>
      <w:r w:rsidRPr="007D48BE">
        <w:rPr>
          <w:sz w:val="22"/>
          <w:szCs w:val="22"/>
          <w:lang w:val="en-GB"/>
        </w:rPr>
        <w:t xml:space="preserve">Sharp expected most operating costs to remain at the same percentage of sales as in 2017 except for rent, depreciation, professional fees, meals and entertainment, and courses and conferences, which were </w:t>
      </w:r>
      <w:r w:rsidRPr="007D48BE">
        <w:rPr>
          <w:sz w:val="22"/>
          <w:szCs w:val="22"/>
          <w:lang w:val="en-GB"/>
        </w:rPr>
        <w:lastRenderedPageBreak/>
        <w:t>expected to remain at the same dollar amount as in 2017. Unless otherwise noted, all items on The Academy’s statement of financial position were to remain at the same dollar amount as in 2017. Sharp was curious to see how much cash The Academy would have remaining on hand at the end of 2018.</w:t>
      </w:r>
    </w:p>
    <w:p w14:paraId="04B38FD7" w14:textId="77777777" w:rsidR="007D48BE" w:rsidRPr="007D48BE" w:rsidRDefault="007D48BE" w:rsidP="007D48BE">
      <w:pPr>
        <w:jc w:val="both"/>
        <w:rPr>
          <w:sz w:val="22"/>
          <w:szCs w:val="22"/>
          <w:lang w:val="en-GB"/>
        </w:rPr>
      </w:pPr>
    </w:p>
    <w:p w14:paraId="77A1E4DF" w14:textId="77777777" w:rsidR="007D48BE" w:rsidRPr="007D48BE" w:rsidRDefault="007D48BE" w:rsidP="007D48BE">
      <w:pPr>
        <w:jc w:val="both"/>
        <w:rPr>
          <w:sz w:val="22"/>
          <w:szCs w:val="22"/>
          <w:lang w:val="en-GB"/>
        </w:rPr>
      </w:pPr>
    </w:p>
    <w:p w14:paraId="18D640F1" w14:textId="77777777" w:rsidR="007D48BE" w:rsidRPr="007D48BE" w:rsidRDefault="007D48BE" w:rsidP="007D48BE">
      <w:pPr>
        <w:jc w:val="both"/>
        <w:rPr>
          <w:rFonts w:ascii="Arial" w:hAnsi="Arial" w:cs="Arial"/>
          <w:b/>
          <w:caps/>
          <w:lang w:val="en-GB"/>
        </w:rPr>
      </w:pPr>
      <w:r w:rsidRPr="007D48BE">
        <w:rPr>
          <w:rFonts w:ascii="Arial" w:hAnsi="Arial" w:cs="Arial"/>
          <w:b/>
          <w:caps/>
          <w:lang w:val="en-GB"/>
        </w:rPr>
        <w:t>Decision</w:t>
      </w:r>
    </w:p>
    <w:p w14:paraId="6E860FD3" w14:textId="77777777" w:rsidR="007D48BE" w:rsidRPr="007D48BE" w:rsidRDefault="007D48BE" w:rsidP="007D48BE">
      <w:pPr>
        <w:jc w:val="both"/>
        <w:rPr>
          <w:sz w:val="22"/>
          <w:szCs w:val="22"/>
          <w:lang w:val="en-GB"/>
        </w:rPr>
      </w:pPr>
    </w:p>
    <w:p w14:paraId="08D3BBA5" w14:textId="77777777" w:rsidR="004B083D" w:rsidRDefault="007D48BE" w:rsidP="007D48BE">
      <w:pPr>
        <w:jc w:val="both"/>
        <w:rPr>
          <w:sz w:val="22"/>
          <w:szCs w:val="22"/>
          <w:lang w:val="en-GB"/>
        </w:rPr>
      </w:pPr>
      <w:r w:rsidRPr="007D48BE">
        <w:rPr>
          <w:sz w:val="22"/>
          <w:szCs w:val="22"/>
          <w:lang w:val="en-GB"/>
        </w:rPr>
        <w:t xml:space="preserve">Sharp was anxious to implement a growth strategy soon. He needed to decide whether, given the risks involved, The Academy should pursue the facility upgrade or add a new location. He was curious to determine how quickly the company could see a return on its investment. However, he also wanted to evaluate the business environment risks associated with </w:t>
      </w:r>
      <w:r w:rsidRPr="007D48BE">
        <w:rPr>
          <w:i/>
          <w:sz w:val="22"/>
          <w:szCs w:val="22"/>
          <w:lang w:val="en-GB"/>
        </w:rPr>
        <w:t>not</w:t>
      </w:r>
      <w:r w:rsidRPr="007D48BE">
        <w:rPr>
          <w:sz w:val="22"/>
          <w:szCs w:val="22"/>
          <w:lang w:val="en-GB"/>
        </w:rPr>
        <w:t xml:space="preserve"> moving ahead with the upgrades. After deciding on the best solution for The Academy, Sharp wanted to project an income statement and balance sheet for fiscal 2018 in order to assess the overall impact on net income and the business’s cash balance. Before presenting his ideas to the other partners, he knew he needed to develop an action plan and contingency plan for any decision he made. </w:t>
      </w:r>
    </w:p>
    <w:p w14:paraId="281A0D49" w14:textId="72963DF4" w:rsidR="007D48BE" w:rsidRPr="007D48BE" w:rsidRDefault="007D48BE" w:rsidP="007D48BE">
      <w:pPr>
        <w:jc w:val="both"/>
        <w:rPr>
          <w:sz w:val="22"/>
          <w:szCs w:val="22"/>
          <w:lang w:val="en-GB"/>
        </w:rPr>
      </w:pPr>
      <w:r w:rsidRPr="007D48BE">
        <w:rPr>
          <w:sz w:val="22"/>
          <w:szCs w:val="22"/>
          <w:lang w:val="en-GB"/>
        </w:rPr>
        <w:br w:type="page"/>
      </w:r>
    </w:p>
    <w:p w14:paraId="0A7C7846" w14:textId="77777777" w:rsidR="007D48BE" w:rsidRPr="007D48BE" w:rsidRDefault="007D48BE" w:rsidP="007D48BE">
      <w:pPr>
        <w:jc w:val="center"/>
        <w:rPr>
          <w:rFonts w:ascii="Arial" w:hAnsi="Arial" w:cs="Arial"/>
          <w:b/>
          <w:caps/>
          <w:lang w:val="en-GB"/>
        </w:rPr>
      </w:pPr>
      <w:bookmarkStart w:id="0" w:name="_Hlk4937868"/>
      <w:r w:rsidRPr="007D48BE">
        <w:rPr>
          <w:rFonts w:ascii="Arial" w:hAnsi="Arial" w:cs="Arial"/>
          <w:b/>
          <w:caps/>
          <w:lang w:val="en-GB"/>
        </w:rPr>
        <w:lastRenderedPageBreak/>
        <w:t>Exhibit 1: Income Statement (For the year ending September 30) (CA$)</w:t>
      </w:r>
    </w:p>
    <w:p w14:paraId="641EC53B" w14:textId="77777777" w:rsidR="007D48BE" w:rsidRPr="007D48BE" w:rsidRDefault="007D48BE" w:rsidP="00804029">
      <w:pPr>
        <w:pStyle w:val="BodyTextMain"/>
        <w:rPr>
          <w:lang w:val="en-GB"/>
        </w:rPr>
      </w:pPr>
    </w:p>
    <w:tbl>
      <w:tblPr>
        <w:tblStyle w:val="TableGrid1"/>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1276"/>
        <w:gridCol w:w="1275"/>
        <w:gridCol w:w="1276"/>
        <w:gridCol w:w="1275"/>
      </w:tblGrid>
      <w:tr w:rsidR="007D48BE" w:rsidRPr="007D48BE" w14:paraId="4C827319" w14:textId="77777777" w:rsidTr="000A34E3">
        <w:tc>
          <w:tcPr>
            <w:tcW w:w="4338" w:type="dxa"/>
          </w:tcPr>
          <w:p w14:paraId="0B81644B" w14:textId="77777777" w:rsidR="007D48BE" w:rsidRPr="007D48BE" w:rsidRDefault="007D48BE" w:rsidP="007D48BE">
            <w:pPr>
              <w:jc w:val="both"/>
              <w:rPr>
                <w:rFonts w:ascii="Arial" w:hAnsi="Arial" w:cs="Arial"/>
                <w:b/>
                <w:lang w:val="en-GB"/>
              </w:rPr>
            </w:pPr>
            <w:r w:rsidRPr="007D48BE">
              <w:rPr>
                <w:rFonts w:ascii="Arial" w:hAnsi="Arial" w:cs="Arial"/>
                <w:b/>
                <w:lang w:val="en-GB"/>
              </w:rPr>
              <w:t>Revenue</w:t>
            </w:r>
          </w:p>
        </w:tc>
        <w:tc>
          <w:tcPr>
            <w:tcW w:w="2551" w:type="dxa"/>
            <w:gridSpan w:val="2"/>
          </w:tcPr>
          <w:p w14:paraId="7DF14E62" w14:textId="77777777" w:rsidR="007D48BE" w:rsidRPr="007D48BE" w:rsidRDefault="007D48BE" w:rsidP="007D48BE">
            <w:pPr>
              <w:jc w:val="center"/>
              <w:rPr>
                <w:rFonts w:ascii="Arial" w:hAnsi="Arial" w:cs="Arial"/>
                <w:b/>
                <w:lang w:val="en-GB"/>
              </w:rPr>
            </w:pPr>
            <w:r w:rsidRPr="007D48BE">
              <w:rPr>
                <w:rFonts w:ascii="Arial" w:hAnsi="Arial" w:cs="Arial"/>
                <w:b/>
                <w:lang w:val="en-GB"/>
              </w:rPr>
              <w:t>2017</w:t>
            </w:r>
          </w:p>
        </w:tc>
        <w:tc>
          <w:tcPr>
            <w:tcW w:w="2551" w:type="dxa"/>
            <w:gridSpan w:val="2"/>
          </w:tcPr>
          <w:p w14:paraId="2D590E33" w14:textId="77777777" w:rsidR="007D48BE" w:rsidRPr="007D48BE" w:rsidRDefault="007D48BE" w:rsidP="007D48BE">
            <w:pPr>
              <w:jc w:val="center"/>
              <w:rPr>
                <w:rFonts w:ascii="Arial" w:hAnsi="Arial" w:cs="Arial"/>
                <w:b/>
                <w:lang w:val="en-GB"/>
              </w:rPr>
            </w:pPr>
            <w:r w:rsidRPr="007D48BE">
              <w:rPr>
                <w:rFonts w:ascii="Arial" w:hAnsi="Arial" w:cs="Arial"/>
                <w:b/>
                <w:lang w:val="en-GB"/>
              </w:rPr>
              <w:t>2016</w:t>
            </w:r>
          </w:p>
        </w:tc>
      </w:tr>
      <w:tr w:rsidR="007D48BE" w:rsidRPr="007D48BE" w14:paraId="41F8A0D9" w14:textId="77777777" w:rsidTr="000A34E3">
        <w:tc>
          <w:tcPr>
            <w:tcW w:w="4338" w:type="dxa"/>
          </w:tcPr>
          <w:p w14:paraId="4386653E" w14:textId="77777777" w:rsidR="007D48BE" w:rsidRPr="007D48BE" w:rsidRDefault="007D48BE" w:rsidP="007D48BE">
            <w:pPr>
              <w:rPr>
                <w:rFonts w:ascii="Arial" w:hAnsi="Arial" w:cs="Arial"/>
                <w:lang w:val="en-GB"/>
              </w:rPr>
            </w:pPr>
            <w:r w:rsidRPr="007D48BE">
              <w:rPr>
                <w:rFonts w:ascii="Arial" w:hAnsi="Arial" w:cs="Arial"/>
                <w:lang w:val="en-GB"/>
              </w:rPr>
              <w:t>Sales*</w:t>
            </w:r>
          </w:p>
        </w:tc>
        <w:tc>
          <w:tcPr>
            <w:tcW w:w="1276" w:type="dxa"/>
          </w:tcPr>
          <w:p w14:paraId="15E6C93A" w14:textId="77777777" w:rsidR="007D48BE" w:rsidRPr="007D48BE" w:rsidRDefault="007D48BE" w:rsidP="007D48BE">
            <w:pPr>
              <w:tabs>
                <w:tab w:val="left" w:pos="105"/>
                <w:tab w:val="right" w:pos="945"/>
              </w:tabs>
              <w:rPr>
                <w:rFonts w:ascii="Arial" w:hAnsi="Arial" w:cs="Arial"/>
                <w:lang w:val="en-GB"/>
              </w:rPr>
            </w:pPr>
            <w:r w:rsidRPr="007D48BE">
              <w:rPr>
                <w:rFonts w:ascii="Arial" w:hAnsi="Arial" w:cs="Arial"/>
                <w:lang w:val="en-GB"/>
              </w:rPr>
              <w:tab/>
              <w:t>300,323</w:t>
            </w:r>
          </w:p>
        </w:tc>
        <w:tc>
          <w:tcPr>
            <w:tcW w:w="1275" w:type="dxa"/>
          </w:tcPr>
          <w:p w14:paraId="51C27768" w14:textId="77777777" w:rsidR="007D48BE" w:rsidRPr="007D48BE" w:rsidRDefault="007D48BE" w:rsidP="007D48BE">
            <w:pPr>
              <w:tabs>
                <w:tab w:val="left" w:pos="105"/>
                <w:tab w:val="right" w:pos="1095"/>
              </w:tabs>
              <w:jc w:val="right"/>
              <w:rPr>
                <w:rFonts w:ascii="Arial" w:hAnsi="Arial" w:cs="Arial"/>
                <w:lang w:val="en-GB"/>
              </w:rPr>
            </w:pPr>
            <w:r w:rsidRPr="007D48BE">
              <w:rPr>
                <w:rFonts w:ascii="Arial" w:hAnsi="Arial" w:cs="Arial"/>
                <w:lang w:val="en-GB"/>
              </w:rPr>
              <w:t>100%</w:t>
            </w:r>
          </w:p>
        </w:tc>
        <w:tc>
          <w:tcPr>
            <w:tcW w:w="1276" w:type="dxa"/>
          </w:tcPr>
          <w:p w14:paraId="2C6BB99C" w14:textId="77777777" w:rsidR="007D48BE" w:rsidRPr="007D48BE" w:rsidRDefault="007D48BE" w:rsidP="007D48BE">
            <w:pPr>
              <w:jc w:val="center"/>
              <w:rPr>
                <w:rFonts w:ascii="Arial" w:hAnsi="Arial" w:cs="Arial"/>
                <w:lang w:val="en-GB"/>
              </w:rPr>
            </w:pPr>
            <w:r w:rsidRPr="007D48BE">
              <w:rPr>
                <w:rFonts w:ascii="Arial" w:hAnsi="Arial" w:cs="Arial"/>
                <w:lang w:val="en-GB"/>
              </w:rPr>
              <w:t xml:space="preserve">  249,248</w:t>
            </w:r>
          </w:p>
        </w:tc>
        <w:tc>
          <w:tcPr>
            <w:tcW w:w="1275" w:type="dxa"/>
          </w:tcPr>
          <w:p w14:paraId="3BBC4D92" w14:textId="77777777" w:rsidR="007D48BE" w:rsidRPr="007D48BE" w:rsidRDefault="007D48BE" w:rsidP="007D48BE">
            <w:pPr>
              <w:tabs>
                <w:tab w:val="left" w:pos="90"/>
                <w:tab w:val="right" w:pos="1080"/>
              </w:tabs>
              <w:jc w:val="right"/>
              <w:rPr>
                <w:rFonts w:ascii="Arial" w:hAnsi="Arial" w:cs="Arial"/>
                <w:lang w:val="en-GB"/>
              </w:rPr>
            </w:pPr>
            <w:r w:rsidRPr="007D48BE">
              <w:rPr>
                <w:rFonts w:ascii="Arial" w:hAnsi="Arial" w:cs="Arial"/>
                <w:lang w:val="en-GB"/>
              </w:rPr>
              <w:t>100%</w:t>
            </w:r>
          </w:p>
        </w:tc>
      </w:tr>
      <w:tr w:rsidR="007D48BE" w:rsidRPr="007D48BE" w14:paraId="42275C06" w14:textId="77777777" w:rsidTr="000A34E3">
        <w:tc>
          <w:tcPr>
            <w:tcW w:w="4338" w:type="dxa"/>
          </w:tcPr>
          <w:p w14:paraId="7A3F7141" w14:textId="77777777" w:rsidR="007D48BE" w:rsidRPr="007D48BE" w:rsidRDefault="007D48BE" w:rsidP="007D48BE">
            <w:pPr>
              <w:rPr>
                <w:rFonts w:ascii="Arial" w:hAnsi="Arial" w:cs="Arial"/>
                <w:lang w:val="en-GB"/>
              </w:rPr>
            </w:pPr>
            <w:r w:rsidRPr="007D48BE">
              <w:rPr>
                <w:rFonts w:ascii="Arial" w:hAnsi="Arial" w:cs="Arial"/>
                <w:lang w:val="en-GB"/>
              </w:rPr>
              <w:t>Cost of sales**</w:t>
            </w:r>
          </w:p>
        </w:tc>
        <w:tc>
          <w:tcPr>
            <w:tcW w:w="1276" w:type="dxa"/>
          </w:tcPr>
          <w:p w14:paraId="6EE8D54E" w14:textId="77777777" w:rsidR="007D48BE" w:rsidRPr="007D48BE" w:rsidRDefault="007D48BE" w:rsidP="007D48BE">
            <w:pPr>
              <w:tabs>
                <w:tab w:val="left" w:pos="105"/>
                <w:tab w:val="right" w:pos="945"/>
              </w:tabs>
              <w:rPr>
                <w:rFonts w:ascii="Arial" w:hAnsi="Arial" w:cs="Arial"/>
                <w:lang w:val="en-GB"/>
              </w:rPr>
            </w:pPr>
          </w:p>
        </w:tc>
        <w:tc>
          <w:tcPr>
            <w:tcW w:w="1275" w:type="dxa"/>
          </w:tcPr>
          <w:p w14:paraId="754BF390" w14:textId="77777777" w:rsidR="007D48BE" w:rsidRPr="007D48BE" w:rsidRDefault="007D48BE" w:rsidP="007D48BE">
            <w:pPr>
              <w:tabs>
                <w:tab w:val="left" w:pos="105"/>
                <w:tab w:val="right" w:pos="1095"/>
              </w:tabs>
              <w:jc w:val="right"/>
              <w:rPr>
                <w:rFonts w:ascii="Arial" w:hAnsi="Arial" w:cs="Arial"/>
                <w:lang w:val="en-GB"/>
              </w:rPr>
            </w:pPr>
          </w:p>
        </w:tc>
        <w:tc>
          <w:tcPr>
            <w:tcW w:w="1276" w:type="dxa"/>
          </w:tcPr>
          <w:p w14:paraId="7DCBE09B" w14:textId="77777777" w:rsidR="007D48BE" w:rsidRPr="007D48BE" w:rsidRDefault="007D48BE" w:rsidP="007D48BE">
            <w:pPr>
              <w:jc w:val="right"/>
              <w:rPr>
                <w:rFonts w:ascii="Arial" w:hAnsi="Arial" w:cs="Arial"/>
                <w:lang w:val="en-GB"/>
              </w:rPr>
            </w:pPr>
          </w:p>
        </w:tc>
        <w:tc>
          <w:tcPr>
            <w:tcW w:w="1275" w:type="dxa"/>
          </w:tcPr>
          <w:p w14:paraId="11749FE9" w14:textId="77777777" w:rsidR="007D48BE" w:rsidRPr="007D48BE" w:rsidRDefault="007D48BE" w:rsidP="007D48BE">
            <w:pPr>
              <w:tabs>
                <w:tab w:val="left" w:pos="90"/>
                <w:tab w:val="right" w:pos="1080"/>
              </w:tabs>
              <w:jc w:val="right"/>
              <w:rPr>
                <w:rFonts w:ascii="Arial" w:hAnsi="Arial" w:cs="Arial"/>
                <w:lang w:val="en-GB"/>
              </w:rPr>
            </w:pPr>
          </w:p>
        </w:tc>
      </w:tr>
      <w:tr w:rsidR="007D48BE" w:rsidRPr="007D48BE" w14:paraId="1B78F9FA" w14:textId="77777777" w:rsidTr="000A34E3">
        <w:tc>
          <w:tcPr>
            <w:tcW w:w="4338" w:type="dxa"/>
          </w:tcPr>
          <w:p w14:paraId="7B023CB9" w14:textId="77777777" w:rsidR="007D48BE" w:rsidRPr="007D48BE" w:rsidRDefault="007D48BE" w:rsidP="007D48BE">
            <w:pPr>
              <w:ind w:firstLine="176"/>
              <w:rPr>
                <w:rFonts w:ascii="Arial" w:hAnsi="Arial" w:cs="Arial"/>
                <w:lang w:val="en-GB"/>
              </w:rPr>
            </w:pPr>
            <w:r w:rsidRPr="007D48BE">
              <w:rPr>
                <w:rFonts w:ascii="Arial" w:hAnsi="Arial" w:cs="Arial"/>
                <w:lang w:val="en-GB"/>
              </w:rPr>
              <w:t>Trainers</w:t>
            </w:r>
          </w:p>
        </w:tc>
        <w:tc>
          <w:tcPr>
            <w:tcW w:w="1276" w:type="dxa"/>
          </w:tcPr>
          <w:p w14:paraId="1FE090A7" w14:textId="77777777" w:rsidR="007D48BE" w:rsidRPr="007D48BE" w:rsidRDefault="007D48BE" w:rsidP="007D48BE">
            <w:pPr>
              <w:tabs>
                <w:tab w:val="left" w:pos="105"/>
                <w:tab w:val="right" w:pos="945"/>
              </w:tabs>
              <w:rPr>
                <w:rFonts w:ascii="Arial" w:hAnsi="Arial" w:cs="Arial"/>
                <w:lang w:val="en-GB"/>
              </w:rPr>
            </w:pPr>
            <w:r w:rsidRPr="007D48BE">
              <w:rPr>
                <w:rFonts w:ascii="Arial" w:hAnsi="Arial" w:cs="Arial"/>
                <w:lang w:val="en-GB"/>
              </w:rPr>
              <w:tab/>
            </w:r>
            <w:r w:rsidRPr="007D48BE">
              <w:rPr>
                <w:rFonts w:ascii="Arial" w:hAnsi="Arial" w:cs="Arial"/>
                <w:lang w:val="en-GB"/>
              </w:rPr>
              <w:tab/>
              <w:t>103,234</w:t>
            </w:r>
          </w:p>
        </w:tc>
        <w:tc>
          <w:tcPr>
            <w:tcW w:w="1275" w:type="dxa"/>
          </w:tcPr>
          <w:p w14:paraId="051A0B7F" w14:textId="77777777" w:rsidR="007D48BE" w:rsidRPr="007D48BE" w:rsidRDefault="007D48BE" w:rsidP="007D48BE">
            <w:pPr>
              <w:tabs>
                <w:tab w:val="left" w:pos="105"/>
                <w:tab w:val="right" w:pos="1095"/>
              </w:tabs>
              <w:jc w:val="right"/>
              <w:rPr>
                <w:rFonts w:ascii="Arial" w:hAnsi="Arial" w:cs="Arial"/>
                <w:lang w:val="en-GB"/>
              </w:rPr>
            </w:pPr>
            <w:r w:rsidRPr="007D48BE">
              <w:rPr>
                <w:rFonts w:ascii="Arial" w:hAnsi="Arial" w:cs="Arial"/>
                <w:lang w:val="en-GB"/>
              </w:rPr>
              <w:t>34.4%</w:t>
            </w:r>
          </w:p>
        </w:tc>
        <w:tc>
          <w:tcPr>
            <w:tcW w:w="1276" w:type="dxa"/>
          </w:tcPr>
          <w:p w14:paraId="5337BCC9" w14:textId="77777777" w:rsidR="007D48BE" w:rsidRPr="007D48BE" w:rsidRDefault="007D48BE" w:rsidP="007D48BE">
            <w:pPr>
              <w:tabs>
                <w:tab w:val="left" w:pos="105"/>
                <w:tab w:val="right" w:pos="1005"/>
              </w:tabs>
              <w:rPr>
                <w:rFonts w:ascii="Arial" w:hAnsi="Arial" w:cs="Arial"/>
                <w:lang w:val="en-GB"/>
              </w:rPr>
            </w:pPr>
            <w:r w:rsidRPr="007D48BE">
              <w:rPr>
                <w:rFonts w:ascii="Arial" w:hAnsi="Arial" w:cs="Arial"/>
                <w:lang w:val="en-GB"/>
              </w:rPr>
              <w:tab/>
            </w:r>
            <w:r w:rsidRPr="007D48BE">
              <w:rPr>
                <w:rFonts w:ascii="Arial" w:hAnsi="Arial" w:cs="Arial"/>
                <w:lang w:val="en-GB"/>
              </w:rPr>
              <w:tab/>
              <w:t>103,785</w:t>
            </w:r>
          </w:p>
        </w:tc>
        <w:tc>
          <w:tcPr>
            <w:tcW w:w="1275" w:type="dxa"/>
          </w:tcPr>
          <w:p w14:paraId="1C5246F6" w14:textId="77777777" w:rsidR="007D48BE" w:rsidRPr="007D48BE" w:rsidRDefault="007D48BE" w:rsidP="007D48BE">
            <w:pPr>
              <w:tabs>
                <w:tab w:val="left" w:pos="90"/>
                <w:tab w:val="right" w:pos="1080"/>
              </w:tabs>
              <w:jc w:val="right"/>
              <w:rPr>
                <w:rFonts w:ascii="Arial" w:hAnsi="Arial" w:cs="Arial"/>
                <w:lang w:val="en-GB"/>
              </w:rPr>
            </w:pPr>
            <w:r w:rsidRPr="007D48BE">
              <w:rPr>
                <w:rFonts w:ascii="Arial" w:hAnsi="Arial" w:cs="Arial"/>
                <w:lang w:val="en-GB"/>
              </w:rPr>
              <w:t>41.6%</w:t>
            </w:r>
          </w:p>
        </w:tc>
      </w:tr>
      <w:tr w:rsidR="007D48BE" w:rsidRPr="007D48BE" w14:paraId="6FA6A14C" w14:textId="77777777" w:rsidTr="000A34E3">
        <w:tc>
          <w:tcPr>
            <w:tcW w:w="4338" w:type="dxa"/>
          </w:tcPr>
          <w:p w14:paraId="0B1A9E8D" w14:textId="77777777" w:rsidR="007D48BE" w:rsidRPr="007D48BE" w:rsidRDefault="007D48BE" w:rsidP="007D48BE">
            <w:pPr>
              <w:ind w:firstLine="176"/>
              <w:rPr>
                <w:rFonts w:ascii="Arial" w:hAnsi="Arial" w:cs="Arial"/>
                <w:lang w:val="en-GB"/>
              </w:rPr>
            </w:pPr>
            <w:r w:rsidRPr="007D48BE">
              <w:rPr>
                <w:rFonts w:ascii="Arial" w:hAnsi="Arial" w:cs="Arial"/>
                <w:lang w:val="en-GB"/>
              </w:rPr>
              <w:t>Purchases including freight</w:t>
            </w:r>
          </w:p>
        </w:tc>
        <w:tc>
          <w:tcPr>
            <w:tcW w:w="1276" w:type="dxa"/>
          </w:tcPr>
          <w:p w14:paraId="17413994" w14:textId="77777777" w:rsidR="007D48BE" w:rsidRPr="007D48BE" w:rsidRDefault="007D48BE" w:rsidP="007D48BE">
            <w:pPr>
              <w:tabs>
                <w:tab w:val="left" w:pos="105"/>
                <w:tab w:val="right" w:pos="945"/>
              </w:tabs>
              <w:rPr>
                <w:rFonts w:ascii="Arial" w:hAnsi="Arial" w:cs="Arial"/>
                <w:u w:val="single"/>
                <w:lang w:val="en-GB"/>
              </w:rPr>
            </w:pPr>
            <w:r w:rsidRPr="007D48BE">
              <w:rPr>
                <w:rFonts w:ascii="Arial" w:hAnsi="Arial" w:cs="Arial"/>
                <w:u w:val="single"/>
                <w:lang w:val="en-GB"/>
              </w:rPr>
              <w:tab/>
            </w:r>
            <w:r w:rsidRPr="007D48BE">
              <w:rPr>
                <w:rFonts w:ascii="Arial" w:hAnsi="Arial" w:cs="Arial"/>
                <w:u w:val="single"/>
                <w:lang w:val="en-GB"/>
              </w:rPr>
              <w:tab/>
              <w:t>7,177</w:t>
            </w:r>
          </w:p>
        </w:tc>
        <w:tc>
          <w:tcPr>
            <w:tcW w:w="1275" w:type="dxa"/>
          </w:tcPr>
          <w:p w14:paraId="3C4A98A4" w14:textId="77777777" w:rsidR="007D48BE" w:rsidRPr="007D48BE" w:rsidRDefault="007D48BE" w:rsidP="007D48BE">
            <w:pPr>
              <w:tabs>
                <w:tab w:val="left" w:pos="105"/>
                <w:tab w:val="right" w:pos="1095"/>
              </w:tabs>
              <w:jc w:val="right"/>
              <w:rPr>
                <w:rFonts w:ascii="Arial" w:hAnsi="Arial" w:cs="Arial"/>
                <w:u w:val="single"/>
                <w:lang w:val="en-GB"/>
              </w:rPr>
            </w:pPr>
            <w:r w:rsidRPr="007D48BE">
              <w:rPr>
                <w:rFonts w:ascii="Arial" w:hAnsi="Arial" w:cs="Arial"/>
                <w:u w:val="single"/>
                <w:lang w:val="en-GB"/>
              </w:rPr>
              <w:t xml:space="preserve">          2.4%</w:t>
            </w:r>
          </w:p>
        </w:tc>
        <w:tc>
          <w:tcPr>
            <w:tcW w:w="1276" w:type="dxa"/>
          </w:tcPr>
          <w:p w14:paraId="14CE960F" w14:textId="77777777" w:rsidR="007D48BE" w:rsidRPr="007D48BE" w:rsidRDefault="007D48BE" w:rsidP="007D48BE">
            <w:pPr>
              <w:tabs>
                <w:tab w:val="left" w:pos="105"/>
                <w:tab w:val="right" w:pos="1005"/>
              </w:tabs>
              <w:rPr>
                <w:rFonts w:ascii="Arial" w:hAnsi="Arial" w:cs="Arial"/>
                <w:u w:val="single"/>
                <w:lang w:val="en-GB"/>
              </w:rPr>
            </w:pPr>
            <w:r w:rsidRPr="007D48BE">
              <w:rPr>
                <w:rFonts w:ascii="Arial" w:hAnsi="Arial" w:cs="Arial"/>
                <w:u w:val="single"/>
                <w:lang w:val="en-GB"/>
              </w:rPr>
              <w:tab/>
            </w:r>
            <w:r w:rsidRPr="007D48BE">
              <w:rPr>
                <w:rFonts w:ascii="Arial" w:hAnsi="Arial" w:cs="Arial"/>
                <w:u w:val="single"/>
                <w:lang w:val="en-GB"/>
              </w:rPr>
              <w:tab/>
              <w:t>3,198</w:t>
            </w:r>
          </w:p>
        </w:tc>
        <w:tc>
          <w:tcPr>
            <w:tcW w:w="1275" w:type="dxa"/>
          </w:tcPr>
          <w:p w14:paraId="545F860E" w14:textId="77777777" w:rsidR="007D48BE" w:rsidRPr="007D48BE" w:rsidRDefault="007D48BE" w:rsidP="007D48BE">
            <w:pPr>
              <w:tabs>
                <w:tab w:val="left" w:pos="90"/>
                <w:tab w:val="right" w:pos="1080"/>
              </w:tabs>
              <w:jc w:val="right"/>
              <w:rPr>
                <w:rFonts w:ascii="Arial" w:hAnsi="Arial" w:cs="Arial"/>
                <w:u w:val="single"/>
                <w:lang w:val="en-GB"/>
              </w:rPr>
            </w:pPr>
            <w:r w:rsidRPr="007D48BE">
              <w:rPr>
                <w:rFonts w:ascii="Arial" w:hAnsi="Arial" w:cs="Arial"/>
                <w:u w:val="single"/>
                <w:lang w:val="en-GB"/>
              </w:rPr>
              <w:t xml:space="preserve">          1.3%</w:t>
            </w:r>
          </w:p>
        </w:tc>
      </w:tr>
      <w:tr w:rsidR="007D48BE" w:rsidRPr="007D48BE" w14:paraId="5B02FE88" w14:textId="77777777" w:rsidTr="000A34E3">
        <w:tc>
          <w:tcPr>
            <w:tcW w:w="4338" w:type="dxa"/>
          </w:tcPr>
          <w:p w14:paraId="6686D51F" w14:textId="77777777" w:rsidR="007D48BE" w:rsidRPr="007D48BE" w:rsidRDefault="007D48BE" w:rsidP="007D48BE">
            <w:pPr>
              <w:rPr>
                <w:rFonts w:ascii="Arial" w:hAnsi="Arial" w:cs="Arial"/>
                <w:lang w:val="en-GB"/>
              </w:rPr>
            </w:pPr>
            <w:r w:rsidRPr="007D48BE">
              <w:rPr>
                <w:rFonts w:ascii="Arial" w:hAnsi="Arial" w:cs="Arial"/>
                <w:lang w:val="en-GB"/>
              </w:rPr>
              <w:t>Less: Total cost of sales</w:t>
            </w:r>
          </w:p>
        </w:tc>
        <w:tc>
          <w:tcPr>
            <w:tcW w:w="1276" w:type="dxa"/>
          </w:tcPr>
          <w:p w14:paraId="5DAAF17C" w14:textId="77777777" w:rsidR="007D48BE" w:rsidRPr="007D48BE" w:rsidRDefault="007D48BE" w:rsidP="007D48BE">
            <w:pPr>
              <w:tabs>
                <w:tab w:val="left" w:pos="105"/>
                <w:tab w:val="right" w:pos="945"/>
              </w:tabs>
              <w:rPr>
                <w:rFonts w:ascii="Arial" w:hAnsi="Arial" w:cs="Arial"/>
                <w:lang w:val="en-GB"/>
              </w:rPr>
            </w:pPr>
            <w:r w:rsidRPr="007D48BE">
              <w:rPr>
                <w:rFonts w:ascii="Arial" w:hAnsi="Arial" w:cs="Arial"/>
                <w:u w:val="single"/>
                <w:lang w:val="en-GB"/>
              </w:rPr>
              <w:tab/>
            </w:r>
            <w:r w:rsidRPr="007D48BE">
              <w:rPr>
                <w:rFonts w:ascii="Arial" w:hAnsi="Arial" w:cs="Arial"/>
                <w:u w:val="single"/>
                <w:lang w:val="en-GB"/>
              </w:rPr>
              <w:tab/>
              <w:t>110,411</w:t>
            </w:r>
          </w:p>
        </w:tc>
        <w:tc>
          <w:tcPr>
            <w:tcW w:w="1275" w:type="dxa"/>
          </w:tcPr>
          <w:p w14:paraId="01FEF91E" w14:textId="77777777" w:rsidR="007D48BE" w:rsidRPr="007D48BE" w:rsidRDefault="007D48BE" w:rsidP="007D48BE">
            <w:pPr>
              <w:tabs>
                <w:tab w:val="left" w:pos="105"/>
                <w:tab w:val="right" w:pos="1095"/>
              </w:tabs>
              <w:jc w:val="right"/>
              <w:rPr>
                <w:rFonts w:ascii="Arial" w:hAnsi="Arial" w:cs="Arial"/>
                <w:u w:val="single"/>
                <w:lang w:val="en-GB"/>
              </w:rPr>
            </w:pPr>
            <w:r w:rsidRPr="007D48BE">
              <w:rPr>
                <w:rFonts w:ascii="Arial" w:hAnsi="Arial" w:cs="Arial"/>
                <w:u w:val="single"/>
                <w:lang w:val="en-GB"/>
              </w:rPr>
              <w:t>36.8%</w:t>
            </w:r>
          </w:p>
        </w:tc>
        <w:tc>
          <w:tcPr>
            <w:tcW w:w="1276" w:type="dxa"/>
          </w:tcPr>
          <w:p w14:paraId="2DA7A9EC" w14:textId="77777777" w:rsidR="007D48BE" w:rsidRPr="007D48BE" w:rsidRDefault="007D48BE" w:rsidP="007D48BE">
            <w:pPr>
              <w:tabs>
                <w:tab w:val="left" w:pos="105"/>
                <w:tab w:val="right" w:pos="1005"/>
              </w:tabs>
              <w:rPr>
                <w:rFonts w:ascii="Arial" w:hAnsi="Arial" w:cs="Arial"/>
                <w:lang w:val="en-GB"/>
              </w:rPr>
            </w:pPr>
            <w:r w:rsidRPr="007D48BE">
              <w:rPr>
                <w:rFonts w:ascii="Arial" w:hAnsi="Arial" w:cs="Arial"/>
                <w:u w:val="single"/>
                <w:lang w:val="en-GB"/>
              </w:rPr>
              <w:tab/>
            </w:r>
            <w:r w:rsidRPr="007D48BE">
              <w:rPr>
                <w:rFonts w:ascii="Arial" w:hAnsi="Arial" w:cs="Arial"/>
                <w:u w:val="single"/>
                <w:lang w:val="en-GB"/>
              </w:rPr>
              <w:tab/>
              <w:t>(106,983)</w:t>
            </w:r>
          </w:p>
        </w:tc>
        <w:tc>
          <w:tcPr>
            <w:tcW w:w="1275" w:type="dxa"/>
          </w:tcPr>
          <w:p w14:paraId="142E9B28" w14:textId="77777777" w:rsidR="007D48BE" w:rsidRPr="007D48BE" w:rsidRDefault="007D48BE" w:rsidP="007D48BE">
            <w:pPr>
              <w:tabs>
                <w:tab w:val="left" w:pos="90"/>
                <w:tab w:val="right" w:pos="1080"/>
              </w:tabs>
              <w:jc w:val="right"/>
              <w:rPr>
                <w:rFonts w:ascii="Arial" w:hAnsi="Arial" w:cs="Arial"/>
                <w:u w:val="single"/>
                <w:lang w:val="en-GB"/>
              </w:rPr>
            </w:pPr>
            <w:r w:rsidRPr="007D48BE">
              <w:rPr>
                <w:rFonts w:ascii="Arial" w:hAnsi="Arial" w:cs="Arial"/>
                <w:u w:val="single"/>
                <w:lang w:val="en-GB"/>
              </w:rPr>
              <w:t xml:space="preserve">       42.9%</w:t>
            </w:r>
          </w:p>
        </w:tc>
      </w:tr>
      <w:tr w:rsidR="007D48BE" w:rsidRPr="007D48BE" w14:paraId="4052BC16" w14:textId="77777777" w:rsidTr="000A34E3">
        <w:tc>
          <w:tcPr>
            <w:tcW w:w="4338" w:type="dxa"/>
          </w:tcPr>
          <w:p w14:paraId="1CEB9FAB" w14:textId="77777777" w:rsidR="007D48BE" w:rsidRPr="007D48BE" w:rsidRDefault="007D48BE" w:rsidP="007D48BE">
            <w:pPr>
              <w:rPr>
                <w:rFonts w:ascii="Arial" w:hAnsi="Arial" w:cs="Arial"/>
                <w:lang w:val="en-GB"/>
              </w:rPr>
            </w:pPr>
            <w:r w:rsidRPr="007D48BE">
              <w:rPr>
                <w:rFonts w:ascii="Arial" w:hAnsi="Arial" w:cs="Arial"/>
                <w:lang w:val="en-GB"/>
              </w:rPr>
              <w:t>Gross profit</w:t>
            </w:r>
          </w:p>
        </w:tc>
        <w:tc>
          <w:tcPr>
            <w:tcW w:w="1276" w:type="dxa"/>
          </w:tcPr>
          <w:p w14:paraId="16592B0E" w14:textId="77777777" w:rsidR="007D48BE" w:rsidRPr="007D48BE" w:rsidRDefault="007D48BE" w:rsidP="007D48BE">
            <w:pPr>
              <w:tabs>
                <w:tab w:val="left" w:pos="105"/>
                <w:tab w:val="right" w:pos="945"/>
              </w:tabs>
              <w:rPr>
                <w:rFonts w:ascii="Arial" w:hAnsi="Arial" w:cs="Arial"/>
                <w:lang w:val="en-GB"/>
              </w:rPr>
            </w:pPr>
            <w:r w:rsidRPr="007D48BE">
              <w:rPr>
                <w:rFonts w:ascii="Arial" w:hAnsi="Arial" w:cs="Arial"/>
                <w:lang w:val="en-GB"/>
              </w:rPr>
              <w:tab/>
            </w:r>
            <w:r w:rsidRPr="007D48BE">
              <w:rPr>
                <w:rFonts w:ascii="Arial" w:hAnsi="Arial" w:cs="Arial"/>
                <w:lang w:val="en-GB"/>
              </w:rPr>
              <w:tab/>
              <w:t>189,912</w:t>
            </w:r>
          </w:p>
        </w:tc>
        <w:tc>
          <w:tcPr>
            <w:tcW w:w="1275" w:type="dxa"/>
          </w:tcPr>
          <w:p w14:paraId="75D579F2" w14:textId="77777777" w:rsidR="007D48BE" w:rsidRPr="007D48BE" w:rsidRDefault="007D48BE" w:rsidP="007D48BE">
            <w:pPr>
              <w:tabs>
                <w:tab w:val="left" w:pos="105"/>
                <w:tab w:val="right" w:pos="1095"/>
              </w:tabs>
              <w:jc w:val="right"/>
              <w:rPr>
                <w:rFonts w:ascii="Arial" w:hAnsi="Arial" w:cs="Arial"/>
                <w:lang w:val="en-GB"/>
              </w:rPr>
            </w:pPr>
            <w:r w:rsidRPr="007D48BE">
              <w:rPr>
                <w:rFonts w:ascii="Arial" w:hAnsi="Arial" w:cs="Arial"/>
                <w:lang w:val="en-GB"/>
              </w:rPr>
              <w:t>63.2%</w:t>
            </w:r>
          </w:p>
        </w:tc>
        <w:tc>
          <w:tcPr>
            <w:tcW w:w="1276" w:type="dxa"/>
          </w:tcPr>
          <w:p w14:paraId="19B42C28" w14:textId="77777777" w:rsidR="007D48BE" w:rsidRPr="007D48BE" w:rsidRDefault="007D48BE" w:rsidP="007D48BE">
            <w:pPr>
              <w:tabs>
                <w:tab w:val="left" w:pos="105"/>
                <w:tab w:val="right" w:pos="1005"/>
              </w:tabs>
              <w:rPr>
                <w:rFonts w:ascii="Arial" w:hAnsi="Arial" w:cs="Arial"/>
                <w:lang w:val="en-GB"/>
              </w:rPr>
            </w:pPr>
            <w:r w:rsidRPr="007D48BE">
              <w:rPr>
                <w:rFonts w:ascii="Arial" w:hAnsi="Arial" w:cs="Arial"/>
                <w:lang w:val="en-GB"/>
              </w:rPr>
              <w:tab/>
            </w:r>
            <w:r w:rsidRPr="007D48BE">
              <w:rPr>
                <w:rFonts w:ascii="Arial" w:hAnsi="Arial" w:cs="Arial"/>
                <w:lang w:val="en-GB"/>
              </w:rPr>
              <w:tab/>
              <w:t>142,265</w:t>
            </w:r>
          </w:p>
        </w:tc>
        <w:tc>
          <w:tcPr>
            <w:tcW w:w="1275" w:type="dxa"/>
          </w:tcPr>
          <w:p w14:paraId="300EBC18" w14:textId="77777777" w:rsidR="007D48BE" w:rsidRPr="007D48BE" w:rsidRDefault="007D48BE" w:rsidP="007D48BE">
            <w:pPr>
              <w:tabs>
                <w:tab w:val="left" w:pos="90"/>
                <w:tab w:val="right" w:pos="1080"/>
              </w:tabs>
              <w:jc w:val="right"/>
              <w:rPr>
                <w:rFonts w:ascii="Arial" w:hAnsi="Arial" w:cs="Arial"/>
                <w:lang w:val="en-GB"/>
              </w:rPr>
            </w:pPr>
            <w:r w:rsidRPr="007D48BE">
              <w:rPr>
                <w:rFonts w:ascii="Arial" w:hAnsi="Arial" w:cs="Arial"/>
                <w:lang w:val="en-GB"/>
              </w:rPr>
              <w:t>57.1%</w:t>
            </w:r>
          </w:p>
        </w:tc>
      </w:tr>
      <w:tr w:rsidR="007D48BE" w:rsidRPr="007D48BE" w14:paraId="455A0F1D" w14:textId="77777777" w:rsidTr="000A34E3">
        <w:tc>
          <w:tcPr>
            <w:tcW w:w="4338" w:type="dxa"/>
          </w:tcPr>
          <w:p w14:paraId="410669E4" w14:textId="77777777" w:rsidR="007D48BE" w:rsidRPr="007D48BE" w:rsidRDefault="007D48BE" w:rsidP="007D48BE">
            <w:pPr>
              <w:rPr>
                <w:rFonts w:ascii="Arial" w:hAnsi="Arial" w:cs="Arial"/>
                <w:lang w:val="en-GB"/>
              </w:rPr>
            </w:pPr>
          </w:p>
        </w:tc>
        <w:tc>
          <w:tcPr>
            <w:tcW w:w="1276" w:type="dxa"/>
          </w:tcPr>
          <w:p w14:paraId="2E1917C3" w14:textId="77777777" w:rsidR="007D48BE" w:rsidRPr="007D48BE" w:rsidRDefault="007D48BE" w:rsidP="007D48BE">
            <w:pPr>
              <w:tabs>
                <w:tab w:val="left" w:pos="105"/>
                <w:tab w:val="right" w:pos="945"/>
              </w:tabs>
              <w:rPr>
                <w:rFonts w:ascii="Arial" w:hAnsi="Arial" w:cs="Arial"/>
                <w:lang w:val="en-GB"/>
              </w:rPr>
            </w:pPr>
          </w:p>
        </w:tc>
        <w:tc>
          <w:tcPr>
            <w:tcW w:w="1275" w:type="dxa"/>
          </w:tcPr>
          <w:p w14:paraId="13B155B4" w14:textId="77777777" w:rsidR="007D48BE" w:rsidRPr="007D48BE" w:rsidRDefault="007D48BE" w:rsidP="007D48BE">
            <w:pPr>
              <w:tabs>
                <w:tab w:val="left" w:pos="105"/>
                <w:tab w:val="right" w:pos="1095"/>
              </w:tabs>
              <w:rPr>
                <w:rFonts w:ascii="Arial" w:hAnsi="Arial" w:cs="Arial"/>
                <w:lang w:val="en-GB"/>
              </w:rPr>
            </w:pPr>
          </w:p>
        </w:tc>
        <w:tc>
          <w:tcPr>
            <w:tcW w:w="1276" w:type="dxa"/>
          </w:tcPr>
          <w:p w14:paraId="1531A745" w14:textId="77777777" w:rsidR="007D48BE" w:rsidRPr="007D48BE" w:rsidRDefault="007D48BE" w:rsidP="007D48BE">
            <w:pPr>
              <w:tabs>
                <w:tab w:val="left" w:pos="105"/>
                <w:tab w:val="right" w:pos="1005"/>
              </w:tabs>
              <w:rPr>
                <w:rFonts w:ascii="Arial" w:hAnsi="Arial" w:cs="Arial"/>
                <w:lang w:val="en-GB"/>
              </w:rPr>
            </w:pPr>
          </w:p>
        </w:tc>
        <w:tc>
          <w:tcPr>
            <w:tcW w:w="1275" w:type="dxa"/>
          </w:tcPr>
          <w:p w14:paraId="2CEAC37B" w14:textId="77777777" w:rsidR="007D48BE" w:rsidRPr="007D48BE" w:rsidRDefault="007D48BE" w:rsidP="007D48BE">
            <w:pPr>
              <w:tabs>
                <w:tab w:val="left" w:pos="90"/>
                <w:tab w:val="right" w:pos="1080"/>
              </w:tabs>
              <w:rPr>
                <w:rFonts w:ascii="Arial" w:hAnsi="Arial" w:cs="Arial"/>
                <w:lang w:val="en-GB"/>
              </w:rPr>
            </w:pPr>
          </w:p>
        </w:tc>
      </w:tr>
      <w:tr w:rsidR="007D48BE" w:rsidRPr="007D48BE" w14:paraId="091A9A82" w14:textId="77777777" w:rsidTr="000A34E3">
        <w:tc>
          <w:tcPr>
            <w:tcW w:w="4338" w:type="dxa"/>
          </w:tcPr>
          <w:p w14:paraId="2B02A5AD" w14:textId="77777777" w:rsidR="007D48BE" w:rsidRPr="007D48BE" w:rsidRDefault="007D48BE" w:rsidP="007D48BE">
            <w:pPr>
              <w:jc w:val="both"/>
              <w:rPr>
                <w:rFonts w:ascii="Arial" w:hAnsi="Arial" w:cs="Arial"/>
                <w:b/>
                <w:lang w:val="en-GB"/>
              </w:rPr>
            </w:pPr>
            <w:r w:rsidRPr="007D48BE">
              <w:rPr>
                <w:rFonts w:ascii="Arial" w:hAnsi="Arial" w:cs="Arial"/>
                <w:b/>
                <w:lang w:val="en-GB"/>
              </w:rPr>
              <w:t>Operating expenses</w:t>
            </w:r>
          </w:p>
        </w:tc>
        <w:tc>
          <w:tcPr>
            <w:tcW w:w="1276" w:type="dxa"/>
          </w:tcPr>
          <w:p w14:paraId="1F9AA508" w14:textId="77777777" w:rsidR="007D48BE" w:rsidRPr="007D48BE" w:rsidRDefault="007D48BE" w:rsidP="007D48BE">
            <w:pPr>
              <w:tabs>
                <w:tab w:val="left" w:pos="105"/>
                <w:tab w:val="right" w:pos="945"/>
              </w:tabs>
              <w:rPr>
                <w:rFonts w:ascii="Arial" w:hAnsi="Arial" w:cs="Arial"/>
                <w:lang w:val="en-GB"/>
              </w:rPr>
            </w:pPr>
          </w:p>
        </w:tc>
        <w:tc>
          <w:tcPr>
            <w:tcW w:w="1275" w:type="dxa"/>
          </w:tcPr>
          <w:p w14:paraId="0AB9ECD1" w14:textId="77777777" w:rsidR="007D48BE" w:rsidRPr="007D48BE" w:rsidRDefault="007D48BE" w:rsidP="007D48BE">
            <w:pPr>
              <w:tabs>
                <w:tab w:val="left" w:pos="105"/>
                <w:tab w:val="right" w:pos="1095"/>
              </w:tabs>
              <w:rPr>
                <w:rFonts w:ascii="Arial" w:hAnsi="Arial" w:cs="Arial"/>
                <w:lang w:val="en-GB"/>
              </w:rPr>
            </w:pPr>
          </w:p>
        </w:tc>
        <w:tc>
          <w:tcPr>
            <w:tcW w:w="1276" w:type="dxa"/>
          </w:tcPr>
          <w:p w14:paraId="19BEB74A" w14:textId="77777777" w:rsidR="007D48BE" w:rsidRPr="007D48BE" w:rsidRDefault="007D48BE" w:rsidP="007D48BE">
            <w:pPr>
              <w:tabs>
                <w:tab w:val="left" w:pos="105"/>
                <w:tab w:val="right" w:pos="1005"/>
              </w:tabs>
              <w:rPr>
                <w:rFonts w:ascii="Arial" w:hAnsi="Arial" w:cs="Arial"/>
                <w:lang w:val="en-GB"/>
              </w:rPr>
            </w:pPr>
          </w:p>
        </w:tc>
        <w:tc>
          <w:tcPr>
            <w:tcW w:w="1275" w:type="dxa"/>
          </w:tcPr>
          <w:p w14:paraId="448A4F8D" w14:textId="77777777" w:rsidR="007D48BE" w:rsidRPr="007D48BE" w:rsidRDefault="007D48BE" w:rsidP="007D48BE">
            <w:pPr>
              <w:tabs>
                <w:tab w:val="left" w:pos="90"/>
                <w:tab w:val="right" w:pos="1080"/>
              </w:tabs>
              <w:rPr>
                <w:rFonts w:ascii="Arial" w:hAnsi="Arial" w:cs="Arial"/>
                <w:lang w:val="en-GB"/>
              </w:rPr>
            </w:pPr>
          </w:p>
        </w:tc>
      </w:tr>
      <w:tr w:rsidR="007D48BE" w:rsidRPr="007D48BE" w14:paraId="5D498962" w14:textId="77777777" w:rsidTr="000A34E3">
        <w:tc>
          <w:tcPr>
            <w:tcW w:w="4338" w:type="dxa"/>
          </w:tcPr>
          <w:p w14:paraId="5CA62F3D" w14:textId="77777777" w:rsidR="007D48BE" w:rsidRPr="007D48BE" w:rsidRDefault="007D48BE" w:rsidP="007D48BE">
            <w:pPr>
              <w:ind w:firstLine="176"/>
              <w:rPr>
                <w:rFonts w:ascii="Arial" w:hAnsi="Arial" w:cs="Arial"/>
                <w:lang w:val="en-GB"/>
              </w:rPr>
            </w:pPr>
            <w:r w:rsidRPr="007D48BE">
              <w:rPr>
                <w:rFonts w:ascii="Arial" w:hAnsi="Arial" w:cs="Arial"/>
                <w:lang w:val="en-GB"/>
              </w:rPr>
              <w:t>Rent</w:t>
            </w:r>
          </w:p>
        </w:tc>
        <w:tc>
          <w:tcPr>
            <w:tcW w:w="1276" w:type="dxa"/>
          </w:tcPr>
          <w:p w14:paraId="6E6F11F9" w14:textId="77777777" w:rsidR="007D48BE" w:rsidRPr="007D48BE" w:rsidRDefault="007D48BE" w:rsidP="007D48BE">
            <w:pPr>
              <w:tabs>
                <w:tab w:val="left" w:pos="105"/>
                <w:tab w:val="right" w:pos="945"/>
              </w:tabs>
              <w:rPr>
                <w:rFonts w:ascii="Arial" w:hAnsi="Arial" w:cs="Arial"/>
                <w:lang w:val="en-GB"/>
              </w:rPr>
            </w:pPr>
            <w:r w:rsidRPr="007D48BE">
              <w:rPr>
                <w:rFonts w:ascii="Arial" w:hAnsi="Arial" w:cs="Arial"/>
                <w:lang w:val="en-GB"/>
              </w:rPr>
              <w:tab/>
            </w:r>
            <w:r w:rsidRPr="007D48BE">
              <w:rPr>
                <w:rFonts w:ascii="Arial" w:hAnsi="Arial" w:cs="Arial"/>
                <w:lang w:val="en-GB"/>
              </w:rPr>
              <w:tab/>
              <w:t>59,183</w:t>
            </w:r>
          </w:p>
        </w:tc>
        <w:tc>
          <w:tcPr>
            <w:tcW w:w="1275" w:type="dxa"/>
          </w:tcPr>
          <w:p w14:paraId="36115CFE" w14:textId="77777777" w:rsidR="007D48BE" w:rsidRPr="007D48BE" w:rsidRDefault="007D48BE" w:rsidP="007D48BE">
            <w:pPr>
              <w:tabs>
                <w:tab w:val="left" w:pos="105"/>
                <w:tab w:val="right" w:pos="1095"/>
              </w:tabs>
              <w:jc w:val="right"/>
              <w:rPr>
                <w:rFonts w:ascii="Arial" w:hAnsi="Arial" w:cs="Arial"/>
                <w:lang w:val="en-GB"/>
              </w:rPr>
            </w:pPr>
            <w:r w:rsidRPr="007D48BE">
              <w:rPr>
                <w:rFonts w:ascii="Arial" w:hAnsi="Arial" w:cs="Arial"/>
                <w:lang w:val="en-GB"/>
              </w:rPr>
              <w:t>19.7%</w:t>
            </w:r>
          </w:p>
        </w:tc>
        <w:tc>
          <w:tcPr>
            <w:tcW w:w="1276" w:type="dxa"/>
          </w:tcPr>
          <w:p w14:paraId="53294687" w14:textId="77777777" w:rsidR="007D48BE" w:rsidRPr="007D48BE" w:rsidRDefault="007D48BE" w:rsidP="007D48BE">
            <w:pPr>
              <w:tabs>
                <w:tab w:val="left" w:pos="105"/>
                <w:tab w:val="right" w:pos="1005"/>
              </w:tabs>
              <w:rPr>
                <w:rFonts w:ascii="Arial" w:hAnsi="Arial" w:cs="Arial"/>
                <w:lang w:val="en-GB"/>
              </w:rPr>
            </w:pPr>
            <w:r w:rsidRPr="007D48BE">
              <w:rPr>
                <w:rFonts w:ascii="Arial" w:hAnsi="Arial" w:cs="Arial"/>
                <w:lang w:val="en-GB"/>
              </w:rPr>
              <w:tab/>
            </w:r>
            <w:r w:rsidRPr="007D48BE">
              <w:rPr>
                <w:rFonts w:ascii="Arial" w:hAnsi="Arial" w:cs="Arial"/>
                <w:lang w:val="en-GB"/>
              </w:rPr>
              <w:tab/>
              <w:t>59,875</w:t>
            </w:r>
          </w:p>
        </w:tc>
        <w:tc>
          <w:tcPr>
            <w:tcW w:w="1275" w:type="dxa"/>
            <w:tcBorders>
              <w:top w:val="nil"/>
              <w:left w:val="nil"/>
              <w:bottom w:val="nil"/>
              <w:right w:val="nil"/>
            </w:tcBorders>
            <w:shd w:val="clear" w:color="auto" w:fill="auto"/>
            <w:vAlign w:val="bottom"/>
          </w:tcPr>
          <w:p w14:paraId="7183831B" w14:textId="77777777" w:rsidR="007D48BE" w:rsidRPr="007D48BE" w:rsidRDefault="007D48BE" w:rsidP="007D48BE">
            <w:pPr>
              <w:tabs>
                <w:tab w:val="left" w:pos="90"/>
                <w:tab w:val="right" w:pos="1080"/>
              </w:tabs>
              <w:jc w:val="right"/>
              <w:rPr>
                <w:rFonts w:ascii="Arial" w:hAnsi="Arial" w:cs="Arial"/>
                <w:lang w:val="en-GB"/>
              </w:rPr>
            </w:pPr>
            <w:r w:rsidRPr="007D48BE">
              <w:rPr>
                <w:rFonts w:ascii="Arial" w:hAnsi="Arial" w:cs="Arial"/>
                <w:lang w:val="en-GB"/>
              </w:rPr>
              <w:t>24.0%</w:t>
            </w:r>
          </w:p>
        </w:tc>
      </w:tr>
      <w:tr w:rsidR="007D48BE" w:rsidRPr="007D48BE" w14:paraId="0BB2F1A0" w14:textId="77777777" w:rsidTr="000A34E3">
        <w:tc>
          <w:tcPr>
            <w:tcW w:w="4338" w:type="dxa"/>
          </w:tcPr>
          <w:p w14:paraId="69286810" w14:textId="77777777" w:rsidR="007D48BE" w:rsidRPr="007D48BE" w:rsidRDefault="007D48BE" w:rsidP="007D48BE">
            <w:pPr>
              <w:ind w:firstLine="176"/>
              <w:rPr>
                <w:rFonts w:ascii="Arial" w:hAnsi="Arial" w:cs="Arial"/>
                <w:lang w:val="en-GB"/>
              </w:rPr>
            </w:pPr>
            <w:r w:rsidRPr="007D48BE">
              <w:rPr>
                <w:rFonts w:ascii="Arial" w:hAnsi="Arial" w:cs="Arial"/>
                <w:lang w:val="en-GB"/>
              </w:rPr>
              <w:t>Advertising and web design</w:t>
            </w:r>
          </w:p>
        </w:tc>
        <w:tc>
          <w:tcPr>
            <w:tcW w:w="1276" w:type="dxa"/>
          </w:tcPr>
          <w:p w14:paraId="4E2D2A7E" w14:textId="77777777" w:rsidR="007D48BE" w:rsidRPr="007D48BE" w:rsidRDefault="007D48BE" w:rsidP="007D48BE">
            <w:pPr>
              <w:tabs>
                <w:tab w:val="left" w:pos="105"/>
                <w:tab w:val="right" w:pos="945"/>
              </w:tabs>
              <w:rPr>
                <w:rFonts w:ascii="Arial" w:hAnsi="Arial" w:cs="Arial"/>
                <w:lang w:val="en-GB"/>
              </w:rPr>
            </w:pPr>
            <w:r w:rsidRPr="007D48BE">
              <w:rPr>
                <w:rFonts w:ascii="Arial" w:hAnsi="Arial" w:cs="Arial"/>
                <w:lang w:val="en-GB"/>
              </w:rPr>
              <w:tab/>
            </w:r>
            <w:r w:rsidRPr="007D48BE">
              <w:rPr>
                <w:rFonts w:ascii="Arial" w:hAnsi="Arial" w:cs="Arial"/>
                <w:lang w:val="en-GB"/>
              </w:rPr>
              <w:tab/>
              <w:t>26,862</w:t>
            </w:r>
          </w:p>
        </w:tc>
        <w:tc>
          <w:tcPr>
            <w:tcW w:w="1275" w:type="dxa"/>
          </w:tcPr>
          <w:p w14:paraId="35C40734" w14:textId="77777777" w:rsidR="007D48BE" w:rsidRPr="007D48BE" w:rsidRDefault="007D48BE" w:rsidP="007D48BE">
            <w:pPr>
              <w:tabs>
                <w:tab w:val="left" w:pos="105"/>
                <w:tab w:val="right" w:pos="1095"/>
              </w:tabs>
              <w:jc w:val="right"/>
              <w:rPr>
                <w:rFonts w:ascii="Arial" w:hAnsi="Arial" w:cs="Arial"/>
                <w:lang w:val="en-GB"/>
              </w:rPr>
            </w:pPr>
            <w:r w:rsidRPr="007D48BE">
              <w:rPr>
                <w:rFonts w:ascii="Arial" w:hAnsi="Arial" w:cs="Arial"/>
                <w:lang w:val="en-GB"/>
              </w:rPr>
              <w:t>8.9%</w:t>
            </w:r>
          </w:p>
        </w:tc>
        <w:tc>
          <w:tcPr>
            <w:tcW w:w="1276" w:type="dxa"/>
          </w:tcPr>
          <w:p w14:paraId="3C553127" w14:textId="77777777" w:rsidR="007D48BE" w:rsidRPr="007D48BE" w:rsidRDefault="007D48BE" w:rsidP="007D48BE">
            <w:pPr>
              <w:tabs>
                <w:tab w:val="left" w:pos="105"/>
                <w:tab w:val="right" w:pos="1005"/>
              </w:tabs>
              <w:rPr>
                <w:rFonts w:ascii="Arial" w:hAnsi="Arial" w:cs="Arial"/>
                <w:lang w:val="en-GB"/>
              </w:rPr>
            </w:pPr>
            <w:r w:rsidRPr="007D48BE">
              <w:rPr>
                <w:rFonts w:ascii="Arial" w:hAnsi="Arial" w:cs="Arial"/>
                <w:lang w:val="en-GB"/>
              </w:rPr>
              <w:tab/>
            </w:r>
            <w:r w:rsidRPr="007D48BE">
              <w:rPr>
                <w:rFonts w:ascii="Arial" w:hAnsi="Arial" w:cs="Arial"/>
                <w:lang w:val="en-GB"/>
              </w:rPr>
              <w:tab/>
              <w:t>16,709</w:t>
            </w:r>
          </w:p>
        </w:tc>
        <w:tc>
          <w:tcPr>
            <w:tcW w:w="1275" w:type="dxa"/>
            <w:tcBorders>
              <w:top w:val="nil"/>
              <w:left w:val="nil"/>
              <w:bottom w:val="nil"/>
              <w:right w:val="nil"/>
            </w:tcBorders>
            <w:shd w:val="clear" w:color="auto" w:fill="auto"/>
            <w:vAlign w:val="bottom"/>
          </w:tcPr>
          <w:p w14:paraId="2B4B8826" w14:textId="77777777" w:rsidR="007D48BE" w:rsidRPr="007D48BE" w:rsidRDefault="007D48BE" w:rsidP="007D48BE">
            <w:pPr>
              <w:tabs>
                <w:tab w:val="left" w:pos="90"/>
                <w:tab w:val="right" w:pos="1080"/>
              </w:tabs>
              <w:jc w:val="right"/>
              <w:rPr>
                <w:rFonts w:ascii="Arial" w:hAnsi="Arial" w:cs="Arial"/>
                <w:lang w:val="en-GB"/>
              </w:rPr>
            </w:pPr>
            <w:r w:rsidRPr="007D48BE">
              <w:rPr>
                <w:rFonts w:ascii="Arial" w:hAnsi="Arial" w:cs="Arial"/>
                <w:lang w:val="en-GB"/>
              </w:rPr>
              <w:t>6.7%</w:t>
            </w:r>
          </w:p>
        </w:tc>
      </w:tr>
      <w:tr w:rsidR="007D48BE" w:rsidRPr="007D48BE" w14:paraId="55D6B7E4" w14:textId="77777777" w:rsidTr="000A34E3">
        <w:tc>
          <w:tcPr>
            <w:tcW w:w="4338" w:type="dxa"/>
          </w:tcPr>
          <w:p w14:paraId="6AEC361A" w14:textId="77777777" w:rsidR="007D48BE" w:rsidRPr="007D48BE" w:rsidRDefault="007D48BE" w:rsidP="007D48BE">
            <w:pPr>
              <w:ind w:firstLine="176"/>
              <w:rPr>
                <w:rFonts w:ascii="Arial" w:hAnsi="Arial" w:cs="Arial"/>
                <w:lang w:val="en-GB"/>
              </w:rPr>
            </w:pPr>
            <w:r w:rsidRPr="007D48BE">
              <w:rPr>
                <w:rFonts w:ascii="Arial" w:hAnsi="Arial" w:cs="Arial"/>
                <w:lang w:val="en-GB"/>
              </w:rPr>
              <w:t>Depreciation</w:t>
            </w:r>
          </w:p>
        </w:tc>
        <w:tc>
          <w:tcPr>
            <w:tcW w:w="1276" w:type="dxa"/>
          </w:tcPr>
          <w:p w14:paraId="02E47F61" w14:textId="77777777" w:rsidR="007D48BE" w:rsidRPr="007D48BE" w:rsidRDefault="007D48BE" w:rsidP="007D48BE">
            <w:pPr>
              <w:tabs>
                <w:tab w:val="left" w:pos="105"/>
                <w:tab w:val="right" w:pos="945"/>
              </w:tabs>
              <w:rPr>
                <w:rFonts w:ascii="Arial" w:hAnsi="Arial" w:cs="Arial"/>
                <w:lang w:val="en-GB"/>
              </w:rPr>
            </w:pPr>
            <w:r w:rsidRPr="007D48BE">
              <w:rPr>
                <w:rFonts w:ascii="Arial" w:hAnsi="Arial" w:cs="Arial"/>
                <w:lang w:val="en-GB"/>
              </w:rPr>
              <w:tab/>
            </w:r>
            <w:r w:rsidRPr="007D48BE">
              <w:rPr>
                <w:rFonts w:ascii="Arial" w:hAnsi="Arial" w:cs="Arial"/>
                <w:lang w:val="en-GB"/>
              </w:rPr>
              <w:tab/>
              <w:t>12,554</w:t>
            </w:r>
          </w:p>
        </w:tc>
        <w:tc>
          <w:tcPr>
            <w:tcW w:w="1275" w:type="dxa"/>
          </w:tcPr>
          <w:p w14:paraId="12F77080" w14:textId="77777777" w:rsidR="007D48BE" w:rsidRPr="007D48BE" w:rsidRDefault="007D48BE" w:rsidP="007D48BE">
            <w:pPr>
              <w:tabs>
                <w:tab w:val="left" w:pos="105"/>
                <w:tab w:val="right" w:pos="1095"/>
              </w:tabs>
              <w:jc w:val="right"/>
              <w:rPr>
                <w:rFonts w:ascii="Arial" w:hAnsi="Arial" w:cs="Arial"/>
                <w:lang w:val="en-GB"/>
              </w:rPr>
            </w:pPr>
            <w:r w:rsidRPr="007D48BE">
              <w:rPr>
                <w:rFonts w:ascii="Arial" w:hAnsi="Arial" w:cs="Arial"/>
                <w:lang w:val="en-GB"/>
              </w:rPr>
              <w:t>4.2%</w:t>
            </w:r>
          </w:p>
        </w:tc>
        <w:tc>
          <w:tcPr>
            <w:tcW w:w="1276" w:type="dxa"/>
          </w:tcPr>
          <w:p w14:paraId="39A3A430" w14:textId="77777777" w:rsidR="007D48BE" w:rsidRPr="007D48BE" w:rsidRDefault="007D48BE" w:rsidP="007D48BE">
            <w:pPr>
              <w:tabs>
                <w:tab w:val="left" w:pos="105"/>
                <w:tab w:val="right" w:pos="1005"/>
              </w:tabs>
              <w:rPr>
                <w:rFonts w:ascii="Arial" w:hAnsi="Arial" w:cs="Arial"/>
                <w:lang w:val="en-GB"/>
              </w:rPr>
            </w:pPr>
            <w:r w:rsidRPr="007D48BE">
              <w:rPr>
                <w:rFonts w:ascii="Arial" w:hAnsi="Arial" w:cs="Arial"/>
                <w:lang w:val="en-GB"/>
              </w:rPr>
              <w:tab/>
            </w:r>
            <w:r w:rsidRPr="007D48BE">
              <w:rPr>
                <w:rFonts w:ascii="Arial" w:hAnsi="Arial" w:cs="Arial"/>
                <w:lang w:val="en-GB"/>
              </w:rPr>
              <w:tab/>
              <w:t>15,268</w:t>
            </w:r>
          </w:p>
        </w:tc>
        <w:tc>
          <w:tcPr>
            <w:tcW w:w="1275" w:type="dxa"/>
            <w:tcBorders>
              <w:top w:val="nil"/>
              <w:left w:val="nil"/>
              <w:bottom w:val="nil"/>
              <w:right w:val="nil"/>
            </w:tcBorders>
            <w:shd w:val="clear" w:color="auto" w:fill="auto"/>
            <w:vAlign w:val="bottom"/>
          </w:tcPr>
          <w:p w14:paraId="55DE8D11" w14:textId="77777777" w:rsidR="007D48BE" w:rsidRPr="007D48BE" w:rsidRDefault="007D48BE" w:rsidP="007D48BE">
            <w:pPr>
              <w:tabs>
                <w:tab w:val="left" w:pos="90"/>
                <w:tab w:val="right" w:pos="1080"/>
              </w:tabs>
              <w:jc w:val="right"/>
              <w:rPr>
                <w:rFonts w:ascii="Arial" w:hAnsi="Arial" w:cs="Arial"/>
                <w:lang w:val="en-GB"/>
              </w:rPr>
            </w:pPr>
            <w:r w:rsidRPr="007D48BE">
              <w:rPr>
                <w:rFonts w:ascii="Arial" w:hAnsi="Arial" w:cs="Arial"/>
                <w:lang w:val="en-GB"/>
              </w:rPr>
              <w:t>6.1%</w:t>
            </w:r>
          </w:p>
        </w:tc>
      </w:tr>
      <w:tr w:rsidR="007D48BE" w:rsidRPr="007D48BE" w14:paraId="5AF902EA" w14:textId="77777777" w:rsidTr="000A34E3">
        <w:tc>
          <w:tcPr>
            <w:tcW w:w="4338" w:type="dxa"/>
          </w:tcPr>
          <w:p w14:paraId="29598331" w14:textId="77777777" w:rsidR="007D48BE" w:rsidRPr="007D48BE" w:rsidRDefault="007D48BE" w:rsidP="007D48BE">
            <w:pPr>
              <w:ind w:firstLine="176"/>
              <w:rPr>
                <w:rFonts w:ascii="Arial" w:hAnsi="Arial" w:cs="Arial"/>
                <w:lang w:val="en-GB"/>
              </w:rPr>
            </w:pPr>
            <w:r w:rsidRPr="007D48BE">
              <w:rPr>
                <w:rFonts w:ascii="Arial" w:hAnsi="Arial" w:cs="Arial"/>
                <w:lang w:val="en-GB"/>
              </w:rPr>
              <w:t>Office</w:t>
            </w:r>
          </w:p>
        </w:tc>
        <w:tc>
          <w:tcPr>
            <w:tcW w:w="1276" w:type="dxa"/>
          </w:tcPr>
          <w:p w14:paraId="6A0AAEB6" w14:textId="77777777" w:rsidR="007D48BE" w:rsidRPr="007D48BE" w:rsidRDefault="007D48BE" w:rsidP="007D48BE">
            <w:pPr>
              <w:tabs>
                <w:tab w:val="left" w:pos="105"/>
                <w:tab w:val="right" w:pos="945"/>
              </w:tabs>
              <w:rPr>
                <w:rFonts w:ascii="Arial" w:hAnsi="Arial" w:cs="Arial"/>
                <w:lang w:val="en-GB"/>
              </w:rPr>
            </w:pPr>
            <w:r w:rsidRPr="007D48BE">
              <w:rPr>
                <w:rFonts w:ascii="Arial" w:hAnsi="Arial" w:cs="Arial"/>
                <w:lang w:val="en-GB"/>
              </w:rPr>
              <w:tab/>
            </w:r>
            <w:r w:rsidRPr="007D48BE">
              <w:rPr>
                <w:rFonts w:ascii="Arial" w:hAnsi="Arial" w:cs="Arial"/>
                <w:lang w:val="en-GB"/>
              </w:rPr>
              <w:tab/>
              <w:t>6,796</w:t>
            </w:r>
          </w:p>
        </w:tc>
        <w:tc>
          <w:tcPr>
            <w:tcW w:w="1275" w:type="dxa"/>
            <w:tcBorders>
              <w:top w:val="nil"/>
              <w:left w:val="nil"/>
              <w:bottom w:val="nil"/>
              <w:right w:val="nil"/>
            </w:tcBorders>
            <w:shd w:val="clear" w:color="auto" w:fill="auto"/>
            <w:vAlign w:val="bottom"/>
          </w:tcPr>
          <w:p w14:paraId="36DD79FF" w14:textId="77777777" w:rsidR="007D48BE" w:rsidRPr="007D48BE" w:rsidRDefault="007D48BE" w:rsidP="007D48BE">
            <w:pPr>
              <w:tabs>
                <w:tab w:val="left" w:pos="105"/>
                <w:tab w:val="right" w:pos="1095"/>
              </w:tabs>
              <w:jc w:val="right"/>
              <w:rPr>
                <w:rFonts w:ascii="Arial" w:hAnsi="Arial" w:cs="Arial"/>
                <w:lang w:val="en-GB"/>
              </w:rPr>
            </w:pPr>
            <w:r w:rsidRPr="007D48BE">
              <w:rPr>
                <w:rFonts w:ascii="Arial" w:hAnsi="Arial" w:cs="Arial"/>
                <w:lang w:val="en-GB"/>
              </w:rPr>
              <w:t>2.3%</w:t>
            </w:r>
          </w:p>
        </w:tc>
        <w:tc>
          <w:tcPr>
            <w:tcW w:w="1276" w:type="dxa"/>
          </w:tcPr>
          <w:p w14:paraId="699E0B78" w14:textId="77777777" w:rsidR="007D48BE" w:rsidRPr="007D48BE" w:rsidRDefault="007D48BE" w:rsidP="007D48BE">
            <w:pPr>
              <w:tabs>
                <w:tab w:val="left" w:pos="105"/>
                <w:tab w:val="right" w:pos="1005"/>
              </w:tabs>
              <w:rPr>
                <w:rFonts w:ascii="Arial" w:hAnsi="Arial" w:cs="Arial"/>
                <w:lang w:val="en-GB"/>
              </w:rPr>
            </w:pPr>
            <w:r w:rsidRPr="007D48BE">
              <w:rPr>
                <w:rFonts w:ascii="Arial" w:hAnsi="Arial" w:cs="Arial"/>
                <w:lang w:val="en-GB"/>
              </w:rPr>
              <w:tab/>
            </w:r>
            <w:r w:rsidRPr="007D48BE">
              <w:rPr>
                <w:rFonts w:ascii="Arial" w:hAnsi="Arial" w:cs="Arial"/>
                <w:lang w:val="en-GB"/>
              </w:rPr>
              <w:tab/>
              <w:t>6,439</w:t>
            </w:r>
          </w:p>
        </w:tc>
        <w:tc>
          <w:tcPr>
            <w:tcW w:w="1275" w:type="dxa"/>
            <w:tcBorders>
              <w:top w:val="nil"/>
              <w:left w:val="nil"/>
              <w:bottom w:val="nil"/>
              <w:right w:val="nil"/>
            </w:tcBorders>
            <w:shd w:val="clear" w:color="auto" w:fill="auto"/>
            <w:vAlign w:val="bottom"/>
          </w:tcPr>
          <w:p w14:paraId="6F2AE0A5" w14:textId="77777777" w:rsidR="007D48BE" w:rsidRPr="007D48BE" w:rsidRDefault="007D48BE" w:rsidP="007D48BE">
            <w:pPr>
              <w:tabs>
                <w:tab w:val="left" w:pos="90"/>
                <w:tab w:val="right" w:pos="1080"/>
              </w:tabs>
              <w:jc w:val="right"/>
              <w:rPr>
                <w:rFonts w:ascii="Arial" w:hAnsi="Arial" w:cs="Arial"/>
                <w:lang w:val="en-GB"/>
              </w:rPr>
            </w:pPr>
            <w:r w:rsidRPr="007D48BE">
              <w:rPr>
                <w:rFonts w:ascii="Arial" w:hAnsi="Arial" w:cs="Arial"/>
                <w:lang w:val="en-GB"/>
              </w:rPr>
              <w:t>2.6%</w:t>
            </w:r>
          </w:p>
        </w:tc>
      </w:tr>
      <w:tr w:rsidR="007D48BE" w:rsidRPr="007D48BE" w14:paraId="41E8F8B3" w14:textId="77777777" w:rsidTr="000A34E3">
        <w:tc>
          <w:tcPr>
            <w:tcW w:w="4338" w:type="dxa"/>
          </w:tcPr>
          <w:p w14:paraId="1DF1B748" w14:textId="77777777" w:rsidR="007D48BE" w:rsidRPr="007D48BE" w:rsidRDefault="007D48BE" w:rsidP="007D48BE">
            <w:pPr>
              <w:ind w:firstLine="176"/>
              <w:rPr>
                <w:rFonts w:ascii="Arial" w:hAnsi="Arial" w:cs="Arial"/>
                <w:lang w:val="en-GB"/>
              </w:rPr>
            </w:pPr>
            <w:r w:rsidRPr="007D48BE">
              <w:rPr>
                <w:rFonts w:ascii="Arial" w:hAnsi="Arial" w:cs="Arial"/>
                <w:lang w:val="en-GB"/>
              </w:rPr>
              <w:t>Repairs and cleaning</w:t>
            </w:r>
          </w:p>
        </w:tc>
        <w:tc>
          <w:tcPr>
            <w:tcW w:w="1276" w:type="dxa"/>
          </w:tcPr>
          <w:p w14:paraId="5D110AB0" w14:textId="77777777" w:rsidR="007D48BE" w:rsidRPr="007D48BE" w:rsidRDefault="007D48BE" w:rsidP="007D48BE">
            <w:pPr>
              <w:tabs>
                <w:tab w:val="left" w:pos="105"/>
                <w:tab w:val="right" w:pos="945"/>
              </w:tabs>
              <w:rPr>
                <w:rFonts w:ascii="Arial" w:hAnsi="Arial" w:cs="Arial"/>
                <w:lang w:val="en-GB"/>
              </w:rPr>
            </w:pPr>
            <w:r w:rsidRPr="007D48BE">
              <w:rPr>
                <w:rFonts w:ascii="Arial" w:hAnsi="Arial" w:cs="Arial"/>
                <w:lang w:val="en-GB"/>
              </w:rPr>
              <w:tab/>
            </w:r>
            <w:r w:rsidRPr="007D48BE">
              <w:rPr>
                <w:rFonts w:ascii="Arial" w:hAnsi="Arial" w:cs="Arial"/>
                <w:lang w:val="en-GB"/>
              </w:rPr>
              <w:tab/>
              <w:t>5,464</w:t>
            </w:r>
          </w:p>
        </w:tc>
        <w:tc>
          <w:tcPr>
            <w:tcW w:w="1275" w:type="dxa"/>
            <w:tcBorders>
              <w:top w:val="nil"/>
              <w:left w:val="nil"/>
              <w:bottom w:val="nil"/>
              <w:right w:val="nil"/>
            </w:tcBorders>
            <w:shd w:val="clear" w:color="auto" w:fill="auto"/>
            <w:vAlign w:val="bottom"/>
          </w:tcPr>
          <w:p w14:paraId="71D3F15A" w14:textId="77777777" w:rsidR="007D48BE" w:rsidRPr="007D48BE" w:rsidRDefault="007D48BE" w:rsidP="007D48BE">
            <w:pPr>
              <w:tabs>
                <w:tab w:val="left" w:pos="105"/>
                <w:tab w:val="right" w:pos="1095"/>
              </w:tabs>
              <w:jc w:val="right"/>
              <w:rPr>
                <w:rFonts w:ascii="Arial" w:hAnsi="Arial" w:cs="Arial"/>
                <w:lang w:val="en-GB"/>
              </w:rPr>
            </w:pPr>
            <w:r w:rsidRPr="007D48BE">
              <w:rPr>
                <w:rFonts w:ascii="Arial" w:hAnsi="Arial" w:cs="Arial"/>
                <w:lang w:val="en-GB"/>
              </w:rPr>
              <w:t>1.8%</w:t>
            </w:r>
          </w:p>
        </w:tc>
        <w:tc>
          <w:tcPr>
            <w:tcW w:w="1276" w:type="dxa"/>
          </w:tcPr>
          <w:p w14:paraId="6ADF0DB7" w14:textId="77777777" w:rsidR="007D48BE" w:rsidRPr="007D48BE" w:rsidRDefault="007D48BE" w:rsidP="007D48BE">
            <w:pPr>
              <w:tabs>
                <w:tab w:val="left" w:pos="105"/>
                <w:tab w:val="right" w:pos="1005"/>
              </w:tabs>
              <w:rPr>
                <w:rFonts w:ascii="Arial" w:hAnsi="Arial" w:cs="Arial"/>
                <w:lang w:val="en-GB"/>
              </w:rPr>
            </w:pPr>
            <w:r w:rsidRPr="007D48BE">
              <w:rPr>
                <w:rFonts w:ascii="Arial" w:hAnsi="Arial" w:cs="Arial"/>
                <w:lang w:val="en-GB"/>
              </w:rPr>
              <w:tab/>
            </w:r>
            <w:r w:rsidRPr="007D48BE">
              <w:rPr>
                <w:rFonts w:ascii="Arial" w:hAnsi="Arial" w:cs="Arial"/>
                <w:lang w:val="en-GB"/>
              </w:rPr>
              <w:tab/>
              <w:t>5,868</w:t>
            </w:r>
          </w:p>
        </w:tc>
        <w:tc>
          <w:tcPr>
            <w:tcW w:w="1275" w:type="dxa"/>
            <w:tcBorders>
              <w:top w:val="nil"/>
              <w:left w:val="nil"/>
              <w:bottom w:val="nil"/>
              <w:right w:val="nil"/>
            </w:tcBorders>
            <w:shd w:val="clear" w:color="auto" w:fill="auto"/>
            <w:vAlign w:val="bottom"/>
          </w:tcPr>
          <w:p w14:paraId="0A1E27C9" w14:textId="77777777" w:rsidR="007D48BE" w:rsidRPr="007D48BE" w:rsidRDefault="007D48BE" w:rsidP="007D48BE">
            <w:pPr>
              <w:tabs>
                <w:tab w:val="left" w:pos="90"/>
                <w:tab w:val="right" w:pos="1080"/>
              </w:tabs>
              <w:jc w:val="right"/>
              <w:rPr>
                <w:rFonts w:ascii="Arial" w:hAnsi="Arial" w:cs="Arial"/>
                <w:lang w:val="en-GB"/>
              </w:rPr>
            </w:pPr>
            <w:r w:rsidRPr="007D48BE">
              <w:rPr>
                <w:rFonts w:ascii="Arial" w:hAnsi="Arial" w:cs="Arial"/>
                <w:lang w:val="en-GB"/>
              </w:rPr>
              <w:t>2.4%</w:t>
            </w:r>
          </w:p>
        </w:tc>
      </w:tr>
      <w:tr w:rsidR="007D48BE" w:rsidRPr="007D48BE" w14:paraId="0B55EFC4" w14:textId="77777777" w:rsidTr="000A34E3">
        <w:tc>
          <w:tcPr>
            <w:tcW w:w="4338" w:type="dxa"/>
          </w:tcPr>
          <w:p w14:paraId="2199CB16" w14:textId="77777777" w:rsidR="007D48BE" w:rsidRPr="007D48BE" w:rsidRDefault="007D48BE" w:rsidP="007D48BE">
            <w:pPr>
              <w:ind w:firstLine="176"/>
              <w:rPr>
                <w:rFonts w:ascii="Arial" w:hAnsi="Arial" w:cs="Arial"/>
                <w:lang w:val="en-GB"/>
              </w:rPr>
            </w:pPr>
            <w:r w:rsidRPr="007D48BE">
              <w:rPr>
                <w:rFonts w:ascii="Arial" w:hAnsi="Arial" w:cs="Arial"/>
                <w:lang w:val="en-GB"/>
              </w:rPr>
              <w:t>Interest and bank charges</w:t>
            </w:r>
          </w:p>
        </w:tc>
        <w:tc>
          <w:tcPr>
            <w:tcW w:w="1276" w:type="dxa"/>
          </w:tcPr>
          <w:p w14:paraId="2410DF97" w14:textId="77777777" w:rsidR="007D48BE" w:rsidRPr="007D48BE" w:rsidRDefault="007D48BE" w:rsidP="007D48BE">
            <w:pPr>
              <w:tabs>
                <w:tab w:val="left" w:pos="105"/>
                <w:tab w:val="right" w:pos="945"/>
              </w:tabs>
              <w:rPr>
                <w:rFonts w:ascii="Arial" w:hAnsi="Arial" w:cs="Arial"/>
                <w:lang w:val="en-GB"/>
              </w:rPr>
            </w:pPr>
            <w:r w:rsidRPr="007D48BE">
              <w:rPr>
                <w:rFonts w:ascii="Arial" w:hAnsi="Arial" w:cs="Arial"/>
                <w:lang w:val="en-GB"/>
              </w:rPr>
              <w:tab/>
            </w:r>
            <w:r w:rsidRPr="007D48BE">
              <w:rPr>
                <w:rFonts w:ascii="Arial" w:hAnsi="Arial" w:cs="Arial"/>
                <w:lang w:val="en-GB"/>
              </w:rPr>
              <w:tab/>
              <w:t>4,895</w:t>
            </w:r>
          </w:p>
        </w:tc>
        <w:tc>
          <w:tcPr>
            <w:tcW w:w="1275" w:type="dxa"/>
            <w:tcBorders>
              <w:top w:val="nil"/>
              <w:left w:val="nil"/>
              <w:bottom w:val="nil"/>
              <w:right w:val="nil"/>
            </w:tcBorders>
            <w:shd w:val="clear" w:color="auto" w:fill="auto"/>
            <w:vAlign w:val="bottom"/>
          </w:tcPr>
          <w:p w14:paraId="365E5A1B" w14:textId="77777777" w:rsidR="007D48BE" w:rsidRPr="007D48BE" w:rsidRDefault="007D48BE" w:rsidP="007D48BE">
            <w:pPr>
              <w:tabs>
                <w:tab w:val="left" w:pos="105"/>
                <w:tab w:val="right" w:pos="1095"/>
              </w:tabs>
              <w:jc w:val="right"/>
              <w:rPr>
                <w:rFonts w:ascii="Arial" w:hAnsi="Arial" w:cs="Arial"/>
                <w:lang w:val="en-GB"/>
              </w:rPr>
            </w:pPr>
            <w:r w:rsidRPr="007D48BE">
              <w:rPr>
                <w:rFonts w:ascii="Arial" w:hAnsi="Arial" w:cs="Arial"/>
                <w:lang w:val="en-GB"/>
              </w:rPr>
              <w:t>1.6%</w:t>
            </w:r>
          </w:p>
        </w:tc>
        <w:tc>
          <w:tcPr>
            <w:tcW w:w="1276" w:type="dxa"/>
          </w:tcPr>
          <w:p w14:paraId="5CB384C4" w14:textId="77777777" w:rsidR="007D48BE" w:rsidRPr="007D48BE" w:rsidRDefault="007D48BE" w:rsidP="007D48BE">
            <w:pPr>
              <w:tabs>
                <w:tab w:val="left" w:pos="105"/>
                <w:tab w:val="right" w:pos="1005"/>
              </w:tabs>
              <w:rPr>
                <w:rFonts w:ascii="Arial" w:hAnsi="Arial" w:cs="Arial"/>
                <w:lang w:val="en-GB"/>
              </w:rPr>
            </w:pPr>
            <w:r w:rsidRPr="007D48BE">
              <w:rPr>
                <w:rFonts w:ascii="Arial" w:hAnsi="Arial" w:cs="Arial"/>
                <w:lang w:val="en-GB"/>
              </w:rPr>
              <w:tab/>
            </w:r>
            <w:r w:rsidRPr="007D48BE">
              <w:rPr>
                <w:rFonts w:ascii="Arial" w:hAnsi="Arial" w:cs="Arial"/>
                <w:lang w:val="en-GB"/>
              </w:rPr>
              <w:tab/>
              <w:t>3,923</w:t>
            </w:r>
          </w:p>
        </w:tc>
        <w:tc>
          <w:tcPr>
            <w:tcW w:w="1275" w:type="dxa"/>
            <w:tcBorders>
              <w:top w:val="nil"/>
              <w:left w:val="nil"/>
              <w:bottom w:val="nil"/>
              <w:right w:val="nil"/>
            </w:tcBorders>
            <w:shd w:val="clear" w:color="auto" w:fill="auto"/>
            <w:vAlign w:val="bottom"/>
          </w:tcPr>
          <w:p w14:paraId="6DF92D90" w14:textId="77777777" w:rsidR="007D48BE" w:rsidRPr="007D48BE" w:rsidRDefault="007D48BE" w:rsidP="007D48BE">
            <w:pPr>
              <w:tabs>
                <w:tab w:val="left" w:pos="90"/>
                <w:tab w:val="right" w:pos="1080"/>
              </w:tabs>
              <w:jc w:val="right"/>
              <w:rPr>
                <w:rFonts w:ascii="Arial" w:hAnsi="Arial" w:cs="Arial"/>
                <w:lang w:val="en-GB"/>
              </w:rPr>
            </w:pPr>
            <w:r w:rsidRPr="007D48BE">
              <w:rPr>
                <w:rFonts w:ascii="Arial" w:hAnsi="Arial" w:cs="Arial"/>
                <w:lang w:val="en-GB"/>
              </w:rPr>
              <w:t>1.6%</w:t>
            </w:r>
          </w:p>
        </w:tc>
      </w:tr>
      <w:tr w:rsidR="007D48BE" w:rsidRPr="007D48BE" w14:paraId="62A1016A" w14:textId="77777777" w:rsidTr="000A34E3">
        <w:tc>
          <w:tcPr>
            <w:tcW w:w="4338" w:type="dxa"/>
          </w:tcPr>
          <w:p w14:paraId="7ADBEED1" w14:textId="77777777" w:rsidR="007D48BE" w:rsidRPr="007D48BE" w:rsidRDefault="007D48BE" w:rsidP="007D48BE">
            <w:pPr>
              <w:ind w:firstLine="176"/>
              <w:rPr>
                <w:rFonts w:ascii="Arial" w:hAnsi="Arial" w:cs="Arial"/>
                <w:lang w:val="en-GB"/>
              </w:rPr>
            </w:pPr>
            <w:r w:rsidRPr="007D48BE">
              <w:rPr>
                <w:rFonts w:ascii="Arial" w:hAnsi="Arial" w:cs="Arial"/>
                <w:lang w:val="en-GB"/>
              </w:rPr>
              <w:t>Utilities</w:t>
            </w:r>
          </w:p>
        </w:tc>
        <w:tc>
          <w:tcPr>
            <w:tcW w:w="1276" w:type="dxa"/>
          </w:tcPr>
          <w:p w14:paraId="6265C61A" w14:textId="77777777" w:rsidR="007D48BE" w:rsidRPr="007D48BE" w:rsidRDefault="007D48BE" w:rsidP="007D48BE">
            <w:pPr>
              <w:tabs>
                <w:tab w:val="left" w:pos="105"/>
                <w:tab w:val="right" w:pos="945"/>
              </w:tabs>
              <w:rPr>
                <w:rFonts w:ascii="Arial" w:hAnsi="Arial" w:cs="Arial"/>
                <w:lang w:val="en-GB"/>
              </w:rPr>
            </w:pPr>
            <w:r w:rsidRPr="007D48BE">
              <w:rPr>
                <w:rFonts w:ascii="Arial" w:hAnsi="Arial" w:cs="Arial"/>
                <w:lang w:val="en-GB"/>
              </w:rPr>
              <w:tab/>
            </w:r>
            <w:r w:rsidRPr="007D48BE">
              <w:rPr>
                <w:rFonts w:ascii="Arial" w:hAnsi="Arial" w:cs="Arial"/>
                <w:lang w:val="en-GB"/>
              </w:rPr>
              <w:tab/>
              <w:t>4,291</w:t>
            </w:r>
          </w:p>
        </w:tc>
        <w:tc>
          <w:tcPr>
            <w:tcW w:w="1275" w:type="dxa"/>
            <w:tcBorders>
              <w:top w:val="nil"/>
              <w:left w:val="nil"/>
              <w:bottom w:val="nil"/>
              <w:right w:val="nil"/>
            </w:tcBorders>
            <w:shd w:val="clear" w:color="auto" w:fill="auto"/>
            <w:vAlign w:val="bottom"/>
          </w:tcPr>
          <w:p w14:paraId="756DCF26" w14:textId="77777777" w:rsidR="007D48BE" w:rsidRPr="007D48BE" w:rsidRDefault="007D48BE" w:rsidP="007D48BE">
            <w:pPr>
              <w:tabs>
                <w:tab w:val="left" w:pos="105"/>
                <w:tab w:val="right" w:pos="1095"/>
              </w:tabs>
              <w:jc w:val="right"/>
              <w:rPr>
                <w:rFonts w:ascii="Arial" w:hAnsi="Arial" w:cs="Arial"/>
                <w:lang w:val="en-GB"/>
              </w:rPr>
            </w:pPr>
            <w:r w:rsidRPr="007D48BE">
              <w:rPr>
                <w:rFonts w:ascii="Arial" w:hAnsi="Arial" w:cs="Arial"/>
                <w:lang w:val="en-GB"/>
              </w:rPr>
              <w:t>1.4%</w:t>
            </w:r>
          </w:p>
        </w:tc>
        <w:tc>
          <w:tcPr>
            <w:tcW w:w="1276" w:type="dxa"/>
          </w:tcPr>
          <w:p w14:paraId="10B0E0BD" w14:textId="77777777" w:rsidR="007D48BE" w:rsidRPr="007D48BE" w:rsidRDefault="007D48BE" w:rsidP="007D48BE">
            <w:pPr>
              <w:tabs>
                <w:tab w:val="left" w:pos="105"/>
                <w:tab w:val="right" w:pos="1005"/>
              </w:tabs>
              <w:rPr>
                <w:rFonts w:ascii="Arial" w:hAnsi="Arial" w:cs="Arial"/>
                <w:lang w:val="en-GB"/>
              </w:rPr>
            </w:pPr>
            <w:r w:rsidRPr="007D48BE">
              <w:rPr>
                <w:rFonts w:ascii="Arial" w:hAnsi="Arial" w:cs="Arial"/>
                <w:lang w:val="en-GB"/>
              </w:rPr>
              <w:tab/>
            </w:r>
            <w:r w:rsidRPr="007D48BE">
              <w:rPr>
                <w:rFonts w:ascii="Arial" w:hAnsi="Arial" w:cs="Arial"/>
                <w:lang w:val="en-GB"/>
              </w:rPr>
              <w:tab/>
              <w:t>4,027</w:t>
            </w:r>
          </w:p>
        </w:tc>
        <w:tc>
          <w:tcPr>
            <w:tcW w:w="1275" w:type="dxa"/>
            <w:tcBorders>
              <w:top w:val="nil"/>
              <w:left w:val="nil"/>
              <w:bottom w:val="nil"/>
              <w:right w:val="nil"/>
            </w:tcBorders>
            <w:shd w:val="clear" w:color="auto" w:fill="auto"/>
            <w:vAlign w:val="bottom"/>
          </w:tcPr>
          <w:p w14:paraId="6CAA76EB" w14:textId="77777777" w:rsidR="007D48BE" w:rsidRPr="007D48BE" w:rsidRDefault="007D48BE" w:rsidP="007D48BE">
            <w:pPr>
              <w:tabs>
                <w:tab w:val="left" w:pos="90"/>
                <w:tab w:val="right" w:pos="1080"/>
              </w:tabs>
              <w:jc w:val="right"/>
              <w:rPr>
                <w:rFonts w:ascii="Arial" w:hAnsi="Arial" w:cs="Arial"/>
                <w:lang w:val="en-GB"/>
              </w:rPr>
            </w:pPr>
            <w:r w:rsidRPr="007D48BE">
              <w:rPr>
                <w:rFonts w:ascii="Arial" w:hAnsi="Arial" w:cs="Arial"/>
                <w:lang w:val="en-GB"/>
              </w:rPr>
              <w:t>1.6%</w:t>
            </w:r>
          </w:p>
        </w:tc>
      </w:tr>
      <w:tr w:rsidR="007D48BE" w:rsidRPr="007D48BE" w14:paraId="44732FDD" w14:textId="77777777" w:rsidTr="000A34E3">
        <w:tc>
          <w:tcPr>
            <w:tcW w:w="4338" w:type="dxa"/>
          </w:tcPr>
          <w:p w14:paraId="55C03D03" w14:textId="4DC4754E" w:rsidR="007D48BE" w:rsidRPr="007D48BE" w:rsidRDefault="007D48BE" w:rsidP="007D48BE">
            <w:pPr>
              <w:ind w:firstLine="176"/>
              <w:rPr>
                <w:rFonts w:ascii="Arial" w:hAnsi="Arial" w:cs="Arial"/>
                <w:lang w:val="en-GB"/>
              </w:rPr>
            </w:pPr>
            <w:r w:rsidRPr="007D48BE">
              <w:rPr>
                <w:rFonts w:ascii="Arial" w:hAnsi="Arial" w:cs="Arial"/>
                <w:lang w:val="en-GB"/>
              </w:rPr>
              <w:t>Business taxes, licenses</w:t>
            </w:r>
            <w:r w:rsidR="000A34E3">
              <w:rPr>
                <w:rFonts w:ascii="Arial" w:hAnsi="Arial" w:cs="Arial"/>
                <w:lang w:val="en-GB"/>
              </w:rPr>
              <w:t>,</w:t>
            </w:r>
            <w:r w:rsidRPr="007D48BE">
              <w:rPr>
                <w:rFonts w:ascii="Arial" w:hAnsi="Arial" w:cs="Arial"/>
                <w:lang w:val="en-GB"/>
              </w:rPr>
              <w:t xml:space="preserve"> and memberships</w:t>
            </w:r>
          </w:p>
        </w:tc>
        <w:tc>
          <w:tcPr>
            <w:tcW w:w="1276" w:type="dxa"/>
          </w:tcPr>
          <w:p w14:paraId="4AF17F72" w14:textId="77777777" w:rsidR="007D48BE" w:rsidRPr="007D48BE" w:rsidRDefault="007D48BE" w:rsidP="007D48BE">
            <w:pPr>
              <w:tabs>
                <w:tab w:val="left" w:pos="105"/>
                <w:tab w:val="right" w:pos="945"/>
              </w:tabs>
              <w:rPr>
                <w:rFonts w:ascii="Arial" w:hAnsi="Arial" w:cs="Arial"/>
                <w:lang w:val="en-GB"/>
              </w:rPr>
            </w:pPr>
            <w:r w:rsidRPr="007D48BE">
              <w:rPr>
                <w:rFonts w:ascii="Arial" w:hAnsi="Arial" w:cs="Arial"/>
                <w:lang w:val="en-GB"/>
              </w:rPr>
              <w:tab/>
            </w:r>
            <w:r w:rsidRPr="007D48BE">
              <w:rPr>
                <w:rFonts w:ascii="Arial" w:hAnsi="Arial" w:cs="Arial"/>
                <w:lang w:val="en-GB"/>
              </w:rPr>
              <w:tab/>
              <w:t>4,087</w:t>
            </w:r>
          </w:p>
        </w:tc>
        <w:tc>
          <w:tcPr>
            <w:tcW w:w="1275" w:type="dxa"/>
            <w:tcBorders>
              <w:top w:val="nil"/>
              <w:left w:val="nil"/>
              <w:bottom w:val="nil"/>
              <w:right w:val="nil"/>
            </w:tcBorders>
            <w:shd w:val="clear" w:color="auto" w:fill="auto"/>
            <w:vAlign w:val="bottom"/>
          </w:tcPr>
          <w:p w14:paraId="2DB30CB6" w14:textId="77777777" w:rsidR="007D48BE" w:rsidRPr="007D48BE" w:rsidRDefault="007D48BE" w:rsidP="007D48BE">
            <w:pPr>
              <w:tabs>
                <w:tab w:val="left" w:pos="105"/>
                <w:tab w:val="right" w:pos="1095"/>
              </w:tabs>
              <w:jc w:val="right"/>
              <w:rPr>
                <w:rFonts w:ascii="Arial" w:hAnsi="Arial" w:cs="Arial"/>
                <w:lang w:val="en-GB"/>
              </w:rPr>
            </w:pPr>
            <w:r w:rsidRPr="007D48BE">
              <w:rPr>
                <w:rFonts w:ascii="Arial" w:hAnsi="Arial" w:cs="Arial"/>
                <w:lang w:val="en-GB"/>
              </w:rPr>
              <w:t>1.4%</w:t>
            </w:r>
          </w:p>
        </w:tc>
        <w:tc>
          <w:tcPr>
            <w:tcW w:w="1276" w:type="dxa"/>
          </w:tcPr>
          <w:p w14:paraId="48FB62DB" w14:textId="77777777" w:rsidR="007D48BE" w:rsidRPr="007D48BE" w:rsidRDefault="007D48BE" w:rsidP="007D48BE">
            <w:pPr>
              <w:tabs>
                <w:tab w:val="left" w:pos="105"/>
                <w:tab w:val="right" w:pos="1005"/>
              </w:tabs>
              <w:rPr>
                <w:rFonts w:ascii="Arial" w:hAnsi="Arial" w:cs="Arial"/>
                <w:lang w:val="en-GB"/>
              </w:rPr>
            </w:pPr>
            <w:r w:rsidRPr="007D48BE">
              <w:rPr>
                <w:rFonts w:ascii="Arial" w:hAnsi="Arial" w:cs="Arial"/>
                <w:lang w:val="en-GB"/>
              </w:rPr>
              <w:tab/>
            </w:r>
            <w:r w:rsidRPr="007D48BE">
              <w:rPr>
                <w:rFonts w:ascii="Arial" w:hAnsi="Arial" w:cs="Arial"/>
                <w:lang w:val="en-GB"/>
              </w:rPr>
              <w:tab/>
              <w:t>4,056</w:t>
            </w:r>
          </w:p>
        </w:tc>
        <w:tc>
          <w:tcPr>
            <w:tcW w:w="1275" w:type="dxa"/>
            <w:tcBorders>
              <w:top w:val="nil"/>
              <w:left w:val="nil"/>
              <w:bottom w:val="nil"/>
              <w:right w:val="nil"/>
            </w:tcBorders>
            <w:shd w:val="clear" w:color="auto" w:fill="auto"/>
            <w:vAlign w:val="bottom"/>
          </w:tcPr>
          <w:p w14:paraId="6F0C42FF" w14:textId="77777777" w:rsidR="007D48BE" w:rsidRPr="007D48BE" w:rsidRDefault="007D48BE" w:rsidP="007D48BE">
            <w:pPr>
              <w:tabs>
                <w:tab w:val="left" w:pos="90"/>
                <w:tab w:val="right" w:pos="1080"/>
              </w:tabs>
              <w:jc w:val="right"/>
              <w:rPr>
                <w:rFonts w:ascii="Arial" w:hAnsi="Arial" w:cs="Arial"/>
                <w:lang w:val="en-GB"/>
              </w:rPr>
            </w:pPr>
            <w:r w:rsidRPr="007D48BE">
              <w:rPr>
                <w:rFonts w:ascii="Arial" w:hAnsi="Arial" w:cs="Arial"/>
                <w:lang w:val="en-GB"/>
              </w:rPr>
              <w:t>1.6%</w:t>
            </w:r>
          </w:p>
        </w:tc>
      </w:tr>
      <w:tr w:rsidR="007D48BE" w:rsidRPr="007D48BE" w14:paraId="7733410B" w14:textId="77777777" w:rsidTr="000A34E3">
        <w:tc>
          <w:tcPr>
            <w:tcW w:w="4338" w:type="dxa"/>
          </w:tcPr>
          <w:p w14:paraId="12001B9D" w14:textId="77777777" w:rsidR="007D48BE" w:rsidRPr="007D48BE" w:rsidRDefault="007D48BE" w:rsidP="007D48BE">
            <w:pPr>
              <w:ind w:firstLine="176"/>
              <w:rPr>
                <w:rFonts w:ascii="Arial" w:hAnsi="Arial" w:cs="Arial"/>
                <w:lang w:val="en-GB"/>
              </w:rPr>
            </w:pPr>
            <w:r w:rsidRPr="007D48BE">
              <w:rPr>
                <w:rFonts w:ascii="Arial" w:hAnsi="Arial" w:cs="Arial"/>
                <w:lang w:val="en-GB"/>
              </w:rPr>
              <w:t>Professional fees</w:t>
            </w:r>
          </w:p>
        </w:tc>
        <w:tc>
          <w:tcPr>
            <w:tcW w:w="1276" w:type="dxa"/>
          </w:tcPr>
          <w:p w14:paraId="292FFFD9" w14:textId="77777777" w:rsidR="007D48BE" w:rsidRPr="007D48BE" w:rsidRDefault="007D48BE" w:rsidP="007D48BE">
            <w:pPr>
              <w:tabs>
                <w:tab w:val="left" w:pos="105"/>
                <w:tab w:val="right" w:pos="945"/>
              </w:tabs>
              <w:rPr>
                <w:rFonts w:ascii="Arial" w:hAnsi="Arial" w:cs="Arial"/>
                <w:lang w:val="en-GB"/>
              </w:rPr>
            </w:pPr>
            <w:r w:rsidRPr="007D48BE">
              <w:rPr>
                <w:rFonts w:ascii="Arial" w:hAnsi="Arial" w:cs="Arial"/>
                <w:lang w:val="en-GB"/>
              </w:rPr>
              <w:tab/>
            </w:r>
            <w:r w:rsidRPr="007D48BE">
              <w:rPr>
                <w:rFonts w:ascii="Arial" w:hAnsi="Arial" w:cs="Arial"/>
                <w:lang w:val="en-GB"/>
              </w:rPr>
              <w:tab/>
              <w:t>2,192</w:t>
            </w:r>
          </w:p>
        </w:tc>
        <w:tc>
          <w:tcPr>
            <w:tcW w:w="1275" w:type="dxa"/>
            <w:tcBorders>
              <w:top w:val="nil"/>
              <w:left w:val="nil"/>
              <w:bottom w:val="nil"/>
              <w:right w:val="nil"/>
            </w:tcBorders>
            <w:shd w:val="clear" w:color="auto" w:fill="auto"/>
            <w:vAlign w:val="bottom"/>
          </w:tcPr>
          <w:p w14:paraId="3176E8F2" w14:textId="77777777" w:rsidR="007D48BE" w:rsidRPr="007D48BE" w:rsidRDefault="007D48BE" w:rsidP="007D48BE">
            <w:pPr>
              <w:tabs>
                <w:tab w:val="left" w:pos="105"/>
                <w:tab w:val="right" w:pos="1095"/>
              </w:tabs>
              <w:jc w:val="right"/>
              <w:rPr>
                <w:rFonts w:ascii="Arial" w:hAnsi="Arial" w:cs="Arial"/>
                <w:lang w:val="en-GB"/>
              </w:rPr>
            </w:pPr>
            <w:r w:rsidRPr="007D48BE">
              <w:rPr>
                <w:rFonts w:ascii="Arial" w:hAnsi="Arial" w:cs="Arial"/>
                <w:lang w:val="en-GB"/>
              </w:rPr>
              <w:t>0.7%</w:t>
            </w:r>
          </w:p>
        </w:tc>
        <w:tc>
          <w:tcPr>
            <w:tcW w:w="1276" w:type="dxa"/>
          </w:tcPr>
          <w:p w14:paraId="39D35FD6" w14:textId="77777777" w:rsidR="007D48BE" w:rsidRPr="007D48BE" w:rsidRDefault="007D48BE" w:rsidP="007D48BE">
            <w:pPr>
              <w:tabs>
                <w:tab w:val="left" w:pos="105"/>
                <w:tab w:val="right" w:pos="1005"/>
              </w:tabs>
              <w:rPr>
                <w:rFonts w:ascii="Arial" w:hAnsi="Arial" w:cs="Arial"/>
                <w:lang w:val="en-GB"/>
              </w:rPr>
            </w:pPr>
            <w:r w:rsidRPr="007D48BE">
              <w:rPr>
                <w:rFonts w:ascii="Arial" w:hAnsi="Arial" w:cs="Arial"/>
                <w:lang w:val="en-GB"/>
              </w:rPr>
              <w:tab/>
            </w:r>
            <w:r w:rsidRPr="007D48BE">
              <w:rPr>
                <w:rFonts w:ascii="Arial" w:hAnsi="Arial" w:cs="Arial"/>
                <w:lang w:val="en-GB"/>
              </w:rPr>
              <w:tab/>
              <w:t>1,960</w:t>
            </w:r>
          </w:p>
        </w:tc>
        <w:tc>
          <w:tcPr>
            <w:tcW w:w="1275" w:type="dxa"/>
            <w:tcBorders>
              <w:top w:val="nil"/>
              <w:left w:val="nil"/>
              <w:bottom w:val="nil"/>
              <w:right w:val="nil"/>
            </w:tcBorders>
            <w:shd w:val="clear" w:color="auto" w:fill="auto"/>
            <w:vAlign w:val="bottom"/>
          </w:tcPr>
          <w:p w14:paraId="7D105900" w14:textId="77777777" w:rsidR="007D48BE" w:rsidRPr="007D48BE" w:rsidRDefault="007D48BE" w:rsidP="007D48BE">
            <w:pPr>
              <w:tabs>
                <w:tab w:val="left" w:pos="90"/>
                <w:tab w:val="right" w:pos="1080"/>
              </w:tabs>
              <w:jc w:val="right"/>
              <w:rPr>
                <w:rFonts w:ascii="Arial" w:hAnsi="Arial" w:cs="Arial"/>
                <w:lang w:val="en-GB"/>
              </w:rPr>
            </w:pPr>
            <w:r w:rsidRPr="007D48BE">
              <w:rPr>
                <w:rFonts w:ascii="Arial" w:hAnsi="Arial" w:cs="Arial"/>
                <w:lang w:val="en-GB"/>
              </w:rPr>
              <w:t>0.8%</w:t>
            </w:r>
          </w:p>
        </w:tc>
      </w:tr>
      <w:tr w:rsidR="007D48BE" w:rsidRPr="007D48BE" w14:paraId="7BB40DF4" w14:textId="77777777" w:rsidTr="000A34E3">
        <w:tc>
          <w:tcPr>
            <w:tcW w:w="4338" w:type="dxa"/>
          </w:tcPr>
          <w:p w14:paraId="04534081" w14:textId="77777777" w:rsidR="007D48BE" w:rsidRPr="007D48BE" w:rsidRDefault="007D48BE" w:rsidP="007D48BE">
            <w:pPr>
              <w:ind w:firstLine="176"/>
              <w:rPr>
                <w:rFonts w:ascii="Arial" w:hAnsi="Arial" w:cs="Arial"/>
                <w:lang w:val="en-GB"/>
              </w:rPr>
            </w:pPr>
            <w:r w:rsidRPr="007D48BE">
              <w:rPr>
                <w:rFonts w:ascii="Arial" w:hAnsi="Arial" w:cs="Arial"/>
                <w:lang w:val="en-GB"/>
              </w:rPr>
              <w:t>Insurance</w:t>
            </w:r>
          </w:p>
        </w:tc>
        <w:tc>
          <w:tcPr>
            <w:tcW w:w="1276" w:type="dxa"/>
          </w:tcPr>
          <w:p w14:paraId="08DE51EF" w14:textId="77777777" w:rsidR="007D48BE" w:rsidRPr="007D48BE" w:rsidRDefault="007D48BE" w:rsidP="007D48BE">
            <w:pPr>
              <w:tabs>
                <w:tab w:val="left" w:pos="105"/>
                <w:tab w:val="right" w:pos="945"/>
              </w:tabs>
              <w:rPr>
                <w:rFonts w:ascii="Arial" w:hAnsi="Arial" w:cs="Arial"/>
                <w:lang w:val="en-GB"/>
              </w:rPr>
            </w:pPr>
            <w:r w:rsidRPr="007D48BE">
              <w:rPr>
                <w:rFonts w:ascii="Arial" w:hAnsi="Arial" w:cs="Arial"/>
                <w:lang w:val="en-GB"/>
              </w:rPr>
              <w:tab/>
            </w:r>
            <w:r w:rsidRPr="007D48BE">
              <w:rPr>
                <w:rFonts w:ascii="Arial" w:hAnsi="Arial" w:cs="Arial"/>
                <w:lang w:val="en-GB"/>
              </w:rPr>
              <w:tab/>
              <w:t>2,170</w:t>
            </w:r>
          </w:p>
        </w:tc>
        <w:tc>
          <w:tcPr>
            <w:tcW w:w="1275" w:type="dxa"/>
            <w:tcBorders>
              <w:top w:val="nil"/>
              <w:left w:val="nil"/>
              <w:bottom w:val="nil"/>
              <w:right w:val="nil"/>
            </w:tcBorders>
            <w:shd w:val="clear" w:color="auto" w:fill="auto"/>
            <w:vAlign w:val="bottom"/>
          </w:tcPr>
          <w:p w14:paraId="53F9F2B9" w14:textId="77777777" w:rsidR="007D48BE" w:rsidRPr="007D48BE" w:rsidRDefault="007D48BE" w:rsidP="007D48BE">
            <w:pPr>
              <w:tabs>
                <w:tab w:val="left" w:pos="105"/>
                <w:tab w:val="right" w:pos="1095"/>
              </w:tabs>
              <w:jc w:val="right"/>
              <w:rPr>
                <w:rFonts w:ascii="Arial" w:hAnsi="Arial" w:cs="Arial"/>
                <w:lang w:val="en-GB"/>
              </w:rPr>
            </w:pPr>
            <w:r w:rsidRPr="007D48BE">
              <w:rPr>
                <w:rFonts w:ascii="Arial" w:hAnsi="Arial" w:cs="Arial"/>
                <w:lang w:val="en-GB"/>
              </w:rPr>
              <w:t>0.7%</w:t>
            </w:r>
          </w:p>
        </w:tc>
        <w:tc>
          <w:tcPr>
            <w:tcW w:w="1276" w:type="dxa"/>
          </w:tcPr>
          <w:p w14:paraId="36E18630" w14:textId="77777777" w:rsidR="007D48BE" w:rsidRPr="007D48BE" w:rsidRDefault="007D48BE" w:rsidP="007D48BE">
            <w:pPr>
              <w:tabs>
                <w:tab w:val="left" w:pos="105"/>
                <w:tab w:val="right" w:pos="1005"/>
              </w:tabs>
              <w:rPr>
                <w:rFonts w:ascii="Arial" w:hAnsi="Arial" w:cs="Arial"/>
                <w:lang w:val="en-GB"/>
              </w:rPr>
            </w:pPr>
            <w:r w:rsidRPr="007D48BE">
              <w:rPr>
                <w:rFonts w:ascii="Arial" w:hAnsi="Arial" w:cs="Arial"/>
                <w:lang w:val="en-GB"/>
              </w:rPr>
              <w:tab/>
            </w:r>
            <w:r w:rsidRPr="007D48BE">
              <w:rPr>
                <w:rFonts w:ascii="Arial" w:hAnsi="Arial" w:cs="Arial"/>
                <w:lang w:val="en-GB"/>
              </w:rPr>
              <w:tab/>
              <w:t>2,091</w:t>
            </w:r>
          </w:p>
        </w:tc>
        <w:tc>
          <w:tcPr>
            <w:tcW w:w="1275" w:type="dxa"/>
            <w:tcBorders>
              <w:top w:val="nil"/>
              <w:left w:val="nil"/>
              <w:bottom w:val="nil"/>
              <w:right w:val="nil"/>
            </w:tcBorders>
            <w:shd w:val="clear" w:color="auto" w:fill="auto"/>
            <w:vAlign w:val="bottom"/>
          </w:tcPr>
          <w:p w14:paraId="04E5B742" w14:textId="77777777" w:rsidR="007D48BE" w:rsidRPr="007D48BE" w:rsidRDefault="007D48BE" w:rsidP="007D48BE">
            <w:pPr>
              <w:tabs>
                <w:tab w:val="left" w:pos="90"/>
                <w:tab w:val="right" w:pos="1080"/>
              </w:tabs>
              <w:jc w:val="right"/>
              <w:rPr>
                <w:rFonts w:ascii="Arial" w:hAnsi="Arial" w:cs="Arial"/>
                <w:lang w:val="en-GB"/>
              </w:rPr>
            </w:pPr>
            <w:r w:rsidRPr="007D48BE">
              <w:rPr>
                <w:rFonts w:ascii="Arial" w:hAnsi="Arial" w:cs="Arial"/>
                <w:lang w:val="en-GB"/>
              </w:rPr>
              <w:t>0.8%</w:t>
            </w:r>
          </w:p>
        </w:tc>
      </w:tr>
      <w:tr w:rsidR="007D48BE" w:rsidRPr="007D48BE" w14:paraId="4A0FBB0B" w14:textId="77777777" w:rsidTr="000A34E3">
        <w:tc>
          <w:tcPr>
            <w:tcW w:w="4338" w:type="dxa"/>
          </w:tcPr>
          <w:p w14:paraId="45884592" w14:textId="77777777" w:rsidR="007D48BE" w:rsidRPr="007D48BE" w:rsidRDefault="007D48BE" w:rsidP="007D48BE">
            <w:pPr>
              <w:ind w:firstLine="176"/>
              <w:rPr>
                <w:rFonts w:ascii="Arial" w:hAnsi="Arial" w:cs="Arial"/>
                <w:lang w:val="en-GB"/>
              </w:rPr>
            </w:pPr>
            <w:r w:rsidRPr="007D48BE">
              <w:rPr>
                <w:rFonts w:ascii="Arial" w:hAnsi="Arial" w:cs="Arial"/>
                <w:lang w:val="en-GB"/>
              </w:rPr>
              <w:t>Telephone</w:t>
            </w:r>
          </w:p>
        </w:tc>
        <w:tc>
          <w:tcPr>
            <w:tcW w:w="1276" w:type="dxa"/>
          </w:tcPr>
          <w:p w14:paraId="17E1DCAA" w14:textId="77777777" w:rsidR="007D48BE" w:rsidRPr="007D48BE" w:rsidRDefault="007D48BE" w:rsidP="007D48BE">
            <w:pPr>
              <w:tabs>
                <w:tab w:val="left" w:pos="105"/>
                <w:tab w:val="right" w:pos="945"/>
              </w:tabs>
              <w:rPr>
                <w:rFonts w:ascii="Arial" w:hAnsi="Arial" w:cs="Arial"/>
                <w:lang w:val="en-GB"/>
              </w:rPr>
            </w:pPr>
            <w:r w:rsidRPr="007D48BE">
              <w:rPr>
                <w:rFonts w:ascii="Arial" w:hAnsi="Arial" w:cs="Arial"/>
                <w:lang w:val="en-GB"/>
              </w:rPr>
              <w:tab/>
            </w:r>
            <w:r w:rsidRPr="007D48BE">
              <w:rPr>
                <w:rFonts w:ascii="Arial" w:hAnsi="Arial" w:cs="Arial"/>
                <w:lang w:val="en-GB"/>
              </w:rPr>
              <w:tab/>
              <w:t>1,293</w:t>
            </w:r>
          </w:p>
        </w:tc>
        <w:tc>
          <w:tcPr>
            <w:tcW w:w="1275" w:type="dxa"/>
            <w:tcBorders>
              <w:top w:val="nil"/>
              <w:left w:val="nil"/>
              <w:bottom w:val="nil"/>
              <w:right w:val="nil"/>
            </w:tcBorders>
            <w:shd w:val="clear" w:color="auto" w:fill="auto"/>
            <w:vAlign w:val="bottom"/>
          </w:tcPr>
          <w:p w14:paraId="4EDB2B71" w14:textId="77777777" w:rsidR="007D48BE" w:rsidRPr="007D48BE" w:rsidRDefault="007D48BE" w:rsidP="007D48BE">
            <w:pPr>
              <w:tabs>
                <w:tab w:val="left" w:pos="105"/>
                <w:tab w:val="right" w:pos="1095"/>
              </w:tabs>
              <w:jc w:val="right"/>
              <w:rPr>
                <w:rFonts w:ascii="Arial" w:hAnsi="Arial" w:cs="Arial"/>
                <w:lang w:val="en-GB"/>
              </w:rPr>
            </w:pPr>
            <w:r w:rsidRPr="007D48BE">
              <w:rPr>
                <w:rFonts w:ascii="Arial" w:hAnsi="Arial" w:cs="Arial"/>
                <w:lang w:val="en-GB"/>
              </w:rPr>
              <w:t>0.4%</w:t>
            </w:r>
          </w:p>
        </w:tc>
        <w:tc>
          <w:tcPr>
            <w:tcW w:w="1276" w:type="dxa"/>
          </w:tcPr>
          <w:p w14:paraId="491E650B" w14:textId="77777777" w:rsidR="007D48BE" w:rsidRPr="007D48BE" w:rsidRDefault="007D48BE" w:rsidP="007D48BE">
            <w:pPr>
              <w:tabs>
                <w:tab w:val="left" w:pos="105"/>
                <w:tab w:val="right" w:pos="1005"/>
              </w:tabs>
              <w:rPr>
                <w:rFonts w:ascii="Arial" w:hAnsi="Arial" w:cs="Arial"/>
                <w:lang w:val="en-GB"/>
              </w:rPr>
            </w:pPr>
            <w:r w:rsidRPr="007D48BE">
              <w:rPr>
                <w:rFonts w:ascii="Arial" w:hAnsi="Arial" w:cs="Arial"/>
                <w:lang w:val="en-GB"/>
              </w:rPr>
              <w:tab/>
            </w:r>
            <w:r w:rsidRPr="007D48BE">
              <w:rPr>
                <w:rFonts w:ascii="Arial" w:hAnsi="Arial" w:cs="Arial"/>
                <w:lang w:val="en-GB"/>
              </w:rPr>
              <w:tab/>
              <w:t>3,382</w:t>
            </w:r>
          </w:p>
        </w:tc>
        <w:tc>
          <w:tcPr>
            <w:tcW w:w="1275" w:type="dxa"/>
            <w:tcBorders>
              <w:top w:val="nil"/>
              <w:left w:val="nil"/>
              <w:bottom w:val="nil"/>
              <w:right w:val="nil"/>
            </w:tcBorders>
            <w:shd w:val="clear" w:color="auto" w:fill="auto"/>
            <w:vAlign w:val="bottom"/>
          </w:tcPr>
          <w:p w14:paraId="2E172C6A" w14:textId="77777777" w:rsidR="007D48BE" w:rsidRPr="007D48BE" w:rsidRDefault="007D48BE" w:rsidP="007D48BE">
            <w:pPr>
              <w:tabs>
                <w:tab w:val="left" w:pos="90"/>
                <w:tab w:val="right" w:pos="1080"/>
              </w:tabs>
              <w:jc w:val="right"/>
              <w:rPr>
                <w:rFonts w:ascii="Arial" w:hAnsi="Arial" w:cs="Arial"/>
                <w:lang w:val="en-GB"/>
              </w:rPr>
            </w:pPr>
            <w:r w:rsidRPr="007D48BE">
              <w:rPr>
                <w:rFonts w:ascii="Arial" w:hAnsi="Arial" w:cs="Arial"/>
                <w:lang w:val="en-GB"/>
              </w:rPr>
              <w:t>1.4%</w:t>
            </w:r>
          </w:p>
        </w:tc>
      </w:tr>
      <w:tr w:rsidR="007D48BE" w:rsidRPr="007D48BE" w14:paraId="2E4C5E80" w14:textId="77777777" w:rsidTr="000A34E3">
        <w:tc>
          <w:tcPr>
            <w:tcW w:w="4338" w:type="dxa"/>
          </w:tcPr>
          <w:p w14:paraId="58877B59" w14:textId="77777777" w:rsidR="007D48BE" w:rsidRPr="007D48BE" w:rsidRDefault="007D48BE" w:rsidP="007D48BE">
            <w:pPr>
              <w:ind w:firstLine="176"/>
              <w:rPr>
                <w:rFonts w:ascii="Arial" w:hAnsi="Arial" w:cs="Arial"/>
                <w:lang w:val="en-GB"/>
              </w:rPr>
            </w:pPr>
            <w:r w:rsidRPr="007D48BE">
              <w:rPr>
                <w:rFonts w:ascii="Arial" w:hAnsi="Arial" w:cs="Arial"/>
                <w:lang w:val="en-GB"/>
              </w:rPr>
              <w:t>Meals and entertainment</w:t>
            </w:r>
          </w:p>
        </w:tc>
        <w:tc>
          <w:tcPr>
            <w:tcW w:w="1276" w:type="dxa"/>
          </w:tcPr>
          <w:p w14:paraId="6093E3D1" w14:textId="77777777" w:rsidR="007D48BE" w:rsidRPr="007D48BE" w:rsidRDefault="007D48BE" w:rsidP="007D48BE">
            <w:pPr>
              <w:tabs>
                <w:tab w:val="left" w:pos="105"/>
                <w:tab w:val="right" w:pos="945"/>
              </w:tabs>
              <w:rPr>
                <w:rFonts w:ascii="Arial" w:hAnsi="Arial" w:cs="Arial"/>
                <w:lang w:val="en-GB"/>
              </w:rPr>
            </w:pPr>
            <w:r w:rsidRPr="007D48BE">
              <w:rPr>
                <w:rFonts w:ascii="Arial" w:hAnsi="Arial" w:cs="Arial"/>
                <w:lang w:val="en-GB"/>
              </w:rPr>
              <w:tab/>
            </w:r>
            <w:r w:rsidRPr="007D48BE">
              <w:rPr>
                <w:rFonts w:ascii="Arial" w:hAnsi="Arial" w:cs="Arial"/>
                <w:lang w:val="en-GB"/>
              </w:rPr>
              <w:tab/>
              <w:t>919</w:t>
            </w:r>
          </w:p>
        </w:tc>
        <w:tc>
          <w:tcPr>
            <w:tcW w:w="1275" w:type="dxa"/>
            <w:tcBorders>
              <w:top w:val="nil"/>
              <w:left w:val="nil"/>
              <w:bottom w:val="nil"/>
              <w:right w:val="nil"/>
            </w:tcBorders>
            <w:shd w:val="clear" w:color="auto" w:fill="auto"/>
            <w:vAlign w:val="bottom"/>
          </w:tcPr>
          <w:p w14:paraId="2497A4A4" w14:textId="77777777" w:rsidR="007D48BE" w:rsidRPr="007D48BE" w:rsidRDefault="007D48BE" w:rsidP="007D48BE">
            <w:pPr>
              <w:tabs>
                <w:tab w:val="left" w:pos="105"/>
                <w:tab w:val="right" w:pos="1095"/>
              </w:tabs>
              <w:jc w:val="right"/>
              <w:rPr>
                <w:rFonts w:ascii="Arial" w:hAnsi="Arial" w:cs="Arial"/>
                <w:lang w:val="en-GB"/>
              </w:rPr>
            </w:pPr>
            <w:r w:rsidRPr="007D48BE">
              <w:rPr>
                <w:rFonts w:ascii="Arial" w:hAnsi="Arial" w:cs="Arial"/>
                <w:lang w:val="en-GB"/>
              </w:rPr>
              <w:t>0.3%</w:t>
            </w:r>
          </w:p>
        </w:tc>
        <w:tc>
          <w:tcPr>
            <w:tcW w:w="1276" w:type="dxa"/>
          </w:tcPr>
          <w:p w14:paraId="6893E7A4" w14:textId="77777777" w:rsidR="007D48BE" w:rsidRPr="007D48BE" w:rsidRDefault="007D48BE" w:rsidP="007D48BE">
            <w:pPr>
              <w:tabs>
                <w:tab w:val="left" w:pos="105"/>
                <w:tab w:val="right" w:pos="1005"/>
              </w:tabs>
              <w:rPr>
                <w:rFonts w:ascii="Arial" w:hAnsi="Arial" w:cs="Arial"/>
                <w:lang w:val="en-GB"/>
              </w:rPr>
            </w:pPr>
            <w:r w:rsidRPr="007D48BE">
              <w:rPr>
                <w:rFonts w:ascii="Arial" w:hAnsi="Arial" w:cs="Arial"/>
                <w:lang w:val="en-GB"/>
              </w:rPr>
              <w:tab/>
            </w:r>
            <w:r w:rsidRPr="007D48BE">
              <w:rPr>
                <w:rFonts w:ascii="Arial" w:hAnsi="Arial" w:cs="Arial"/>
                <w:lang w:val="en-GB"/>
              </w:rPr>
              <w:tab/>
              <w:t>3,843</w:t>
            </w:r>
          </w:p>
        </w:tc>
        <w:tc>
          <w:tcPr>
            <w:tcW w:w="1275" w:type="dxa"/>
            <w:tcBorders>
              <w:top w:val="nil"/>
              <w:left w:val="nil"/>
              <w:bottom w:val="nil"/>
              <w:right w:val="nil"/>
            </w:tcBorders>
            <w:shd w:val="clear" w:color="auto" w:fill="auto"/>
            <w:vAlign w:val="bottom"/>
          </w:tcPr>
          <w:p w14:paraId="0D2A6409" w14:textId="77777777" w:rsidR="007D48BE" w:rsidRPr="007D48BE" w:rsidRDefault="007D48BE" w:rsidP="007D48BE">
            <w:pPr>
              <w:tabs>
                <w:tab w:val="left" w:pos="90"/>
                <w:tab w:val="right" w:pos="1080"/>
              </w:tabs>
              <w:jc w:val="right"/>
              <w:rPr>
                <w:rFonts w:ascii="Arial" w:hAnsi="Arial" w:cs="Arial"/>
                <w:lang w:val="en-GB"/>
              </w:rPr>
            </w:pPr>
            <w:r w:rsidRPr="007D48BE">
              <w:rPr>
                <w:rFonts w:ascii="Arial" w:hAnsi="Arial" w:cs="Arial"/>
                <w:lang w:val="en-GB"/>
              </w:rPr>
              <w:t>1.5%</w:t>
            </w:r>
          </w:p>
        </w:tc>
      </w:tr>
      <w:tr w:rsidR="007D48BE" w:rsidRPr="007D48BE" w14:paraId="4AB02644" w14:textId="77777777" w:rsidTr="000A34E3">
        <w:tc>
          <w:tcPr>
            <w:tcW w:w="4338" w:type="dxa"/>
          </w:tcPr>
          <w:p w14:paraId="42D214F0" w14:textId="77777777" w:rsidR="007D48BE" w:rsidRPr="007D48BE" w:rsidRDefault="007D48BE" w:rsidP="007D48BE">
            <w:pPr>
              <w:ind w:firstLine="176"/>
              <w:rPr>
                <w:rFonts w:ascii="Arial" w:hAnsi="Arial" w:cs="Arial"/>
                <w:lang w:val="en-GB"/>
              </w:rPr>
            </w:pPr>
            <w:r w:rsidRPr="007D48BE">
              <w:rPr>
                <w:rFonts w:ascii="Arial" w:hAnsi="Arial" w:cs="Arial"/>
                <w:lang w:val="en-GB"/>
              </w:rPr>
              <w:t>Office supplies</w:t>
            </w:r>
          </w:p>
        </w:tc>
        <w:tc>
          <w:tcPr>
            <w:tcW w:w="1276" w:type="dxa"/>
          </w:tcPr>
          <w:p w14:paraId="107A1D1F" w14:textId="77777777" w:rsidR="007D48BE" w:rsidRPr="007D48BE" w:rsidRDefault="007D48BE" w:rsidP="007D48BE">
            <w:pPr>
              <w:tabs>
                <w:tab w:val="left" w:pos="105"/>
                <w:tab w:val="right" w:pos="945"/>
              </w:tabs>
              <w:rPr>
                <w:rFonts w:ascii="Arial" w:hAnsi="Arial" w:cs="Arial"/>
                <w:lang w:val="en-GB"/>
              </w:rPr>
            </w:pPr>
            <w:r w:rsidRPr="007D48BE">
              <w:rPr>
                <w:rFonts w:ascii="Arial" w:hAnsi="Arial" w:cs="Arial"/>
                <w:lang w:val="en-GB"/>
              </w:rPr>
              <w:tab/>
            </w:r>
            <w:r w:rsidRPr="007D48BE">
              <w:rPr>
                <w:rFonts w:ascii="Arial" w:hAnsi="Arial" w:cs="Arial"/>
                <w:lang w:val="en-GB"/>
              </w:rPr>
              <w:tab/>
              <w:t>496</w:t>
            </w:r>
          </w:p>
        </w:tc>
        <w:tc>
          <w:tcPr>
            <w:tcW w:w="1275" w:type="dxa"/>
            <w:tcBorders>
              <w:top w:val="nil"/>
              <w:left w:val="nil"/>
              <w:bottom w:val="nil"/>
              <w:right w:val="nil"/>
            </w:tcBorders>
            <w:shd w:val="clear" w:color="auto" w:fill="auto"/>
            <w:vAlign w:val="bottom"/>
          </w:tcPr>
          <w:p w14:paraId="37BBF140" w14:textId="77777777" w:rsidR="007D48BE" w:rsidRPr="007D48BE" w:rsidRDefault="007D48BE" w:rsidP="007D48BE">
            <w:pPr>
              <w:tabs>
                <w:tab w:val="left" w:pos="105"/>
                <w:tab w:val="right" w:pos="1095"/>
              </w:tabs>
              <w:jc w:val="right"/>
              <w:rPr>
                <w:rFonts w:ascii="Arial" w:hAnsi="Arial" w:cs="Arial"/>
                <w:lang w:val="en-GB"/>
              </w:rPr>
            </w:pPr>
            <w:r w:rsidRPr="007D48BE">
              <w:rPr>
                <w:rFonts w:ascii="Arial" w:hAnsi="Arial" w:cs="Arial"/>
                <w:lang w:val="en-GB"/>
              </w:rPr>
              <w:t>0.2%</w:t>
            </w:r>
          </w:p>
        </w:tc>
        <w:tc>
          <w:tcPr>
            <w:tcW w:w="1276" w:type="dxa"/>
          </w:tcPr>
          <w:p w14:paraId="4022E690" w14:textId="77777777" w:rsidR="007D48BE" w:rsidRPr="007D48BE" w:rsidRDefault="007D48BE" w:rsidP="007D48BE">
            <w:pPr>
              <w:tabs>
                <w:tab w:val="left" w:pos="105"/>
                <w:tab w:val="right" w:pos="1005"/>
              </w:tabs>
              <w:rPr>
                <w:rFonts w:ascii="Arial" w:hAnsi="Arial" w:cs="Arial"/>
                <w:lang w:val="en-GB"/>
              </w:rPr>
            </w:pPr>
            <w:r w:rsidRPr="007D48BE">
              <w:rPr>
                <w:rFonts w:ascii="Arial" w:hAnsi="Arial" w:cs="Arial"/>
                <w:lang w:val="en-GB"/>
              </w:rPr>
              <w:tab/>
            </w:r>
            <w:r w:rsidRPr="007D48BE">
              <w:rPr>
                <w:rFonts w:ascii="Arial" w:hAnsi="Arial" w:cs="Arial"/>
                <w:lang w:val="en-GB"/>
              </w:rPr>
              <w:tab/>
              <w:t>1,995</w:t>
            </w:r>
          </w:p>
        </w:tc>
        <w:tc>
          <w:tcPr>
            <w:tcW w:w="1275" w:type="dxa"/>
            <w:tcBorders>
              <w:top w:val="nil"/>
              <w:left w:val="nil"/>
              <w:bottom w:val="nil"/>
              <w:right w:val="nil"/>
            </w:tcBorders>
            <w:shd w:val="clear" w:color="auto" w:fill="auto"/>
            <w:vAlign w:val="bottom"/>
          </w:tcPr>
          <w:p w14:paraId="15F3F2A3" w14:textId="77777777" w:rsidR="007D48BE" w:rsidRPr="007D48BE" w:rsidRDefault="007D48BE" w:rsidP="007D48BE">
            <w:pPr>
              <w:tabs>
                <w:tab w:val="left" w:pos="90"/>
                <w:tab w:val="right" w:pos="1080"/>
              </w:tabs>
              <w:jc w:val="right"/>
              <w:rPr>
                <w:rFonts w:ascii="Arial" w:hAnsi="Arial" w:cs="Arial"/>
                <w:lang w:val="en-GB"/>
              </w:rPr>
            </w:pPr>
            <w:r w:rsidRPr="007D48BE">
              <w:rPr>
                <w:rFonts w:ascii="Arial" w:hAnsi="Arial" w:cs="Arial"/>
                <w:lang w:val="en-GB"/>
              </w:rPr>
              <w:t>0.8%</w:t>
            </w:r>
          </w:p>
        </w:tc>
      </w:tr>
      <w:tr w:rsidR="007D48BE" w:rsidRPr="007D48BE" w14:paraId="077D1C60" w14:textId="77777777" w:rsidTr="000A34E3">
        <w:tc>
          <w:tcPr>
            <w:tcW w:w="4338" w:type="dxa"/>
          </w:tcPr>
          <w:p w14:paraId="62B8CA61" w14:textId="77777777" w:rsidR="007D48BE" w:rsidRPr="007D48BE" w:rsidRDefault="007D48BE" w:rsidP="007D48BE">
            <w:pPr>
              <w:ind w:firstLine="176"/>
              <w:rPr>
                <w:rFonts w:ascii="Arial" w:hAnsi="Arial" w:cs="Arial"/>
                <w:lang w:val="en-GB"/>
              </w:rPr>
            </w:pPr>
            <w:r w:rsidRPr="007D48BE">
              <w:rPr>
                <w:rFonts w:ascii="Arial" w:hAnsi="Arial" w:cs="Arial"/>
                <w:lang w:val="en-GB"/>
              </w:rPr>
              <w:t>Conventions and courses</w:t>
            </w:r>
          </w:p>
        </w:tc>
        <w:tc>
          <w:tcPr>
            <w:tcW w:w="1276" w:type="dxa"/>
          </w:tcPr>
          <w:p w14:paraId="6638D69C" w14:textId="77777777" w:rsidR="007D48BE" w:rsidRPr="007D48BE" w:rsidRDefault="007D48BE" w:rsidP="007D48BE">
            <w:pPr>
              <w:tabs>
                <w:tab w:val="left" w:pos="105"/>
                <w:tab w:val="right" w:pos="945"/>
              </w:tabs>
              <w:jc w:val="center"/>
              <w:rPr>
                <w:rFonts w:ascii="Arial" w:hAnsi="Arial" w:cs="Arial"/>
                <w:lang w:val="en-GB"/>
              </w:rPr>
            </w:pPr>
            <w:r w:rsidRPr="007D48BE">
              <w:rPr>
                <w:rFonts w:ascii="Arial" w:hAnsi="Arial" w:cs="Arial"/>
                <w:lang w:val="en-GB"/>
              </w:rPr>
              <w:t>–</w:t>
            </w:r>
          </w:p>
        </w:tc>
        <w:tc>
          <w:tcPr>
            <w:tcW w:w="1275" w:type="dxa"/>
          </w:tcPr>
          <w:p w14:paraId="2D8E03AD" w14:textId="77777777" w:rsidR="007D48BE" w:rsidRPr="007D48BE" w:rsidRDefault="007D48BE" w:rsidP="007D48BE">
            <w:pPr>
              <w:tabs>
                <w:tab w:val="left" w:pos="105"/>
                <w:tab w:val="right" w:pos="1095"/>
              </w:tabs>
              <w:jc w:val="right"/>
              <w:rPr>
                <w:rFonts w:ascii="Arial" w:hAnsi="Arial" w:cs="Arial"/>
                <w:lang w:val="en-GB"/>
              </w:rPr>
            </w:pPr>
            <w:r w:rsidRPr="007D48BE">
              <w:rPr>
                <w:rFonts w:ascii="Arial" w:hAnsi="Arial" w:cs="Arial"/>
                <w:lang w:val="en-GB"/>
              </w:rPr>
              <w:t>0.0%</w:t>
            </w:r>
          </w:p>
        </w:tc>
        <w:tc>
          <w:tcPr>
            <w:tcW w:w="1276" w:type="dxa"/>
          </w:tcPr>
          <w:p w14:paraId="3C2FD7FE" w14:textId="77777777" w:rsidR="007D48BE" w:rsidRPr="007D48BE" w:rsidRDefault="007D48BE" w:rsidP="007D48BE">
            <w:pPr>
              <w:tabs>
                <w:tab w:val="left" w:pos="105"/>
                <w:tab w:val="right" w:pos="1005"/>
              </w:tabs>
              <w:rPr>
                <w:rFonts w:ascii="Arial" w:hAnsi="Arial" w:cs="Arial"/>
                <w:lang w:val="en-GB"/>
              </w:rPr>
            </w:pPr>
            <w:r w:rsidRPr="007D48BE">
              <w:rPr>
                <w:rFonts w:ascii="Arial" w:hAnsi="Arial" w:cs="Arial"/>
                <w:lang w:val="en-GB"/>
              </w:rPr>
              <w:tab/>
            </w:r>
            <w:r w:rsidRPr="007D48BE">
              <w:rPr>
                <w:rFonts w:ascii="Arial" w:hAnsi="Arial" w:cs="Arial"/>
                <w:lang w:val="en-GB"/>
              </w:rPr>
              <w:tab/>
              <w:t>109</w:t>
            </w:r>
          </w:p>
        </w:tc>
        <w:tc>
          <w:tcPr>
            <w:tcW w:w="1275" w:type="dxa"/>
            <w:tcBorders>
              <w:top w:val="nil"/>
              <w:left w:val="nil"/>
              <w:bottom w:val="nil"/>
              <w:right w:val="nil"/>
            </w:tcBorders>
            <w:shd w:val="clear" w:color="auto" w:fill="auto"/>
            <w:vAlign w:val="bottom"/>
          </w:tcPr>
          <w:p w14:paraId="127E0471" w14:textId="77777777" w:rsidR="007D48BE" w:rsidRPr="007D48BE" w:rsidRDefault="007D48BE" w:rsidP="007D48BE">
            <w:pPr>
              <w:tabs>
                <w:tab w:val="left" w:pos="90"/>
                <w:tab w:val="right" w:pos="1080"/>
              </w:tabs>
              <w:jc w:val="right"/>
              <w:rPr>
                <w:rFonts w:ascii="Arial" w:hAnsi="Arial" w:cs="Arial"/>
                <w:lang w:val="en-GB"/>
              </w:rPr>
            </w:pPr>
            <w:r w:rsidRPr="007D48BE">
              <w:rPr>
                <w:rFonts w:ascii="Arial" w:hAnsi="Arial" w:cs="Arial"/>
                <w:lang w:val="en-GB"/>
              </w:rPr>
              <w:t>0.0%</w:t>
            </w:r>
          </w:p>
        </w:tc>
      </w:tr>
      <w:tr w:rsidR="007D48BE" w:rsidRPr="007D48BE" w14:paraId="51CD777A" w14:textId="77777777" w:rsidTr="000A34E3">
        <w:tc>
          <w:tcPr>
            <w:tcW w:w="4338" w:type="dxa"/>
          </w:tcPr>
          <w:p w14:paraId="65B640A0" w14:textId="77777777" w:rsidR="007D48BE" w:rsidRPr="007D48BE" w:rsidRDefault="007D48BE" w:rsidP="007D48BE">
            <w:pPr>
              <w:rPr>
                <w:rFonts w:ascii="Arial" w:hAnsi="Arial" w:cs="Arial"/>
                <w:lang w:val="en-GB"/>
              </w:rPr>
            </w:pPr>
            <w:r w:rsidRPr="007D48BE">
              <w:rPr>
                <w:rFonts w:ascii="Arial" w:hAnsi="Arial" w:cs="Arial"/>
                <w:lang w:val="en-GB"/>
              </w:rPr>
              <w:t>Less: Total operating expenses</w:t>
            </w:r>
          </w:p>
        </w:tc>
        <w:tc>
          <w:tcPr>
            <w:tcW w:w="1276" w:type="dxa"/>
          </w:tcPr>
          <w:p w14:paraId="1BDA2B58" w14:textId="77777777" w:rsidR="007D48BE" w:rsidRPr="007D48BE" w:rsidRDefault="007D48BE" w:rsidP="007D48BE">
            <w:pPr>
              <w:tabs>
                <w:tab w:val="left" w:pos="105"/>
                <w:tab w:val="right" w:pos="945"/>
              </w:tabs>
              <w:rPr>
                <w:rFonts w:ascii="Arial" w:hAnsi="Arial" w:cs="Arial"/>
                <w:lang w:val="en-GB"/>
              </w:rPr>
            </w:pPr>
            <w:r w:rsidRPr="007D48BE">
              <w:rPr>
                <w:rFonts w:ascii="Arial" w:hAnsi="Arial" w:cs="Arial"/>
                <w:u w:val="single"/>
                <w:lang w:val="en-GB"/>
              </w:rPr>
              <w:tab/>
            </w:r>
            <w:r w:rsidRPr="007D48BE">
              <w:rPr>
                <w:rFonts w:ascii="Arial" w:hAnsi="Arial" w:cs="Arial"/>
                <w:u w:val="single"/>
                <w:lang w:val="en-GB"/>
              </w:rPr>
              <w:tab/>
              <w:t>(131,202)</w:t>
            </w:r>
          </w:p>
        </w:tc>
        <w:tc>
          <w:tcPr>
            <w:tcW w:w="1275" w:type="dxa"/>
          </w:tcPr>
          <w:p w14:paraId="1BBD940E" w14:textId="77777777" w:rsidR="007D48BE" w:rsidRPr="007D48BE" w:rsidRDefault="007D48BE" w:rsidP="007D48BE">
            <w:pPr>
              <w:tabs>
                <w:tab w:val="left" w:pos="105"/>
                <w:tab w:val="right" w:pos="1095"/>
              </w:tabs>
              <w:jc w:val="right"/>
              <w:rPr>
                <w:rFonts w:ascii="Arial" w:hAnsi="Arial" w:cs="Arial"/>
                <w:u w:val="single"/>
                <w:lang w:val="en-GB"/>
              </w:rPr>
            </w:pPr>
            <w:r w:rsidRPr="007D48BE">
              <w:rPr>
                <w:rFonts w:ascii="Arial" w:hAnsi="Arial" w:cs="Arial"/>
                <w:u w:val="single"/>
                <w:lang w:val="en-GB"/>
              </w:rPr>
              <w:t xml:space="preserve">        43.7%</w:t>
            </w:r>
          </w:p>
        </w:tc>
        <w:tc>
          <w:tcPr>
            <w:tcW w:w="1276" w:type="dxa"/>
          </w:tcPr>
          <w:p w14:paraId="52E5A2B2" w14:textId="77777777" w:rsidR="007D48BE" w:rsidRPr="007D48BE" w:rsidRDefault="007D48BE" w:rsidP="007D48BE">
            <w:pPr>
              <w:tabs>
                <w:tab w:val="left" w:pos="105"/>
                <w:tab w:val="right" w:pos="1005"/>
              </w:tabs>
              <w:rPr>
                <w:rFonts w:ascii="Arial" w:hAnsi="Arial" w:cs="Arial"/>
                <w:lang w:val="en-GB"/>
              </w:rPr>
            </w:pPr>
            <w:r w:rsidRPr="007D48BE">
              <w:rPr>
                <w:rFonts w:ascii="Arial" w:hAnsi="Arial" w:cs="Arial"/>
                <w:u w:val="single"/>
                <w:lang w:val="en-GB"/>
              </w:rPr>
              <w:tab/>
            </w:r>
            <w:r w:rsidRPr="007D48BE">
              <w:rPr>
                <w:rFonts w:ascii="Arial" w:hAnsi="Arial" w:cs="Arial"/>
                <w:u w:val="single"/>
                <w:lang w:val="en-GB"/>
              </w:rPr>
              <w:tab/>
              <w:t>(129,545)</w:t>
            </w:r>
          </w:p>
        </w:tc>
        <w:tc>
          <w:tcPr>
            <w:tcW w:w="1275" w:type="dxa"/>
          </w:tcPr>
          <w:p w14:paraId="4E9F56B0" w14:textId="77777777" w:rsidR="007D48BE" w:rsidRPr="007D48BE" w:rsidRDefault="007D48BE" w:rsidP="007D48BE">
            <w:pPr>
              <w:tabs>
                <w:tab w:val="left" w:pos="90"/>
                <w:tab w:val="right" w:pos="1080"/>
              </w:tabs>
              <w:jc w:val="right"/>
              <w:rPr>
                <w:rFonts w:ascii="Arial" w:hAnsi="Arial" w:cs="Arial"/>
                <w:u w:val="single"/>
                <w:lang w:val="en-GB"/>
              </w:rPr>
            </w:pPr>
            <w:r w:rsidRPr="007D48BE">
              <w:rPr>
                <w:rFonts w:ascii="Arial" w:hAnsi="Arial" w:cs="Arial"/>
                <w:u w:val="single"/>
                <w:lang w:val="en-GB"/>
              </w:rPr>
              <w:t xml:space="preserve">        52.0%</w:t>
            </w:r>
          </w:p>
        </w:tc>
      </w:tr>
      <w:tr w:rsidR="007D48BE" w:rsidRPr="007D48BE" w14:paraId="7C484A01" w14:textId="77777777" w:rsidTr="000A34E3">
        <w:tc>
          <w:tcPr>
            <w:tcW w:w="4338" w:type="dxa"/>
          </w:tcPr>
          <w:p w14:paraId="526D5F7B" w14:textId="77777777" w:rsidR="007D48BE" w:rsidRPr="007D48BE" w:rsidRDefault="007D48BE" w:rsidP="007D48BE">
            <w:pPr>
              <w:rPr>
                <w:rFonts w:ascii="Arial" w:hAnsi="Arial" w:cs="Arial"/>
                <w:lang w:val="en-GB"/>
              </w:rPr>
            </w:pPr>
            <w:r w:rsidRPr="007D48BE">
              <w:rPr>
                <w:rFonts w:ascii="Arial" w:hAnsi="Arial" w:cs="Arial"/>
                <w:lang w:val="en-GB"/>
              </w:rPr>
              <w:t>Net income before taxes</w:t>
            </w:r>
          </w:p>
        </w:tc>
        <w:tc>
          <w:tcPr>
            <w:tcW w:w="1276" w:type="dxa"/>
          </w:tcPr>
          <w:p w14:paraId="48F4DB8F" w14:textId="77777777" w:rsidR="007D48BE" w:rsidRPr="007D48BE" w:rsidRDefault="007D48BE" w:rsidP="007D48BE">
            <w:pPr>
              <w:tabs>
                <w:tab w:val="left" w:pos="105"/>
                <w:tab w:val="right" w:pos="945"/>
              </w:tabs>
              <w:rPr>
                <w:rFonts w:ascii="Arial" w:hAnsi="Arial" w:cs="Arial"/>
                <w:lang w:val="en-GB"/>
              </w:rPr>
            </w:pPr>
            <w:r w:rsidRPr="007D48BE">
              <w:rPr>
                <w:rFonts w:ascii="Arial" w:hAnsi="Arial" w:cs="Arial"/>
                <w:lang w:val="en-GB"/>
              </w:rPr>
              <w:tab/>
            </w:r>
            <w:r w:rsidRPr="007D48BE">
              <w:rPr>
                <w:rFonts w:ascii="Arial" w:hAnsi="Arial" w:cs="Arial"/>
                <w:lang w:val="en-GB"/>
              </w:rPr>
              <w:tab/>
              <w:t>58,710</w:t>
            </w:r>
          </w:p>
        </w:tc>
        <w:tc>
          <w:tcPr>
            <w:tcW w:w="1275" w:type="dxa"/>
          </w:tcPr>
          <w:p w14:paraId="7497C9AC" w14:textId="77777777" w:rsidR="007D48BE" w:rsidRPr="007D48BE" w:rsidRDefault="007D48BE" w:rsidP="007D48BE">
            <w:pPr>
              <w:tabs>
                <w:tab w:val="left" w:pos="105"/>
                <w:tab w:val="right" w:pos="1095"/>
              </w:tabs>
              <w:jc w:val="right"/>
              <w:rPr>
                <w:rFonts w:ascii="Arial" w:hAnsi="Arial" w:cs="Arial"/>
                <w:lang w:val="en-GB"/>
              </w:rPr>
            </w:pPr>
            <w:r w:rsidRPr="007D48BE">
              <w:rPr>
                <w:rFonts w:ascii="Arial" w:hAnsi="Arial" w:cs="Arial"/>
                <w:lang w:val="en-GB"/>
              </w:rPr>
              <w:t>19.5%</w:t>
            </w:r>
          </w:p>
        </w:tc>
        <w:tc>
          <w:tcPr>
            <w:tcW w:w="1276" w:type="dxa"/>
          </w:tcPr>
          <w:p w14:paraId="7E20CBAF" w14:textId="77777777" w:rsidR="007D48BE" w:rsidRPr="007D48BE" w:rsidRDefault="007D48BE" w:rsidP="007D48BE">
            <w:pPr>
              <w:tabs>
                <w:tab w:val="left" w:pos="105"/>
                <w:tab w:val="right" w:pos="1005"/>
              </w:tabs>
              <w:rPr>
                <w:rFonts w:ascii="Arial" w:hAnsi="Arial" w:cs="Arial"/>
                <w:lang w:val="en-GB"/>
              </w:rPr>
            </w:pPr>
            <w:r w:rsidRPr="007D48BE">
              <w:rPr>
                <w:rFonts w:ascii="Arial" w:hAnsi="Arial" w:cs="Arial"/>
                <w:lang w:val="en-GB"/>
              </w:rPr>
              <w:tab/>
            </w:r>
            <w:r w:rsidRPr="007D48BE">
              <w:rPr>
                <w:rFonts w:ascii="Arial" w:hAnsi="Arial" w:cs="Arial"/>
                <w:lang w:val="en-GB"/>
              </w:rPr>
              <w:tab/>
              <w:t>12,720</w:t>
            </w:r>
          </w:p>
        </w:tc>
        <w:tc>
          <w:tcPr>
            <w:tcW w:w="1275" w:type="dxa"/>
          </w:tcPr>
          <w:p w14:paraId="4B32F0AF" w14:textId="77777777" w:rsidR="007D48BE" w:rsidRPr="007D48BE" w:rsidRDefault="007D48BE" w:rsidP="007D48BE">
            <w:pPr>
              <w:tabs>
                <w:tab w:val="left" w:pos="90"/>
                <w:tab w:val="right" w:pos="1080"/>
              </w:tabs>
              <w:jc w:val="right"/>
              <w:rPr>
                <w:rFonts w:ascii="Arial" w:hAnsi="Arial" w:cs="Arial"/>
                <w:lang w:val="en-GB"/>
              </w:rPr>
            </w:pPr>
            <w:r w:rsidRPr="007D48BE">
              <w:rPr>
                <w:rFonts w:ascii="Arial" w:hAnsi="Arial" w:cs="Arial"/>
                <w:lang w:val="en-GB"/>
              </w:rPr>
              <w:t>5.1%</w:t>
            </w:r>
          </w:p>
        </w:tc>
      </w:tr>
      <w:tr w:rsidR="007D48BE" w:rsidRPr="007D48BE" w14:paraId="6369CA21" w14:textId="77777777" w:rsidTr="000A34E3">
        <w:tc>
          <w:tcPr>
            <w:tcW w:w="4338" w:type="dxa"/>
          </w:tcPr>
          <w:p w14:paraId="7C4BFFCC" w14:textId="77777777" w:rsidR="007D48BE" w:rsidRPr="007D48BE" w:rsidRDefault="007D48BE" w:rsidP="007D48BE">
            <w:pPr>
              <w:rPr>
                <w:rFonts w:ascii="Arial" w:hAnsi="Arial" w:cs="Arial"/>
                <w:lang w:val="en-GB"/>
              </w:rPr>
            </w:pPr>
            <w:r w:rsidRPr="007D48BE">
              <w:rPr>
                <w:rFonts w:ascii="Arial" w:hAnsi="Arial" w:cs="Arial"/>
                <w:lang w:val="en-GB"/>
              </w:rPr>
              <w:t>Income taxes</w:t>
            </w:r>
          </w:p>
        </w:tc>
        <w:tc>
          <w:tcPr>
            <w:tcW w:w="1276" w:type="dxa"/>
          </w:tcPr>
          <w:p w14:paraId="0AA123A2" w14:textId="77777777" w:rsidR="007D48BE" w:rsidRPr="007D48BE" w:rsidRDefault="007D48BE" w:rsidP="007D48BE">
            <w:pPr>
              <w:tabs>
                <w:tab w:val="left" w:pos="105"/>
                <w:tab w:val="right" w:pos="945"/>
              </w:tabs>
              <w:rPr>
                <w:rFonts w:ascii="Arial" w:hAnsi="Arial" w:cs="Arial"/>
                <w:lang w:val="en-GB"/>
              </w:rPr>
            </w:pPr>
            <w:r w:rsidRPr="007D48BE">
              <w:rPr>
                <w:rFonts w:ascii="Arial" w:hAnsi="Arial" w:cs="Arial"/>
                <w:u w:val="single"/>
                <w:lang w:val="en-GB"/>
              </w:rPr>
              <w:tab/>
            </w:r>
            <w:r w:rsidRPr="007D48BE">
              <w:rPr>
                <w:rFonts w:ascii="Arial" w:hAnsi="Arial" w:cs="Arial"/>
                <w:u w:val="single"/>
                <w:lang w:val="en-GB"/>
              </w:rPr>
              <w:tab/>
              <w:t>8,412</w:t>
            </w:r>
          </w:p>
        </w:tc>
        <w:tc>
          <w:tcPr>
            <w:tcW w:w="1275" w:type="dxa"/>
          </w:tcPr>
          <w:p w14:paraId="62E0AE54" w14:textId="77777777" w:rsidR="007D48BE" w:rsidRPr="007D48BE" w:rsidRDefault="007D48BE" w:rsidP="007D48BE">
            <w:pPr>
              <w:tabs>
                <w:tab w:val="left" w:pos="105"/>
                <w:tab w:val="right" w:pos="1095"/>
              </w:tabs>
              <w:jc w:val="right"/>
              <w:rPr>
                <w:rFonts w:ascii="Arial" w:hAnsi="Arial" w:cs="Arial"/>
                <w:u w:val="single"/>
                <w:lang w:val="en-GB"/>
              </w:rPr>
            </w:pPr>
            <w:r w:rsidRPr="007D48BE">
              <w:rPr>
                <w:rFonts w:ascii="Arial" w:hAnsi="Arial" w:cs="Arial"/>
                <w:u w:val="single"/>
                <w:lang w:val="en-GB"/>
              </w:rPr>
              <w:t xml:space="preserve">          2.8%</w:t>
            </w:r>
          </w:p>
        </w:tc>
        <w:tc>
          <w:tcPr>
            <w:tcW w:w="1276" w:type="dxa"/>
          </w:tcPr>
          <w:p w14:paraId="608CBA5C" w14:textId="77777777" w:rsidR="007D48BE" w:rsidRPr="007D48BE" w:rsidRDefault="007D48BE" w:rsidP="007D48BE">
            <w:pPr>
              <w:tabs>
                <w:tab w:val="left" w:pos="105"/>
                <w:tab w:val="right" w:pos="1005"/>
              </w:tabs>
              <w:rPr>
                <w:rFonts w:ascii="Arial" w:hAnsi="Arial" w:cs="Arial"/>
                <w:lang w:val="en-GB"/>
              </w:rPr>
            </w:pPr>
            <w:r w:rsidRPr="007D48BE">
              <w:rPr>
                <w:rFonts w:ascii="Arial" w:hAnsi="Arial" w:cs="Arial"/>
                <w:u w:val="single"/>
                <w:lang w:val="en-GB"/>
              </w:rPr>
              <w:tab/>
            </w:r>
            <w:r w:rsidRPr="007D48BE">
              <w:rPr>
                <w:rFonts w:ascii="Arial" w:hAnsi="Arial" w:cs="Arial"/>
                <w:u w:val="single"/>
                <w:lang w:val="en-GB"/>
              </w:rPr>
              <w:tab/>
              <w:t>2,176</w:t>
            </w:r>
          </w:p>
        </w:tc>
        <w:tc>
          <w:tcPr>
            <w:tcW w:w="1275" w:type="dxa"/>
          </w:tcPr>
          <w:p w14:paraId="11D64034" w14:textId="77777777" w:rsidR="007D48BE" w:rsidRPr="007D48BE" w:rsidRDefault="007D48BE" w:rsidP="007D48BE">
            <w:pPr>
              <w:tabs>
                <w:tab w:val="left" w:pos="90"/>
                <w:tab w:val="right" w:pos="1080"/>
              </w:tabs>
              <w:rPr>
                <w:rFonts w:ascii="Arial" w:hAnsi="Arial" w:cs="Arial"/>
                <w:u w:val="single"/>
                <w:lang w:val="en-GB"/>
              </w:rPr>
            </w:pPr>
            <w:r w:rsidRPr="007D48BE">
              <w:rPr>
                <w:rFonts w:ascii="Arial" w:hAnsi="Arial" w:cs="Arial"/>
                <w:u w:val="single"/>
                <w:lang w:val="en-GB"/>
              </w:rPr>
              <w:t xml:space="preserve">          0.9%</w:t>
            </w:r>
          </w:p>
        </w:tc>
      </w:tr>
      <w:tr w:rsidR="007D48BE" w:rsidRPr="007D48BE" w14:paraId="0B41E1FA" w14:textId="77777777" w:rsidTr="000A34E3">
        <w:tc>
          <w:tcPr>
            <w:tcW w:w="4338" w:type="dxa"/>
          </w:tcPr>
          <w:p w14:paraId="6C7C3984" w14:textId="77777777" w:rsidR="007D48BE" w:rsidRPr="007D48BE" w:rsidRDefault="007D48BE" w:rsidP="007D48BE">
            <w:pPr>
              <w:rPr>
                <w:rFonts w:ascii="Arial" w:hAnsi="Arial" w:cs="Arial"/>
                <w:lang w:val="en-GB"/>
              </w:rPr>
            </w:pPr>
          </w:p>
        </w:tc>
        <w:tc>
          <w:tcPr>
            <w:tcW w:w="1276" w:type="dxa"/>
          </w:tcPr>
          <w:p w14:paraId="74B75B82" w14:textId="77777777" w:rsidR="007D48BE" w:rsidRPr="007D48BE" w:rsidRDefault="007D48BE" w:rsidP="007D48BE">
            <w:pPr>
              <w:tabs>
                <w:tab w:val="left" w:pos="105"/>
                <w:tab w:val="right" w:pos="945"/>
              </w:tabs>
              <w:rPr>
                <w:rFonts w:ascii="Arial" w:hAnsi="Arial" w:cs="Arial"/>
                <w:lang w:val="en-GB"/>
              </w:rPr>
            </w:pPr>
          </w:p>
        </w:tc>
        <w:tc>
          <w:tcPr>
            <w:tcW w:w="1275" w:type="dxa"/>
          </w:tcPr>
          <w:p w14:paraId="393E936C" w14:textId="77777777" w:rsidR="007D48BE" w:rsidRPr="007D48BE" w:rsidRDefault="007D48BE" w:rsidP="007D48BE">
            <w:pPr>
              <w:tabs>
                <w:tab w:val="left" w:pos="105"/>
                <w:tab w:val="right" w:pos="1095"/>
              </w:tabs>
              <w:jc w:val="right"/>
              <w:rPr>
                <w:rFonts w:ascii="Arial" w:hAnsi="Arial" w:cs="Arial"/>
                <w:lang w:val="en-GB"/>
              </w:rPr>
            </w:pPr>
          </w:p>
        </w:tc>
        <w:tc>
          <w:tcPr>
            <w:tcW w:w="1276" w:type="dxa"/>
          </w:tcPr>
          <w:p w14:paraId="30AA6031" w14:textId="77777777" w:rsidR="007D48BE" w:rsidRPr="007D48BE" w:rsidRDefault="007D48BE" w:rsidP="007D48BE">
            <w:pPr>
              <w:tabs>
                <w:tab w:val="left" w:pos="105"/>
                <w:tab w:val="right" w:pos="1005"/>
              </w:tabs>
              <w:rPr>
                <w:rFonts w:ascii="Arial" w:hAnsi="Arial" w:cs="Arial"/>
                <w:lang w:val="en-GB"/>
              </w:rPr>
            </w:pPr>
          </w:p>
        </w:tc>
        <w:tc>
          <w:tcPr>
            <w:tcW w:w="1275" w:type="dxa"/>
          </w:tcPr>
          <w:p w14:paraId="1338F5FF" w14:textId="77777777" w:rsidR="007D48BE" w:rsidRPr="007D48BE" w:rsidRDefault="007D48BE" w:rsidP="007D48BE">
            <w:pPr>
              <w:tabs>
                <w:tab w:val="left" w:pos="90"/>
                <w:tab w:val="right" w:pos="1080"/>
              </w:tabs>
              <w:rPr>
                <w:rFonts w:ascii="Arial" w:hAnsi="Arial" w:cs="Arial"/>
                <w:lang w:val="en-GB"/>
              </w:rPr>
            </w:pPr>
          </w:p>
        </w:tc>
      </w:tr>
      <w:tr w:rsidR="007D48BE" w:rsidRPr="007D48BE" w14:paraId="71C44B6F" w14:textId="77777777" w:rsidTr="000A34E3">
        <w:tc>
          <w:tcPr>
            <w:tcW w:w="4338" w:type="dxa"/>
          </w:tcPr>
          <w:p w14:paraId="7986D8FB" w14:textId="77777777" w:rsidR="007D48BE" w:rsidRPr="007D48BE" w:rsidRDefault="007D48BE" w:rsidP="007D48BE">
            <w:pPr>
              <w:jc w:val="both"/>
              <w:rPr>
                <w:rFonts w:ascii="Arial" w:hAnsi="Arial" w:cs="Arial"/>
                <w:lang w:val="en-GB"/>
              </w:rPr>
            </w:pPr>
            <w:r w:rsidRPr="007D48BE">
              <w:rPr>
                <w:rFonts w:ascii="Arial" w:hAnsi="Arial" w:cs="Arial"/>
                <w:lang w:val="en-GB"/>
              </w:rPr>
              <w:t>Net income after tax</w:t>
            </w:r>
          </w:p>
        </w:tc>
        <w:tc>
          <w:tcPr>
            <w:tcW w:w="1276" w:type="dxa"/>
            <w:tcBorders>
              <w:bottom w:val="double" w:sz="4" w:space="0" w:color="auto"/>
            </w:tcBorders>
          </w:tcPr>
          <w:p w14:paraId="453F18FC" w14:textId="77777777" w:rsidR="007D48BE" w:rsidRPr="007D48BE" w:rsidRDefault="007D48BE" w:rsidP="007D48BE">
            <w:pPr>
              <w:tabs>
                <w:tab w:val="left" w:pos="105"/>
                <w:tab w:val="right" w:pos="945"/>
              </w:tabs>
              <w:rPr>
                <w:rFonts w:ascii="Arial" w:hAnsi="Arial" w:cs="Arial"/>
                <w:lang w:val="en-GB"/>
              </w:rPr>
            </w:pPr>
            <w:r w:rsidRPr="007D48BE">
              <w:rPr>
                <w:rFonts w:ascii="Arial" w:hAnsi="Arial" w:cs="Arial"/>
                <w:lang w:val="en-GB"/>
              </w:rPr>
              <w:tab/>
            </w:r>
            <w:r w:rsidRPr="007D48BE">
              <w:rPr>
                <w:rFonts w:ascii="Arial" w:hAnsi="Arial" w:cs="Arial"/>
                <w:lang w:val="en-GB"/>
              </w:rPr>
              <w:tab/>
              <w:t>50,298</w:t>
            </w:r>
          </w:p>
        </w:tc>
        <w:tc>
          <w:tcPr>
            <w:tcW w:w="1275" w:type="dxa"/>
            <w:tcBorders>
              <w:bottom w:val="double" w:sz="4" w:space="0" w:color="auto"/>
            </w:tcBorders>
          </w:tcPr>
          <w:p w14:paraId="20AE4282" w14:textId="77777777" w:rsidR="007D48BE" w:rsidRPr="007D48BE" w:rsidRDefault="007D48BE" w:rsidP="007D48BE">
            <w:pPr>
              <w:tabs>
                <w:tab w:val="left" w:pos="105"/>
                <w:tab w:val="right" w:pos="1095"/>
              </w:tabs>
              <w:jc w:val="right"/>
              <w:rPr>
                <w:rFonts w:ascii="Arial" w:hAnsi="Arial" w:cs="Arial"/>
                <w:lang w:val="en-GB"/>
              </w:rPr>
            </w:pPr>
            <w:r w:rsidRPr="007D48BE">
              <w:rPr>
                <w:rFonts w:ascii="Arial" w:hAnsi="Arial" w:cs="Arial"/>
                <w:lang w:val="en-GB"/>
              </w:rPr>
              <w:t>16.7%</w:t>
            </w:r>
          </w:p>
        </w:tc>
        <w:tc>
          <w:tcPr>
            <w:tcW w:w="1276" w:type="dxa"/>
            <w:tcBorders>
              <w:bottom w:val="double" w:sz="4" w:space="0" w:color="auto"/>
            </w:tcBorders>
          </w:tcPr>
          <w:p w14:paraId="583A293A" w14:textId="77777777" w:rsidR="007D48BE" w:rsidRPr="007D48BE" w:rsidRDefault="007D48BE" w:rsidP="007D48BE">
            <w:pPr>
              <w:tabs>
                <w:tab w:val="left" w:pos="105"/>
                <w:tab w:val="right" w:pos="1005"/>
              </w:tabs>
              <w:rPr>
                <w:rFonts w:ascii="Arial" w:hAnsi="Arial" w:cs="Arial"/>
                <w:lang w:val="en-GB"/>
              </w:rPr>
            </w:pPr>
            <w:r w:rsidRPr="007D48BE">
              <w:rPr>
                <w:rFonts w:ascii="Arial" w:hAnsi="Arial" w:cs="Arial"/>
                <w:lang w:val="en-GB"/>
              </w:rPr>
              <w:tab/>
            </w:r>
            <w:r w:rsidRPr="007D48BE">
              <w:rPr>
                <w:rFonts w:ascii="Arial" w:hAnsi="Arial" w:cs="Arial"/>
                <w:lang w:val="en-GB"/>
              </w:rPr>
              <w:tab/>
              <w:t>10,544</w:t>
            </w:r>
          </w:p>
        </w:tc>
        <w:tc>
          <w:tcPr>
            <w:tcW w:w="1275" w:type="dxa"/>
            <w:tcBorders>
              <w:bottom w:val="double" w:sz="4" w:space="0" w:color="auto"/>
            </w:tcBorders>
          </w:tcPr>
          <w:p w14:paraId="4A4C7228" w14:textId="77777777" w:rsidR="007D48BE" w:rsidRPr="007D48BE" w:rsidRDefault="007D48BE" w:rsidP="007D48BE">
            <w:pPr>
              <w:tabs>
                <w:tab w:val="left" w:pos="90"/>
                <w:tab w:val="right" w:pos="1080"/>
              </w:tabs>
              <w:jc w:val="right"/>
              <w:rPr>
                <w:rFonts w:ascii="Arial" w:hAnsi="Arial" w:cs="Arial"/>
                <w:lang w:val="en-GB"/>
              </w:rPr>
            </w:pPr>
            <w:r w:rsidRPr="007D48BE">
              <w:rPr>
                <w:rFonts w:ascii="Arial" w:hAnsi="Arial" w:cs="Arial"/>
                <w:lang w:val="en-GB"/>
              </w:rPr>
              <w:t>4.2%</w:t>
            </w:r>
          </w:p>
        </w:tc>
      </w:tr>
    </w:tbl>
    <w:p w14:paraId="128ED88A" w14:textId="77777777" w:rsidR="007D48BE" w:rsidRPr="007D48BE" w:rsidRDefault="007D48BE" w:rsidP="007D48BE">
      <w:pPr>
        <w:jc w:val="both"/>
        <w:rPr>
          <w:rFonts w:ascii="Arial" w:hAnsi="Arial" w:cs="Arial"/>
          <w:sz w:val="17"/>
          <w:szCs w:val="17"/>
          <w:lang w:val="en-GB"/>
        </w:rPr>
      </w:pPr>
    </w:p>
    <w:p w14:paraId="0D15D950" w14:textId="77777777" w:rsidR="007D48BE" w:rsidRPr="007D48BE" w:rsidRDefault="007D48BE" w:rsidP="007D48BE">
      <w:pPr>
        <w:jc w:val="both"/>
        <w:rPr>
          <w:rFonts w:ascii="Arial" w:hAnsi="Arial" w:cs="Arial"/>
          <w:sz w:val="17"/>
          <w:szCs w:val="17"/>
          <w:lang w:val="en-GB"/>
        </w:rPr>
      </w:pPr>
      <w:r w:rsidRPr="007D48BE">
        <w:rPr>
          <w:rFonts w:ascii="Arial" w:hAnsi="Arial" w:cs="Arial"/>
          <w:sz w:val="17"/>
          <w:szCs w:val="17"/>
          <w:lang w:val="en-GB"/>
        </w:rPr>
        <w:t xml:space="preserve">Notes: * All sales are made on credit. </w:t>
      </w:r>
      <w:r w:rsidRPr="007D48BE">
        <w:rPr>
          <w:rFonts w:ascii="Arial" w:hAnsi="Arial" w:cs="Arial"/>
          <w:sz w:val="17"/>
          <w:szCs w:val="17"/>
          <w:lang w:val="en-CA"/>
        </w:rPr>
        <w:t>Sales figures do not include personal training revenues. These revenues go directly to the trainer; ** All expenses related to cost of sales were paid on credit.</w:t>
      </w:r>
    </w:p>
    <w:p w14:paraId="1A3E87DD" w14:textId="77777777" w:rsidR="007D48BE" w:rsidRPr="007D48BE" w:rsidRDefault="007D48BE" w:rsidP="007D48BE">
      <w:pPr>
        <w:jc w:val="both"/>
        <w:rPr>
          <w:rFonts w:ascii="Arial" w:hAnsi="Arial" w:cs="Arial"/>
          <w:sz w:val="17"/>
          <w:szCs w:val="17"/>
          <w:lang w:val="en-GB"/>
        </w:rPr>
      </w:pPr>
      <w:r w:rsidRPr="007D48BE">
        <w:rPr>
          <w:rFonts w:ascii="Arial" w:hAnsi="Arial" w:cs="Arial"/>
          <w:sz w:val="17"/>
          <w:szCs w:val="17"/>
          <w:lang w:val="en-GB"/>
        </w:rPr>
        <w:t>Source: Company files.</w:t>
      </w:r>
    </w:p>
    <w:p w14:paraId="6BEEECCB" w14:textId="77777777" w:rsidR="007D48BE" w:rsidRPr="007D48BE" w:rsidRDefault="007D48BE" w:rsidP="007D48BE">
      <w:pPr>
        <w:jc w:val="both"/>
        <w:rPr>
          <w:rFonts w:ascii="Arial" w:hAnsi="Arial" w:cs="Arial"/>
          <w:sz w:val="17"/>
          <w:szCs w:val="17"/>
          <w:lang w:val="en-GB"/>
        </w:rPr>
      </w:pPr>
      <w:r w:rsidRPr="007D48BE">
        <w:rPr>
          <w:rFonts w:ascii="Arial" w:hAnsi="Arial" w:cs="Arial"/>
          <w:sz w:val="17"/>
          <w:szCs w:val="17"/>
          <w:lang w:val="en-GB"/>
        </w:rPr>
        <w:br w:type="page"/>
      </w:r>
    </w:p>
    <w:p w14:paraId="47FF1AD6" w14:textId="77777777" w:rsidR="007D48BE" w:rsidRPr="007D48BE" w:rsidRDefault="007D48BE" w:rsidP="007D48BE">
      <w:pPr>
        <w:jc w:val="center"/>
        <w:rPr>
          <w:rFonts w:ascii="Arial" w:hAnsi="Arial" w:cs="Arial"/>
          <w:b/>
          <w:caps/>
          <w:lang w:val="en-GB"/>
        </w:rPr>
      </w:pPr>
      <w:r w:rsidRPr="007D48BE">
        <w:rPr>
          <w:rFonts w:ascii="Arial" w:hAnsi="Arial" w:cs="Arial"/>
          <w:b/>
          <w:caps/>
          <w:lang w:val="en-GB"/>
        </w:rPr>
        <w:lastRenderedPageBreak/>
        <w:t>Exhibit 2: Statement of financial position (As at September 30) (CA$)</w:t>
      </w:r>
    </w:p>
    <w:p w14:paraId="20B55D95" w14:textId="77777777" w:rsidR="007D48BE" w:rsidRPr="007D48BE" w:rsidRDefault="007D48BE" w:rsidP="007D48BE">
      <w:pPr>
        <w:jc w:val="both"/>
        <w:rPr>
          <w:sz w:val="22"/>
          <w:szCs w:val="22"/>
          <w:lang w:val="en-GB"/>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3"/>
        <w:gridCol w:w="1127"/>
        <w:gridCol w:w="1161"/>
        <w:gridCol w:w="1408"/>
        <w:gridCol w:w="1191"/>
      </w:tblGrid>
      <w:tr w:rsidR="007D48BE" w:rsidRPr="007D48BE" w14:paraId="422CA858" w14:textId="77777777" w:rsidTr="007D48BE">
        <w:tc>
          <w:tcPr>
            <w:tcW w:w="4815" w:type="dxa"/>
          </w:tcPr>
          <w:p w14:paraId="68D3EECC" w14:textId="77777777" w:rsidR="007D48BE" w:rsidRPr="007D48BE" w:rsidRDefault="007D48BE" w:rsidP="007D48BE">
            <w:pPr>
              <w:jc w:val="both"/>
              <w:rPr>
                <w:rFonts w:ascii="Arial" w:hAnsi="Arial" w:cs="Arial"/>
                <w:lang w:val="en-GB"/>
              </w:rPr>
            </w:pPr>
          </w:p>
        </w:tc>
        <w:tc>
          <w:tcPr>
            <w:tcW w:w="2268" w:type="dxa"/>
            <w:gridSpan w:val="2"/>
          </w:tcPr>
          <w:p w14:paraId="257D07DD" w14:textId="77777777" w:rsidR="007D48BE" w:rsidRPr="007D48BE" w:rsidRDefault="007D48BE" w:rsidP="007D48BE">
            <w:pPr>
              <w:jc w:val="center"/>
              <w:rPr>
                <w:rFonts w:ascii="Arial" w:hAnsi="Arial" w:cs="Arial"/>
                <w:b/>
                <w:lang w:val="en-GB"/>
              </w:rPr>
            </w:pPr>
            <w:r w:rsidRPr="007D48BE">
              <w:rPr>
                <w:rFonts w:ascii="Arial" w:hAnsi="Arial" w:cs="Arial"/>
                <w:b/>
                <w:lang w:val="en-GB"/>
              </w:rPr>
              <w:t>2017</w:t>
            </w:r>
          </w:p>
        </w:tc>
        <w:tc>
          <w:tcPr>
            <w:tcW w:w="2267" w:type="dxa"/>
            <w:gridSpan w:val="2"/>
          </w:tcPr>
          <w:p w14:paraId="48A37783" w14:textId="77777777" w:rsidR="007D48BE" w:rsidRPr="007D48BE" w:rsidRDefault="007D48BE" w:rsidP="007D48BE">
            <w:pPr>
              <w:jc w:val="center"/>
              <w:rPr>
                <w:rFonts w:ascii="Arial" w:hAnsi="Arial" w:cs="Arial"/>
                <w:b/>
                <w:lang w:val="en-GB"/>
              </w:rPr>
            </w:pPr>
            <w:r w:rsidRPr="007D48BE">
              <w:rPr>
                <w:rFonts w:ascii="Arial" w:hAnsi="Arial" w:cs="Arial"/>
                <w:b/>
                <w:lang w:val="en-GB"/>
              </w:rPr>
              <w:t>2016</w:t>
            </w:r>
          </w:p>
        </w:tc>
      </w:tr>
      <w:tr w:rsidR="007D48BE" w:rsidRPr="007D48BE" w14:paraId="02531BF4" w14:textId="77777777" w:rsidTr="007D48BE">
        <w:tc>
          <w:tcPr>
            <w:tcW w:w="4815" w:type="dxa"/>
          </w:tcPr>
          <w:p w14:paraId="464303F2" w14:textId="77777777" w:rsidR="007D48BE" w:rsidRPr="007D48BE" w:rsidRDefault="007D48BE" w:rsidP="007D48BE">
            <w:pPr>
              <w:jc w:val="both"/>
              <w:rPr>
                <w:rFonts w:ascii="Arial" w:hAnsi="Arial" w:cs="Arial"/>
                <w:lang w:val="en-GB"/>
              </w:rPr>
            </w:pPr>
            <w:r w:rsidRPr="007D48BE">
              <w:rPr>
                <w:rFonts w:ascii="Arial" w:hAnsi="Arial" w:cs="Arial"/>
                <w:b/>
                <w:lang w:val="en-GB"/>
              </w:rPr>
              <w:t>Assets</w:t>
            </w:r>
          </w:p>
        </w:tc>
        <w:tc>
          <w:tcPr>
            <w:tcW w:w="1134" w:type="dxa"/>
          </w:tcPr>
          <w:p w14:paraId="13FB3BCD" w14:textId="77777777" w:rsidR="007D48BE" w:rsidRPr="007D48BE" w:rsidRDefault="007D48BE" w:rsidP="007D48BE">
            <w:pPr>
              <w:tabs>
                <w:tab w:val="left" w:pos="75"/>
                <w:tab w:val="right" w:pos="930"/>
              </w:tabs>
              <w:rPr>
                <w:rFonts w:ascii="Arial" w:hAnsi="Arial" w:cs="Arial"/>
                <w:lang w:val="en-GB"/>
              </w:rPr>
            </w:pPr>
          </w:p>
        </w:tc>
        <w:tc>
          <w:tcPr>
            <w:tcW w:w="1134" w:type="dxa"/>
          </w:tcPr>
          <w:p w14:paraId="2831D5A1" w14:textId="77777777" w:rsidR="007D48BE" w:rsidRPr="007D48BE" w:rsidRDefault="007D48BE" w:rsidP="007D48BE">
            <w:pPr>
              <w:jc w:val="both"/>
              <w:rPr>
                <w:rFonts w:ascii="Arial" w:hAnsi="Arial" w:cs="Arial"/>
                <w:lang w:val="en-GB"/>
              </w:rPr>
            </w:pPr>
          </w:p>
        </w:tc>
        <w:tc>
          <w:tcPr>
            <w:tcW w:w="1134" w:type="dxa"/>
          </w:tcPr>
          <w:p w14:paraId="1ADD5722" w14:textId="77777777" w:rsidR="007D48BE" w:rsidRPr="007D48BE" w:rsidRDefault="007D48BE" w:rsidP="007D48BE">
            <w:pPr>
              <w:jc w:val="both"/>
              <w:rPr>
                <w:rFonts w:ascii="Arial" w:hAnsi="Arial" w:cs="Arial"/>
                <w:lang w:val="en-GB"/>
              </w:rPr>
            </w:pPr>
          </w:p>
        </w:tc>
        <w:tc>
          <w:tcPr>
            <w:tcW w:w="1133" w:type="dxa"/>
          </w:tcPr>
          <w:p w14:paraId="38647E6E" w14:textId="77777777" w:rsidR="007D48BE" w:rsidRPr="007D48BE" w:rsidRDefault="007D48BE" w:rsidP="007D48BE">
            <w:pPr>
              <w:jc w:val="both"/>
              <w:rPr>
                <w:rFonts w:ascii="Arial" w:hAnsi="Arial" w:cs="Arial"/>
                <w:lang w:val="en-GB"/>
              </w:rPr>
            </w:pPr>
          </w:p>
        </w:tc>
      </w:tr>
      <w:tr w:rsidR="007D48BE" w:rsidRPr="007D48BE" w14:paraId="24B5FDD3" w14:textId="77777777" w:rsidTr="007D48BE">
        <w:tc>
          <w:tcPr>
            <w:tcW w:w="4815" w:type="dxa"/>
          </w:tcPr>
          <w:p w14:paraId="496418E3" w14:textId="77777777" w:rsidR="007D48BE" w:rsidRPr="007D48BE" w:rsidRDefault="007D48BE" w:rsidP="007D48BE">
            <w:pPr>
              <w:jc w:val="both"/>
              <w:rPr>
                <w:rFonts w:ascii="Arial" w:hAnsi="Arial" w:cs="Arial"/>
                <w:lang w:val="en-GB"/>
              </w:rPr>
            </w:pPr>
            <w:r w:rsidRPr="007D48BE">
              <w:rPr>
                <w:rFonts w:ascii="Arial" w:hAnsi="Arial" w:cs="Arial"/>
                <w:lang w:val="en-GB"/>
              </w:rPr>
              <w:t>Current assets</w:t>
            </w:r>
          </w:p>
        </w:tc>
        <w:tc>
          <w:tcPr>
            <w:tcW w:w="1134" w:type="dxa"/>
          </w:tcPr>
          <w:p w14:paraId="201B8D9E" w14:textId="77777777" w:rsidR="007D48BE" w:rsidRPr="007D48BE" w:rsidRDefault="007D48BE" w:rsidP="007D48BE">
            <w:pPr>
              <w:tabs>
                <w:tab w:val="left" w:pos="75"/>
                <w:tab w:val="right" w:pos="930"/>
              </w:tabs>
              <w:rPr>
                <w:rFonts w:ascii="Arial" w:hAnsi="Arial" w:cs="Arial"/>
                <w:lang w:val="en-GB"/>
              </w:rPr>
            </w:pPr>
          </w:p>
        </w:tc>
        <w:tc>
          <w:tcPr>
            <w:tcW w:w="1134" w:type="dxa"/>
          </w:tcPr>
          <w:p w14:paraId="5C14A603" w14:textId="77777777" w:rsidR="007D48BE" w:rsidRPr="007D48BE" w:rsidRDefault="007D48BE" w:rsidP="007D48BE">
            <w:pPr>
              <w:tabs>
                <w:tab w:val="left" w:pos="90"/>
                <w:tab w:val="right" w:pos="1035"/>
              </w:tabs>
              <w:rPr>
                <w:rFonts w:ascii="Arial" w:hAnsi="Arial" w:cs="Arial"/>
                <w:lang w:val="en-GB"/>
              </w:rPr>
            </w:pPr>
          </w:p>
        </w:tc>
        <w:tc>
          <w:tcPr>
            <w:tcW w:w="1134" w:type="dxa"/>
          </w:tcPr>
          <w:p w14:paraId="1F31A319" w14:textId="77777777" w:rsidR="007D48BE" w:rsidRPr="007D48BE" w:rsidRDefault="007D48BE" w:rsidP="007D48BE">
            <w:pPr>
              <w:tabs>
                <w:tab w:val="left" w:pos="90"/>
                <w:tab w:val="right" w:pos="1050"/>
              </w:tabs>
              <w:rPr>
                <w:rFonts w:ascii="Arial" w:hAnsi="Arial" w:cs="Arial"/>
                <w:lang w:val="en-GB"/>
              </w:rPr>
            </w:pPr>
          </w:p>
        </w:tc>
        <w:tc>
          <w:tcPr>
            <w:tcW w:w="1133" w:type="dxa"/>
          </w:tcPr>
          <w:p w14:paraId="4E4AC009" w14:textId="77777777" w:rsidR="007D48BE" w:rsidRPr="007D48BE" w:rsidRDefault="007D48BE" w:rsidP="007D48BE">
            <w:pPr>
              <w:tabs>
                <w:tab w:val="left" w:pos="75"/>
                <w:tab w:val="right" w:pos="1050"/>
              </w:tabs>
              <w:rPr>
                <w:rFonts w:ascii="Arial" w:hAnsi="Arial" w:cs="Arial"/>
                <w:lang w:val="en-GB"/>
              </w:rPr>
            </w:pPr>
          </w:p>
        </w:tc>
      </w:tr>
      <w:tr w:rsidR="007D48BE" w:rsidRPr="007D48BE" w14:paraId="7541DC10" w14:textId="77777777" w:rsidTr="007D48BE">
        <w:tc>
          <w:tcPr>
            <w:tcW w:w="4815" w:type="dxa"/>
          </w:tcPr>
          <w:p w14:paraId="74D75859" w14:textId="77777777" w:rsidR="007D48BE" w:rsidRPr="007D48BE" w:rsidRDefault="007D48BE" w:rsidP="007D48BE">
            <w:pPr>
              <w:ind w:firstLine="176"/>
              <w:rPr>
                <w:rFonts w:ascii="Arial" w:hAnsi="Arial" w:cs="Arial"/>
                <w:lang w:val="en-GB"/>
              </w:rPr>
            </w:pPr>
            <w:r w:rsidRPr="007D48BE">
              <w:rPr>
                <w:rFonts w:ascii="Arial" w:hAnsi="Arial" w:cs="Arial"/>
                <w:lang w:val="en-GB"/>
              </w:rPr>
              <w:t>Cash</w:t>
            </w:r>
          </w:p>
        </w:tc>
        <w:tc>
          <w:tcPr>
            <w:tcW w:w="1134" w:type="dxa"/>
          </w:tcPr>
          <w:p w14:paraId="0465403A" w14:textId="77777777" w:rsidR="007D48BE" w:rsidRPr="007D48BE" w:rsidRDefault="007D48BE" w:rsidP="007D48BE">
            <w:pPr>
              <w:tabs>
                <w:tab w:val="left" w:pos="75"/>
                <w:tab w:val="right" w:pos="930"/>
              </w:tabs>
              <w:rPr>
                <w:rFonts w:ascii="Arial" w:hAnsi="Arial" w:cs="Arial"/>
                <w:lang w:val="en-GB"/>
              </w:rPr>
            </w:pPr>
            <w:r w:rsidRPr="007D48BE">
              <w:rPr>
                <w:rFonts w:ascii="Arial" w:hAnsi="Arial" w:cs="Arial"/>
                <w:lang w:val="en-GB"/>
              </w:rPr>
              <w:tab/>
            </w:r>
            <w:r w:rsidRPr="007D48BE">
              <w:rPr>
                <w:rFonts w:ascii="Arial" w:hAnsi="Arial" w:cs="Arial"/>
                <w:lang w:val="en-GB"/>
              </w:rPr>
              <w:tab/>
              <w:t>97,498</w:t>
            </w:r>
          </w:p>
        </w:tc>
        <w:tc>
          <w:tcPr>
            <w:tcW w:w="1134" w:type="dxa"/>
          </w:tcPr>
          <w:p w14:paraId="3B5DA825" w14:textId="77777777" w:rsidR="007D48BE" w:rsidRPr="007D48BE" w:rsidRDefault="007D48BE" w:rsidP="007D48BE">
            <w:pPr>
              <w:tabs>
                <w:tab w:val="left" w:pos="90"/>
                <w:tab w:val="right" w:pos="1035"/>
              </w:tabs>
              <w:rPr>
                <w:rFonts w:ascii="Arial" w:hAnsi="Arial" w:cs="Arial"/>
                <w:lang w:val="en-GB"/>
              </w:rPr>
            </w:pPr>
          </w:p>
        </w:tc>
        <w:tc>
          <w:tcPr>
            <w:tcW w:w="1134" w:type="dxa"/>
          </w:tcPr>
          <w:p w14:paraId="13085A54" w14:textId="77777777" w:rsidR="007D48BE" w:rsidRPr="007D48BE" w:rsidRDefault="007D48BE" w:rsidP="007D48BE">
            <w:pPr>
              <w:tabs>
                <w:tab w:val="left" w:pos="90"/>
                <w:tab w:val="right" w:pos="1050"/>
              </w:tabs>
              <w:rPr>
                <w:rFonts w:ascii="Arial" w:hAnsi="Arial" w:cs="Arial"/>
                <w:lang w:val="en-GB"/>
              </w:rPr>
            </w:pPr>
            <w:r w:rsidRPr="007D48BE">
              <w:rPr>
                <w:rFonts w:ascii="Arial" w:hAnsi="Arial" w:cs="Arial"/>
                <w:lang w:val="en-GB"/>
              </w:rPr>
              <w:tab/>
            </w:r>
            <w:r w:rsidRPr="007D48BE">
              <w:rPr>
                <w:rFonts w:ascii="Arial" w:hAnsi="Arial" w:cs="Arial"/>
                <w:lang w:val="en-GB"/>
              </w:rPr>
              <w:tab/>
              <w:t>51,591</w:t>
            </w:r>
          </w:p>
        </w:tc>
        <w:tc>
          <w:tcPr>
            <w:tcW w:w="1133" w:type="dxa"/>
          </w:tcPr>
          <w:p w14:paraId="427DF58C" w14:textId="77777777" w:rsidR="007D48BE" w:rsidRPr="007D48BE" w:rsidRDefault="007D48BE" w:rsidP="007D48BE">
            <w:pPr>
              <w:tabs>
                <w:tab w:val="left" w:pos="75"/>
                <w:tab w:val="right" w:pos="1050"/>
              </w:tabs>
              <w:rPr>
                <w:rFonts w:ascii="Arial" w:hAnsi="Arial" w:cs="Arial"/>
                <w:lang w:val="en-GB"/>
              </w:rPr>
            </w:pPr>
          </w:p>
        </w:tc>
      </w:tr>
      <w:tr w:rsidR="007D48BE" w:rsidRPr="007D48BE" w14:paraId="2EB24B6E" w14:textId="77777777" w:rsidTr="007D48BE">
        <w:tc>
          <w:tcPr>
            <w:tcW w:w="4815" w:type="dxa"/>
          </w:tcPr>
          <w:p w14:paraId="7AA45AB4" w14:textId="77777777" w:rsidR="007D48BE" w:rsidRPr="007D48BE" w:rsidRDefault="007D48BE" w:rsidP="007D48BE">
            <w:pPr>
              <w:ind w:firstLine="176"/>
              <w:rPr>
                <w:rFonts w:ascii="Arial" w:hAnsi="Arial" w:cs="Arial"/>
                <w:lang w:val="en-GB"/>
              </w:rPr>
            </w:pPr>
            <w:r w:rsidRPr="007D48BE">
              <w:rPr>
                <w:rFonts w:ascii="Arial" w:hAnsi="Arial" w:cs="Arial"/>
                <w:lang w:val="en-GB"/>
              </w:rPr>
              <w:t>Accounts receivable</w:t>
            </w:r>
          </w:p>
        </w:tc>
        <w:tc>
          <w:tcPr>
            <w:tcW w:w="1134" w:type="dxa"/>
          </w:tcPr>
          <w:p w14:paraId="0E38A634" w14:textId="77777777" w:rsidR="007D48BE" w:rsidRPr="007D48BE" w:rsidRDefault="007D48BE" w:rsidP="007D48BE">
            <w:pPr>
              <w:tabs>
                <w:tab w:val="left" w:pos="75"/>
                <w:tab w:val="right" w:pos="930"/>
              </w:tabs>
              <w:rPr>
                <w:rFonts w:ascii="Arial" w:hAnsi="Arial" w:cs="Arial"/>
                <w:lang w:val="en-GB"/>
              </w:rPr>
            </w:pPr>
            <w:r w:rsidRPr="007D48BE">
              <w:rPr>
                <w:rFonts w:ascii="Arial" w:hAnsi="Arial" w:cs="Arial"/>
                <w:lang w:val="en-GB"/>
              </w:rPr>
              <w:tab/>
            </w:r>
            <w:r w:rsidRPr="007D48BE">
              <w:rPr>
                <w:rFonts w:ascii="Arial" w:hAnsi="Arial" w:cs="Arial"/>
                <w:lang w:val="en-GB"/>
              </w:rPr>
              <w:tab/>
              <w:t>8,692</w:t>
            </w:r>
          </w:p>
        </w:tc>
        <w:tc>
          <w:tcPr>
            <w:tcW w:w="1134" w:type="dxa"/>
          </w:tcPr>
          <w:p w14:paraId="2E4CC147" w14:textId="77777777" w:rsidR="007D48BE" w:rsidRPr="007D48BE" w:rsidRDefault="007D48BE" w:rsidP="007D48BE">
            <w:pPr>
              <w:tabs>
                <w:tab w:val="left" w:pos="90"/>
                <w:tab w:val="right" w:pos="1035"/>
              </w:tabs>
              <w:rPr>
                <w:rFonts w:ascii="Arial" w:hAnsi="Arial" w:cs="Arial"/>
                <w:lang w:val="en-GB"/>
              </w:rPr>
            </w:pPr>
          </w:p>
        </w:tc>
        <w:tc>
          <w:tcPr>
            <w:tcW w:w="1134" w:type="dxa"/>
          </w:tcPr>
          <w:p w14:paraId="519F96F6" w14:textId="77777777" w:rsidR="007D48BE" w:rsidRPr="007D48BE" w:rsidRDefault="007D48BE" w:rsidP="007D48BE">
            <w:pPr>
              <w:tabs>
                <w:tab w:val="left" w:pos="90"/>
                <w:tab w:val="right" w:pos="1050"/>
              </w:tabs>
              <w:rPr>
                <w:rFonts w:ascii="Arial" w:hAnsi="Arial" w:cs="Arial"/>
                <w:lang w:val="en-GB"/>
              </w:rPr>
            </w:pPr>
            <w:r w:rsidRPr="007D48BE">
              <w:rPr>
                <w:rFonts w:ascii="Arial" w:hAnsi="Arial" w:cs="Arial"/>
                <w:lang w:val="en-GB"/>
              </w:rPr>
              <w:tab/>
            </w:r>
            <w:r w:rsidRPr="007D48BE">
              <w:rPr>
                <w:rFonts w:ascii="Arial" w:hAnsi="Arial" w:cs="Arial"/>
                <w:lang w:val="en-GB"/>
              </w:rPr>
              <w:tab/>
              <w:t>7,948</w:t>
            </w:r>
          </w:p>
        </w:tc>
        <w:tc>
          <w:tcPr>
            <w:tcW w:w="1133" w:type="dxa"/>
          </w:tcPr>
          <w:p w14:paraId="726F30DC" w14:textId="77777777" w:rsidR="007D48BE" w:rsidRPr="007D48BE" w:rsidRDefault="007D48BE" w:rsidP="007D48BE">
            <w:pPr>
              <w:tabs>
                <w:tab w:val="left" w:pos="75"/>
                <w:tab w:val="right" w:pos="1050"/>
              </w:tabs>
              <w:rPr>
                <w:rFonts w:ascii="Arial" w:hAnsi="Arial" w:cs="Arial"/>
                <w:lang w:val="en-GB"/>
              </w:rPr>
            </w:pPr>
          </w:p>
        </w:tc>
      </w:tr>
      <w:tr w:rsidR="007D48BE" w:rsidRPr="007D48BE" w14:paraId="246DB837" w14:textId="77777777" w:rsidTr="007D48BE">
        <w:tc>
          <w:tcPr>
            <w:tcW w:w="4815" w:type="dxa"/>
          </w:tcPr>
          <w:p w14:paraId="090476D5" w14:textId="77777777" w:rsidR="007D48BE" w:rsidRPr="007D48BE" w:rsidRDefault="007D48BE" w:rsidP="007D48BE">
            <w:pPr>
              <w:ind w:firstLine="176"/>
              <w:rPr>
                <w:rFonts w:ascii="Arial" w:hAnsi="Arial" w:cs="Arial"/>
                <w:lang w:val="en-GB"/>
              </w:rPr>
            </w:pPr>
            <w:r w:rsidRPr="007D48BE">
              <w:rPr>
                <w:rFonts w:ascii="Arial" w:hAnsi="Arial" w:cs="Arial"/>
                <w:lang w:val="en-GB"/>
              </w:rPr>
              <w:t>Income taxes recoverable</w:t>
            </w:r>
          </w:p>
        </w:tc>
        <w:tc>
          <w:tcPr>
            <w:tcW w:w="1134" w:type="dxa"/>
          </w:tcPr>
          <w:p w14:paraId="0B4F81E1" w14:textId="77777777" w:rsidR="007D48BE" w:rsidRPr="007D48BE" w:rsidRDefault="007D48BE" w:rsidP="007D48BE">
            <w:pPr>
              <w:tabs>
                <w:tab w:val="left" w:pos="75"/>
                <w:tab w:val="right" w:pos="930"/>
              </w:tabs>
              <w:jc w:val="right"/>
              <w:rPr>
                <w:rFonts w:ascii="Arial" w:hAnsi="Arial" w:cs="Arial"/>
                <w:lang w:val="en-GB"/>
              </w:rPr>
            </w:pPr>
            <w:r w:rsidRPr="007D48BE">
              <w:rPr>
                <w:rFonts w:ascii="Arial" w:hAnsi="Arial" w:cs="Arial"/>
                <w:lang w:val="en-GB"/>
              </w:rPr>
              <w:t>–</w:t>
            </w:r>
          </w:p>
        </w:tc>
        <w:tc>
          <w:tcPr>
            <w:tcW w:w="1134" w:type="dxa"/>
          </w:tcPr>
          <w:p w14:paraId="04364692" w14:textId="77777777" w:rsidR="007D48BE" w:rsidRPr="007D48BE" w:rsidRDefault="007D48BE" w:rsidP="007D48BE">
            <w:pPr>
              <w:tabs>
                <w:tab w:val="left" w:pos="90"/>
                <w:tab w:val="right" w:pos="1035"/>
              </w:tabs>
              <w:rPr>
                <w:rFonts w:ascii="Arial" w:hAnsi="Arial" w:cs="Arial"/>
                <w:lang w:val="en-GB"/>
              </w:rPr>
            </w:pPr>
          </w:p>
        </w:tc>
        <w:tc>
          <w:tcPr>
            <w:tcW w:w="1134" w:type="dxa"/>
          </w:tcPr>
          <w:p w14:paraId="313DFA80" w14:textId="77777777" w:rsidR="007D48BE" w:rsidRPr="007D48BE" w:rsidRDefault="007D48BE" w:rsidP="007D48BE">
            <w:pPr>
              <w:tabs>
                <w:tab w:val="left" w:pos="90"/>
                <w:tab w:val="right" w:pos="1050"/>
              </w:tabs>
              <w:rPr>
                <w:rFonts w:ascii="Arial" w:hAnsi="Arial" w:cs="Arial"/>
                <w:lang w:val="en-GB"/>
              </w:rPr>
            </w:pPr>
            <w:r w:rsidRPr="007D48BE">
              <w:rPr>
                <w:rFonts w:ascii="Arial" w:hAnsi="Arial" w:cs="Arial"/>
                <w:lang w:val="en-GB"/>
              </w:rPr>
              <w:tab/>
            </w:r>
            <w:r w:rsidRPr="007D48BE">
              <w:rPr>
                <w:rFonts w:ascii="Arial" w:hAnsi="Arial" w:cs="Arial"/>
                <w:lang w:val="en-GB"/>
              </w:rPr>
              <w:tab/>
              <w:t>2,824</w:t>
            </w:r>
          </w:p>
        </w:tc>
        <w:tc>
          <w:tcPr>
            <w:tcW w:w="1133" w:type="dxa"/>
          </w:tcPr>
          <w:p w14:paraId="31BFC177" w14:textId="77777777" w:rsidR="007D48BE" w:rsidRPr="007D48BE" w:rsidRDefault="007D48BE" w:rsidP="007D48BE">
            <w:pPr>
              <w:tabs>
                <w:tab w:val="left" w:pos="75"/>
                <w:tab w:val="right" w:pos="1050"/>
              </w:tabs>
              <w:rPr>
                <w:rFonts w:ascii="Arial" w:hAnsi="Arial" w:cs="Arial"/>
                <w:lang w:val="en-GB"/>
              </w:rPr>
            </w:pPr>
          </w:p>
        </w:tc>
      </w:tr>
      <w:tr w:rsidR="007D48BE" w:rsidRPr="007D48BE" w14:paraId="5382F6D5" w14:textId="77777777" w:rsidTr="007D48BE">
        <w:tc>
          <w:tcPr>
            <w:tcW w:w="4815" w:type="dxa"/>
          </w:tcPr>
          <w:p w14:paraId="2040E27C" w14:textId="77777777" w:rsidR="007D48BE" w:rsidRPr="007D48BE" w:rsidRDefault="007D48BE" w:rsidP="007D48BE">
            <w:pPr>
              <w:ind w:firstLine="176"/>
              <w:rPr>
                <w:rFonts w:ascii="Arial" w:hAnsi="Arial" w:cs="Arial"/>
                <w:lang w:val="en-GB"/>
              </w:rPr>
            </w:pPr>
            <w:r w:rsidRPr="007D48BE">
              <w:rPr>
                <w:rFonts w:ascii="Arial" w:hAnsi="Arial" w:cs="Arial"/>
                <w:lang w:val="en-GB"/>
              </w:rPr>
              <w:t>Deposits</w:t>
            </w:r>
          </w:p>
        </w:tc>
        <w:tc>
          <w:tcPr>
            <w:tcW w:w="1134" w:type="dxa"/>
          </w:tcPr>
          <w:p w14:paraId="743D73FA" w14:textId="77777777" w:rsidR="007D48BE" w:rsidRPr="007D48BE" w:rsidRDefault="007D48BE" w:rsidP="007D48BE">
            <w:pPr>
              <w:tabs>
                <w:tab w:val="left" w:pos="75"/>
                <w:tab w:val="right" w:pos="930"/>
              </w:tabs>
              <w:rPr>
                <w:rFonts w:ascii="Arial" w:hAnsi="Arial" w:cs="Arial"/>
                <w:u w:val="single"/>
                <w:lang w:val="en-GB"/>
              </w:rPr>
            </w:pPr>
            <w:r w:rsidRPr="007D48BE">
              <w:rPr>
                <w:rFonts w:ascii="Arial" w:hAnsi="Arial" w:cs="Arial"/>
                <w:u w:val="single"/>
                <w:lang w:val="en-GB"/>
              </w:rPr>
              <w:tab/>
            </w:r>
            <w:r w:rsidRPr="007D48BE">
              <w:rPr>
                <w:rFonts w:ascii="Arial" w:hAnsi="Arial" w:cs="Arial"/>
                <w:u w:val="single"/>
                <w:lang w:val="en-GB"/>
              </w:rPr>
              <w:tab/>
              <w:t>4,500</w:t>
            </w:r>
          </w:p>
        </w:tc>
        <w:tc>
          <w:tcPr>
            <w:tcW w:w="1134" w:type="dxa"/>
          </w:tcPr>
          <w:p w14:paraId="74974237" w14:textId="77777777" w:rsidR="007D48BE" w:rsidRPr="007D48BE" w:rsidRDefault="007D48BE" w:rsidP="007D48BE">
            <w:pPr>
              <w:tabs>
                <w:tab w:val="left" w:pos="90"/>
                <w:tab w:val="right" w:pos="1035"/>
              </w:tabs>
              <w:rPr>
                <w:rFonts w:ascii="Arial" w:hAnsi="Arial" w:cs="Arial"/>
                <w:lang w:val="en-GB"/>
              </w:rPr>
            </w:pPr>
          </w:p>
        </w:tc>
        <w:tc>
          <w:tcPr>
            <w:tcW w:w="1134" w:type="dxa"/>
          </w:tcPr>
          <w:p w14:paraId="69D436AF" w14:textId="77777777" w:rsidR="007D48BE" w:rsidRPr="007D48BE" w:rsidRDefault="007D48BE" w:rsidP="007D48BE">
            <w:pPr>
              <w:tabs>
                <w:tab w:val="left" w:pos="90"/>
                <w:tab w:val="right" w:pos="1050"/>
              </w:tabs>
              <w:rPr>
                <w:rFonts w:ascii="Arial" w:hAnsi="Arial" w:cs="Arial"/>
                <w:u w:val="single"/>
                <w:lang w:val="en-GB"/>
              </w:rPr>
            </w:pPr>
            <w:r w:rsidRPr="007D48BE">
              <w:rPr>
                <w:rFonts w:ascii="Arial" w:hAnsi="Arial" w:cs="Arial"/>
                <w:u w:val="single"/>
                <w:lang w:val="en-GB"/>
              </w:rPr>
              <w:tab/>
            </w:r>
            <w:r w:rsidRPr="007D48BE">
              <w:rPr>
                <w:rFonts w:ascii="Arial" w:hAnsi="Arial" w:cs="Arial"/>
                <w:u w:val="single"/>
                <w:lang w:val="en-GB"/>
              </w:rPr>
              <w:tab/>
              <w:t>4,500</w:t>
            </w:r>
          </w:p>
        </w:tc>
        <w:tc>
          <w:tcPr>
            <w:tcW w:w="1133" w:type="dxa"/>
          </w:tcPr>
          <w:p w14:paraId="0D42B769" w14:textId="77777777" w:rsidR="007D48BE" w:rsidRPr="007D48BE" w:rsidRDefault="007D48BE" w:rsidP="007D48BE">
            <w:pPr>
              <w:tabs>
                <w:tab w:val="left" w:pos="75"/>
                <w:tab w:val="right" w:pos="1050"/>
              </w:tabs>
              <w:rPr>
                <w:rFonts w:ascii="Arial" w:hAnsi="Arial" w:cs="Arial"/>
                <w:lang w:val="en-GB"/>
              </w:rPr>
            </w:pPr>
          </w:p>
        </w:tc>
      </w:tr>
      <w:tr w:rsidR="007D48BE" w:rsidRPr="007D48BE" w14:paraId="1754E4D8" w14:textId="77777777" w:rsidTr="007D48BE">
        <w:tc>
          <w:tcPr>
            <w:tcW w:w="4815" w:type="dxa"/>
          </w:tcPr>
          <w:p w14:paraId="6244325A" w14:textId="77777777" w:rsidR="007D48BE" w:rsidRPr="007D48BE" w:rsidRDefault="007D48BE" w:rsidP="007D48BE">
            <w:pPr>
              <w:rPr>
                <w:rFonts w:ascii="Arial" w:hAnsi="Arial" w:cs="Arial"/>
                <w:lang w:val="en-GB"/>
              </w:rPr>
            </w:pPr>
            <w:r w:rsidRPr="007D48BE">
              <w:rPr>
                <w:rFonts w:ascii="Arial" w:hAnsi="Arial" w:cs="Arial"/>
                <w:lang w:val="en-GB"/>
              </w:rPr>
              <w:t>Total current assets</w:t>
            </w:r>
          </w:p>
        </w:tc>
        <w:tc>
          <w:tcPr>
            <w:tcW w:w="1134" w:type="dxa"/>
          </w:tcPr>
          <w:p w14:paraId="6D4C92E4" w14:textId="77777777" w:rsidR="007D48BE" w:rsidRPr="007D48BE" w:rsidRDefault="007D48BE" w:rsidP="007D48BE">
            <w:pPr>
              <w:tabs>
                <w:tab w:val="left" w:pos="75"/>
                <w:tab w:val="right" w:pos="930"/>
              </w:tabs>
              <w:rPr>
                <w:rFonts w:ascii="Arial" w:hAnsi="Arial" w:cs="Arial"/>
                <w:lang w:val="en-GB"/>
              </w:rPr>
            </w:pPr>
          </w:p>
        </w:tc>
        <w:tc>
          <w:tcPr>
            <w:tcW w:w="1134" w:type="dxa"/>
          </w:tcPr>
          <w:p w14:paraId="2DAC19C2" w14:textId="77777777" w:rsidR="007D48BE" w:rsidRPr="007D48BE" w:rsidRDefault="007D48BE" w:rsidP="007D48BE">
            <w:pPr>
              <w:tabs>
                <w:tab w:val="left" w:pos="90"/>
                <w:tab w:val="right" w:pos="1035"/>
              </w:tabs>
              <w:jc w:val="right"/>
              <w:rPr>
                <w:rFonts w:ascii="Arial" w:hAnsi="Arial" w:cs="Arial"/>
                <w:lang w:val="en-GB"/>
              </w:rPr>
            </w:pPr>
            <w:r w:rsidRPr="007D48BE">
              <w:rPr>
                <w:rFonts w:ascii="Arial" w:hAnsi="Arial" w:cs="Arial"/>
                <w:lang w:val="en-GB"/>
              </w:rPr>
              <w:tab/>
              <w:t>110,690</w:t>
            </w:r>
          </w:p>
        </w:tc>
        <w:tc>
          <w:tcPr>
            <w:tcW w:w="1134" w:type="dxa"/>
          </w:tcPr>
          <w:p w14:paraId="3E64F4BA" w14:textId="77777777" w:rsidR="007D48BE" w:rsidRPr="007D48BE" w:rsidRDefault="007D48BE" w:rsidP="007D48BE">
            <w:pPr>
              <w:tabs>
                <w:tab w:val="left" w:pos="90"/>
                <w:tab w:val="right" w:pos="1050"/>
              </w:tabs>
              <w:rPr>
                <w:rFonts w:ascii="Arial" w:hAnsi="Arial" w:cs="Arial"/>
                <w:lang w:val="en-GB"/>
              </w:rPr>
            </w:pPr>
          </w:p>
        </w:tc>
        <w:tc>
          <w:tcPr>
            <w:tcW w:w="1133" w:type="dxa"/>
          </w:tcPr>
          <w:p w14:paraId="420D67D3" w14:textId="77777777" w:rsidR="007D48BE" w:rsidRPr="007D48BE" w:rsidRDefault="007D48BE" w:rsidP="007D48BE">
            <w:pPr>
              <w:tabs>
                <w:tab w:val="left" w:pos="75"/>
                <w:tab w:val="right" w:pos="1050"/>
              </w:tabs>
              <w:rPr>
                <w:rFonts w:ascii="Arial" w:hAnsi="Arial" w:cs="Arial"/>
                <w:lang w:val="en-GB"/>
              </w:rPr>
            </w:pPr>
            <w:r w:rsidRPr="007D48BE">
              <w:rPr>
                <w:rFonts w:ascii="Arial" w:hAnsi="Arial" w:cs="Arial"/>
                <w:lang w:val="en-GB"/>
              </w:rPr>
              <w:tab/>
            </w:r>
            <w:r w:rsidRPr="007D48BE">
              <w:rPr>
                <w:rFonts w:ascii="Arial" w:hAnsi="Arial" w:cs="Arial"/>
                <w:lang w:val="en-GB"/>
              </w:rPr>
              <w:tab/>
              <w:t>66,863</w:t>
            </w:r>
          </w:p>
        </w:tc>
      </w:tr>
      <w:tr w:rsidR="007D48BE" w:rsidRPr="007D48BE" w14:paraId="2BDF2255" w14:textId="77777777" w:rsidTr="007D48BE">
        <w:tc>
          <w:tcPr>
            <w:tcW w:w="4815" w:type="dxa"/>
          </w:tcPr>
          <w:p w14:paraId="2EDBE81E" w14:textId="77777777" w:rsidR="007D48BE" w:rsidRPr="007D48BE" w:rsidRDefault="007D48BE" w:rsidP="007D48BE">
            <w:pPr>
              <w:rPr>
                <w:rFonts w:ascii="Arial" w:hAnsi="Arial" w:cs="Arial"/>
                <w:lang w:val="en-GB"/>
              </w:rPr>
            </w:pPr>
          </w:p>
        </w:tc>
        <w:tc>
          <w:tcPr>
            <w:tcW w:w="1134" w:type="dxa"/>
          </w:tcPr>
          <w:p w14:paraId="4564A2D6" w14:textId="77777777" w:rsidR="007D48BE" w:rsidRPr="007D48BE" w:rsidRDefault="007D48BE" w:rsidP="007D48BE">
            <w:pPr>
              <w:tabs>
                <w:tab w:val="left" w:pos="75"/>
                <w:tab w:val="right" w:pos="930"/>
              </w:tabs>
              <w:rPr>
                <w:rFonts w:ascii="Arial" w:hAnsi="Arial" w:cs="Arial"/>
                <w:lang w:val="en-GB"/>
              </w:rPr>
            </w:pPr>
          </w:p>
        </w:tc>
        <w:tc>
          <w:tcPr>
            <w:tcW w:w="1134" w:type="dxa"/>
          </w:tcPr>
          <w:p w14:paraId="40C7C0B6" w14:textId="77777777" w:rsidR="007D48BE" w:rsidRPr="007D48BE" w:rsidRDefault="007D48BE" w:rsidP="007D48BE">
            <w:pPr>
              <w:tabs>
                <w:tab w:val="left" w:pos="90"/>
                <w:tab w:val="right" w:pos="1035"/>
              </w:tabs>
              <w:rPr>
                <w:rFonts w:ascii="Arial" w:hAnsi="Arial" w:cs="Arial"/>
                <w:lang w:val="en-GB"/>
              </w:rPr>
            </w:pPr>
          </w:p>
        </w:tc>
        <w:tc>
          <w:tcPr>
            <w:tcW w:w="1134" w:type="dxa"/>
          </w:tcPr>
          <w:p w14:paraId="4A38DF35" w14:textId="77777777" w:rsidR="007D48BE" w:rsidRPr="007D48BE" w:rsidRDefault="007D48BE" w:rsidP="007D48BE">
            <w:pPr>
              <w:tabs>
                <w:tab w:val="left" w:pos="90"/>
                <w:tab w:val="right" w:pos="1050"/>
              </w:tabs>
              <w:rPr>
                <w:rFonts w:ascii="Arial" w:hAnsi="Arial" w:cs="Arial"/>
                <w:lang w:val="en-GB"/>
              </w:rPr>
            </w:pPr>
          </w:p>
        </w:tc>
        <w:tc>
          <w:tcPr>
            <w:tcW w:w="1133" w:type="dxa"/>
          </w:tcPr>
          <w:p w14:paraId="02D7CCF9" w14:textId="77777777" w:rsidR="007D48BE" w:rsidRPr="007D48BE" w:rsidRDefault="007D48BE" w:rsidP="007D48BE">
            <w:pPr>
              <w:tabs>
                <w:tab w:val="left" w:pos="75"/>
                <w:tab w:val="right" w:pos="1050"/>
              </w:tabs>
              <w:rPr>
                <w:rFonts w:ascii="Arial" w:hAnsi="Arial" w:cs="Arial"/>
                <w:lang w:val="en-GB"/>
              </w:rPr>
            </w:pPr>
          </w:p>
        </w:tc>
      </w:tr>
      <w:tr w:rsidR="007D48BE" w:rsidRPr="007D48BE" w14:paraId="1F3A618E" w14:textId="77777777" w:rsidTr="007D48BE">
        <w:tc>
          <w:tcPr>
            <w:tcW w:w="4815" w:type="dxa"/>
          </w:tcPr>
          <w:p w14:paraId="2A34E15D" w14:textId="77777777" w:rsidR="007D48BE" w:rsidRPr="007D48BE" w:rsidRDefault="007D48BE" w:rsidP="007D48BE">
            <w:pPr>
              <w:rPr>
                <w:rFonts w:ascii="Arial" w:hAnsi="Arial" w:cs="Arial"/>
                <w:lang w:val="en-GB"/>
              </w:rPr>
            </w:pPr>
            <w:r w:rsidRPr="007D48BE">
              <w:rPr>
                <w:rFonts w:ascii="Arial" w:hAnsi="Arial" w:cs="Arial"/>
                <w:lang w:val="en-GB"/>
              </w:rPr>
              <w:t>Long-term assets</w:t>
            </w:r>
          </w:p>
        </w:tc>
        <w:tc>
          <w:tcPr>
            <w:tcW w:w="1134" w:type="dxa"/>
          </w:tcPr>
          <w:p w14:paraId="49B66608" w14:textId="77777777" w:rsidR="007D48BE" w:rsidRPr="007D48BE" w:rsidRDefault="007D48BE" w:rsidP="007D48BE">
            <w:pPr>
              <w:tabs>
                <w:tab w:val="left" w:pos="75"/>
                <w:tab w:val="right" w:pos="930"/>
              </w:tabs>
              <w:rPr>
                <w:rFonts w:ascii="Arial" w:hAnsi="Arial" w:cs="Arial"/>
                <w:lang w:val="en-GB"/>
              </w:rPr>
            </w:pPr>
          </w:p>
        </w:tc>
        <w:tc>
          <w:tcPr>
            <w:tcW w:w="1134" w:type="dxa"/>
          </w:tcPr>
          <w:p w14:paraId="7575120D" w14:textId="77777777" w:rsidR="007D48BE" w:rsidRPr="007D48BE" w:rsidRDefault="007D48BE" w:rsidP="007D48BE">
            <w:pPr>
              <w:tabs>
                <w:tab w:val="left" w:pos="90"/>
                <w:tab w:val="right" w:pos="1035"/>
              </w:tabs>
              <w:rPr>
                <w:rFonts w:ascii="Arial" w:hAnsi="Arial" w:cs="Arial"/>
                <w:lang w:val="en-GB"/>
              </w:rPr>
            </w:pPr>
          </w:p>
        </w:tc>
        <w:tc>
          <w:tcPr>
            <w:tcW w:w="1134" w:type="dxa"/>
          </w:tcPr>
          <w:p w14:paraId="27427210" w14:textId="77777777" w:rsidR="007D48BE" w:rsidRPr="007D48BE" w:rsidRDefault="007D48BE" w:rsidP="007D48BE">
            <w:pPr>
              <w:tabs>
                <w:tab w:val="left" w:pos="90"/>
                <w:tab w:val="right" w:pos="1050"/>
              </w:tabs>
              <w:rPr>
                <w:rFonts w:ascii="Arial" w:hAnsi="Arial" w:cs="Arial"/>
                <w:lang w:val="en-GB"/>
              </w:rPr>
            </w:pPr>
          </w:p>
        </w:tc>
        <w:tc>
          <w:tcPr>
            <w:tcW w:w="1133" w:type="dxa"/>
          </w:tcPr>
          <w:p w14:paraId="3B1E94AC" w14:textId="77777777" w:rsidR="007D48BE" w:rsidRPr="007D48BE" w:rsidRDefault="007D48BE" w:rsidP="007D48BE">
            <w:pPr>
              <w:tabs>
                <w:tab w:val="left" w:pos="75"/>
                <w:tab w:val="right" w:pos="1050"/>
              </w:tabs>
              <w:rPr>
                <w:rFonts w:ascii="Arial" w:hAnsi="Arial" w:cs="Arial"/>
                <w:lang w:val="en-GB"/>
              </w:rPr>
            </w:pPr>
          </w:p>
        </w:tc>
      </w:tr>
      <w:tr w:rsidR="007D48BE" w:rsidRPr="007D48BE" w14:paraId="116FE888" w14:textId="77777777" w:rsidTr="007D48BE">
        <w:tc>
          <w:tcPr>
            <w:tcW w:w="4815" w:type="dxa"/>
          </w:tcPr>
          <w:p w14:paraId="1DBD3A9D" w14:textId="77777777" w:rsidR="007D48BE" w:rsidRPr="007D48BE" w:rsidRDefault="007D48BE" w:rsidP="007D48BE">
            <w:pPr>
              <w:ind w:firstLine="176"/>
              <w:rPr>
                <w:rFonts w:ascii="Arial" w:hAnsi="Arial" w:cs="Arial"/>
                <w:lang w:val="en-GB"/>
              </w:rPr>
            </w:pPr>
            <w:r w:rsidRPr="007D48BE">
              <w:rPr>
                <w:rFonts w:ascii="Arial" w:hAnsi="Arial" w:cs="Arial"/>
                <w:lang w:val="en-GB"/>
              </w:rPr>
              <w:t>Furniture and equipment</w:t>
            </w:r>
          </w:p>
        </w:tc>
        <w:tc>
          <w:tcPr>
            <w:tcW w:w="1134" w:type="dxa"/>
          </w:tcPr>
          <w:p w14:paraId="7F7E4B15" w14:textId="77777777" w:rsidR="007D48BE" w:rsidRPr="007D48BE" w:rsidRDefault="007D48BE" w:rsidP="007D48BE">
            <w:pPr>
              <w:tabs>
                <w:tab w:val="left" w:pos="75"/>
                <w:tab w:val="right" w:pos="930"/>
              </w:tabs>
              <w:rPr>
                <w:rFonts w:ascii="Arial" w:hAnsi="Arial" w:cs="Arial"/>
                <w:lang w:val="en-GB"/>
              </w:rPr>
            </w:pPr>
            <w:r w:rsidRPr="007D48BE">
              <w:rPr>
                <w:rFonts w:ascii="Arial" w:hAnsi="Arial" w:cs="Arial"/>
                <w:lang w:val="en-GB"/>
              </w:rPr>
              <w:tab/>
            </w:r>
            <w:r w:rsidRPr="007D48BE">
              <w:rPr>
                <w:rFonts w:ascii="Arial" w:hAnsi="Arial" w:cs="Arial"/>
                <w:lang w:val="en-GB"/>
              </w:rPr>
              <w:tab/>
              <w:t>69,690</w:t>
            </w:r>
          </w:p>
        </w:tc>
        <w:tc>
          <w:tcPr>
            <w:tcW w:w="1134" w:type="dxa"/>
          </w:tcPr>
          <w:p w14:paraId="2B1371B8" w14:textId="77777777" w:rsidR="007D48BE" w:rsidRPr="007D48BE" w:rsidRDefault="007D48BE" w:rsidP="007D48BE">
            <w:pPr>
              <w:tabs>
                <w:tab w:val="left" w:pos="90"/>
                <w:tab w:val="right" w:pos="1035"/>
              </w:tabs>
              <w:rPr>
                <w:rFonts w:ascii="Arial" w:hAnsi="Arial" w:cs="Arial"/>
                <w:lang w:val="en-GB"/>
              </w:rPr>
            </w:pPr>
          </w:p>
        </w:tc>
        <w:tc>
          <w:tcPr>
            <w:tcW w:w="1134" w:type="dxa"/>
          </w:tcPr>
          <w:p w14:paraId="23FE7AE2" w14:textId="77777777" w:rsidR="007D48BE" w:rsidRPr="007D48BE" w:rsidRDefault="007D48BE" w:rsidP="007D48BE">
            <w:pPr>
              <w:tabs>
                <w:tab w:val="left" w:pos="90"/>
                <w:tab w:val="right" w:pos="1050"/>
              </w:tabs>
              <w:rPr>
                <w:rFonts w:ascii="Arial" w:hAnsi="Arial" w:cs="Arial"/>
                <w:lang w:val="en-GB"/>
              </w:rPr>
            </w:pPr>
            <w:r w:rsidRPr="007D48BE">
              <w:rPr>
                <w:rFonts w:ascii="Arial" w:hAnsi="Arial" w:cs="Arial"/>
                <w:lang w:val="en-GB"/>
              </w:rPr>
              <w:tab/>
            </w:r>
            <w:r w:rsidRPr="007D48BE">
              <w:rPr>
                <w:rFonts w:ascii="Arial" w:hAnsi="Arial" w:cs="Arial"/>
                <w:lang w:val="en-GB"/>
              </w:rPr>
              <w:tab/>
              <w:t>69,690</w:t>
            </w:r>
          </w:p>
        </w:tc>
        <w:tc>
          <w:tcPr>
            <w:tcW w:w="1133" w:type="dxa"/>
          </w:tcPr>
          <w:p w14:paraId="74BCFE2D" w14:textId="77777777" w:rsidR="007D48BE" w:rsidRPr="007D48BE" w:rsidRDefault="007D48BE" w:rsidP="007D48BE">
            <w:pPr>
              <w:tabs>
                <w:tab w:val="left" w:pos="75"/>
                <w:tab w:val="right" w:pos="1050"/>
              </w:tabs>
              <w:rPr>
                <w:rFonts w:ascii="Arial" w:hAnsi="Arial" w:cs="Arial"/>
                <w:lang w:val="en-GB"/>
              </w:rPr>
            </w:pPr>
          </w:p>
        </w:tc>
      </w:tr>
      <w:tr w:rsidR="007D48BE" w:rsidRPr="007D48BE" w14:paraId="14CC9328" w14:textId="77777777" w:rsidTr="007D48BE">
        <w:tc>
          <w:tcPr>
            <w:tcW w:w="4815" w:type="dxa"/>
          </w:tcPr>
          <w:p w14:paraId="0D385757" w14:textId="77777777" w:rsidR="007D48BE" w:rsidRPr="007D48BE" w:rsidRDefault="007D48BE" w:rsidP="007D48BE">
            <w:pPr>
              <w:ind w:left="176"/>
              <w:rPr>
                <w:rFonts w:ascii="Arial" w:hAnsi="Arial" w:cs="Arial"/>
                <w:lang w:val="en-GB"/>
              </w:rPr>
            </w:pPr>
            <w:r w:rsidRPr="007D48BE">
              <w:rPr>
                <w:rFonts w:ascii="Arial" w:hAnsi="Arial" w:cs="Arial"/>
                <w:lang w:val="en-GB"/>
              </w:rPr>
              <w:t xml:space="preserve">Less: </w:t>
            </w:r>
            <w:proofErr w:type="spellStart"/>
            <w:r w:rsidRPr="007D48BE">
              <w:rPr>
                <w:rFonts w:ascii="Arial" w:hAnsi="Arial" w:cs="Arial"/>
                <w:lang w:val="en-GB"/>
              </w:rPr>
              <w:t>Accum</w:t>
            </w:r>
            <w:proofErr w:type="spellEnd"/>
            <w:r w:rsidRPr="007D48BE">
              <w:rPr>
                <w:rFonts w:ascii="Arial" w:hAnsi="Arial" w:cs="Arial"/>
                <w:lang w:val="en-GB"/>
              </w:rPr>
              <w:t>. dep., furniture and equipment</w:t>
            </w:r>
          </w:p>
        </w:tc>
        <w:tc>
          <w:tcPr>
            <w:tcW w:w="1134" w:type="dxa"/>
          </w:tcPr>
          <w:p w14:paraId="457B6558" w14:textId="77777777" w:rsidR="007D48BE" w:rsidRPr="007D48BE" w:rsidRDefault="007D48BE" w:rsidP="007D48BE">
            <w:pPr>
              <w:tabs>
                <w:tab w:val="left" w:pos="75"/>
                <w:tab w:val="right" w:pos="930"/>
              </w:tabs>
              <w:rPr>
                <w:rFonts w:ascii="Arial" w:hAnsi="Arial" w:cs="Arial"/>
                <w:u w:val="single"/>
                <w:lang w:val="en-GB"/>
              </w:rPr>
            </w:pPr>
            <w:r w:rsidRPr="007D48BE">
              <w:rPr>
                <w:rFonts w:ascii="Arial" w:hAnsi="Arial" w:cs="Arial"/>
                <w:u w:val="single"/>
                <w:lang w:val="en-GB"/>
              </w:rPr>
              <w:tab/>
            </w:r>
            <w:r w:rsidRPr="007D48BE">
              <w:rPr>
                <w:rFonts w:ascii="Arial" w:hAnsi="Arial" w:cs="Arial"/>
                <w:u w:val="single"/>
                <w:lang w:val="en-GB"/>
              </w:rPr>
              <w:tab/>
              <w:t>(39,276)</w:t>
            </w:r>
          </w:p>
        </w:tc>
        <w:tc>
          <w:tcPr>
            <w:tcW w:w="1134" w:type="dxa"/>
          </w:tcPr>
          <w:p w14:paraId="29EBB869" w14:textId="77777777" w:rsidR="007D48BE" w:rsidRPr="007D48BE" w:rsidRDefault="007D48BE" w:rsidP="007D48BE">
            <w:pPr>
              <w:tabs>
                <w:tab w:val="left" w:pos="90"/>
                <w:tab w:val="right" w:pos="1035"/>
              </w:tabs>
              <w:rPr>
                <w:rFonts w:ascii="Arial" w:hAnsi="Arial" w:cs="Arial"/>
                <w:lang w:val="en-GB"/>
              </w:rPr>
            </w:pPr>
            <w:r w:rsidRPr="007D48BE">
              <w:rPr>
                <w:rFonts w:ascii="Arial" w:hAnsi="Arial" w:cs="Arial"/>
                <w:lang w:val="en-GB"/>
              </w:rPr>
              <w:tab/>
            </w:r>
            <w:r w:rsidRPr="007D48BE">
              <w:rPr>
                <w:rFonts w:ascii="Arial" w:hAnsi="Arial" w:cs="Arial"/>
                <w:lang w:val="en-GB"/>
              </w:rPr>
              <w:tab/>
              <w:t>30,414</w:t>
            </w:r>
          </w:p>
        </w:tc>
        <w:tc>
          <w:tcPr>
            <w:tcW w:w="1134" w:type="dxa"/>
          </w:tcPr>
          <w:p w14:paraId="530E6D02" w14:textId="77777777" w:rsidR="007D48BE" w:rsidRPr="007D48BE" w:rsidRDefault="007D48BE" w:rsidP="007D48BE">
            <w:pPr>
              <w:tabs>
                <w:tab w:val="left" w:pos="90"/>
                <w:tab w:val="right" w:pos="1050"/>
              </w:tabs>
              <w:rPr>
                <w:rFonts w:ascii="Arial" w:hAnsi="Arial" w:cs="Arial"/>
                <w:u w:val="single"/>
                <w:lang w:val="en-GB"/>
              </w:rPr>
            </w:pPr>
            <w:r w:rsidRPr="007D48BE">
              <w:rPr>
                <w:rFonts w:ascii="Arial" w:hAnsi="Arial" w:cs="Arial"/>
                <w:u w:val="single"/>
                <w:lang w:val="en-GB"/>
              </w:rPr>
              <w:tab/>
            </w:r>
            <w:r w:rsidRPr="007D48BE">
              <w:rPr>
                <w:rFonts w:ascii="Arial" w:hAnsi="Arial" w:cs="Arial"/>
                <w:u w:val="single"/>
                <w:lang w:val="en-GB"/>
              </w:rPr>
              <w:tab/>
              <w:t>(35,493)</w:t>
            </w:r>
          </w:p>
        </w:tc>
        <w:tc>
          <w:tcPr>
            <w:tcW w:w="1133" w:type="dxa"/>
          </w:tcPr>
          <w:p w14:paraId="6B78CFE6" w14:textId="77777777" w:rsidR="007D48BE" w:rsidRPr="007D48BE" w:rsidRDefault="007D48BE" w:rsidP="007D48BE">
            <w:pPr>
              <w:tabs>
                <w:tab w:val="left" w:pos="75"/>
                <w:tab w:val="right" w:pos="1050"/>
              </w:tabs>
              <w:rPr>
                <w:rFonts w:ascii="Arial" w:hAnsi="Arial" w:cs="Arial"/>
                <w:lang w:val="en-GB"/>
              </w:rPr>
            </w:pPr>
            <w:r w:rsidRPr="007D48BE">
              <w:rPr>
                <w:rFonts w:ascii="Arial" w:hAnsi="Arial" w:cs="Arial"/>
                <w:lang w:val="en-GB"/>
              </w:rPr>
              <w:tab/>
            </w:r>
            <w:r w:rsidRPr="007D48BE">
              <w:rPr>
                <w:rFonts w:ascii="Arial" w:hAnsi="Arial" w:cs="Arial"/>
                <w:lang w:val="en-GB"/>
              </w:rPr>
              <w:tab/>
              <w:t>34,197</w:t>
            </w:r>
          </w:p>
        </w:tc>
      </w:tr>
      <w:tr w:rsidR="007D48BE" w:rsidRPr="007D48BE" w14:paraId="5ACEE489" w14:textId="77777777" w:rsidTr="007D48BE">
        <w:tc>
          <w:tcPr>
            <w:tcW w:w="4815" w:type="dxa"/>
          </w:tcPr>
          <w:p w14:paraId="07362EE4" w14:textId="77777777" w:rsidR="007D48BE" w:rsidRPr="007D48BE" w:rsidRDefault="007D48BE" w:rsidP="007D48BE">
            <w:pPr>
              <w:ind w:firstLine="176"/>
              <w:rPr>
                <w:rFonts w:ascii="Arial" w:hAnsi="Arial" w:cs="Arial"/>
                <w:lang w:val="en-GB"/>
              </w:rPr>
            </w:pPr>
          </w:p>
        </w:tc>
        <w:tc>
          <w:tcPr>
            <w:tcW w:w="1134" w:type="dxa"/>
          </w:tcPr>
          <w:p w14:paraId="44B18DA3" w14:textId="77777777" w:rsidR="007D48BE" w:rsidRPr="007D48BE" w:rsidRDefault="007D48BE" w:rsidP="007D48BE">
            <w:pPr>
              <w:tabs>
                <w:tab w:val="left" w:pos="75"/>
                <w:tab w:val="right" w:pos="930"/>
              </w:tabs>
              <w:rPr>
                <w:rFonts w:ascii="Arial" w:hAnsi="Arial" w:cs="Arial"/>
                <w:lang w:val="en-GB"/>
              </w:rPr>
            </w:pPr>
          </w:p>
        </w:tc>
        <w:tc>
          <w:tcPr>
            <w:tcW w:w="1134" w:type="dxa"/>
          </w:tcPr>
          <w:p w14:paraId="6A937184" w14:textId="77777777" w:rsidR="007D48BE" w:rsidRPr="007D48BE" w:rsidRDefault="007D48BE" w:rsidP="007D48BE">
            <w:pPr>
              <w:tabs>
                <w:tab w:val="left" w:pos="90"/>
                <w:tab w:val="right" w:pos="1035"/>
              </w:tabs>
              <w:rPr>
                <w:rFonts w:ascii="Arial" w:hAnsi="Arial" w:cs="Arial"/>
                <w:lang w:val="en-GB"/>
              </w:rPr>
            </w:pPr>
          </w:p>
        </w:tc>
        <w:tc>
          <w:tcPr>
            <w:tcW w:w="1134" w:type="dxa"/>
          </w:tcPr>
          <w:p w14:paraId="3576C3D9" w14:textId="77777777" w:rsidR="007D48BE" w:rsidRPr="007D48BE" w:rsidRDefault="007D48BE" w:rsidP="007D48BE">
            <w:pPr>
              <w:tabs>
                <w:tab w:val="left" w:pos="90"/>
                <w:tab w:val="right" w:pos="1050"/>
              </w:tabs>
              <w:rPr>
                <w:rFonts w:ascii="Arial" w:hAnsi="Arial" w:cs="Arial"/>
                <w:lang w:val="en-GB"/>
              </w:rPr>
            </w:pPr>
          </w:p>
        </w:tc>
        <w:tc>
          <w:tcPr>
            <w:tcW w:w="1133" w:type="dxa"/>
          </w:tcPr>
          <w:p w14:paraId="28442F14" w14:textId="77777777" w:rsidR="007D48BE" w:rsidRPr="007D48BE" w:rsidRDefault="007D48BE" w:rsidP="007D48BE">
            <w:pPr>
              <w:tabs>
                <w:tab w:val="left" w:pos="75"/>
                <w:tab w:val="right" w:pos="1050"/>
              </w:tabs>
              <w:rPr>
                <w:rFonts w:ascii="Arial" w:hAnsi="Arial" w:cs="Arial"/>
                <w:lang w:val="en-GB"/>
              </w:rPr>
            </w:pPr>
          </w:p>
        </w:tc>
      </w:tr>
      <w:tr w:rsidR="007D48BE" w:rsidRPr="007D48BE" w14:paraId="48B5375B" w14:textId="77777777" w:rsidTr="007D48BE">
        <w:tc>
          <w:tcPr>
            <w:tcW w:w="4815" w:type="dxa"/>
          </w:tcPr>
          <w:p w14:paraId="4E22468B" w14:textId="77777777" w:rsidR="007D48BE" w:rsidRPr="007D48BE" w:rsidRDefault="007D48BE" w:rsidP="007D48BE">
            <w:pPr>
              <w:ind w:firstLine="176"/>
              <w:rPr>
                <w:rFonts w:ascii="Arial" w:hAnsi="Arial" w:cs="Arial"/>
                <w:lang w:val="en-GB"/>
              </w:rPr>
            </w:pPr>
            <w:r w:rsidRPr="007D48BE">
              <w:rPr>
                <w:rFonts w:ascii="Arial" w:hAnsi="Arial" w:cs="Arial"/>
                <w:lang w:val="en-GB"/>
              </w:rPr>
              <w:t>Computer equipment</w:t>
            </w:r>
          </w:p>
        </w:tc>
        <w:tc>
          <w:tcPr>
            <w:tcW w:w="1134" w:type="dxa"/>
          </w:tcPr>
          <w:p w14:paraId="13F9161E" w14:textId="77777777" w:rsidR="007D48BE" w:rsidRPr="007D48BE" w:rsidRDefault="007D48BE" w:rsidP="007D48BE">
            <w:pPr>
              <w:tabs>
                <w:tab w:val="left" w:pos="75"/>
                <w:tab w:val="right" w:pos="930"/>
              </w:tabs>
              <w:rPr>
                <w:rFonts w:ascii="Arial" w:hAnsi="Arial" w:cs="Arial"/>
                <w:lang w:val="en-GB"/>
              </w:rPr>
            </w:pPr>
            <w:r w:rsidRPr="007D48BE">
              <w:rPr>
                <w:rFonts w:ascii="Arial" w:hAnsi="Arial" w:cs="Arial"/>
                <w:lang w:val="en-GB"/>
              </w:rPr>
              <w:tab/>
            </w:r>
            <w:r w:rsidRPr="007D48BE">
              <w:rPr>
                <w:rFonts w:ascii="Arial" w:hAnsi="Arial" w:cs="Arial"/>
                <w:lang w:val="en-GB"/>
              </w:rPr>
              <w:tab/>
              <w:t>827</w:t>
            </w:r>
          </w:p>
        </w:tc>
        <w:tc>
          <w:tcPr>
            <w:tcW w:w="1134" w:type="dxa"/>
          </w:tcPr>
          <w:p w14:paraId="55D24BA6" w14:textId="77777777" w:rsidR="007D48BE" w:rsidRPr="007D48BE" w:rsidRDefault="007D48BE" w:rsidP="007D48BE">
            <w:pPr>
              <w:tabs>
                <w:tab w:val="left" w:pos="90"/>
                <w:tab w:val="right" w:pos="1035"/>
              </w:tabs>
              <w:rPr>
                <w:rFonts w:ascii="Arial" w:hAnsi="Arial" w:cs="Arial"/>
                <w:lang w:val="en-GB"/>
              </w:rPr>
            </w:pPr>
          </w:p>
        </w:tc>
        <w:tc>
          <w:tcPr>
            <w:tcW w:w="1134" w:type="dxa"/>
          </w:tcPr>
          <w:p w14:paraId="7FACF578" w14:textId="77777777" w:rsidR="007D48BE" w:rsidRPr="007D48BE" w:rsidRDefault="007D48BE" w:rsidP="007D48BE">
            <w:pPr>
              <w:tabs>
                <w:tab w:val="left" w:pos="90"/>
                <w:tab w:val="right" w:pos="1050"/>
              </w:tabs>
              <w:rPr>
                <w:rFonts w:ascii="Arial" w:hAnsi="Arial" w:cs="Arial"/>
                <w:lang w:val="en-GB"/>
              </w:rPr>
            </w:pPr>
            <w:r w:rsidRPr="007D48BE">
              <w:rPr>
                <w:rFonts w:ascii="Arial" w:hAnsi="Arial" w:cs="Arial"/>
                <w:lang w:val="en-GB"/>
              </w:rPr>
              <w:tab/>
            </w:r>
            <w:r w:rsidRPr="007D48BE">
              <w:rPr>
                <w:rFonts w:ascii="Arial" w:hAnsi="Arial" w:cs="Arial"/>
                <w:lang w:val="en-GB"/>
              </w:rPr>
              <w:tab/>
              <w:t>827</w:t>
            </w:r>
          </w:p>
        </w:tc>
        <w:tc>
          <w:tcPr>
            <w:tcW w:w="1133" w:type="dxa"/>
          </w:tcPr>
          <w:p w14:paraId="2951F874" w14:textId="77777777" w:rsidR="007D48BE" w:rsidRPr="007D48BE" w:rsidRDefault="007D48BE" w:rsidP="007D48BE">
            <w:pPr>
              <w:tabs>
                <w:tab w:val="left" w:pos="75"/>
                <w:tab w:val="right" w:pos="1050"/>
              </w:tabs>
              <w:rPr>
                <w:rFonts w:ascii="Arial" w:hAnsi="Arial" w:cs="Arial"/>
                <w:lang w:val="en-GB"/>
              </w:rPr>
            </w:pPr>
          </w:p>
        </w:tc>
      </w:tr>
      <w:tr w:rsidR="007D48BE" w:rsidRPr="007D48BE" w14:paraId="198680B4" w14:textId="77777777" w:rsidTr="007D48BE">
        <w:tc>
          <w:tcPr>
            <w:tcW w:w="4815" w:type="dxa"/>
          </w:tcPr>
          <w:p w14:paraId="6B198741" w14:textId="77777777" w:rsidR="007D48BE" w:rsidRPr="007D48BE" w:rsidRDefault="007D48BE" w:rsidP="007D48BE">
            <w:pPr>
              <w:ind w:firstLine="176"/>
              <w:rPr>
                <w:rFonts w:ascii="Arial" w:hAnsi="Arial" w:cs="Arial"/>
                <w:lang w:val="en-GB"/>
              </w:rPr>
            </w:pPr>
            <w:r w:rsidRPr="007D48BE">
              <w:rPr>
                <w:rFonts w:ascii="Arial" w:hAnsi="Arial" w:cs="Arial"/>
                <w:lang w:val="en-GB"/>
              </w:rPr>
              <w:t xml:space="preserve">Less: </w:t>
            </w:r>
            <w:proofErr w:type="spellStart"/>
            <w:r w:rsidRPr="007D48BE">
              <w:rPr>
                <w:rFonts w:ascii="Arial" w:hAnsi="Arial" w:cs="Arial"/>
                <w:lang w:val="en-GB"/>
              </w:rPr>
              <w:t>Accum</w:t>
            </w:r>
            <w:proofErr w:type="spellEnd"/>
            <w:r w:rsidRPr="007D48BE">
              <w:rPr>
                <w:rFonts w:ascii="Arial" w:hAnsi="Arial" w:cs="Arial"/>
                <w:lang w:val="en-GB"/>
              </w:rPr>
              <w:t>. dep., computer equipment</w:t>
            </w:r>
          </w:p>
        </w:tc>
        <w:tc>
          <w:tcPr>
            <w:tcW w:w="1134" w:type="dxa"/>
          </w:tcPr>
          <w:p w14:paraId="4D66C9B7" w14:textId="77777777" w:rsidR="007D48BE" w:rsidRPr="007D48BE" w:rsidRDefault="007D48BE" w:rsidP="007D48BE">
            <w:pPr>
              <w:tabs>
                <w:tab w:val="left" w:pos="75"/>
                <w:tab w:val="right" w:pos="930"/>
              </w:tabs>
              <w:rPr>
                <w:rFonts w:ascii="Arial" w:hAnsi="Arial" w:cs="Arial"/>
                <w:lang w:val="en-GB"/>
              </w:rPr>
            </w:pPr>
            <w:r w:rsidRPr="007D48BE">
              <w:rPr>
                <w:rFonts w:ascii="Arial" w:hAnsi="Arial" w:cs="Arial"/>
                <w:u w:val="single"/>
                <w:lang w:val="en-GB"/>
              </w:rPr>
              <w:tab/>
            </w:r>
            <w:r w:rsidRPr="007D48BE">
              <w:rPr>
                <w:rFonts w:ascii="Arial" w:hAnsi="Arial" w:cs="Arial"/>
                <w:u w:val="single"/>
                <w:lang w:val="en-GB"/>
              </w:rPr>
              <w:tab/>
              <w:t>(749</w:t>
            </w:r>
            <w:r w:rsidRPr="007D48BE">
              <w:rPr>
                <w:rFonts w:ascii="Arial" w:hAnsi="Arial" w:cs="Arial"/>
                <w:lang w:val="en-GB"/>
              </w:rPr>
              <w:t>)</w:t>
            </w:r>
          </w:p>
        </w:tc>
        <w:tc>
          <w:tcPr>
            <w:tcW w:w="1134" w:type="dxa"/>
          </w:tcPr>
          <w:p w14:paraId="7B554A1E" w14:textId="77777777" w:rsidR="007D48BE" w:rsidRPr="007D48BE" w:rsidRDefault="007D48BE" w:rsidP="007D48BE">
            <w:pPr>
              <w:tabs>
                <w:tab w:val="left" w:pos="90"/>
                <w:tab w:val="right" w:pos="1035"/>
              </w:tabs>
              <w:rPr>
                <w:rFonts w:ascii="Arial" w:hAnsi="Arial" w:cs="Arial"/>
                <w:lang w:val="en-GB"/>
              </w:rPr>
            </w:pPr>
            <w:r w:rsidRPr="007D48BE">
              <w:rPr>
                <w:rFonts w:ascii="Arial" w:hAnsi="Arial" w:cs="Arial"/>
                <w:lang w:val="en-GB"/>
              </w:rPr>
              <w:tab/>
            </w:r>
            <w:r w:rsidRPr="007D48BE">
              <w:rPr>
                <w:rFonts w:ascii="Arial" w:hAnsi="Arial" w:cs="Arial"/>
                <w:lang w:val="en-GB"/>
              </w:rPr>
              <w:tab/>
              <w:t>78</w:t>
            </w:r>
          </w:p>
        </w:tc>
        <w:tc>
          <w:tcPr>
            <w:tcW w:w="1134" w:type="dxa"/>
          </w:tcPr>
          <w:p w14:paraId="12095C89" w14:textId="77777777" w:rsidR="007D48BE" w:rsidRPr="007D48BE" w:rsidRDefault="007D48BE" w:rsidP="007D48BE">
            <w:pPr>
              <w:tabs>
                <w:tab w:val="left" w:pos="90"/>
                <w:tab w:val="right" w:pos="1050"/>
              </w:tabs>
              <w:rPr>
                <w:rFonts w:ascii="Arial" w:hAnsi="Arial" w:cs="Arial"/>
                <w:u w:val="single"/>
                <w:lang w:val="en-GB"/>
              </w:rPr>
            </w:pPr>
            <w:r w:rsidRPr="007D48BE">
              <w:rPr>
                <w:rFonts w:ascii="Arial" w:hAnsi="Arial" w:cs="Arial"/>
                <w:u w:val="single"/>
                <w:lang w:val="en-GB"/>
              </w:rPr>
              <w:tab/>
            </w:r>
            <w:r w:rsidRPr="007D48BE">
              <w:rPr>
                <w:rFonts w:ascii="Arial" w:hAnsi="Arial" w:cs="Arial"/>
                <w:u w:val="single"/>
                <w:lang w:val="en-GB"/>
              </w:rPr>
              <w:tab/>
              <w:t>(672)</w:t>
            </w:r>
          </w:p>
        </w:tc>
        <w:tc>
          <w:tcPr>
            <w:tcW w:w="1133" w:type="dxa"/>
          </w:tcPr>
          <w:p w14:paraId="0C2F9C29" w14:textId="77777777" w:rsidR="007D48BE" w:rsidRPr="007D48BE" w:rsidRDefault="007D48BE" w:rsidP="007D48BE">
            <w:pPr>
              <w:tabs>
                <w:tab w:val="left" w:pos="75"/>
                <w:tab w:val="right" w:pos="1050"/>
              </w:tabs>
              <w:rPr>
                <w:rFonts w:ascii="Arial" w:hAnsi="Arial" w:cs="Arial"/>
                <w:lang w:val="en-GB"/>
              </w:rPr>
            </w:pPr>
            <w:r w:rsidRPr="007D48BE">
              <w:rPr>
                <w:rFonts w:ascii="Arial" w:hAnsi="Arial" w:cs="Arial"/>
                <w:lang w:val="en-GB"/>
              </w:rPr>
              <w:tab/>
            </w:r>
            <w:r w:rsidRPr="007D48BE">
              <w:rPr>
                <w:rFonts w:ascii="Arial" w:hAnsi="Arial" w:cs="Arial"/>
                <w:lang w:val="en-GB"/>
              </w:rPr>
              <w:tab/>
              <w:t>155</w:t>
            </w:r>
          </w:p>
        </w:tc>
      </w:tr>
      <w:tr w:rsidR="007D48BE" w:rsidRPr="007D48BE" w14:paraId="5FE55E07" w14:textId="77777777" w:rsidTr="007D48BE">
        <w:tc>
          <w:tcPr>
            <w:tcW w:w="4815" w:type="dxa"/>
          </w:tcPr>
          <w:p w14:paraId="58042885" w14:textId="77777777" w:rsidR="007D48BE" w:rsidRPr="007D48BE" w:rsidRDefault="007D48BE" w:rsidP="007D48BE">
            <w:pPr>
              <w:ind w:firstLine="176"/>
              <w:rPr>
                <w:rFonts w:ascii="Arial" w:hAnsi="Arial" w:cs="Arial"/>
                <w:lang w:val="en-GB"/>
              </w:rPr>
            </w:pPr>
          </w:p>
        </w:tc>
        <w:tc>
          <w:tcPr>
            <w:tcW w:w="1134" w:type="dxa"/>
          </w:tcPr>
          <w:p w14:paraId="329359D3" w14:textId="77777777" w:rsidR="007D48BE" w:rsidRPr="007D48BE" w:rsidRDefault="007D48BE" w:rsidP="007D48BE">
            <w:pPr>
              <w:tabs>
                <w:tab w:val="left" w:pos="75"/>
                <w:tab w:val="right" w:pos="930"/>
              </w:tabs>
              <w:rPr>
                <w:rFonts w:ascii="Arial" w:hAnsi="Arial" w:cs="Arial"/>
                <w:lang w:val="en-GB"/>
              </w:rPr>
            </w:pPr>
          </w:p>
        </w:tc>
        <w:tc>
          <w:tcPr>
            <w:tcW w:w="1134" w:type="dxa"/>
          </w:tcPr>
          <w:p w14:paraId="59E9AF85" w14:textId="77777777" w:rsidR="007D48BE" w:rsidRPr="007D48BE" w:rsidRDefault="007D48BE" w:rsidP="007D48BE">
            <w:pPr>
              <w:tabs>
                <w:tab w:val="left" w:pos="90"/>
                <w:tab w:val="right" w:pos="1035"/>
              </w:tabs>
              <w:rPr>
                <w:rFonts w:ascii="Arial" w:hAnsi="Arial" w:cs="Arial"/>
                <w:lang w:val="en-GB"/>
              </w:rPr>
            </w:pPr>
          </w:p>
        </w:tc>
        <w:tc>
          <w:tcPr>
            <w:tcW w:w="1134" w:type="dxa"/>
          </w:tcPr>
          <w:p w14:paraId="74FF602C" w14:textId="77777777" w:rsidR="007D48BE" w:rsidRPr="007D48BE" w:rsidRDefault="007D48BE" w:rsidP="007D48BE">
            <w:pPr>
              <w:tabs>
                <w:tab w:val="left" w:pos="90"/>
                <w:tab w:val="right" w:pos="1050"/>
              </w:tabs>
              <w:rPr>
                <w:rFonts w:ascii="Arial" w:hAnsi="Arial" w:cs="Arial"/>
                <w:lang w:val="en-GB"/>
              </w:rPr>
            </w:pPr>
          </w:p>
        </w:tc>
        <w:tc>
          <w:tcPr>
            <w:tcW w:w="1133" w:type="dxa"/>
          </w:tcPr>
          <w:p w14:paraId="0419768B" w14:textId="77777777" w:rsidR="007D48BE" w:rsidRPr="007D48BE" w:rsidRDefault="007D48BE" w:rsidP="007D48BE">
            <w:pPr>
              <w:tabs>
                <w:tab w:val="left" w:pos="75"/>
                <w:tab w:val="right" w:pos="1050"/>
              </w:tabs>
              <w:rPr>
                <w:rFonts w:ascii="Arial" w:hAnsi="Arial" w:cs="Arial"/>
                <w:lang w:val="en-GB"/>
              </w:rPr>
            </w:pPr>
          </w:p>
        </w:tc>
      </w:tr>
      <w:tr w:rsidR="007D48BE" w:rsidRPr="007D48BE" w14:paraId="5F260D64" w14:textId="77777777" w:rsidTr="007D48BE">
        <w:tc>
          <w:tcPr>
            <w:tcW w:w="4815" w:type="dxa"/>
          </w:tcPr>
          <w:p w14:paraId="7D5520D6" w14:textId="77777777" w:rsidR="007D48BE" w:rsidRPr="007D48BE" w:rsidRDefault="007D48BE" w:rsidP="007D48BE">
            <w:pPr>
              <w:ind w:firstLine="176"/>
              <w:rPr>
                <w:rFonts w:ascii="Arial" w:hAnsi="Arial" w:cs="Arial"/>
                <w:lang w:val="en-GB"/>
              </w:rPr>
            </w:pPr>
            <w:r w:rsidRPr="007D48BE">
              <w:rPr>
                <w:rFonts w:ascii="Arial" w:hAnsi="Arial" w:cs="Arial"/>
                <w:lang w:val="en-GB"/>
              </w:rPr>
              <w:t>Leasehold improvements</w:t>
            </w:r>
          </w:p>
        </w:tc>
        <w:tc>
          <w:tcPr>
            <w:tcW w:w="1134" w:type="dxa"/>
          </w:tcPr>
          <w:p w14:paraId="45D999F8" w14:textId="77777777" w:rsidR="007D48BE" w:rsidRPr="007D48BE" w:rsidRDefault="007D48BE" w:rsidP="007D48BE">
            <w:pPr>
              <w:tabs>
                <w:tab w:val="left" w:pos="75"/>
                <w:tab w:val="right" w:pos="930"/>
              </w:tabs>
              <w:rPr>
                <w:rFonts w:ascii="Arial" w:hAnsi="Arial" w:cs="Arial"/>
                <w:lang w:val="en-GB"/>
              </w:rPr>
            </w:pPr>
            <w:r w:rsidRPr="007D48BE">
              <w:rPr>
                <w:rFonts w:ascii="Arial" w:hAnsi="Arial" w:cs="Arial"/>
                <w:lang w:val="en-GB"/>
              </w:rPr>
              <w:tab/>
            </w:r>
            <w:r w:rsidRPr="007D48BE">
              <w:rPr>
                <w:rFonts w:ascii="Arial" w:hAnsi="Arial" w:cs="Arial"/>
                <w:lang w:val="en-GB"/>
              </w:rPr>
              <w:tab/>
              <w:t>40,345</w:t>
            </w:r>
          </w:p>
        </w:tc>
        <w:tc>
          <w:tcPr>
            <w:tcW w:w="1134" w:type="dxa"/>
          </w:tcPr>
          <w:p w14:paraId="47F48C0C" w14:textId="77777777" w:rsidR="007D48BE" w:rsidRPr="007D48BE" w:rsidRDefault="007D48BE" w:rsidP="007D48BE">
            <w:pPr>
              <w:tabs>
                <w:tab w:val="left" w:pos="90"/>
                <w:tab w:val="right" w:pos="1035"/>
              </w:tabs>
              <w:rPr>
                <w:rFonts w:ascii="Arial" w:hAnsi="Arial" w:cs="Arial"/>
                <w:lang w:val="en-GB"/>
              </w:rPr>
            </w:pPr>
          </w:p>
        </w:tc>
        <w:tc>
          <w:tcPr>
            <w:tcW w:w="1134" w:type="dxa"/>
          </w:tcPr>
          <w:p w14:paraId="0BAD70BE" w14:textId="77777777" w:rsidR="007D48BE" w:rsidRPr="007D48BE" w:rsidRDefault="007D48BE" w:rsidP="007D48BE">
            <w:pPr>
              <w:tabs>
                <w:tab w:val="left" w:pos="90"/>
                <w:tab w:val="right" w:pos="1050"/>
              </w:tabs>
              <w:rPr>
                <w:rFonts w:ascii="Arial" w:hAnsi="Arial" w:cs="Arial"/>
                <w:lang w:val="en-GB"/>
              </w:rPr>
            </w:pPr>
            <w:r w:rsidRPr="007D48BE">
              <w:rPr>
                <w:rFonts w:ascii="Arial" w:hAnsi="Arial" w:cs="Arial"/>
                <w:lang w:val="en-GB"/>
              </w:rPr>
              <w:tab/>
            </w:r>
            <w:r w:rsidRPr="007D48BE">
              <w:rPr>
                <w:rFonts w:ascii="Arial" w:hAnsi="Arial" w:cs="Arial"/>
                <w:lang w:val="en-GB"/>
              </w:rPr>
              <w:tab/>
              <w:t>40,345</w:t>
            </w:r>
          </w:p>
        </w:tc>
        <w:tc>
          <w:tcPr>
            <w:tcW w:w="1133" w:type="dxa"/>
          </w:tcPr>
          <w:p w14:paraId="17CAEE56" w14:textId="77777777" w:rsidR="007D48BE" w:rsidRPr="007D48BE" w:rsidRDefault="007D48BE" w:rsidP="007D48BE">
            <w:pPr>
              <w:tabs>
                <w:tab w:val="left" w:pos="75"/>
                <w:tab w:val="right" w:pos="1050"/>
              </w:tabs>
              <w:rPr>
                <w:rFonts w:ascii="Arial" w:hAnsi="Arial" w:cs="Arial"/>
                <w:lang w:val="en-GB"/>
              </w:rPr>
            </w:pPr>
          </w:p>
        </w:tc>
      </w:tr>
      <w:tr w:rsidR="007D48BE" w:rsidRPr="007D48BE" w14:paraId="7032879A" w14:textId="77777777" w:rsidTr="007D48BE">
        <w:tc>
          <w:tcPr>
            <w:tcW w:w="4815" w:type="dxa"/>
          </w:tcPr>
          <w:p w14:paraId="51DC9F5A" w14:textId="77777777" w:rsidR="007D48BE" w:rsidRPr="007D48BE" w:rsidRDefault="007D48BE" w:rsidP="007D48BE">
            <w:pPr>
              <w:ind w:firstLine="176"/>
              <w:rPr>
                <w:rFonts w:ascii="Arial" w:hAnsi="Arial" w:cs="Arial"/>
                <w:lang w:val="en-GB"/>
              </w:rPr>
            </w:pPr>
            <w:r w:rsidRPr="007D48BE">
              <w:rPr>
                <w:rFonts w:ascii="Arial" w:hAnsi="Arial" w:cs="Arial"/>
                <w:lang w:val="en-GB"/>
              </w:rPr>
              <w:t xml:space="preserve">Less: </w:t>
            </w:r>
            <w:proofErr w:type="spellStart"/>
            <w:r w:rsidRPr="007D48BE">
              <w:rPr>
                <w:rFonts w:ascii="Arial" w:hAnsi="Arial" w:cs="Arial"/>
                <w:lang w:val="en-GB"/>
              </w:rPr>
              <w:t>Accum</w:t>
            </w:r>
            <w:proofErr w:type="spellEnd"/>
            <w:r w:rsidRPr="007D48BE">
              <w:rPr>
                <w:rFonts w:ascii="Arial" w:hAnsi="Arial" w:cs="Arial"/>
                <w:lang w:val="en-GB"/>
              </w:rPr>
              <w:t>. dep., leasehold improvements</w:t>
            </w:r>
          </w:p>
        </w:tc>
        <w:tc>
          <w:tcPr>
            <w:tcW w:w="1134" w:type="dxa"/>
          </w:tcPr>
          <w:p w14:paraId="17DA1A5C" w14:textId="77777777" w:rsidR="007D48BE" w:rsidRPr="007D48BE" w:rsidRDefault="007D48BE" w:rsidP="007D48BE">
            <w:pPr>
              <w:tabs>
                <w:tab w:val="left" w:pos="75"/>
                <w:tab w:val="right" w:pos="930"/>
              </w:tabs>
              <w:rPr>
                <w:rFonts w:ascii="Arial" w:hAnsi="Arial" w:cs="Arial"/>
                <w:u w:val="single"/>
                <w:lang w:val="en-GB"/>
              </w:rPr>
            </w:pPr>
            <w:r w:rsidRPr="007D48BE">
              <w:rPr>
                <w:rFonts w:ascii="Arial" w:hAnsi="Arial" w:cs="Arial"/>
                <w:u w:val="single"/>
                <w:lang w:val="en-GB"/>
              </w:rPr>
              <w:tab/>
            </w:r>
            <w:r w:rsidRPr="007D48BE">
              <w:rPr>
                <w:rFonts w:ascii="Arial" w:hAnsi="Arial" w:cs="Arial"/>
                <w:u w:val="single"/>
                <w:lang w:val="en-GB"/>
              </w:rPr>
              <w:tab/>
              <w:t>(36,483)</w:t>
            </w:r>
          </w:p>
        </w:tc>
        <w:tc>
          <w:tcPr>
            <w:tcW w:w="1134" w:type="dxa"/>
          </w:tcPr>
          <w:p w14:paraId="25320D05" w14:textId="77777777" w:rsidR="007D48BE" w:rsidRPr="007D48BE" w:rsidRDefault="007D48BE" w:rsidP="007D48BE">
            <w:pPr>
              <w:tabs>
                <w:tab w:val="left" w:pos="90"/>
                <w:tab w:val="right" w:pos="1035"/>
              </w:tabs>
              <w:rPr>
                <w:rFonts w:ascii="Arial" w:hAnsi="Arial" w:cs="Arial"/>
                <w:u w:val="single"/>
                <w:lang w:val="en-GB"/>
              </w:rPr>
            </w:pPr>
            <w:r w:rsidRPr="007D48BE">
              <w:rPr>
                <w:rFonts w:ascii="Arial" w:hAnsi="Arial" w:cs="Arial"/>
                <w:u w:val="single"/>
                <w:lang w:val="en-GB"/>
              </w:rPr>
              <w:tab/>
            </w:r>
            <w:r w:rsidRPr="007D48BE">
              <w:rPr>
                <w:rFonts w:ascii="Arial" w:hAnsi="Arial" w:cs="Arial"/>
                <w:u w:val="single"/>
                <w:lang w:val="en-GB"/>
              </w:rPr>
              <w:tab/>
              <w:t>3,862</w:t>
            </w:r>
          </w:p>
        </w:tc>
        <w:tc>
          <w:tcPr>
            <w:tcW w:w="1134" w:type="dxa"/>
          </w:tcPr>
          <w:p w14:paraId="0C2A4B3E" w14:textId="77777777" w:rsidR="007D48BE" w:rsidRPr="007D48BE" w:rsidRDefault="007D48BE" w:rsidP="007D48BE">
            <w:pPr>
              <w:tabs>
                <w:tab w:val="left" w:pos="90"/>
                <w:tab w:val="right" w:pos="1050"/>
              </w:tabs>
              <w:rPr>
                <w:rFonts w:ascii="Arial" w:hAnsi="Arial" w:cs="Arial"/>
                <w:u w:val="single"/>
                <w:lang w:val="en-GB"/>
              </w:rPr>
            </w:pPr>
            <w:r w:rsidRPr="007D48BE">
              <w:rPr>
                <w:rFonts w:ascii="Arial" w:hAnsi="Arial" w:cs="Arial"/>
                <w:u w:val="single"/>
                <w:lang w:val="en-GB"/>
              </w:rPr>
              <w:tab/>
            </w:r>
            <w:r w:rsidRPr="007D48BE">
              <w:rPr>
                <w:rFonts w:ascii="Arial" w:hAnsi="Arial" w:cs="Arial"/>
                <w:u w:val="single"/>
                <w:lang w:val="en-GB"/>
              </w:rPr>
              <w:tab/>
              <w:t>(32,584)</w:t>
            </w:r>
          </w:p>
        </w:tc>
        <w:tc>
          <w:tcPr>
            <w:tcW w:w="1133" w:type="dxa"/>
          </w:tcPr>
          <w:p w14:paraId="4D953581" w14:textId="77777777" w:rsidR="007D48BE" w:rsidRPr="007D48BE" w:rsidRDefault="007D48BE" w:rsidP="007D48BE">
            <w:pPr>
              <w:tabs>
                <w:tab w:val="left" w:pos="75"/>
                <w:tab w:val="right" w:pos="1050"/>
              </w:tabs>
              <w:rPr>
                <w:rFonts w:ascii="Arial" w:hAnsi="Arial" w:cs="Arial"/>
                <w:u w:val="single"/>
                <w:lang w:val="en-GB"/>
              </w:rPr>
            </w:pPr>
            <w:r w:rsidRPr="007D48BE">
              <w:rPr>
                <w:rFonts w:ascii="Arial" w:hAnsi="Arial" w:cs="Arial"/>
                <w:u w:val="single"/>
                <w:lang w:val="en-GB"/>
              </w:rPr>
              <w:tab/>
            </w:r>
            <w:r w:rsidRPr="007D48BE">
              <w:rPr>
                <w:rFonts w:ascii="Arial" w:hAnsi="Arial" w:cs="Arial"/>
                <w:u w:val="single"/>
                <w:lang w:val="en-GB"/>
              </w:rPr>
              <w:tab/>
              <w:t>7,761</w:t>
            </w:r>
          </w:p>
        </w:tc>
      </w:tr>
      <w:tr w:rsidR="007D48BE" w:rsidRPr="007D48BE" w14:paraId="79827976" w14:textId="77777777" w:rsidTr="007D48BE">
        <w:tc>
          <w:tcPr>
            <w:tcW w:w="4815" w:type="dxa"/>
          </w:tcPr>
          <w:p w14:paraId="5D8914CE" w14:textId="77777777" w:rsidR="007D48BE" w:rsidRPr="007D48BE" w:rsidRDefault="007D48BE" w:rsidP="007D48BE">
            <w:pPr>
              <w:rPr>
                <w:rFonts w:ascii="Arial" w:hAnsi="Arial" w:cs="Arial"/>
                <w:lang w:val="en-GB"/>
              </w:rPr>
            </w:pPr>
            <w:r w:rsidRPr="007D48BE">
              <w:rPr>
                <w:rFonts w:ascii="Arial" w:hAnsi="Arial" w:cs="Arial"/>
                <w:lang w:val="en-GB"/>
              </w:rPr>
              <w:t>Total long-term assets</w:t>
            </w:r>
          </w:p>
        </w:tc>
        <w:tc>
          <w:tcPr>
            <w:tcW w:w="1134" w:type="dxa"/>
          </w:tcPr>
          <w:p w14:paraId="6EF01865" w14:textId="77777777" w:rsidR="007D48BE" w:rsidRPr="007D48BE" w:rsidRDefault="007D48BE" w:rsidP="007D48BE">
            <w:pPr>
              <w:tabs>
                <w:tab w:val="left" w:pos="75"/>
                <w:tab w:val="right" w:pos="930"/>
              </w:tabs>
              <w:rPr>
                <w:rFonts w:ascii="Arial" w:hAnsi="Arial" w:cs="Arial"/>
                <w:lang w:val="en-GB"/>
              </w:rPr>
            </w:pPr>
          </w:p>
        </w:tc>
        <w:tc>
          <w:tcPr>
            <w:tcW w:w="1134" w:type="dxa"/>
          </w:tcPr>
          <w:p w14:paraId="0BE4DAAC" w14:textId="77777777" w:rsidR="007D48BE" w:rsidRPr="007D48BE" w:rsidRDefault="007D48BE" w:rsidP="007D48BE">
            <w:pPr>
              <w:tabs>
                <w:tab w:val="left" w:pos="90"/>
                <w:tab w:val="right" w:pos="1035"/>
              </w:tabs>
              <w:rPr>
                <w:rFonts w:ascii="Arial" w:hAnsi="Arial" w:cs="Arial"/>
                <w:lang w:val="en-GB"/>
              </w:rPr>
            </w:pPr>
            <w:r w:rsidRPr="007D48BE">
              <w:rPr>
                <w:rFonts w:ascii="Arial" w:hAnsi="Arial" w:cs="Arial"/>
                <w:lang w:val="en-GB"/>
              </w:rPr>
              <w:tab/>
            </w:r>
            <w:r w:rsidRPr="007D48BE">
              <w:rPr>
                <w:rFonts w:ascii="Arial" w:hAnsi="Arial" w:cs="Arial"/>
                <w:lang w:val="en-GB"/>
              </w:rPr>
              <w:tab/>
              <w:t>34,354</w:t>
            </w:r>
          </w:p>
        </w:tc>
        <w:tc>
          <w:tcPr>
            <w:tcW w:w="1134" w:type="dxa"/>
          </w:tcPr>
          <w:p w14:paraId="65A5B540" w14:textId="77777777" w:rsidR="007D48BE" w:rsidRPr="007D48BE" w:rsidRDefault="007D48BE" w:rsidP="007D48BE">
            <w:pPr>
              <w:tabs>
                <w:tab w:val="left" w:pos="90"/>
                <w:tab w:val="right" w:pos="1050"/>
              </w:tabs>
              <w:rPr>
                <w:rFonts w:ascii="Arial" w:hAnsi="Arial" w:cs="Arial"/>
                <w:lang w:val="en-GB"/>
              </w:rPr>
            </w:pPr>
          </w:p>
        </w:tc>
        <w:tc>
          <w:tcPr>
            <w:tcW w:w="1133" w:type="dxa"/>
          </w:tcPr>
          <w:p w14:paraId="21273E01" w14:textId="77777777" w:rsidR="007D48BE" w:rsidRPr="007D48BE" w:rsidRDefault="007D48BE" w:rsidP="007D48BE">
            <w:pPr>
              <w:tabs>
                <w:tab w:val="left" w:pos="75"/>
                <w:tab w:val="right" w:pos="1050"/>
              </w:tabs>
              <w:rPr>
                <w:rFonts w:ascii="Arial" w:hAnsi="Arial" w:cs="Arial"/>
                <w:lang w:val="en-GB"/>
              </w:rPr>
            </w:pPr>
            <w:r w:rsidRPr="007D48BE">
              <w:rPr>
                <w:rFonts w:ascii="Arial" w:hAnsi="Arial" w:cs="Arial"/>
                <w:lang w:val="en-GB"/>
              </w:rPr>
              <w:tab/>
            </w:r>
            <w:r w:rsidRPr="007D48BE">
              <w:rPr>
                <w:rFonts w:ascii="Arial" w:hAnsi="Arial" w:cs="Arial"/>
                <w:lang w:val="en-GB"/>
              </w:rPr>
              <w:tab/>
              <w:t>42,113</w:t>
            </w:r>
          </w:p>
        </w:tc>
      </w:tr>
      <w:tr w:rsidR="007D48BE" w:rsidRPr="007D48BE" w14:paraId="03D8C912" w14:textId="77777777" w:rsidTr="007D48BE">
        <w:tc>
          <w:tcPr>
            <w:tcW w:w="4815" w:type="dxa"/>
          </w:tcPr>
          <w:p w14:paraId="1D7AA08D" w14:textId="77777777" w:rsidR="007D48BE" w:rsidRPr="007D48BE" w:rsidRDefault="007D48BE" w:rsidP="007D48BE">
            <w:pPr>
              <w:rPr>
                <w:rFonts w:ascii="Arial" w:hAnsi="Arial" w:cs="Arial"/>
                <w:lang w:val="en-GB"/>
              </w:rPr>
            </w:pPr>
          </w:p>
        </w:tc>
        <w:tc>
          <w:tcPr>
            <w:tcW w:w="1134" w:type="dxa"/>
          </w:tcPr>
          <w:p w14:paraId="046DFE4B" w14:textId="77777777" w:rsidR="007D48BE" w:rsidRPr="007D48BE" w:rsidRDefault="007D48BE" w:rsidP="007D48BE">
            <w:pPr>
              <w:tabs>
                <w:tab w:val="left" w:pos="75"/>
                <w:tab w:val="right" w:pos="930"/>
              </w:tabs>
              <w:rPr>
                <w:rFonts w:ascii="Arial" w:hAnsi="Arial" w:cs="Arial"/>
                <w:lang w:val="en-GB"/>
              </w:rPr>
            </w:pPr>
          </w:p>
        </w:tc>
        <w:tc>
          <w:tcPr>
            <w:tcW w:w="1134" w:type="dxa"/>
          </w:tcPr>
          <w:p w14:paraId="0AC13826" w14:textId="77777777" w:rsidR="007D48BE" w:rsidRPr="007D48BE" w:rsidRDefault="007D48BE" w:rsidP="007D48BE">
            <w:pPr>
              <w:tabs>
                <w:tab w:val="left" w:pos="90"/>
                <w:tab w:val="right" w:pos="1035"/>
              </w:tabs>
              <w:rPr>
                <w:rFonts w:ascii="Arial" w:hAnsi="Arial" w:cs="Arial"/>
                <w:lang w:val="en-GB"/>
              </w:rPr>
            </w:pPr>
          </w:p>
        </w:tc>
        <w:tc>
          <w:tcPr>
            <w:tcW w:w="1134" w:type="dxa"/>
          </w:tcPr>
          <w:p w14:paraId="3193C66C" w14:textId="77777777" w:rsidR="007D48BE" w:rsidRPr="007D48BE" w:rsidRDefault="007D48BE" w:rsidP="007D48BE">
            <w:pPr>
              <w:tabs>
                <w:tab w:val="left" w:pos="90"/>
                <w:tab w:val="right" w:pos="1050"/>
              </w:tabs>
              <w:rPr>
                <w:rFonts w:ascii="Arial" w:hAnsi="Arial" w:cs="Arial"/>
                <w:lang w:val="en-GB"/>
              </w:rPr>
            </w:pPr>
          </w:p>
        </w:tc>
        <w:tc>
          <w:tcPr>
            <w:tcW w:w="1133" w:type="dxa"/>
          </w:tcPr>
          <w:p w14:paraId="0D2FF50E" w14:textId="77777777" w:rsidR="007D48BE" w:rsidRPr="007D48BE" w:rsidRDefault="007D48BE" w:rsidP="007D48BE">
            <w:pPr>
              <w:tabs>
                <w:tab w:val="left" w:pos="75"/>
                <w:tab w:val="right" w:pos="1050"/>
              </w:tabs>
              <w:rPr>
                <w:rFonts w:ascii="Arial" w:hAnsi="Arial" w:cs="Arial"/>
                <w:lang w:val="en-GB"/>
              </w:rPr>
            </w:pPr>
          </w:p>
        </w:tc>
      </w:tr>
      <w:tr w:rsidR="007D48BE" w:rsidRPr="007D48BE" w14:paraId="65F71230" w14:textId="77777777" w:rsidTr="007D48BE">
        <w:tc>
          <w:tcPr>
            <w:tcW w:w="4815" w:type="dxa"/>
          </w:tcPr>
          <w:p w14:paraId="2EA666BF" w14:textId="77777777" w:rsidR="007D48BE" w:rsidRPr="007D48BE" w:rsidRDefault="007D48BE" w:rsidP="007D48BE">
            <w:pPr>
              <w:rPr>
                <w:rFonts w:ascii="Arial" w:hAnsi="Arial" w:cs="Arial"/>
                <w:lang w:val="en-GB"/>
              </w:rPr>
            </w:pPr>
            <w:r w:rsidRPr="007D48BE">
              <w:rPr>
                <w:rFonts w:ascii="Arial" w:hAnsi="Arial" w:cs="Arial"/>
                <w:lang w:val="en-GB"/>
              </w:rPr>
              <w:t>Total assets</w:t>
            </w:r>
          </w:p>
        </w:tc>
        <w:tc>
          <w:tcPr>
            <w:tcW w:w="1134" w:type="dxa"/>
          </w:tcPr>
          <w:p w14:paraId="40C0717F" w14:textId="77777777" w:rsidR="007D48BE" w:rsidRPr="007D48BE" w:rsidRDefault="007D48BE" w:rsidP="007D48BE">
            <w:pPr>
              <w:tabs>
                <w:tab w:val="left" w:pos="75"/>
                <w:tab w:val="right" w:pos="930"/>
              </w:tabs>
              <w:rPr>
                <w:rFonts w:ascii="Arial" w:hAnsi="Arial" w:cs="Arial"/>
                <w:lang w:val="en-GB"/>
              </w:rPr>
            </w:pPr>
          </w:p>
        </w:tc>
        <w:tc>
          <w:tcPr>
            <w:tcW w:w="1134" w:type="dxa"/>
            <w:tcBorders>
              <w:bottom w:val="double" w:sz="4" w:space="0" w:color="auto"/>
            </w:tcBorders>
          </w:tcPr>
          <w:p w14:paraId="31CEF33F" w14:textId="77777777" w:rsidR="007D48BE" w:rsidRPr="007D48BE" w:rsidRDefault="007D48BE" w:rsidP="007D48BE">
            <w:pPr>
              <w:tabs>
                <w:tab w:val="left" w:pos="90"/>
                <w:tab w:val="right" w:pos="1035"/>
              </w:tabs>
              <w:rPr>
                <w:rFonts w:ascii="Arial" w:hAnsi="Arial" w:cs="Arial"/>
                <w:lang w:val="en-GB"/>
              </w:rPr>
            </w:pPr>
            <w:r w:rsidRPr="007D48BE">
              <w:rPr>
                <w:rFonts w:ascii="Arial" w:hAnsi="Arial" w:cs="Arial"/>
                <w:lang w:val="en-GB"/>
              </w:rPr>
              <w:tab/>
            </w:r>
            <w:r w:rsidRPr="007D48BE">
              <w:rPr>
                <w:rFonts w:ascii="Arial" w:hAnsi="Arial" w:cs="Arial"/>
                <w:lang w:val="en-GB"/>
              </w:rPr>
              <w:tab/>
              <w:t>145,044</w:t>
            </w:r>
          </w:p>
        </w:tc>
        <w:tc>
          <w:tcPr>
            <w:tcW w:w="1134" w:type="dxa"/>
          </w:tcPr>
          <w:p w14:paraId="6B56971E" w14:textId="77777777" w:rsidR="007D48BE" w:rsidRPr="007D48BE" w:rsidRDefault="007D48BE" w:rsidP="007D48BE">
            <w:pPr>
              <w:tabs>
                <w:tab w:val="left" w:pos="90"/>
                <w:tab w:val="right" w:pos="1050"/>
              </w:tabs>
              <w:rPr>
                <w:rFonts w:ascii="Arial" w:hAnsi="Arial" w:cs="Arial"/>
                <w:lang w:val="en-GB"/>
              </w:rPr>
            </w:pPr>
          </w:p>
        </w:tc>
        <w:tc>
          <w:tcPr>
            <w:tcW w:w="1133" w:type="dxa"/>
            <w:tcBorders>
              <w:bottom w:val="double" w:sz="4" w:space="0" w:color="auto"/>
            </w:tcBorders>
          </w:tcPr>
          <w:p w14:paraId="73F054EE" w14:textId="77777777" w:rsidR="007D48BE" w:rsidRPr="007D48BE" w:rsidRDefault="007D48BE" w:rsidP="007D48BE">
            <w:pPr>
              <w:tabs>
                <w:tab w:val="left" w:pos="75"/>
                <w:tab w:val="right" w:pos="1050"/>
              </w:tabs>
              <w:rPr>
                <w:rFonts w:ascii="Arial" w:hAnsi="Arial" w:cs="Arial"/>
                <w:lang w:val="en-GB"/>
              </w:rPr>
            </w:pPr>
            <w:r w:rsidRPr="007D48BE">
              <w:rPr>
                <w:rFonts w:ascii="Arial" w:hAnsi="Arial" w:cs="Arial"/>
                <w:lang w:val="en-GB"/>
              </w:rPr>
              <w:tab/>
            </w:r>
            <w:r w:rsidRPr="007D48BE">
              <w:rPr>
                <w:rFonts w:ascii="Arial" w:hAnsi="Arial" w:cs="Arial"/>
                <w:lang w:val="en-GB"/>
              </w:rPr>
              <w:tab/>
              <w:t>108,976</w:t>
            </w:r>
          </w:p>
        </w:tc>
      </w:tr>
      <w:tr w:rsidR="007D48BE" w:rsidRPr="007D48BE" w14:paraId="42CBBF0F" w14:textId="77777777" w:rsidTr="007D48BE">
        <w:tc>
          <w:tcPr>
            <w:tcW w:w="4815" w:type="dxa"/>
          </w:tcPr>
          <w:p w14:paraId="5281B2A6" w14:textId="77777777" w:rsidR="007D48BE" w:rsidRPr="007D48BE" w:rsidRDefault="007D48BE" w:rsidP="007D48BE">
            <w:pPr>
              <w:rPr>
                <w:rFonts w:ascii="Arial" w:hAnsi="Arial" w:cs="Arial"/>
                <w:lang w:val="en-GB"/>
              </w:rPr>
            </w:pPr>
          </w:p>
        </w:tc>
        <w:tc>
          <w:tcPr>
            <w:tcW w:w="1134" w:type="dxa"/>
          </w:tcPr>
          <w:p w14:paraId="54AF63C5" w14:textId="77777777" w:rsidR="007D48BE" w:rsidRPr="007D48BE" w:rsidRDefault="007D48BE" w:rsidP="007D48BE">
            <w:pPr>
              <w:tabs>
                <w:tab w:val="left" w:pos="75"/>
                <w:tab w:val="right" w:pos="930"/>
              </w:tabs>
              <w:rPr>
                <w:rFonts w:ascii="Arial" w:hAnsi="Arial" w:cs="Arial"/>
                <w:lang w:val="en-GB"/>
              </w:rPr>
            </w:pPr>
          </w:p>
        </w:tc>
        <w:tc>
          <w:tcPr>
            <w:tcW w:w="1134" w:type="dxa"/>
            <w:tcBorders>
              <w:top w:val="double" w:sz="4" w:space="0" w:color="auto"/>
            </w:tcBorders>
          </w:tcPr>
          <w:p w14:paraId="679351C2" w14:textId="77777777" w:rsidR="007D48BE" w:rsidRPr="007D48BE" w:rsidRDefault="007D48BE" w:rsidP="007D48BE">
            <w:pPr>
              <w:tabs>
                <w:tab w:val="left" w:pos="90"/>
                <w:tab w:val="right" w:pos="1035"/>
              </w:tabs>
              <w:rPr>
                <w:rFonts w:ascii="Arial" w:hAnsi="Arial" w:cs="Arial"/>
                <w:lang w:val="en-GB"/>
              </w:rPr>
            </w:pPr>
          </w:p>
        </w:tc>
        <w:tc>
          <w:tcPr>
            <w:tcW w:w="1134" w:type="dxa"/>
          </w:tcPr>
          <w:p w14:paraId="19B46D79" w14:textId="77777777" w:rsidR="007D48BE" w:rsidRPr="007D48BE" w:rsidRDefault="007D48BE" w:rsidP="007D48BE">
            <w:pPr>
              <w:tabs>
                <w:tab w:val="left" w:pos="90"/>
                <w:tab w:val="right" w:pos="1050"/>
              </w:tabs>
              <w:rPr>
                <w:rFonts w:ascii="Arial" w:hAnsi="Arial" w:cs="Arial"/>
                <w:lang w:val="en-GB"/>
              </w:rPr>
            </w:pPr>
          </w:p>
        </w:tc>
        <w:tc>
          <w:tcPr>
            <w:tcW w:w="1133" w:type="dxa"/>
            <w:tcBorders>
              <w:top w:val="double" w:sz="4" w:space="0" w:color="auto"/>
            </w:tcBorders>
          </w:tcPr>
          <w:p w14:paraId="39D8874F" w14:textId="77777777" w:rsidR="007D48BE" w:rsidRPr="007D48BE" w:rsidRDefault="007D48BE" w:rsidP="007D48BE">
            <w:pPr>
              <w:tabs>
                <w:tab w:val="left" w:pos="75"/>
                <w:tab w:val="right" w:pos="1050"/>
              </w:tabs>
              <w:rPr>
                <w:rFonts w:ascii="Arial" w:hAnsi="Arial" w:cs="Arial"/>
                <w:lang w:val="en-GB"/>
              </w:rPr>
            </w:pPr>
          </w:p>
        </w:tc>
      </w:tr>
      <w:tr w:rsidR="007D48BE" w:rsidRPr="007D48BE" w14:paraId="399F7FCC" w14:textId="77777777" w:rsidTr="007D48BE">
        <w:tc>
          <w:tcPr>
            <w:tcW w:w="4815" w:type="dxa"/>
          </w:tcPr>
          <w:p w14:paraId="1D6D88BB" w14:textId="77777777" w:rsidR="007D48BE" w:rsidRPr="007D48BE" w:rsidRDefault="007D48BE" w:rsidP="007D48BE">
            <w:pPr>
              <w:jc w:val="both"/>
              <w:rPr>
                <w:rFonts w:ascii="Arial" w:hAnsi="Arial" w:cs="Arial"/>
                <w:lang w:val="en-GB"/>
              </w:rPr>
            </w:pPr>
            <w:r w:rsidRPr="007D48BE">
              <w:rPr>
                <w:rFonts w:ascii="Arial" w:hAnsi="Arial" w:cs="Arial"/>
                <w:b/>
                <w:lang w:val="en-GB"/>
              </w:rPr>
              <w:t>Liabilities and shareholders’ equity</w:t>
            </w:r>
          </w:p>
        </w:tc>
        <w:tc>
          <w:tcPr>
            <w:tcW w:w="1134" w:type="dxa"/>
          </w:tcPr>
          <w:p w14:paraId="0E231F17" w14:textId="77777777" w:rsidR="007D48BE" w:rsidRPr="007D48BE" w:rsidRDefault="007D48BE" w:rsidP="007D48BE">
            <w:pPr>
              <w:tabs>
                <w:tab w:val="left" w:pos="75"/>
                <w:tab w:val="right" w:pos="930"/>
              </w:tabs>
              <w:rPr>
                <w:rFonts w:ascii="Arial" w:hAnsi="Arial" w:cs="Arial"/>
                <w:lang w:val="en-GB"/>
              </w:rPr>
            </w:pPr>
          </w:p>
        </w:tc>
        <w:tc>
          <w:tcPr>
            <w:tcW w:w="1134" w:type="dxa"/>
          </w:tcPr>
          <w:p w14:paraId="746C6ED3" w14:textId="77777777" w:rsidR="007D48BE" w:rsidRPr="007D48BE" w:rsidRDefault="007D48BE" w:rsidP="007D48BE">
            <w:pPr>
              <w:tabs>
                <w:tab w:val="left" w:pos="90"/>
                <w:tab w:val="right" w:pos="1035"/>
              </w:tabs>
              <w:rPr>
                <w:rFonts w:ascii="Arial" w:hAnsi="Arial" w:cs="Arial"/>
                <w:lang w:val="en-GB"/>
              </w:rPr>
            </w:pPr>
          </w:p>
        </w:tc>
        <w:tc>
          <w:tcPr>
            <w:tcW w:w="1134" w:type="dxa"/>
          </w:tcPr>
          <w:p w14:paraId="7EE47AB4" w14:textId="77777777" w:rsidR="007D48BE" w:rsidRPr="007D48BE" w:rsidRDefault="007D48BE" w:rsidP="007D48BE">
            <w:pPr>
              <w:tabs>
                <w:tab w:val="left" w:pos="90"/>
                <w:tab w:val="right" w:pos="1050"/>
              </w:tabs>
              <w:rPr>
                <w:rFonts w:ascii="Arial" w:hAnsi="Arial" w:cs="Arial"/>
                <w:lang w:val="en-GB"/>
              </w:rPr>
            </w:pPr>
          </w:p>
        </w:tc>
        <w:tc>
          <w:tcPr>
            <w:tcW w:w="1133" w:type="dxa"/>
          </w:tcPr>
          <w:p w14:paraId="1E443484" w14:textId="77777777" w:rsidR="007D48BE" w:rsidRPr="007D48BE" w:rsidRDefault="007D48BE" w:rsidP="007D48BE">
            <w:pPr>
              <w:tabs>
                <w:tab w:val="left" w:pos="75"/>
                <w:tab w:val="right" w:pos="1050"/>
              </w:tabs>
              <w:rPr>
                <w:rFonts w:ascii="Arial" w:hAnsi="Arial" w:cs="Arial"/>
                <w:lang w:val="en-GB"/>
              </w:rPr>
            </w:pPr>
          </w:p>
        </w:tc>
      </w:tr>
      <w:tr w:rsidR="007D48BE" w:rsidRPr="007D48BE" w14:paraId="3916FCDD" w14:textId="77777777" w:rsidTr="007D48BE">
        <w:tc>
          <w:tcPr>
            <w:tcW w:w="4815" w:type="dxa"/>
          </w:tcPr>
          <w:p w14:paraId="36F698C4" w14:textId="77777777" w:rsidR="007D48BE" w:rsidRPr="007D48BE" w:rsidRDefault="007D48BE" w:rsidP="007D48BE">
            <w:pPr>
              <w:rPr>
                <w:rFonts w:ascii="Arial" w:hAnsi="Arial" w:cs="Arial"/>
                <w:lang w:val="en-GB"/>
              </w:rPr>
            </w:pPr>
            <w:r w:rsidRPr="007D48BE">
              <w:rPr>
                <w:rFonts w:ascii="Arial" w:hAnsi="Arial" w:cs="Arial"/>
                <w:lang w:val="en-GB"/>
              </w:rPr>
              <w:t>Liabilities</w:t>
            </w:r>
          </w:p>
        </w:tc>
        <w:tc>
          <w:tcPr>
            <w:tcW w:w="1134" w:type="dxa"/>
          </w:tcPr>
          <w:p w14:paraId="2D4F6102" w14:textId="77777777" w:rsidR="007D48BE" w:rsidRPr="007D48BE" w:rsidRDefault="007D48BE" w:rsidP="007D48BE">
            <w:pPr>
              <w:tabs>
                <w:tab w:val="left" w:pos="75"/>
                <w:tab w:val="right" w:pos="930"/>
              </w:tabs>
              <w:rPr>
                <w:rFonts w:ascii="Arial" w:hAnsi="Arial" w:cs="Arial"/>
                <w:lang w:val="en-GB"/>
              </w:rPr>
            </w:pPr>
          </w:p>
        </w:tc>
        <w:tc>
          <w:tcPr>
            <w:tcW w:w="1134" w:type="dxa"/>
          </w:tcPr>
          <w:p w14:paraId="59496058" w14:textId="77777777" w:rsidR="007D48BE" w:rsidRPr="007D48BE" w:rsidRDefault="007D48BE" w:rsidP="007D48BE">
            <w:pPr>
              <w:tabs>
                <w:tab w:val="left" w:pos="90"/>
                <w:tab w:val="right" w:pos="1035"/>
              </w:tabs>
              <w:rPr>
                <w:rFonts w:ascii="Arial" w:hAnsi="Arial" w:cs="Arial"/>
                <w:lang w:val="en-GB"/>
              </w:rPr>
            </w:pPr>
          </w:p>
        </w:tc>
        <w:tc>
          <w:tcPr>
            <w:tcW w:w="1134" w:type="dxa"/>
          </w:tcPr>
          <w:p w14:paraId="6F01E8E8" w14:textId="77777777" w:rsidR="007D48BE" w:rsidRPr="007D48BE" w:rsidRDefault="007D48BE" w:rsidP="007D48BE">
            <w:pPr>
              <w:tabs>
                <w:tab w:val="left" w:pos="90"/>
                <w:tab w:val="right" w:pos="1050"/>
              </w:tabs>
              <w:rPr>
                <w:rFonts w:ascii="Arial" w:hAnsi="Arial" w:cs="Arial"/>
                <w:lang w:val="en-GB"/>
              </w:rPr>
            </w:pPr>
          </w:p>
        </w:tc>
        <w:tc>
          <w:tcPr>
            <w:tcW w:w="1133" w:type="dxa"/>
          </w:tcPr>
          <w:p w14:paraId="3750FD6D" w14:textId="77777777" w:rsidR="007D48BE" w:rsidRPr="007D48BE" w:rsidRDefault="007D48BE" w:rsidP="007D48BE">
            <w:pPr>
              <w:tabs>
                <w:tab w:val="left" w:pos="75"/>
                <w:tab w:val="right" w:pos="1050"/>
              </w:tabs>
              <w:rPr>
                <w:rFonts w:ascii="Arial" w:hAnsi="Arial" w:cs="Arial"/>
                <w:lang w:val="en-GB"/>
              </w:rPr>
            </w:pPr>
          </w:p>
        </w:tc>
      </w:tr>
      <w:tr w:rsidR="007D48BE" w:rsidRPr="007D48BE" w14:paraId="074B3259" w14:textId="77777777" w:rsidTr="007D48BE">
        <w:tc>
          <w:tcPr>
            <w:tcW w:w="4815" w:type="dxa"/>
          </w:tcPr>
          <w:p w14:paraId="41EF81F4" w14:textId="77777777" w:rsidR="007D48BE" w:rsidRPr="007D48BE" w:rsidRDefault="007D48BE" w:rsidP="007D48BE">
            <w:pPr>
              <w:rPr>
                <w:rFonts w:ascii="Arial" w:hAnsi="Arial" w:cs="Arial"/>
                <w:lang w:val="en-GB"/>
              </w:rPr>
            </w:pPr>
            <w:r w:rsidRPr="007D48BE">
              <w:rPr>
                <w:rFonts w:ascii="Arial" w:hAnsi="Arial" w:cs="Arial"/>
                <w:lang w:val="en-GB"/>
              </w:rPr>
              <w:t>Current liabilities</w:t>
            </w:r>
          </w:p>
        </w:tc>
        <w:tc>
          <w:tcPr>
            <w:tcW w:w="1134" w:type="dxa"/>
          </w:tcPr>
          <w:p w14:paraId="1C59350D" w14:textId="77777777" w:rsidR="007D48BE" w:rsidRPr="007D48BE" w:rsidRDefault="007D48BE" w:rsidP="007D48BE">
            <w:pPr>
              <w:tabs>
                <w:tab w:val="left" w:pos="75"/>
                <w:tab w:val="right" w:pos="930"/>
              </w:tabs>
              <w:rPr>
                <w:rFonts w:ascii="Arial" w:hAnsi="Arial" w:cs="Arial"/>
                <w:lang w:val="en-GB"/>
              </w:rPr>
            </w:pPr>
          </w:p>
        </w:tc>
        <w:tc>
          <w:tcPr>
            <w:tcW w:w="1134" w:type="dxa"/>
          </w:tcPr>
          <w:p w14:paraId="2554EB2C" w14:textId="77777777" w:rsidR="007D48BE" w:rsidRPr="007D48BE" w:rsidRDefault="007D48BE" w:rsidP="007D48BE">
            <w:pPr>
              <w:tabs>
                <w:tab w:val="left" w:pos="90"/>
                <w:tab w:val="right" w:pos="1035"/>
              </w:tabs>
              <w:rPr>
                <w:rFonts w:ascii="Arial" w:hAnsi="Arial" w:cs="Arial"/>
                <w:lang w:val="en-GB"/>
              </w:rPr>
            </w:pPr>
          </w:p>
        </w:tc>
        <w:tc>
          <w:tcPr>
            <w:tcW w:w="1134" w:type="dxa"/>
          </w:tcPr>
          <w:p w14:paraId="45CEBA58" w14:textId="77777777" w:rsidR="007D48BE" w:rsidRPr="007D48BE" w:rsidRDefault="007D48BE" w:rsidP="007D48BE">
            <w:pPr>
              <w:tabs>
                <w:tab w:val="left" w:pos="90"/>
                <w:tab w:val="right" w:pos="1050"/>
              </w:tabs>
              <w:rPr>
                <w:rFonts w:ascii="Arial" w:hAnsi="Arial" w:cs="Arial"/>
                <w:lang w:val="en-GB"/>
              </w:rPr>
            </w:pPr>
          </w:p>
        </w:tc>
        <w:tc>
          <w:tcPr>
            <w:tcW w:w="1133" w:type="dxa"/>
          </w:tcPr>
          <w:p w14:paraId="26CFA720" w14:textId="77777777" w:rsidR="007D48BE" w:rsidRPr="007D48BE" w:rsidRDefault="007D48BE" w:rsidP="007D48BE">
            <w:pPr>
              <w:tabs>
                <w:tab w:val="left" w:pos="75"/>
                <w:tab w:val="right" w:pos="1050"/>
              </w:tabs>
              <w:rPr>
                <w:rFonts w:ascii="Arial" w:hAnsi="Arial" w:cs="Arial"/>
                <w:lang w:val="en-GB"/>
              </w:rPr>
            </w:pPr>
          </w:p>
        </w:tc>
      </w:tr>
      <w:tr w:rsidR="007D48BE" w:rsidRPr="007D48BE" w14:paraId="7218260D" w14:textId="77777777" w:rsidTr="007D48BE">
        <w:tc>
          <w:tcPr>
            <w:tcW w:w="4815" w:type="dxa"/>
          </w:tcPr>
          <w:p w14:paraId="6AD72AE4" w14:textId="77777777" w:rsidR="007D48BE" w:rsidRPr="007D48BE" w:rsidRDefault="007D48BE" w:rsidP="007D48BE">
            <w:pPr>
              <w:ind w:firstLine="176"/>
              <w:rPr>
                <w:rFonts w:ascii="Arial" w:hAnsi="Arial" w:cs="Arial"/>
                <w:lang w:val="en-GB"/>
              </w:rPr>
            </w:pPr>
            <w:r w:rsidRPr="007D48BE">
              <w:rPr>
                <w:rFonts w:ascii="Arial" w:hAnsi="Arial" w:cs="Arial"/>
                <w:lang w:val="en-GB"/>
              </w:rPr>
              <w:t>Accounts payable</w:t>
            </w:r>
          </w:p>
        </w:tc>
        <w:tc>
          <w:tcPr>
            <w:tcW w:w="1134" w:type="dxa"/>
          </w:tcPr>
          <w:p w14:paraId="5B954D42" w14:textId="77777777" w:rsidR="007D48BE" w:rsidRPr="007D48BE" w:rsidRDefault="007D48BE" w:rsidP="007D48BE">
            <w:pPr>
              <w:tabs>
                <w:tab w:val="left" w:pos="75"/>
                <w:tab w:val="right" w:pos="930"/>
              </w:tabs>
              <w:rPr>
                <w:rFonts w:ascii="Arial" w:hAnsi="Arial" w:cs="Arial"/>
                <w:lang w:val="en-GB"/>
              </w:rPr>
            </w:pPr>
            <w:r w:rsidRPr="007D48BE">
              <w:rPr>
                <w:rFonts w:ascii="Arial" w:hAnsi="Arial" w:cs="Arial"/>
                <w:lang w:val="en-GB"/>
              </w:rPr>
              <w:tab/>
            </w:r>
            <w:r w:rsidRPr="007D48BE">
              <w:rPr>
                <w:rFonts w:ascii="Arial" w:hAnsi="Arial" w:cs="Arial"/>
                <w:lang w:val="en-GB"/>
              </w:rPr>
              <w:tab/>
              <w:t>10,734</w:t>
            </w:r>
          </w:p>
        </w:tc>
        <w:tc>
          <w:tcPr>
            <w:tcW w:w="1134" w:type="dxa"/>
          </w:tcPr>
          <w:p w14:paraId="09C1D47E" w14:textId="77777777" w:rsidR="007D48BE" w:rsidRPr="007D48BE" w:rsidRDefault="007D48BE" w:rsidP="007D48BE">
            <w:pPr>
              <w:tabs>
                <w:tab w:val="left" w:pos="90"/>
                <w:tab w:val="right" w:pos="1035"/>
              </w:tabs>
              <w:rPr>
                <w:rFonts w:ascii="Arial" w:hAnsi="Arial" w:cs="Arial"/>
                <w:lang w:val="en-GB"/>
              </w:rPr>
            </w:pPr>
          </w:p>
        </w:tc>
        <w:tc>
          <w:tcPr>
            <w:tcW w:w="1134" w:type="dxa"/>
          </w:tcPr>
          <w:p w14:paraId="6C018E62" w14:textId="77777777" w:rsidR="007D48BE" w:rsidRPr="007D48BE" w:rsidRDefault="007D48BE" w:rsidP="007D48BE">
            <w:pPr>
              <w:tabs>
                <w:tab w:val="left" w:pos="90"/>
                <w:tab w:val="right" w:pos="1050"/>
              </w:tabs>
              <w:rPr>
                <w:rFonts w:ascii="Arial" w:hAnsi="Arial" w:cs="Arial"/>
                <w:lang w:val="en-GB"/>
              </w:rPr>
            </w:pPr>
            <w:r w:rsidRPr="007D48BE">
              <w:rPr>
                <w:rFonts w:ascii="Arial" w:hAnsi="Arial" w:cs="Arial"/>
                <w:lang w:val="en-GB"/>
              </w:rPr>
              <w:tab/>
            </w:r>
            <w:r w:rsidRPr="007D48BE">
              <w:rPr>
                <w:rFonts w:ascii="Arial" w:hAnsi="Arial" w:cs="Arial"/>
                <w:lang w:val="en-GB"/>
              </w:rPr>
              <w:tab/>
              <w:t>8,915</w:t>
            </w:r>
          </w:p>
        </w:tc>
        <w:tc>
          <w:tcPr>
            <w:tcW w:w="1133" w:type="dxa"/>
          </w:tcPr>
          <w:p w14:paraId="12C030AD" w14:textId="77777777" w:rsidR="007D48BE" w:rsidRPr="007D48BE" w:rsidRDefault="007D48BE" w:rsidP="007D48BE">
            <w:pPr>
              <w:tabs>
                <w:tab w:val="left" w:pos="75"/>
                <w:tab w:val="right" w:pos="1050"/>
              </w:tabs>
              <w:rPr>
                <w:rFonts w:ascii="Arial" w:hAnsi="Arial" w:cs="Arial"/>
                <w:lang w:val="en-GB"/>
              </w:rPr>
            </w:pPr>
          </w:p>
        </w:tc>
      </w:tr>
      <w:tr w:rsidR="007D48BE" w:rsidRPr="007D48BE" w14:paraId="6A139D16" w14:textId="77777777" w:rsidTr="007D48BE">
        <w:tc>
          <w:tcPr>
            <w:tcW w:w="4815" w:type="dxa"/>
          </w:tcPr>
          <w:p w14:paraId="2378AC52" w14:textId="77777777" w:rsidR="007D48BE" w:rsidRPr="007D48BE" w:rsidRDefault="007D48BE" w:rsidP="007D48BE">
            <w:pPr>
              <w:ind w:firstLine="176"/>
              <w:rPr>
                <w:rFonts w:ascii="Arial" w:hAnsi="Arial" w:cs="Arial"/>
                <w:lang w:val="en-GB"/>
              </w:rPr>
            </w:pPr>
            <w:r w:rsidRPr="007D48BE">
              <w:rPr>
                <w:rFonts w:ascii="Arial" w:hAnsi="Arial" w:cs="Arial"/>
                <w:lang w:val="en-GB"/>
              </w:rPr>
              <w:t>Accrued liabilities</w:t>
            </w:r>
          </w:p>
        </w:tc>
        <w:tc>
          <w:tcPr>
            <w:tcW w:w="1134" w:type="dxa"/>
          </w:tcPr>
          <w:p w14:paraId="67779955" w14:textId="77777777" w:rsidR="007D48BE" w:rsidRPr="007D48BE" w:rsidRDefault="007D48BE" w:rsidP="007D48BE">
            <w:pPr>
              <w:tabs>
                <w:tab w:val="left" w:pos="75"/>
                <w:tab w:val="right" w:pos="930"/>
              </w:tabs>
              <w:jc w:val="right"/>
              <w:rPr>
                <w:rFonts w:ascii="Arial" w:hAnsi="Arial" w:cs="Arial"/>
                <w:lang w:val="en-GB"/>
              </w:rPr>
            </w:pPr>
            <w:r w:rsidRPr="007D48BE">
              <w:rPr>
                <w:rFonts w:ascii="Arial" w:hAnsi="Arial" w:cs="Arial"/>
                <w:lang w:val="en-GB"/>
              </w:rPr>
              <w:t>10,111</w:t>
            </w:r>
          </w:p>
        </w:tc>
        <w:tc>
          <w:tcPr>
            <w:tcW w:w="1134" w:type="dxa"/>
          </w:tcPr>
          <w:p w14:paraId="72424005" w14:textId="77777777" w:rsidR="007D48BE" w:rsidRPr="007D48BE" w:rsidRDefault="007D48BE" w:rsidP="007D48BE">
            <w:pPr>
              <w:tabs>
                <w:tab w:val="left" w:pos="90"/>
                <w:tab w:val="right" w:pos="1035"/>
              </w:tabs>
              <w:rPr>
                <w:rFonts w:ascii="Arial" w:hAnsi="Arial" w:cs="Arial"/>
                <w:lang w:val="en-GB"/>
              </w:rPr>
            </w:pPr>
          </w:p>
        </w:tc>
        <w:tc>
          <w:tcPr>
            <w:tcW w:w="1134" w:type="dxa"/>
          </w:tcPr>
          <w:p w14:paraId="729F0077" w14:textId="77777777" w:rsidR="007D48BE" w:rsidRPr="007D48BE" w:rsidRDefault="007D48BE" w:rsidP="007D48BE">
            <w:pPr>
              <w:tabs>
                <w:tab w:val="left" w:pos="90"/>
                <w:tab w:val="right" w:pos="1050"/>
              </w:tabs>
              <w:jc w:val="center"/>
              <w:rPr>
                <w:rFonts w:ascii="Arial" w:hAnsi="Arial" w:cs="Arial"/>
                <w:lang w:val="en-GB"/>
              </w:rPr>
            </w:pPr>
            <w:r w:rsidRPr="007D48BE">
              <w:rPr>
                <w:rFonts w:ascii="Arial" w:hAnsi="Arial" w:cs="Arial"/>
                <w:lang w:val="en-GB"/>
              </w:rPr>
              <w:t xml:space="preserve">      21,572</w:t>
            </w:r>
          </w:p>
        </w:tc>
        <w:tc>
          <w:tcPr>
            <w:tcW w:w="1133" w:type="dxa"/>
          </w:tcPr>
          <w:p w14:paraId="58E1D0C9" w14:textId="77777777" w:rsidR="007D48BE" w:rsidRPr="007D48BE" w:rsidRDefault="007D48BE" w:rsidP="007D48BE">
            <w:pPr>
              <w:tabs>
                <w:tab w:val="left" w:pos="75"/>
                <w:tab w:val="right" w:pos="1050"/>
              </w:tabs>
              <w:rPr>
                <w:rFonts w:ascii="Arial" w:hAnsi="Arial" w:cs="Arial"/>
                <w:lang w:val="en-GB"/>
              </w:rPr>
            </w:pPr>
          </w:p>
        </w:tc>
      </w:tr>
      <w:tr w:rsidR="007D48BE" w:rsidRPr="007D48BE" w14:paraId="211CCF70" w14:textId="77777777" w:rsidTr="007D48BE">
        <w:tc>
          <w:tcPr>
            <w:tcW w:w="4815" w:type="dxa"/>
          </w:tcPr>
          <w:p w14:paraId="0D7E4EAE" w14:textId="77777777" w:rsidR="007D48BE" w:rsidRPr="007D48BE" w:rsidRDefault="007D48BE" w:rsidP="007D48BE">
            <w:pPr>
              <w:ind w:firstLine="176"/>
              <w:rPr>
                <w:rFonts w:ascii="Arial" w:hAnsi="Arial" w:cs="Arial"/>
                <w:lang w:val="en-GB"/>
              </w:rPr>
            </w:pPr>
            <w:r w:rsidRPr="007D48BE">
              <w:rPr>
                <w:rFonts w:ascii="Arial" w:hAnsi="Arial" w:cs="Arial"/>
                <w:lang w:val="en-GB"/>
              </w:rPr>
              <w:t>Income taxes payable</w:t>
            </w:r>
          </w:p>
        </w:tc>
        <w:tc>
          <w:tcPr>
            <w:tcW w:w="1134" w:type="dxa"/>
          </w:tcPr>
          <w:p w14:paraId="419D1C16" w14:textId="77777777" w:rsidR="007D48BE" w:rsidRPr="007D48BE" w:rsidRDefault="007D48BE" w:rsidP="007D48BE">
            <w:pPr>
              <w:tabs>
                <w:tab w:val="left" w:pos="75"/>
                <w:tab w:val="right" w:pos="930"/>
              </w:tabs>
              <w:rPr>
                <w:rFonts w:ascii="Arial" w:hAnsi="Arial" w:cs="Arial"/>
                <w:lang w:val="en-GB"/>
              </w:rPr>
            </w:pPr>
            <w:r w:rsidRPr="007D48BE">
              <w:rPr>
                <w:rFonts w:ascii="Arial" w:hAnsi="Arial" w:cs="Arial"/>
                <w:lang w:val="en-GB"/>
              </w:rPr>
              <w:tab/>
            </w:r>
            <w:r w:rsidRPr="007D48BE">
              <w:rPr>
                <w:rFonts w:ascii="Arial" w:hAnsi="Arial" w:cs="Arial"/>
                <w:lang w:val="en-GB"/>
              </w:rPr>
              <w:tab/>
              <w:t>3,412</w:t>
            </w:r>
          </w:p>
        </w:tc>
        <w:tc>
          <w:tcPr>
            <w:tcW w:w="1134" w:type="dxa"/>
          </w:tcPr>
          <w:p w14:paraId="434B5EA5" w14:textId="77777777" w:rsidR="007D48BE" w:rsidRPr="007D48BE" w:rsidRDefault="007D48BE" w:rsidP="007D48BE">
            <w:pPr>
              <w:tabs>
                <w:tab w:val="left" w:pos="90"/>
                <w:tab w:val="right" w:pos="1035"/>
              </w:tabs>
              <w:rPr>
                <w:rFonts w:ascii="Arial" w:hAnsi="Arial" w:cs="Arial"/>
                <w:lang w:val="en-GB"/>
              </w:rPr>
            </w:pPr>
          </w:p>
        </w:tc>
        <w:tc>
          <w:tcPr>
            <w:tcW w:w="1134" w:type="dxa"/>
          </w:tcPr>
          <w:p w14:paraId="3D7AB3F0" w14:textId="77777777" w:rsidR="007D48BE" w:rsidRPr="007D48BE" w:rsidRDefault="007D48BE" w:rsidP="007D48BE">
            <w:pPr>
              <w:tabs>
                <w:tab w:val="left" w:pos="90"/>
                <w:tab w:val="right" w:pos="1050"/>
              </w:tabs>
              <w:ind w:left="1080"/>
              <w:rPr>
                <w:rFonts w:ascii="Arial" w:hAnsi="Arial" w:cs="Arial"/>
                <w:lang w:val="en-GB"/>
              </w:rPr>
            </w:pPr>
            <w:r w:rsidRPr="007D48BE">
              <w:rPr>
                <w:rFonts w:ascii="Arial" w:hAnsi="Arial" w:cs="Arial"/>
                <w:lang w:val="en-GB"/>
              </w:rPr>
              <w:t>–</w:t>
            </w:r>
          </w:p>
        </w:tc>
        <w:tc>
          <w:tcPr>
            <w:tcW w:w="1133" w:type="dxa"/>
          </w:tcPr>
          <w:p w14:paraId="2755C96B" w14:textId="77777777" w:rsidR="007D48BE" w:rsidRPr="007D48BE" w:rsidRDefault="007D48BE" w:rsidP="007D48BE">
            <w:pPr>
              <w:tabs>
                <w:tab w:val="left" w:pos="75"/>
                <w:tab w:val="right" w:pos="1050"/>
              </w:tabs>
              <w:rPr>
                <w:rFonts w:ascii="Arial" w:hAnsi="Arial" w:cs="Arial"/>
                <w:lang w:val="en-GB"/>
              </w:rPr>
            </w:pPr>
          </w:p>
        </w:tc>
      </w:tr>
      <w:tr w:rsidR="007D48BE" w:rsidRPr="007D48BE" w14:paraId="073456FB" w14:textId="77777777" w:rsidTr="007D48BE">
        <w:tc>
          <w:tcPr>
            <w:tcW w:w="4815" w:type="dxa"/>
          </w:tcPr>
          <w:p w14:paraId="694EACB0" w14:textId="77777777" w:rsidR="007D48BE" w:rsidRPr="007D48BE" w:rsidRDefault="007D48BE" w:rsidP="007D48BE">
            <w:pPr>
              <w:ind w:firstLine="176"/>
              <w:rPr>
                <w:rFonts w:ascii="Arial" w:hAnsi="Arial" w:cs="Arial"/>
                <w:lang w:val="en-GB"/>
              </w:rPr>
            </w:pPr>
            <w:r w:rsidRPr="007D48BE">
              <w:rPr>
                <w:rFonts w:ascii="Arial" w:hAnsi="Arial" w:cs="Arial"/>
                <w:lang w:val="en-GB"/>
              </w:rPr>
              <w:t>Due to shareholders</w:t>
            </w:r>
          </w:p>
        </w:tc>
        <w:tc>
          <w:tcPr>
            <w:tcW w:w="1134" w:type="dxa"/>
          </w:tcPr>
          <w:p w14:paraId="0A43D433" w14:textId="77777777" w:rsidR="007D48BE" w:rsidRPr="007D48BE" w:rsidRDefault="007D48BE" w:rsidP="007D48BE">
            <w:pPr>
              <w:tabs>
                <w:tab w:val="left" w:pos="75"/>
                <w:tab w:val="right" w:pos="930"/>
              </w:tabs>
              <w:rPr>
                <w:rFonts w:ascii="Arial" w:hAnsi="Arial" w:cs="Arial"/>
                <w:u w:val="single"/>
                <w:lang w:val="en-GB"/>
              </w:rPr>
            </w:pPr>
            <w:r w:rsidRPr="007D48BE">
              <w:rPr>
                <w:rFonts w:ascii="Arial" w:hAnsi="Arial" w:cs="Arial"/>
                <w:u w:val="single"/>
                <w:lang w:val="en-GB"/>
              </w:rPr>
              <w:tab/>
            </w:r>
            <w:r w:rsidRPr="007D48BE">
              <w:rPr>
                <w:rFonts w:ascii="Arial" w:hAnsi="Arial" w:cs="Arial"/>
                <w:u w:val="single"/>
                <w:lang w:val="en-GB"/>
              </w:rPr>
              <w:tab/>
              <w:t>68,805</w:t>
            </w:r>
          </w:p>
        </w:tc>
        <w:tc>
          <w:tcPr>
            <w:tcW w:w="1134" w:type="dxa"/>
          </w:tcPr>
          <w:p w14:paraId="67307075" w14:textId="77777777" w:rsidR="007D48BE" w:rsidRPr="007D48BE" w:rsidRDefault="007D48BE" w:rsidP="007D48BE">
            <w:pPr>
              <w:tabs>
                <w:tab w:val="left" w:pos="90"/>
                <w:tab w:val="right" w:pos="1035"/>
              </w:tabs>
              <w:rPr>
                <w:rFonts w:ascii="Arial" w:hAnsi="Arial" w:cs="Arial"/>
                <w:lang w:val="en-GB"/>
              </w:rPr>
            </w:pPr>
          </w:p>
        </w:tc>
        <w:tc>
          <w:tcPr>
            <w:tcW w:w="1134" w:type="dxa"/>
          </w:tcPr>
          <w:p w14:paraId="485720BB" w14:textId="77777777" w:rsidR="007D48BE" w:rsidRPr="007D48BE" w:rsidRDefault="007D48BE" w:rsidP="007D48BE">
            <w:pPr>
              <w:tabs>
                <w:tab w:val="left" w:pos="90"/>
                <w:tab w:val="right" w:pos="1050"/>
              </w:tabs>
              <w:rPr>
                <w:rFonts w:ascii="Arial" w:hAnsi="Arial" w:cs="Arial"/>
                <w:u w:val="single"/>
                <w:lang w:val="en-GB"/>
              </w:rPr>
            </w:pPr>
            <w:r w:rsidRPr="007D48BE">
              <w:rPr>
                <w:rFonts w:ascii="Arial" w:hAnsi="Arial" w:cs="Arial"/>
                <w:u w:val="single"/>
                <w:lang w:val="en-GB"/>
              </w:rPr>
              <w:tab/>
            </w:r>
            <w:r w:rsidRPr="007D48BE">
              <w:rPr>
                <w:rFonts w:ascii="Arial" w:hAnsi="Arial" w:cs="Arial"/>
                <w:u w:val="single"/>
                <w:lang w:val="en-GB"/>
              </w:rPr>
              <w:tab/>
              <w:t>76,805</w:t>
            </w:r>
          </w:p>
        </w:tc>
        <w:tc>
          <w:tcPr>
            <w:tcW w:w="1133" w:type="dxa"/>
          </w:tcPr>
          <w:p w14:paraId="518F72CF" w14:textId="77777777" w:rsidR="007D48BE" w:rsidRPr="007D48BE" w:rsidRDefault="007D48BE" w:rsidP="007D48BE">
            <w:pPr>
              <w:tabs>
                <w:tab w:val="left" w:pos="75"/>
                <w:tab w:val="right" w:pos="1050"/>
              </w:tabs>
              <w:rPr>
                <w:rFonts w:ascii="Arial" w:hAnsi="Arial" w:cs="Arial"/>
                <w:lang w:val="en-GB"/>
              </w:rPr>
            </w:pPr>
          </w:p>
        </w:tc>
      </w:tr>
      <w:tr w:rsidR="007D48BE" w:rsidRPr="007D48BE" w14:paraId="35D8373B" w14:textId="77777777" w:rsidTr="007D48BE">
        <w:tc>
          <w:tcPr>
            <w:tcW w:w="4815" w:type="dxa"/>
          </w:tcPr>
          <w:p w14:paraId="7DF97E3F" w14:textId="77777777" w:rsidR="007D48BE" w:rsidRPr="007D48BE" w:rsidRDefault="007D48BE" w:rsidP="007D48BE">
            <w:pPr>
              <w:rPr>
                <w:rFonts w:ascii="Arial" w:hAnsi="Arial" w:cs="Arial"/>
                <w:lang w:val="en-GB"/>
              </w:rPr>
            </w:pPr>
            <w:r w:rsidRPr="007D48BE">
              <w:rPr>
                <w:rFonts w:ascii="Arial" w:hAnsi="Arial" w:cs="Arial"/>
                <w:lang w:val="en-GB"/>
              </w:rPr>
              <w:t>Total current liabilities</w:t>
            </w:r>
          </w:p>
        </w:tc>
        <w:tc>
          <w:tcPr>
            <w:tcW w:w="1134" w:type="dxa"/>
          </w:tcPr>
          <w:p w14:paraId="676D3763" w14:textId="77777777" w:rsidR="007D48BE" w:rsidRPr="007D48BE" w:rsidRDefault="007D48BE" w:rsidP="007D48BE">
            <w:pPr>
              <w:tabs>
                <w:tab w:val="left" w:pos="75"/>
                <w:tab w:val="right" w:pos="930"/>
              </w:tabs>
              <w:rPr>
                <w:rFonts w:ascii="Arial" w:hAnsi="Arial" w:cs="Arial"/>
                <w:lang w:val="en-GB"/>
              </w:rPr>
            </w:pPr>
          </w:p>
        </w:tc>
        <w:tc>
          <w:tcPr>
            <w:tcW w:w="1134" w:type="dxa"/>
          </w:tcPr>
          <w:p w14:paraId="63F2BE95" w14:textId="77777777" w:rsidR="007D48BE" w:rsidRPr="007D48BE" w:rsidRDefault="007D48BE" w:rsidP="007D48BE">
            <w:pPr>
              <w:tabs>
                <w:tab w:val="left" w:pos="90"/>
                <w:tab w:val="right" w:pos="1035"/>
              </w:tabs>
              <w:rPr>
                <w:rFonts w:ascii="Arial" w:hAnsi="Arial" w:cs="Arial"/>
                <w:lang w:val="en-GB"/>
              </w:rPr>
            </w:pPr>
            <w:r w:rsidRPr="007D48BE">
              <w:rPr>
                <w:rFonts w:ascii="Arial" w:hAnsi="Arial" w:cs="Arial"/>
                <w:lang w:val="en-GB"/>
              </w:rPr>
              <w:tab/>
            </w:r>
            <w:r w:rsidRPr="007D48BE">
              <w:rPr>
                <w:rFonts w:ascii="Arial" w:hAnsi="Arial" w:cs="Arial"/>
                <w:lang w:val="en-GB"/>
              </w:rPr>
              <w:tab/>
              <w:t>93,062</w:t>
            </w:r>
          </w:p>
        </w:tc>
        <w:tc>
          <w:tcPr>
            <w:tcW w:w="1134" w:type="dxa"/>
          </w:tcPr>
          <w:p w14:paraId="7286505D" w14:textId="77777777" w:rsidR="007D48BE" w:rsidRPr="007D48BE" w:rsidRDefault="007D48BE" w:rsidP="007D48BE">
            <w:pPr>
              <w:tabs>
                <w:tab w:val="left" w:pos="90"/>
                <w:tab w:val="right" w:pos="1050"/>
              </w:tabs>
              <w:rPr>
                <w:rFonts w:ascii="Arial" w:hAnsi="Arial" w:cs="Arial"/>
                <w:lang w:val="en-GB"/>
              </w:rPr>
            </w:pPr>
          </w:p>
        </w:tc>
        <w:tc>
          <w:tcPr>
            <w:tcW w:w="1133" w:type="dxa"/>
          </w:tcPr>
          <w:p w14:paraId="25C5F1C1" w14:textId="77777777" w:rsidR="007D48BE" w:rsidRPr="007D48BE" w:rsidRDefault="007D48BE" w:rsidP="007D48BE">
            <w:pPr>
              <w:tabs>
                <w:tab w:val="left" w:pos="75"/>
                <w:tab w:val="right" w:pos="1050"/>
              </w:tabs>
              <w:rPr>
                <w:rFonts w:ascii="Arial" w:hAnsi="Arial" w:cs="Arial"/>
                <w:lang w:val="en-GB"/>
              </w:rPr>
            </w:pPr>
            <w:r w:rsidRPr="007D48BE">
              <w:rPr>
                <w:rFonts w:ascii="Arial" w:hAnsi="Arial" w:cs="Arial"/>
                <w:lang w:val="en-GB"/>
              </w:rPr>
              <w:tab/>
            </w:r>
            <w:r w:rsidRPr="007D48BE">
              <w:rPr>
                <w:rFonts w:ascii="Arial" w:hAnsi="Arial" w:cs="Arial"/>
                <w:lang w:val="en-GB"/>
              </w:rPr>
              <w:tab/>
              <w:t>107,292</w:t>
            </w:r>
          </w:p>
        </w:tc>
      </w:tr>
      <w:tr w:rsidR="007D48BE" w:rsidRPr="007D48BE" w14:paraId="562288CB" w14:textId="77777777" w:rsidTr="007D48BE">
        <w:tc>
          <w:tcPr>
            <w:tcW w:w="4815" w:type="dxa"/>
          </w:tcPr>
          <w:p w14:paraId="42CB9C2A" w14:textId="77777777" w:rsidR="007D48BE" w:rsidRPr="007D48BE" w:rsidRDefault="007D48BE" w:rsidP="007D48BE">
            <w:pPr>
              <w:rPr>
                <w:rFonts w:ascii="Arial" w:hAnsi="Arial" w:cs="Arial"/>
                <w:lang w:val="en-GB"/>
              </w:rPr>
            </w:pPr>
          </w:p>
        </w:tc>
        <w:tc>
          <w:tcPr>
            <w:tcW w:w="1134" w:type="dxa"/>
          </w:tcPr>
          <w:p w14:paraId="1832C6E9" w14:textId="77777777" w:rsidR="007D48BE" w:rsidRPr="007D48BE" w:rsidRDefault="007D48BE" w:rsidP="007D48BE">
            <w:pPr>
              <w:tabs>
                <w:tab w:val="left" w:pos="75"/>
                <w:tab w:val="right" w:pos="930"/>
              </w:tabs>
              <w:rPr>
                <w:rFonts w:ascii="Arial" w:hAnsi="Arial" w:cs="Arial"/>
                <w:lang w:val="en-GB"/>
              </w:rPr>
            </w:pPr>
          </w:p>
        </w:tc>
        <w:tc>
          <w:tcPr>
            <w:tcW w:w="1134" w:type="dxa"/>
          </w:tcPr>
          <w:p w14:paraId="6F058F57" w14:textId="77777777" w:rsidR="007D48BE" w:rsidRPr="007D48BE" w:rsidRDefault="007D48BE" w:rsidP="007D48BE">
            <w:pPr>
              <w:tabs>
                <w:tab w:val="left" w:pos="90"/>
                <w:tab w:val="right" w:pos="1035"/>
              </w:tabs>
              <w:rPr>
                <w:rFonts w:ascii="Arial" w:hAnsi="Arial" w:cs="Arial"/>
                <w:lang w:val="en-GB"/>
              </w:rPr>
            </w:pPr>
          </w:p>
        </w:tc>
        <w:tc>
          <w:tcPr>
            <w:tcW w:w="1134" w:type="dxa"/>
          </w:tcPr>
          <w:p w14:paraId="4358ED5F" w14:textId="77777777" w:rsidR="007D48BE" w:rsidRPr="007D48BE" w:rsidRDefault="007D48BE" w:rsidP="007D48BE">
            <w:pPr>
              <w:tabs>
                <w:tab w:val="left" w:pos="90"/>
                <w:tab w:val="right" w:pos="1050"/>
              </w:tabs>
              <w:rPr>
                <w:rFonts w:ascii="Arial" w:hAnsi="Arial" w:cs="Arial"/>
                <w:lang w:val="en-GB"/>
              </w:rPr>
            </w:pPr>
          </w:p>
        </w:tc>
        <w:tc>
          <w:tcPr>
            <w:tcW w:w="1133" w:type="dxa"/>
          </w:tcPr>
          <w:p w14:paraId="45973D96" w14:textId="77777777" w:rsidR="007D48BE" w:rsidRPr="007D48BE" w:rsidRDefault="007D48BE" w:rsidP="007D48BE">
            <w:pPr>
              <w:tabs>
                <w:tab w:val="left" w:pos="75"/>
                <w:tab w:val="right" w:pos="1050"/>
              </w:tabs>
              <w:rPr>
                <w:rFonts w:ascii="Arial" w:hAnsi="Arial" w:cs="Arial"/>
                <w:lang w:val="en-GB"/>
              </w:rPr>
            </w:pPr>
          </w:p>
        </w:tc>
      </w:tr>
      <w:tr w:rsidR="007D48BE" w:rsidRPr="007D48BE" w14:paraId="054DF965" w14:textId="77777777" w:rsidTr="007D48BE">
        <w:tc>
          <w:tcPr>
            <w:tcW w:w="4815" w:type="dxa"/>
          </w:tcPr>
          <w:p w14:paraId="05E6C3C5" w14:textId="77777777" w:rsidR="007D48BE" w:rsidRPr="007D48BE" w:rsidRDefault="007D48BE" w:rsidP="007D48BE">
            <w:pPr>
              <w:rPr>
                <w:rFonts w:ascii="Arial" w:hAnsi="Arial" w:cs="Arial"/>
                <w:lang w:val="en-GB"/>
              </w:rPr>
            </w:pPr>
            <w:r w:rsidRPr="007D48BE">
              <w:rPr>
                <w:rFonts w:ascii="Arial" w:hAnsi="Arial" w:cs="Arial"/>
                <w:lang w:val="en-GB"/>
              </w:rPr>
              <w:t>Shareholders’ equity</w:t>
            </w:r>
          </w:p>
        </w:tc>
        <w:tc>
          <w:tcPr>
            <w:tcW w:w="1134" w:type="dxa"/>
          </w:tcPr>
          <w:p w14:paraId="00F0FEE3" w14:textId="77777777" w:rsidR="007D48BE" w:rsidRPr="007D48BE" w:rsidRDefault="007D48BE" w:rsidP="007D48BE">
            <w:pPr>
              <w:tabs>
                <w:tab w:val="left" w:pos="75"/>
                <w:tab w:val="right" w:pos="930"/>
              </w:tabs>
              <w:rPr>
                <w:rFonts w:ascii="Arial" w:hAnsi="Arial" w:cs="Arial"/>
                <w:lang w:val="en-GB"/>
              </w:rPr>
            </w:pPr>
          </w:p>
        </w:tc>
        <w:tc>
          <w:tcPr>
            <w:tcW w:w="1134" w:type="dxa"/>
          </w:tcPr>
          <w:p w14:paraId="386F0549" w14:textId="77777777" w:rsidR="007D48BE" w:rsidRPr="007D48BE" w:rsidRDefault="007D48BE" w:rsidP="007D48BE">
            <w:pPr>
              <w:tabs>
                <w:tab w:val="left" w:pos="90"/>
                <w:tab w:val="right" w:pos="1035"/>
              </w:tabs>
              <w:rPr>
                <w:rFonts w:ascii="Arial" w:hAnsi="Arial" w:cs="Arial"/>
                <w:lang w:val="en-GB"/>
              </w:rPr>
            </w:pPr>
          </w:p>
        </w:tc>
        <w:tc>
          <w:tcPr>
            <w:tcW w:w="1134" w:type="dxa"/>
          </w:tcPr>
          <w:p w14:paraId="162A8B8D" w14:textId="77777777" w:rsidR="007D48BE" w:rsidRPr="007D48BE" w:rsidRDefault="007D48BE" w:rsidP="007D48BE">
            <w:pPr>
              <w:tabs>
                <w:tab w:val="left" w:pos="90"/>
                <w:tab w:val="right" w:pos="1050"/>
              </w:tabs>
              <w:rPr>
                <w:rFonts w:ascii="Arial" w:hAnsi="Arial" w:cs="Arial"/>
                <w:lang w:val="en-GB"/>
              </w:rPr>
            </w:pPr>
          </w:p>
        </w:tc>
        <w:tc>
          <w:tcPr>
            <w:tcW w:w="1133" w:type="dxa"/>
          </w:tcPr>
          <w:p w14:paraId="793870D8" w14:textId="77777777" w:rsidR="007D48BE" w:rsidRPr="007D48BE" w:rsidRDefault="007D48BE" w:rsidP="007D48BE">
            <w:pPr>
              <w:tabs>
                <w:tab w:val="left" w:pos="75"/>
                <w:tab w:val="right" w:pos="1050"/>
              </w:tabs>
              <w:rPr>
                <w:rFonts w:ascii="Arial" w:hAnsi="Arial" w:cs="Arial"/>
                <w:lang w:val="en-GB"/>
              </w:rPr>
            </w:pPr>
          </w:p>
        </w:tc>
      </w:tr>
      <w:tr w:rsidR="007D48BE" w:rsidRPr="007D48BE" w14:paraId="091B4E16" w14:textId="77777777" w:rsidTr="007D48BE">
        <w:tc>
          <w:tcPr>
            <w:tcW w:w="4815" w:type="dxa"/>
          </w:tcPr>
          <w:p w14:paraId="1B6552F6" w14:textId="77777777" w:rsidR="007D48BE" w:rsidRPr="007D48BE" w:rsidRDefault="007D48BE" w:rsidP="007D48BE">
            <w:pPr>
              <w:ind w:firstLine="176"/>
              <w:rPr>
                <w:rFonts w:ascii="Arial" w:hAnsi="Arial" w:cs="Arial"/>
                <w:lang w:val="en-GB"/>
              </w:rPr>
            </w:pPr>
            <w:r w:rsidRPr="007D48BE">
              <w:rPr>
                <w:rFonts w:ascii="Arial" w:hAnsi="Arial" w:cs="Arial"/>
                <w:lang w:val="en-GB"/>
              </w:rPr>
              <w:t>Share capital (100 common shares–</w:t>
            </w:r>
            <w:proofErr w:type="gramStart"/>
            <w:r w:rsidRPr="007D48BE">
              <w:rPr>
                <w:rFonts w:ascii="Arial" w:hAnsi="Arial" w:cs="Arial"/>
                <w:lang w:val="en-GB"/>
              </w:rPr>
              <w:t>voting)*</w:t>
            </w:r>
            <w:proofErr w:type="gramEnd"/>
          </w:p>
        </w:tc>
        <w:tc>
          <w:tcPr>
            <w:tcW w:w="1134" w:type="dxa"/>
          </w:tcPr>
          <w:p w14:paraId="192C74D9" w14:textId="77777777" w:rsidR="007D48BE" w:rsidRPr="007D48BE" w:rsidRDefault="007D48BE" w:rsidP="007D48BE">
            <w:pPr>
              <w:tabs>
                <w:tab w:val="left" w:pos="75"/>
                <w:tab w:val="right" w:pos="930"/>
              </w:tabs>
              <w:rPr>
                <w:rFonts w:ascii="Arial" w:hAnsi="Arial" w:cs="Arial"/>
                <w:lang w:val="en-GB"/>
              </w:rPr>
            </w:pPr>
            <w:r w:rsidRPr="007D48BE">
              <w:rPr>
                <w:rFonts w:ascii="Arial" w:hAnsi="Arial" w:cs="Arial"/>
                <w:lang w:val="en-GB"/>
              </w:rPr>
              <w:tab/>
            </w:r>
            <w:r w:rsidRPr="007D48BE">
              <w:rPr>
                <w:rFonts w:ascii="Arial" w:hAnsi="Arial" w:cs="Arial"/>
                <w:lang w:val="en-GB"/>
              </w:rPr>
              <w:tab/>
              <w:t>100</w:t>
            </w:r>
          </w:p>
        </w:tc>
        <w:tc>
          <w:tcPr>
            <w:tcW w:w="1134" w:type="dxa"/>
          </w:tcPr>
          <w:p w14:paraId="598B5543" w14:textId="77777777" w:rsidR="007D48BE" w:rsidRPr="007D48BE" w:rsidRDefault="007D48BE" w:rsidP="007D48BE">
            <w:pPr>
              <w:tabs>
                <w:tab w:val="left" w:pos="90"/>
                <w:tab w:val="right" w:pos="1035"/>
              </w:tabs>
              <w:rPr>
                <w:rFonts w:ascii="Arial" w:hAnsi="Arial" w:cs="Arial"/>
                <w:lang w:val="en-GB"/>
              </w:rPr>
            </w:pPr>
          </w:p>
        </w:tc>
        <w:tc>
          <w:tcPr>
            <w:tcW w:w="1134" w:type="dxa"/>
          </w:tcPr>
          <w:p w14:paraId="5152E087" w14:textId="77777777" w:rsidR="007D48BE" w:rsidRPr="007D48BE" w:rsidRDefault="007D48BE" w:rsidP="007D48BE">
            <w:pPr>
              <w:tabs>
                <w:tab w:val="left" w:pos="90"/>
                <w:tab w:val="right" w:pos="1050"/>
              </w:tabs>
              <w:rPr>
                <w:rFonts w:ascii="Arial" w:hAnsi="Arial" w:cs="Arial"/>
                <w:lang w:val="en-GB"/>
              </w:rPr>
            </w:pPr>
            <w:r w:rsidRPr="007D48BE">
              <w:rPr>
                <w:rFonts w:ascii="Arial" w:hAnsi="Arial" w:cs="Arial"/>
                <w:lang w:val="en-GB"/>
              </w:rPr>
              <w:tab/>
            </w:r>
            <w:r w:rsidRPr="007D48BE">
              <w:rPr>
                <w:rFonts w:ascii="Arial" w:hAnsi="Arial" w:cs="Arial"/>
                <w:lang w:val="en-GB"/>
              </w:rPr>
              <w:tab/>
              <w:t>100</w:t>
            </w:r>
          </w:p>
        </w:tc>
        <w:tc>
          <w:tcPr>
            <w:tcW w:w="1133" w:type="dxa"/>
          </w:tcPr>
          <w:p w14:paraId="737C782D" w14:textId="77777777" w:rsidR="007D48BE" w:rsidRPr="007D48BE" w:rsidRDefault="007D48BE" w:rsidP="007D48BE">
            <w:pPr>
              <w:tabs>
                <w:tab w:val="left" w:pos="75"/>
                <w:tab w:val="right" w:pos="1050"/>
              </w:tabs>
              <w:rPr>
                <w:rFonts w:ascii="Arial" w:hAnsi="Arial" w:cs="Arial"/>
                <w:lang w:val="en-GB"/>
              </w:rPr>
            </w:pPr>
          </w:p>
        </w:tc>
      </w:tr>
      <w:tr w:rsidR="007D48BE" w:rsidRPr="007D48BE" w14:paraId="5C4E60DA" w14:textId="77777777" w:rsidTr="007D48BE">
        <w:tc>
          <w:tcPr>
            <w:tcW w:w="4815" w:type="dxa"/>
          </w:tcPr>
          <w:p w14:paraId="778F5FA8" w14:textId="77777777" w:rsidR="007D48BE" w:rsidRPr="007D48BE" w:rsidRDefault="007D48BE" w:rsidP="007D48BE">
            <w:pPr>
              <w:ind w:firstLine="176"/>
              <w:rPr>
                <w:rFonts w:ascii="Arial" w:hAnsi="Arial" w:cs="Arial"/>
                <w:lang w:val="en-GB"/>
              </w:rPr>
            </w:pPr>
            <w:r w:rsidRPr="007D48BE">
              <w:rPr>
                <w:rFonts w:ascii="Arial" w:hAnsi="Arial" w:cs="Arial"/>
                <w:lang w:val="en-GB"/>
              </w:rPr>
              <w:t>Retained earnings</w:t>
            </w:r>
          </w:p>
        </w:tc>
        <w:tc>
          <w:tcPr>
            <w:tcW w:w="1134" w:type="dxa"/>
          </w:tcPr>
          <w:p w14:paraId="52559CAD" w14:textId="77777777" w:rsidR="007D48BE" w:rsidRPr="007D48BE" w:rsidRDefault="007D48BE" w:rsidP="007D48BE">
            <w:pPr>
              <w:tabs>
                <w:tab w:val="left" w:pos="75"/>
                <w:tab w:val="right" w:pos="930"/>
              </w:tabs>
              <w:rPr>
                <w:rFonts w:ascii="Arial" w:hAnsi="Arial" w:cs="Arial"/>
                <w:u w:val="single"/>
                <w:lang w:val="en-GB"/>
              </w:rPr>
            </w:pPr>
            <w:r w:rsidRPr="007D48BE">
              <w:rPr>
                <w:rFonts w:ascii="Arial" w:hAnsi="Arial" w:cs="Arial"/>
                <w:u w:val="single"/>
                <w:lang w:val="en-GB"/>
              </w:rPr>
              <w:tab/>
            </w:r>
            <w:r w:rsidRPr="007D48BE">
              <w:rPr>
                <w:rFonts w:ascii="Arial" w:hAnsi="Arial" w:cs="Arial"/>
                <w:u w:val="single"/>
                <w:lang w:val="en-GB"/>
              </w:rPr>
              <w:tab/>
              <w:t>51,882</w:t>
            </w:r>
          </w:p>
        </w:tc>
        <w:tc>
          <w:tcPr>
            <w:tcW w:w="1134" w:type="dxa"/>
          </w:tcPr>
          <w:p w14:paraId="39688160" w14:textId="77777777" w:rsidR="007D48BE" w:rsidRPr="007D48BE" w:rsidRDefault="007D48BE" w:rsidP="007D48BE">
            <w:pPr>
              <w:tabs>
                <w:tab w:val="left" w:pos="90"/>
                <w:tab w:val="right" w:pos="1035"/>
              </w:tabs>
              <w:rPr>
                <w:rFonts w:ascii="Arial" w:hAnsi="Arial" w:cs="Arial"/>
                <w:lang w:val="en-GB"/>
              </w:rPr>
            </w:pPr>
          </w:p>
        </w:tc>
        <w:tc>
          <w:tcPr>
            <w:tcW w:w="1134" w:type="dxa"/>
          </w:tcPr>
          <w:p w14:paraId="79380242" w14:textId="77777777" w:rsidR="007D48BE" w:rsidRPr="007D48BE" w:rsidRDefault="007D48BE" w:rsidP="007D48BE">
            <w:pPr>
              <w:tabs>
                <w:tab w:val="left" w:pos="90"/>
                <w:tab w:val="right" w:pos="1050"/>
              </w:tabs>
              <w:rPr>
                <w:rFonts w:ascii="Arial" w:hAnsi="Arial" w:cs="Arial"/>
                <w:u w:val="single"/>
                <w:lang w:val="en-GB"/>
              </w:rPr>
            </w:pPr>
            <w:r w:rsidRPr="007D48BE">
              <w:rPr>
                <w:rFonts w:ascii="Arial" w:hAnsi="Arial" w:cs="Arial"/>
                <w:u w:val="single"/>
                <w:lang w:val="en-GB"/>
              </w:rPr>
              <w:tab/>
            </w:r>
            <w:r w:rsidRPr="007D48BE">
              <w:rPr>
                <w:rFonts w:ascii="Arial" w:hAnsi="Arial" w:cs="Arial"/>
                <w:u w:val="single"/>
                <w:lang w:val="en-GB"/>
              </w:rPr>
              <w:tab/>
              <w:t>1,584</w:t>
            </w:r>
          </w:p>
        </w:tc>
        <w:tc>
          <w:tcPr>
            <w:tcW w:w="1133" w:type="dxa"/>
          </w:tcPr>
          <w:p w14:paraId="74BB9BA1" w14:textId="77777777" w:rsidR="007D48BE" w:rsidRPr="007D48BE" w:rsidRDefault="007D48BE" w:rsidP="007D48BE">
            <w:pPr>
              <w:tabs>
                <w:tab w:val="left" w:pos="75"/>
                <w:tab w:val="right" w:pos="1050"/>
              </w:tabs>
              <w:rPr>
                <w:rFonts w:ascii="Arial" w:hAnsi="Arial" w:cs="Arial"/>
                <w:lang w:val="en-GB"/>
              </w:rPr>
            </w:pPr>
          </w:p>
        </w:tc>
      </w:tr>
      <w:tr w:rsidR="007D48BE" w:rsidRPr="007D48BE" w14:paraId="138A64DC" w14:textId="77777777" w:rsidTr="007D48BE">
        <w:tc>
          <w:tcPr>
            <w:tcW w:w="4815" w:type="dxa"/>
          </w:tcPr>
          <w:p w14:paraId="45E684A7" w14:textId="77777777" w:rsidR="007D48BE" w:rsidRPr="007D48BE" w:rsidRDefault="007D48BE" w:rsidP="007D48BE">
            <w:pPr>
              <w:rPr>
                <w:rFonts w:ascii="Arial" w:hAnsi="Arial" w:cs="Arial"/>
                <w:lang w:val="en-GB"/>
              </w:rPr>
            </w:pPr>
            <w:r w:rsidRPr="007D48BE">
              <w:rPr>
                <w:rFonts w:ascii="Arial" w:hAnsi="Arial" w:cs="Arial"/>
                <w:lang w:val="en-GB"/>
              </w:rPr>
              <w:t>Total shareholders’ equity</w:t>
            </w:r>
          </w:p>
        </w:tc>
        <w:tc>
          <w:tcPr>
            <w:tcW w:w="1134" w:type="dxa"/>
          </w:tcPr>
          <w:p w14:paraId="377BE55E" w14:textId="77777777" w:rsidR="007D48BE" w:rsidRPr="007D48BE" w:rsidRDefault="007D48BE" w:rsidP="007D48BE">
            <w:pPr>
              <w:tabs>
                <w:tab w:val="left" w:pos="75"/>
                <w:tab w:val="right" w:pos="930"/>
              </w:tabs>
              <w:rPr>
                <w:rFonts w:ascii="Arial" w:hAnsi="Arial" w:cs="Arial"/>
                <w:lang w:val="en-GB"/>
              </w:rPr>
            </w:pPr>
          </w:p>
        </w:tc>
        <w:tc>
          <w:tcPr>
            <w:tcW w:w="1134" w:type="dxa"/>
          </w:tcPr>
          <w:p w14:paraId="271B13CD" w14:textId="77777777" w:rsidR="007D48BE" w:rsidRPr="007D48BE" w:rsidRDefault="007D48BE" w:rsidP="007D48BE">
            <w:pPr>
              <w:tabs>
                <w:tab w:val="left" w:pos="90"/>
                <w:tab w:val="right" w:pos="1035"/>
              </w:tabs>
              <w:rPr>
                <w:rFonts w:ascii="Arial" w:hAnsi="Arial" w:cs="Arial"/>
                <w:u w:val="single"/>
                <w:lang w:val="en-GB"/>
              </w:rPr>
            </w:pPr>
            <w:r w:rsidRPr="007D48BE">
              <w:rPr>
                <w:rFonts w:ascii="Arial" w:hAnsi="Arial" w:cs="Arial"/>
                <w:u w:val="single"/>
                <w:lang w:val="en-GB"/>
              </w:rPr>
              <w:tab/>
            </w:r>
            <w:r w:rsidRPr="007D48BE">
              <w:rPr>
                <w:rFonts w:ascii="Arial" w:hAnsi="Arial" w:cs="Arial"/>
                <w:u w:val="single"/>
                <w:lang w:val="en-GB"/>
              </w:rPr>
              <w:tab/>
              <w:t>51,982</w:t>
            </w:r>
          </w:p>
        </w:tc>
        <w:tc>
          <w:tcPr>
            <w:tcW w:w="1134" w:type="dxa"/>
          </w:tcPr>
          <w:p w14:paraId="54D37258" w14:textId="77777777" w:rsidR="007D48BE" w:rsidRPr="007D48BE" w:rsidRDefault="007D48BE" w:rsidP="007D48BE">
            <w:pPr>
              <w:tabs>
                <w:tab w:val="left" w:pos="90"/>
                <w:tab w:val="right" w:pos="1050"/>
              </w:tabs>
              <w:rPr>
                <w:rFonts w:ascii="Arial" w:hAnsi="Arial" w:cs="Arial"/>
                <w:lang w:val="en-GB"/>
              </w:rPr>
            </w:pPr>
          </w:p>
        </w:tc>
        <w:tc>
          <w:tcPr>
            <w:tcW w:w="1133" w:type="dxa"/>
          </w:tcPr>
          <w:p w14:paraId="4ED66FC3" w14:textId="77777777" w:rsidR="007D48BE" w:rsidRPr="007D48BE" w:rsidRDefault="007D48BE" w:rsidP="007D48BE">
            <w:pPr>
              <w:tabs>
                <w:tab w:val="left" w:pos="75"/>
                <w:tab w:val="right" w:pos="1050"/>
              </w:tabs>
              <w:rPr>
                <w:rFonts w:ascii="Arial" w:hAnsi="Arial" w:cs="Arial"/>
                <w:u w:val="single"/>
                <w:lang w:val="en-GB"/>
              </w:rPr>
            </w:pPr>
            <w:r w:rsidRPr="007D48BE">
              <w:rPr>
                <w:rFonts w:ascii="Arial" w:hAnsi="Arial" w:cs="Arial"/>
                <w:u w:val="single"/>
                <w:lang w:val="en-GB"/>
              </w:rPr>
              <w:tab/>
            </w:r>
            <w:r w:rsidRPr="007D48BE">
              <w:rPr>
                <w:rFonts w:ascii="Arial" w:hAnsi="Arial" w:cs="Arial"/>
                <w:u w:val="single"/>
                <w:lang w:val="en-GB"/>
              </w:rPr>
              <w:tab/>
              <w:t>1,684</w:t>
            </w:r>
          </w:p>
        </w:tc>
      </w:tr>
      <w:tr w:rsidR="007D48BE" w:rsidRPr="007D48BE" w14:paraId="3876148A" w14:textId="77777777" w:rsidTr="007D48BE">
        <w:tc>
          <w:tcPr>
            <w:tcW w:w="4815" w:type="dxa"/>
          </w:tcPr>
          <w:p w14:paraId="3F4BF74E" w14:textId="77777777" w:rsidR="007D48BE" w:rsidRPr="007D48BE" w:rsidRDefault="007D48BE" w:rsidP="007D48BE">
            <w:pPr>
              <w:rPr>
                <w:rFonts w:ascii="Arial" w:hAnsi="Arial" w:cs="Arial"/>
                <w:lang w:val="en-GB"/>
              </w:rPr>
            </w:pPr>
          </w:p>
        </w:tc>
        <w:tc>
          <w:tcPr>
            <w:tcW w:w="1134" w:type="dxa"/>
          </w:tcPr>
          <w:p w14:paraId="605B4BB1" w14:textId="77777777" w:rsidR="007D48BE" w:rsidRPr="007D48BE" w:rsidRDefault="007D48BE" w:rsidP="007D48BE">
            <w:pPr>
              <w:tabs>
                <w:tab w:val="left" w:pos="75"/>
                <w:tab w:val="right" w:pos="930"/>
              </w:tabs>
              <w:rPr>
                <w:rFonts w:ascii="Arial" w:hAnsi="Arial" w:cs="Arial"/>
                <w:lang w:val="en-GB"/>
              </w:rPr>
            </w:pPr>
          </w:p>
        </w:tc>
        <w:tc>
          <w:tcPr>
            <w:tcW w:w="1134" w:type="dxa"/>
          </w:tcPr>
          <w:p w14:paraId="2973B5C5" w14:textId="77777777" w:rsidR="007D48BE" w:rsidRPr="007D48BE" w:rsidRDefault="007D48BE" w:rsidP="007D48BE">
            <w:pPr>
              <w:tabs>
                <w:tab w:val="left" w:pos="90"/>
                <w:tab w:val="right" w:pos="1035"/>
              </w:tabs>
              <w:rPr>
                <w:rFonts w:ascii="Arial" w:hAnsi="Arial" w:cs="Arial"/>
                <w:lang w:val="en-GB"/>
              </w:rPr>
            </w:pPr>
          </w:p>
        </w:tc>
        <w:tc>
          <w:tcPr>
            <w:tcW w:w="1134" w:type="dxa"/>
          </w:tcPr>
          <w:p w14:paraId="571112B1" w14:textId="77777777" w:rsidR="007D48BE" w:rsidRPr="007D48BE" w:rsidRDefault="007D48BE" w:rsidP="007D48BE">
            <w:pPr>
              <w:tabs>
                <w:tab w:val="left" w:pos="90"/>
                <w:tab w:val="right" w:pos="1050"/>
              </w:tabs>
              <w:rPr>
                <w:rFonts w:ascii="Arial" w:hAnsi="Arial" w:cs="Arial"/>
                <w:lang w:val="en-GB"/>
              </w:rPr>
            </w:pPr>
          </w:p>
        </w:tc>
        <w:tc>
          <w:tcPr>
            <w:tcW w:w="1133" w:type="dxa"/>
          </w:tcPr>
          <w:p w14:paraId="4506FF1F" w14:textId="77777777" w:rsidR="007D48BE" w:rsidRPr="007D48BE" w:rsidRDefault="007D48BE" w:rsidP="007D48BE">
            <w:pPr>
              <w:tabs>
                <w:tab w:val="left" w:pos="75"/>
                <w:tab w:val="right" w:pos="1050"/>
              </w:tabs>
              <w:rPr>
                <w:rFonts w:ascii="Arial" w:hAnsi="Arial" w:cs="Arial"/>
                <w:lang w:val="en-GB"/>
              </w:rPr>
            </w:pPr>
          </w:p>
        </w:tc>
      </w:tr>
      <w:tr w:rsidR="007D48BE" w:rsidRPr="007D48BE" w14:paraId="14E7A0D5" w14:textId="77777777" w:rsidTr="007D48BE">
        <w:tc>
          <w:tcPr>
            <w:tcW w:w="4815" w:type="dxa"/>
          </w:tcPr>
          <w:p w14:paraId="24FEC887" w14:textId="77777777" w:rsidR="007D48BE" w:rsidRPr="007D48BE" w:rsidRDefault="007D48BE" w:rsidP="007D48BE">
            <w:pPr>
              <w:rPr>
                <w:rFonts w:ascii="Arial" w:hAnsi="Arial" w:cs="Arial"/>
                <w:lang w:val="en-GB"/>
              </w:rPr>
            </w:pPr>
            <w:r w:rsidRPr="007D48BE">
              <w:rPr>
                <w:rFonts w:ascii="Arial" w:hAnsi="Arial" w:cs="Arial"/>
                <w:lang w:val="en-GB"/>
              </w:rPr>
              <w:t>Total liabilities and shareholders’ equity</w:t>
            </w:r>
          </w:p>
        </w:tc>
        <w:tc>
          <w:tcPr>
            <w:tcW w:w="1134" w:type="dxa"/>
          </w:tcPr>
          <w:p w14:paraId="5D5FA714" w14:textId="77777777" w:rsidR="007D48BE" w:rsidRPr="007D48BE" w:rsidRDefault="007D48BE" w:rsidP="007D48BE">
            <w:pPr>
              <w:tabs>
                <w:tab w:val="left" w:pos="75"/>
                <w:tab w:val="right" w:pos="930"/>
              </w:tabs>
              <w:rPr>
                <w:rFonts w:ascii="Arial" w:hAnsi="Arial" w:cs="Arial"/>
                <w:lang w:val="en-GB"/>
              </w:rPr>
            </w:pPr>
          </w:p>
        </w:tc>
        <w:tc>
          <w:tcPr>
            <w:tcW w:w="1134" w:type="dxa"/>
            <w:tcBorders>
              <w:bottom w:val="double" w:sz="4" w:space="0" w:color="auto"/>
            </w:tcBorders>
          </w:tcPr>
          <w:p w14:paraId="39998168" w14:textId="77777777" w:rsidR="007D48BE" w:rsidRPr="007D48BE" w:rsidRDefault="007D48BE" w:rsidP="007D48BE">
            <w:pPr>
              <w:tabs>
                <w:tab w:val="left" w:pos="90"/>
                <w:tab w:val="right" w:pos="1035"/>
              </w:tabs>
              <w:rPr>
                <w:rFonts w:ascii="Arial" w:hAnsi="Arial" w:cs="Arial"/>
                <w:lang w:val="en-GB"/>
              </w:rPr>
            </w:pPr>
            <w:r w:rsidRPr="007D48BE">
              <w:rPr>
                <w:rFonts w:ascii="Arial" w:hAnsi="Arial" w:cs="Arial"/>
                <w:lang w:val="en-GB"/>
              </w:rPr>
              <w:tab/>
            </w:r>
            <w:r w:rsidRPr="007D48BE">
              <w:rPr>
                <w:rFonts w:ascii="Arial" w:hAnsi="Arial" w:cs="Arial"/>
                <w:lang w:val="en-GB"/>
              </w:rPr>
              <w:tab/>
              <w:t>145,044</w:t>
            </w:r>
          </w:p>
        </w:tc>
        <w:tc>
          <w:tcPr>
            <w:tcW w:w="1134" w:type="dxa"/>
          </w:tcPr>
          <w:p w14:paraId="51065623" w14:textId="77777777" w:rsidR="007D48BE" w:rsidRPr="007D48BE" w:rsidRDefault="007D48BE" w:rsidP="007D48BE">
            <w:pPr>
              <w:tabs>
                <w:tab w:val="left" w:pos="90"/>
                <w:tab w:val="right" w:pos="1050"/>
              </w:tabs>
              <w:rPr>
                <w:rFonts w:ascii="Arial" w:hAnsi="Arial" w:cs="Arial"/>
                <w:lang w:val="en-GB"/>
              </w:rPr>
            </w:pPr>
          </w:p>
        </w:tc>
        <w:tc>
          <w:tcPr>
            <w:tcW w:w="1133" w:type="dxa"/>
            <w:tcBorders>
              <w:bottom w:val="double" w:sz="4" w:space="0" w:color="auto"/>
            </w:tcBorders>
          </w:tcPr>
          <w:p w14:paraId="7B235102" w14:textId="77777777" w:rsidR="007D48BE" w:rsidRPr="007D48BE" w:rsidRDefault="007D48BE" w:rsidP="007D48BE">
            <w:pPr>
              <w:tabs>
                <w:tab w:val="left" w:pos="75"/>
                <w:tab w:val="right" w:pos="1050"/>
              </w:tabs>
              <w:rPr>
                <w:rFonts w:ascii="Arial" w:hAnsi="Arial" w:cs="Arial"/>
                <w:lang w:val="en-GB"/>
              </w:rPr>
            </w:pPr>
            <w:r w:rsidRPr="007D48BE">
              <w:rPr>
                <w:rFonts w:ascii="Arial" w:hAnsi="Arial" w:cs="Arial"/>
                <w:lang w:val="en-GB"/>
              </w:rPr>
              <w:tab/>
            </w:r>
            <w:r w:rsidRPr="007D48BE">
              <w:rPr>
                <w:rFonts w:ascii="Arial" w:hAnsi="Arial" w:cs="Arial"/>
                <w:lang w:val="en-GB"/>
              </w:rPr>
              <w:tab/>
              <w:t>108,976</w:t>
            </w:r>
          </w:p>
        </w:tc>
      </w:tr>
    </w:tbl>
    <w:p w14:paraId="1511BC76" w14:textId="77777777" w:rsidR="007D48BE" w:rsidRPr="007D48BE" w:rsidRDefault="007D48BE" w:rsidP="007D48BE">
      <w:pPr>
        <w:jc w:val="both"/>
        <w:rPr>
          <w:rFonts w:ascii="Arial" w:hAnsi="Arial" w:cs="Arial"/>
          <w:sz w:val="17"/>
          <w:szCs w:val="17"/>
          <w:lang w:val="en-GB"/>
        </w:rPr>
      </w:pPr>
    </w:p>
    <w:p w14:paraId="6477AD5E" w14:textId="3473B304" w:rsidR="007D48BE" w:rsidRPr="007D48BE" w:rsidRDefault="007D48BE" w:rsidP="007D48BE">
      <w:pPr>
        <w:jc w:val="both"/>
        <w:rPr>
          <w:rFonts w:ascii="Arial" w:hAnsi="Arial" w:cs="Arial"/>
          <w:sz w:val="17"/>
          <w:szCs w:val="17"/>
          <w:lang w:val="en-GB"/>
        </w:rPr>
      </w:pPr>
      <w:r w:rsidRPr="007D48BE">
        <w:rPr>
          <w:rFonts w:ascii="Arial" w:hAnsi="Arial" w:cs="Arial"/>
          <w:sz w:val="17"/>
          <w:szCs w:val="17"/>
          <w:lang w:val="en-GB"/>
        </w:rPr>
        <w:t xml:space="preserve">Notes: </w:t>
      </w:r>
      <w:proofErr w:type="spellStart"/>
      <w:r w:rsidRPr="007D48BE">
        <w:rPr>
          <w:rFonts w:ascii="Arial" w:hAnsi="Arial" w:cs="Arial"/>
          <w:sz w:val="17"/>
          <w:szCs w:val="17"/>
          <w:lang w:val="en-GB"/>
        </w:rPr>
        <w:t>Accum</w:t>
      </w:r>
      <w:proofErr w:type="spellEnd"/>
      <w:r w:rsidRPr="007D48BE">
        <w:rPr>
          <w:rFonts w:ascii="Arial" w:hAnsi="Arial" w:cs="Arial"/>
          <w:sz w:val="17"/>
          <w:szCs w:val="17"/>
          <w:lang w:val="en-GB"/>
        </w:rPr>
        <w:t xml:space="preserve">. = accumulation, dep. = depreciation; * </w:t>
      </w:r>
      <w:r w:rsidR="004B083D">
        <w:rPr>
          <w:rFonts w:ascii="Arial" w:hAnsi="Arial" w:cs="Arial"/>
          <w:sz w:val="17"/>
          <w:szCs w:val="17"/>
          <w:lang w:val="en-CA"/>
        </w:rPr>
        <w:t>A</w:t>
      </w:r>
      <w:r w:rsidRPr="007D48BE">
        <w:rPr>
          <w:rFonts w:ascii="Arial" w:hAnsi="Arial" w:cs="Arial"/>
          <w:sz w:val="17"/>
          <w:szCs w:val="17"/>
          <w:lang w:val="en-CA"/>
        </w:rPr>
        <w:t>uthorized to issue unlimited Class A shares, unlimited non-voting common, and unlimited common shares.</w:t>
      </w:r>
    </w:p>
    <w:p w14:paraId="5E42D952" w14:textId="77777777" w:rsidR="007D48BE" w:rsidRPr="007D48BE" w:rsidRDefault="007D48BE" w:rsidP="007D48BE">
      <w:pPr>
        <w:jc w:val="both"/>
        <w:rPr>
          <w:rFonts w:ascii="Arial" w:hAnsi="Arial" w:cs="Arial"/>
          <w:sz w:val="17"/>
          <w:szCs w:val="17"/>
          <w:lang w:val="en-GB"/>
        </w:rPr>
      </w:pPr>
      <w:r w:rsidRPr="007D48BE">
        <w:rPr>
          <w:rFonts w:ascii="Arial" w:hAnsi="Arial" w:cs="Arial"/>
          <w:sz w:val="17"/>
          <w:szCs w:val="17"/>
          <w:lang w:val="en-GB"/>
        </w:rPr>
        <w:t>Source: Company files.</w:t>
      </w:r>
      <w:bookmarkEnd w:id="0"/>
    </w:p>
    <w:p w14:paraId="45980764" w14:textId="77777777" w:rsidR="007D48BE" w:rsidRPr="007D48BE" w:rsidRDefault="007D48BE" w:rsidP="007D48BE">
      <w:pPr>
        <w:jc w:val="both"/>
        <w:rPr>
          <w:rFonts w:ascii="Arial" w:hAnsi="Arial" w:cs="Arial"/>
          <w:sz w:val="17"/>
          <w:szCs w:val="17"/>
          <w:lang w:val="en-GB"/>
        </w:rPr>
      </w:pPr>
      <w:r w:rsidRPr="007D48BE">
        <w:rPr>
          <w:rFonts w:ascii="Arial" w:hAnsi="Arial" w:cs="Arial"/>
          <w:sz w:val="17"/>
          <w:szCs w:val="17"/>
          <w:lang w:val="en-GB"/>
        </w:rPr>
        <w:br w:type="page"/>
      </w:r>
    </w:p>
    <w:p w14:paraId="746050AE" w14:textId="77777777" w:rsidR="007D48BE" w:rsidRPr="007D48BE" w:rsidRDefault="007D48BE" w:rsidP="007D48BE">
      <w:pPr>
        <w:jc w:val="center"/>
        <w:rPr>
          <w:rFonts w:ascii="Arial" w:hAnsi="Arial" w:cs="Arial"/>
          <w:b/>
          <w:caps/>
          <w:lang w:val="en-GB"/>
        </w:rPr>
      </w:pPr>
      <w:r w:rsidRPr="007D48BE">
        <w:rPr>
          <w:rFonts w:ascii="Arial" w:hAnsi="Arial" w:cs="Arial"/>
          <w:b/>
          <w:caps/>
          <w:lang w:val="en-GB"/>
        </w:rPr>
        <w:lastRenderedPageBreak/>
        <w:t>Exhibit 3: Competitor Ratios</w:t>
      </w:r>
    </w:p>
    <w:p w14:paraId="2E041CBF" w14:textId="77777777" w:rsidR="007D48BE" w:rsidRPr="007D48BE" w:rsidRDefault="007D48BE" w:rsidP="007D48BE">
      <w:pPr>
        <w:jc w:val="both"/>
        <w:rPr>
          <w:sz w:val="22"/>
          <w:szCs w:val="22"/>
          <w:lang w:val="en-GB"/>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1417"/>
        <w:gridCol w:w="1418"/>
        <w:gridCol w:w="1417"/>
        <w:gridCol w:w="1417"/>
      </w:tblGrid>
      <w:tr w:rsidR="007D48BE" w:rsidRPr="007D48BE" w14:paraId="26E85E8C" w14:textId="77777777" w:rsidTr="007D48BE">
        <w:tc>
          <w:tcPr>
            <w:tcW w:w="3681" w:type="dxa"/>
          </w:tcPr>
          <w:p w14:paraId="6ECF96D6" w14:textId="77777777" w:rsidR="007D48BE" w:rsidRPr="007D48BE" w:rsidRDefault="007D48BE" w:rsidP="007D48BE">
            <w:pPr>
              <w:jc w:val="both"/>
              <w:rPr>
                <w:rFonts w:ascii="Arial" w:hAnsi="Arial" w:cs="Arial"/>
                <w:lang w:val="en-GB"/>
              </w:rPr>
            </w:pPr>
          </w:p>
        </w:tc>
        <w:tc>
          <w:tcPr>
            <w:tcW w:w="2835" w:type="dxa"/>
            <w:gridSpan w:val="2"/>
          </w:tcPr>
          <w:p w14:paraId="2CDA8C93" w14:textId="77777777" w:rsidR="007D48BE" w:rsidRPr="007D48BE" w:rsidRDefault="007D48BE" w:rsidP="007D48BE">
            <w:pPr>
              <w:jc w:val="center"/>
              <w:rPr>
                <w:rFonts w:ascii="Arial" w:hAnsi="Arial" w:cs="Arial"/>
                <w:b/>
                <w:lang w:val="en-GB"/>
              </w:rPr>
            </w:pPr>
            <w:r w:rsidRPr="007D48BE">
              <w:rPr>
                <w:rFonts w:ascii="Arial" w:hAnsi="Arial" w:cs="Arial"/>
                <w:b/>
                <w:lang w:val="en-GB"/>
              </w:rPr>
              <w:t>Planet Fitness LLC</w:t>
            </w:r>
          </w:p>
        </w:tc>
        <w:tc>
          <w:tcPr>
            <w:tcW w:w="2834" w:type="dxa"/>
            <w:gridSpan w:val="2"/>
          </w:tcPr>
          <w:p w14:paraId="574FAE8E" w14:textId="77777777" w:rsidR="007D48BE" w:rsidRPr="007D48BE" w:rsidRDefault="007D48BE" w:rsidP="007D48BE">
            <w:pPr>
              <w:jc w:val="center"/>
              <w:rPr>
                <w:rFonts w:ascii="Arial" w:hAnsi="Arial" w:cs="Arial"/>
                <w:b/>
                <w:lang w:val="en-GB"/>
              </w:rPr>
            </w:pPr>
            <w:r w:rsidRPr="007D48BE">
              <w:rPr>
                <w:rFonts w:ascii="Arial" w:hAnsi="Arial" w:cs="Arial"/>
                <w:b/>
                <w:lang w:val="en-GB"/>
              </w:rPr>
              <w:t>Industry</w:t>
            </w:r>
          </w:p>
        </w:tc>
      </w:tr>
      <w:tr w:rsidR="007D48BE" w:rsidRPr="007D48BE" w14:paraId="310075BE" w14:textId="77777777" w:rsidTr="007D48BE">
        <w:tc>
          <w:tcPr>
            <w:tcW w:w="3681" w:type="dxa"/>
          </w:tcPr>
          <w:p w14:paraId="3B7FD5FC" w14:textId="77777777" w:rsidR="007D48BE" w:rsidRPr="007D48BE" w:rsidRDefault="007D48BE" w:rsidP="007D48BE">
            <w:pPr>
              <w:jc w:val="both"/>
              <w:rPr>
                <w:rFonts w:ascii="Arial" w:hAnsi="Arial" w:cs="Arial"/>
                <w:lang w:val="en-GB"/>
              </w:rPr>
            </w:pPr>
          </w:p>
        </w:tc>
        <w:tc>
          <w:tcPr>
            <w:tcW w:w="2835" w:type="dxa"/>
            <w:gridSpan w:val="2"/>
          </w:tcPr>
          <w:p w14:paraId="3240F612" w14:textId="77777777" w:rsidR="007D48BE" w:rsidRPr="007D48BE" w:rsidRDefault="007D48BE" w:rsidP="007D48BE">
            <w:pPr>
              <w:jc w:val="center"/>
              <w:rPr>
                <w:rFonts w:ascii="Arial" w:hAnsi="Arial" w:cs="Arial"/>
                <w:b/>
                <w:lang w:val="en-GB"/>
              </w:rPr>
            </w:pPr>
          </w:p>
        </w:tc>
        <w:tc>
          <w:tcPr>
            <w:tcW w:w="2834" w:type="dxa"/>
            <w:gridSpan w:val="2"/>
          </w:tcPr>
          <w:p w14:paraId="012CDBFF" w14:textId="77777777" w:rsidR="007D48BE" w:rsidRPr="007D48BE" w:rsidRDefault="007D48BE" w:rsidP="007D48BE">
            <w:pPr>
              <w:jc w:val="center"/>
              <w:rPr>
                <w:rFonts w:ascii="Arial" w:hAnsi="Arial" w:cs="Arial"/>
                <w:b/>
                <w:lang w:val="en-GB"/>
              </w:rPr>
            </w:pPr>
          </w:p>
        </w:tc>
      </w:tr>
      <w:tr w:rsidR="007D48BE" w:rsidRPr="007D48BE" w14:paraId="77C8F05E" w14:textId="77777777" w:rsidTr="007D48BE">
        <w:tc>
          <w:tcPr>
            <w:tcW w:w="3681" w:type="dxa"/>
          </w:tcPr>
          <w:p w14:paraId="79B1C506" w14:textId="77777777" w:rsidR="007D48BE" w:rsidRPr="007D48BE" w:rsidRDefault="007D48BE" w:rsidP="007D48BE">
            <w:pPr>
              <w:jc w:val="both"/>
              <w:rPr>
                <w:rFonts w:ascii="Arial" w:hAnsi="Arial" w:cs="Arial"/>
                <w:lang w:val="en-GB"/>
              </w:rPr>
            </w:pPr>
          </w:p>
        </w:tc>
        <w:tc>
          <w:tcPr>
            <w:tcW w:w="1417" w:type="dxa"/>
          </w:tcPr>
          <w:p w14:paraId="33E07C11" w14:textId="77777777" w:rsidR="007D48BE" w:rsidRPr="007D48BE" w:rsidRDefault="007D48BE" w:rsidP="007D48BE">
            <w:pPr>
              <w:jc w:val="center"/>
              <w:rPr>
                <w:rFonts w:ascii="Arial" w:hAnsi="Arial" w:cs="Arial"/>
                <w:b/>
                <w:lang w:val="en-GB"/>
              </w:rPr>
            </w:pPr>
            <w:r w:rsidRPr="007D48BE">
              <w:rPr>
                <w:rFonts w:ascii="Arial" w:hAnsi="Arial" w:cs="Arial"/>
                <w:b/>
                <w:lang w:val="en-GB"/>
              </w:rPr>
              <w:t>2017</w:t>
            </w:r>
          </w:p>
        </w:tc>
        <w:tc>
          <w:tcPr>
            <w:tcW w:w="1418" w:type="dxa"/>
          </w:tcPr>
          <w:p w14:paraId="4604643A" w14:textId="77777777" w:rsidR="007D48BE" w:rsidRPr="007D48BE" w:rsidRDefault="007D48BE" w:rsidP="007D48BE">
            <w:pPr>
              <w:jc w:val="center"/>
              <w:rPr>
                <w:rFonts w:ascii="Arial" w:hAnsi="Arial" w:cs="Arial"/>
                <w:b/>
                <w:lang w:val="en-GB"/>
              </w:rPr>
            </w:pPr>
            <w:r w:rsidRPr="007D48BE">
              <w:rPr>
                <w:rFonts w:ascii="Arial" w:hAnsi="Arial" w:cs="Arial"/>
                <w:b/>
                <w:lang w:val="en-GB"/>
              </w:rPr>
              <w:t>2016</w:t>
            </w:r>
          </w:p>
        </w:tc>
        <w:tc>
          <w:tcPr>
            <w:tcW w:w="1417" w:type="dxa"/>
          </w:tcPr>
          <w:p w14:paraId="3185ECEC" w14:textId="77777777" w:rsidR="007D48BE" w:rsidRPr="007D48BE" w:rsidRDefault="007D48BE" w:rsidP="007D48BE">
            <w:pPr>
              <w:jc w:val="center"/>
              <w:rPr>
                <w:rFonts w:ascii="Arial" w:hAnsi="Arial" w:cs="Arial"/>
                <w:b/>
                <w:lang w:val="en-GB"/>
              </w:rPr>
            </w:pPr>
            <w:r w:rsidRPr="007D48BE">
              <w:rPr>
                <w:rFonts w:ascii="Arial" w:hAnsi="Arial" w:cs="Arial"/>
                <w:b/>
                <w:lang w:val="en-GB"/>
              </w:rPr>
              <w:t>2017</w:t>
            </w:r>
          </w:p>
        </w:tc>
        <w:tc>
          <w:tcPr>
            <w:tcW w:w="1417" w:type="dxa"/>
          </w:tcPr>
          <w:p w14:paraId="79DEEA21" w14:textId="77777777" w:rsidR="007D48BE" w:rsidRPr="007D48BE" w:rsidRDefault="007D48BE" w:rsidP="007D48BE">
            <w:pPr>
              <w:jc w:val="center"/>
              <w:rPr>
                <w:rFonts w:ascii="Arial" w:hAnsi="Arial" w:cs="Arial"/>
                <w:b/>
                <w:lang w:val="en-GB"/>
              </w:rPr>
            </w:pPr>
            <w:r w:rsidRPr="007D48BE">
              <w:rPr>
                <w:rFonts w:ascii="Arial" w:hAnsi="Arial" w:cs="Arial"/>
                <w:b/>
                <w:lang w:val="en-GB"/>
              </w:rPr>
              <w:t>2016</w:t>
            </w:r>
          </w:p>
        </w:tc>
      </w:tr>
      <w:tr w:rsidR="007D48BE" w:rsidRPr="007D48BE" w14:paraId="0160FA9F" w14:textId="77777777" w:rsidTr="007D48BE">
        <w:tc>
          <w:tcPr>
            <w:tcW w:w="3681" w:type="dxa"/>
          </w:tcPr>
          <w:p w14:paraId="72BA3411" w14:textId="77777777" w:rsidR="007D48BE" w:rsidRPr="007D48BE" w:rsidRDefault="007D48BE" w:rsidP="007D48BE">
            <w:pPr>
              <w:jc w:val="both"/>
              <w:rPr>
                <w:rFonts w:ascii="Arial" w:hAnsi="Arial" w:cs="Arial"/>
                <w:b/>
                <w:lang w:val="en-GB"/>
              </w:rPr>
            </w:pPr>
            <w:r w:rsidRPr="007D48BE">
              <w:rPr>
                <w:rFonts w:ascii="Arial" w:hAnsi="Arial" w:cs="Arial"/>
                <w:b/>
                <w:lang w:val="en-GB"/>
              </w:rPr>
              <w:t>Profitability</w:t>
            </w:r>
          </w:p>
        </w:tc>
        <w:tc>
          <w:tcPr>
            <w:tcW w:w="1417" w:type="dxa"/>
          </w:tcPr>
          <w:p w14:paraId="6C6C5BFF" w14:textId="77777777" w:rsidR="007D48BE" w:rsidRPr="007D48BE" w:rsidRDefault="007D48BE" w:rsidP="007D48BE">
            <w:pPr>
              <w:jc w:val="both"/>
              <w:rPr>
                <w:rFonts w:ascii="Arial" w:hAnsi="Arial" w:cs="Arial"/>
                <w:lang w:val="en-GB"/>
              </w:rPr>
            </w:pPr>
          </w:p>
        </w:tc>
        <w:tc>
          <w:tcPr>
            <w:tcW w:w="1418" w:type="dxa"/>
          </w:tcPr>
          <w:p w14:paraId="14122E2A" w14:textId="77777777" w:rsidR="007D48BE" w:rsidRPr="007D48BE" w:rsidRDefault="007D48BE" w:rsidP="007D48BE">
            <w:pPr>
              <w:jc w:val="both"/>
              <w:rPr>
                <w:rFonts w:ascii="Arial" w:hAnsi="Arial" w:cs="Arial"/>
                <w:lang w:val="en-GB"/>
              </w:rPr>
            </w:pPr>
          </w:p>
        </w:tc>
        <w:tc>
          <w:tcPr>
            <w:tcW w:w="1417" w:type="dxa"/>
          </w:tcPr>
          <w:p w14:paraId="1881C3B9" w14:textId="77777777" w:rsidR="007D48BE" w:rsidRPr="007D48BE" w:rsidRDefault="007D48BE" w:rsidP="007D48BE">
            <w:pPr>
              <w:jc w:val="both"/>
              <w:rPr>
                <w:rFonts w:ascii="Arial" w:hAnsi="Arial" w:cs="Arial"/>
                <w:lang w:val="en-GB"/>
              </w:rPr>
            </w:pPr>
          </w:p>
        </w:tc>
        <w:tc>
          <w:tcPr>
            <w:tcW w:w="1417" w:type="dxa"/>
          </w:tcPr>
          <w:p w14:paraId="453E481B" w14:textId="77777777" w:rsidR="007D48BE" w:rsidRPr="007D48BE" w:rsidRDefault="007D48BE" w:rsidP="007D48BE">
            <w:pPr>
              <w:jc w:val="both"/>
              <w:rPr>
                <w:rFonts w:ascii="Arial" w:hAnsi="Arial" w:cs="Arial"/>
                <w:lang w:val="en-GB"/>
              </w:rPr>
            </w:pPr>
          </w:p>
        </w:tc>
      </w:tr>
      <w:tr w:rsidR="007D48BE" w:rsidRPr="007D48BE" w14:paraId="65DE20D9" w14:textId="77777777" w:rsidTr="007D48BE">
        <w:tc>
          <w:tcPr>
            <w:tcW w:w="3681" w:type="dxa"/>
          </w:tcPr>
          <w:p w14:paraId="007B4BD4" w14:textId="77777777" w:rsidR="007D48BE" w:rsidRPr="007D48BE" w:rsidRDefault="007D48BE" w:rsidP="007D48BE">
            <w:pPr>
              <w:jc w:val="both"/>
              <w:rPr>
                <w:rFonts w:ascii="Arial" w:hAnsi="Arial" w:cs="Arial"/>
                <w:lang w:val="en-GB"/>
              </w:rPr>
            </w:pPr>
            <w:r w:rsidRPr="007D48BE">
              <w:rPr>
                <w:rFonts w:ascii="Arial" w:hAnsi="Arial" w:cs="Arial"/>
                <w:lang w:val="en-GB"/>
              </w:rPr>
              <w:t>Gross profit to sales</w:t>
            </w:r>
          </w:p>
        </w:tc>
        <w:tc>
          <w:tcPr>
            <w:tcW w:w="1417" w:type="dxa"/>
          </w:tcPr>
          <w:p w14:paraId="1518C1FC" w14:textId="77777777" w:rsidR="007D48BE" w:rsidRPr="007D48BE" w:rsidRDefault="007D48BE" w:rsidP="000A34E3">
            <w:pPr>
              <w:jc w:val="right"/>
              <w:rPr>
                <w:rFonts w:ascii="Arial" w:hAnsi="Arial" w:cs="Arial"/>
                <w:lang w:val="en-GB"/>
              </w:rPr>
            </w:pPr>
            <w:r w:rsidRPr="007D48BE">
              <w:rPr>
                <w:rFonts w:ascii="Arial" w:hAnsi="Arial" w:cs="Arial"/>
                <w:lang w:val="en-GB"/>
              </w:rPr>
              <w:t>69.9%</w:t>
            </w:r>
          </w:p>
        </w:tc>
        <w:tc>
          <w:tcPr>
            <w:tcW w:w="1418" w:type="dxa"/>
          </w:tcPr>
          <w:p w14:paraId="71D6A7D6" w14:textId="77777777" w:rsidR="007D48BE" w:rsidRPr="007D48BE" w:rsidRDefault="007D48BE" w:rsidP="000A34E3">
            <w:pPr>
              <w:jc w:val="right"/>
              <w:rPr>
                <w:rFonts w:ascii="Arial" w:hAnsi="Arial" w:cs="Arial"/>
                <w:lang w:val="en-GB"/>
              </w:rPr>
            </w:pPr>
            <w:r w:rsidRPr="007D48BE">
              <w:rPr>
                <w:rFonts w:ascii="Arial" w:hAnsi="Arial" w:cs="Arial"/>
                <w:lang w:val="en-GB"/>
              </w:rPr>
              <w:t>67.7%</w:t>
            </w:r>
          </w:p>
        </w:tc>
        <w:tc>
          <w:tcPr>
            <w:tcW w:w="1417" w:type="dxa"/>
          </w:tcPr>
          <w:p w14:paraId="52F1B2A4" w14:textId="77777777" w:rsidR="007D48BE" w:rsidRPr="007D48BE" w:rsidRDefault="007D48BE" w:rsidP="000A34E3">
            <w:pPr>
              <w:jc w:val="right"/>
              <w:rPr>
                <w:rFonts w:ascii="Arial" w:hAnsi="Arial" w:cs="Arial"/>
                <w:lang w:val="en-GB"/>
              </w:rPr>
            </w:pPr>
            <w:r w:rsidRPr="007D48BE">
              <w:rPr>
                <w:rFonts w:ascii="Arial" w:hAnsi="Arial" w:cs="Arial"/>
                <w:lang w:val="en-GB"/>
              </w:rPr>
              <w:t>68.1%</w:t>
            </w:r>
          </w:p>
        </w:tc>
        <w:tc>
          <w:tcPr>
            <w:tcW w:w="1417" w:type="dxa"/>
          </w:tcPr>
          <w:p w14:paraId="1D5F2368" w14:textId="77777777" w:rsidR="007D48BE" w:rsidRPr="007D48BE" w:rsidRDefault="007D48BE" w:rsidP="000A34E3">
            <w:pPr>
              <w:jc w:val="right"/>
              <w:rPr>
                <w:rFonts w:ascii="Arial" w:hAnsi="Arial" w:cs="Arial"/>
                <w:lang w:val="en-GB"/>
              </w:rPr>
            </w:pPr>
            <w:r w:rsidRPr="007D48BE">
              <w:rPr>
                <w:rFonts w:ascii="Arial" w:hAnsi="Arial" w:cs="Arial"/>
                <w:lang w:val="en-GB"/>
              </w:rPr>
              <w:t>72.1%</w:t>
            </w:r>
          </w:p>
        </w:tc>
      </w:tr>
      <w:tr w:rsidR="007D48BE" w:rsidRPr="007D48BE" w14:paraId="5D4331E1" w14:textId="77777777" w:rsidTr="007D48BE">
        <w:tc>
          <w:tcPr>
            <w:tcW w:w="3681" w:type="dxa"/>
          </w:tcPr>
          <w:p w14:paraId="159F1D65" w14:textId="77777777" w:rsidR="007D48BE" w:rsidRPr="007D48BE" w:rsidRDefault="007D48BE" w:rsidP="007D48BE">
            <w:pPr>
              <w:jc w:val="both"/>
              <w:rPr>
                <w:rFonts w:ascii="Arial" w:hAnsi="Arial" w:cs="Arial"/>
                <w:lang w:val="en-GB"/>
              </w:rPr>
            </w:pPr>
            <w:r w:rsidRPr="007D48BE">
              <w:rPr>
                <w:rFonts w:ascii="Arial" w:hAnsi="Arial" w:cs="Arial"/>
                <w:lang w:val="en-GB"/>
              </w:rPr>
              <w:t>Net income to sales</w:t>
            </w:r>
          </w:p>
        </w:tc>
        <w:tc>
          <w:tcPr>
            <w:tcW w:w="1417" w:type="dxa"/>
          </w:tcPr>
          <w:p w14:paraId="14376923" w14:textId="77777777" w:rsidR="007D48BE" w:rsidRPr="007D48BE" w:rsidRDefault="007D48BE" w:rsidP="000A34E3">
            <w:pPr>
              <w:jc w:val="right"/>
              <w:rPr>
                <w:rFonts w:ascii="Arial" w:hAnsi="Arial" w:cs="Arial"/>
                <w:lang w:val="en-GB"/>
              </w:rPr>
            </w:pPr>
            <w:r w:rsidRPr="007D48BE">
              <w:rPr>
                <w:rFonts w:ascii="Arial" w:hAnsi="Arial" w:cs="Arial"/>
                <w:lang w:val="en-GB"/>
              </w:rPr>
              <w:t>7.7%</w:t>
            </w:r>
          </w:p>
        </w:tc>
        <w:tc>
          <w:tcPr>
            <w:tcW w:w="1418" w:type="dxa"/>
          </w:tcPr>
          <w:p w14:paraId="2CC91518" w14:textId="77777777" w:rsidR="007D48BE" w:rsidRPr="007D48BE" w:rsidRDefault="007D48BE" w:rsidP="000A34E3">
            <w:pPr>
              <w:jc w:val="right"/>
              <w:rPr>
                <w:rFonts w:ascii="Arial" w:hAnsi="Arial" w:cs="Arial"/>
                <w:lang w:val="en-GB"/>
              </w:rPr>
            </w:pPr>
            <w:r w:rsidRPr="007D48BE">
              <w:rPr>
                <w:rFonts w:ascii="Arial" w:hAnsi="Arial" w:cs="Arial"/>
                <w:lang w:val="en-GB"/>
              </w:rPr>
              <w:t>5.7%</w:t>
            </w:r>
          </w:p>
        </w:tc>
        <w:tc>
          <w:tcPr>
            <w:tcW w:w="1417" w:type="dxa"/>
          </w:tcPr>
          <w:p w14:paraId="393B0818" w14:textId="77777777" w:rsidR="007D48BE" w:rsidRPr="007D48BE" w:rsidRDefault="007D48BE" w:rsidP="000A34E3">
            <w:pPr>
              <w:jc w:val="right"/>
              <w:rPr>
                <w:rFonts w:ascii="Arial" w:hAnsi="Arial" w:cs="Arial"/>
                <w:lang w:val="en-GB"/>
              </w:rPr>
            </w:pPr>
            <w:r w:rsidRPr="007D48BE">
              <w:rPr>
                <w:rFonts w:ascii="Arial" w:hAnsi="Arial" w:cs="Arial"/>
                <w:lang w:val="en-GB"/>
              </w:rPr>
              <w:t>6.8%</w:t>
            </w:r>
          </w:p>
        </w:tc>
        <w:tc>
          <w:tcPr>
            <w:tcW w:w="1417" w:type="dxa"/>
          </w:tcPr>
          <w:p w14:paraId="28B25A69" w14:textId="77777777" w:rsidR="007D48BE" w:rsidRPr="007D48BE" w:rsidRDefault="007D48BE" w:rsidP="000A34E3">
            <w:pPr>
              <w:jc w:val="right"/>
              <w:rPr>
                <w:rFonts w:ascii="Arial" w:hAnsi="Arial" w:cs="Arial"/>
                <w:lang w:val="en-GB"/>
              </w:rPr>
            </w:pPr>
            <w:r w:rsidRPr="007D48BE">
              <w:rPr>
                <w:rFonts w:ascii="Arial" w:hAnsi="Arial" w:cs="Arial"/>
                <w:lang w:val="en-GB"/>
              </w:rPr>
              <w:t>4.0%</w:t>
            </w:r>
          </w:p>
        </w:tc>
      </w:tr>
      <w:tr w:rsidR="007D48BE" w:rsidRPr="007D48BE" w14:paraId="597D02B2" w14:textId="77777777" w:rsidTr="007D48BE">
        <w:tc>
          <w:tcPr>
            <w:tcW w:w="3681" w:type="dxa"/>
          </w:tcPr>
          <w:p w14:paraId="75DD665E" w14:textId="77777777" w:rsidR="007D48BE" w:rsidRPr="007D48BE" w:rsidRDefault="007D48BE" w:rsidP="007D48BE">
            <w:pPr>
              <w:jc w:val="both"/>
              <w:rPr>
                <w:rFonts w:ascii="Arial" w:hAnsi="Arial" w:cs="Arial"/>
                <w:lang w:val="en-GB"/>
              </w:rPr>
            </w:pPr>
            <w:r w:rsidRPr="007D48BE">
              <w:rPr>
                <w:rFonts w:ascii="Arial" w:hAnsi="Arial" w:cs="Arial"/>
                <w:lang w:val="en-GB"/>
              </w:rPr>
              <w:t>Return on assets</w:t>
            </w:r>
          </w:p>
        </w:tc>
        <w:tc>
          <w:tcPr>
            <w:tcW w:w="1417" w:type="dxa"/>
          </w:tcPr>
          <w:p w14:paraId="49AD17FD" w14:textId="77777777" w:rsidR="007D48BE" w:rsidRPr="007D48BE" w:rsidRDefault="007D48BE" w:rsidP="000A34E3">
            <w:pPr>
              <w:jc w:val="right"/>
              <w:rPr>
                <w:rFonts w:ascii="Arial" w:hAnsi="Arial" w:cs="Arial"/>
                <w:lang w:val="en-GB"/>
              </w:rPr>
            </w:pPr>
            <w:r w:rsidRPr="007D48BE">
              <w:rPr>
                <w:rFonts w:ascii="Arial" w:hAnsi="Arial" w:cs="Arial"/>
                <w:lang w:val="en-GB"/>
              </w:rPr>
              <w:t>3.0%</w:t>
            </w:r>
          </w:p>
        </w:tc>
        <w:tc>
          <w:tcPr>
            <w:tcW w:w="1418" w:type="dxa"/>
          </w:tcPr>
          <w:p w14:paraId="107E17DC" w14:textId="77777777" w:rsidR="007D48BE" w:rsidRPr="007D48BE" w:rsidRDefault="007D48BE" w:rsidP="000A34E3">
            <w:pPr>
              <w:jc w:val="right"/>
              <w:rPr>
                <w:rFonts w:ascii="Arial" w:hAnsi="Arial" w:cs="Arial"/>
                <w:lang w:val="en-GB"/>
              </w:rPr>
            </w:pPr>
            <w:r w:rsidRPr="007D48BE">
              <w:rPr>
                <w:rFonts w:ascii="Arial" w:hAnsi="Arial" w:cs="Arial"/>
                <w:lang w:val="en-GB"/>
              </w:rPr>
              <w:t>2.1%</w:t>
            </w:r>
          </w:p>
        </w:tc>
        <w:tc>
          <w:tcPr>
            <w:tcW w:w="1417" w:type="dxa"/>
          </w:tcPr>
          <w:p w14:paraId="50660952" w14:textId="77777777" w:rsidR="007D48BE" w:rsidRPr="007D48BE" w:rsidRDefault="007D48BE" w:rsidP="000A34E3">
            <w:pPr>
              <w:jc w:val="right"/>
              <w:rPr>
                <w:rFonts w:ascii="Arial" w:hAnsi="Arial" w:cs="Arial"/>
                <w:lang w:val="en-GB"/>
              </w:rPr>
            </w:pPr>
            <w:r w:rsidRPr="007D48BE">
              <w:rPr>
                <w:rFonts w:ascii="Arial" w:hAnsi="Arial" w:cs="Arial"/>
                <w:lang w:val="en-GB"/>
              </w:rPr>
              <w:t>3.7%</w:t>
            </w:r>
          </w:p>
        </w:tc>
        <w:tc>
          <w:tcPr>
            <w:tcW w:w="1417" w:type="dxa"/>
          </w:tcPr>
          <w:p w14:paraId="758063AE" w14:textId="77777777" w:rsidR="007D48BE" w:rsidRPr="007D48BE" w:rsidRDefault="007D48BE" w:rsidP="000A34E3">
            <w:pPr>
              <w:jc w:val="right"/>
              <w:rPr>
                <w:rFonts w:ascii="Arial" w:hAnsi="Arial" w:cs="Arial"/>
                <w:lang w:val="en-GB"/>
              </w:rPr>
            </w:pPr>
            <w:r w:rsidRPr="007D48BE">
              <w:rPr>
                <w:rFonts w:ascii="Arial" w:hAnsi="Arial" w:cs="Arial"/>
                <w:lang w:val="en-GB"/>
              </w:rPr>
              <w:t>2.7%</w:t>
            </w:r>
          </w:p>
        </w:tc>
      </w:tr>
      <w:tr w:rsidR="007D48BE" w:rsidRPr="007D48BE" w14:paraId="5D37DCB0" w14:textId="77777777" w:rsidTr="007D48BE">
        <w:tc>
          <w:tcPr>
            <w:tcW w:w="3681" w:type="dxa"/>
          </w:tcPr>
          <w:p w14:paraId="2BDD4380" w14:textId="77777777" w:rsidR="007D48BE" w:rsidRPr="007D48BE" w:rsidRDefault="007D48BE" w:rsidP="007D48BE">
            <w:pPr>
              <w:jc w:val="both"/>
              <w:rPr>
                <w:rFonts w:ascii="Arial" w:hAnsi="Arial" w:cs="Arial"/>
                <w:lang w:val="en-GB"/>
              </w:rPr>
            </w:pPr>
            <w:r w:rsidRPr="007D48BE">
              <w:rPr>
                <w:rFonts w:ascii="Arial" w:hAnsi="Arial" w:cs="Arial"/>
                <w:lang w:val="en-GB"/>
              </w:rPr>
              <w:t>Return on equity</w:t>
            </w:r>
          </w:p>
        </w:tc>
        <w:tc>
          <w:tcPr>
            <w:tcW w:w="1417" w:type="dxa"/>
          </w:tcPr>
          <w:p w14:paraId="6273615C" w14:textId="77777777" w:rsidR="007D48BE" w:rsidRPr="007D48BE" w:rsidRDefault="007D48BE" w:rsidP="000A34E3">
            <w:pPr>
              <w:jc w:val="right"/>
              <w:rPr>
                <w:rFonts w:ascii="Arial" w:hAnsi="Arial" w:cs="Arial"/>
                <w:lang w:val="en-GB"/>
              </w:rPr>
            </w:pPr>
            <w:r w:rsidRPr="007D48BE">
              <w:rPr>
                <w:rFonts w:ascii="Arial" w:hAnsi="Arial" w:cs="Arial"/>
                <w:lang w:val="en-GB"/>
              </w:rPr>
              <w:t>–18.0%</w:t>
            </w:r>
          </w:p>
        </w:tc>
        <w:tc>
          <w:tcPr>
            <w:tcW w:w="1418" w:type="dxa"/>
          </w:tcPr>
          <w:p w14:paraId="7F6AFAC8" w14:textId="77777777" w:rsidR="007D48BE" w:rsidRPr="007D48BE" w:rsidRDefault="007D48BE" w:rsidP="000A34E3">
            <w:pPr>
              <w:jc w:val="right"/>
              <w:rPr>
                <w:rFonts w:ascii="Arial" w:hAnsi="Arial" w:cs="Arial"/>
                <w:lang w:val="en-GB"/>
              </w:rPr>
            </w:pPr>
            <w:r w:rsidRPr="007D48BE">
              <w:rPr>
                <w:rFonts w:ascii="Arial" w:hAnsi="Arial" w:cs="Arial"/>
                <w:lang w:val="en-GB"/>
              </w:rPr>
              <w:t>–16.4%</w:t>
            </w:r>
          </w:p>
        </w:tc>
        <w:tc>
          <w:tcPr>
            <w:tcW w:w="1417" w:type="dxa"/>
          </w:tcPr>
          <w:p w14:paraId="4623CE3B" w14:textId="77777777" w:rsidR="007D48BE" w:rsidRPr="007D48BE" w:rsidRDefault="007D48BE" w:rsidP="000A34E3">
            <w:pPr>
              <w:jc w:val="right"/>
              <w:rPr>
                <w:rFonts w:ascii="Arial" w:hAnsi="Arial" w:cs="Arial"/>
                <w:lang w:val="en-GB"/>
              </w:rPr>
            </w:pPr>
            <w:r w:rsidRPr="007D48BE">
              <w:rPr>
                <w:rFonts w:ascii="Arial" w:hAnsi="Arial" w:cs="Arial"/>
                <w:lang w:val="en-GB"/>
              </w:rPr>
              <w:t>9.2%</w:t>
            </w:r>
          </w:p>
        </w:tc>
        <w:tc>
          <w:tcPr>
            <w:tcW w:w="1417" w:type="dxa"/>
          </w:tcPr>
          <w:p w14:paraId="66AB85C6" w14:textId="77777777" w:rsidR="007D48BE" w:rsidRPr="007D48BE" w:rsidRDefault="007D48BE" w:rsidP="000A34E3">
            <w:pPr>
              <w:jc w:val="right"/>
              <w:rPr>
                <w:rFonts w:ascii="Arial" w:hAnsi="Arial" w:cs="Arial"/>
                <w:lang w:val="en-GB"/>
              </w:rPr>
            </w:pPr>
            <w:r w:rsidRPr="007D48BE">
              <w:rPr>
                <w:rFonts w:ascii="Arial" w:hAnsi="Arial" w:cs="Arial"/>
                <w:lang w:val="en-GB"/>
              </w:rPr>
              <w:t>6.3%</w:t>
            </w:r>
          </w:p>
        </w:tc>
      </w:tr>
      <w:tr w:rsidR="007D48BE" w:rsidRPr="007D48BE" w14:paraId="30875DC3" w14:textId="77777777" w:rsidTr="007D48BE">
        <w:tc>
          <w:tcPr>
            <w:tcW w:w="3681" w:type="dxa"/>
          </w:tcPr>
          <w:p w14:paraId="431A2B06" w14:textId="77777777" w:rsidR="007D48BE" w:rsidRPr="007D48BE" w:rsidRDefault="007D48BE" w:rsidP="007D48BE">
            <w:pPr>
              <w:jc w:val="both"/>
              <w:rPr>
                <w:rFonts w:ascii="Arial" w:hAnsi="Arial" w:cs="Arial"/>
                <w:lang w:val="en-GB"/>
              </w:rPr>
            </w:pPr>
          </w:p>
        </w:tc>
        <w:tc>
          <w:tcPr>
            <w:tcW w:w="1417" w:type="dxa"/>
          </w:tcPr>
          <w:p w14:paraId="5DF14BE9" w14:textId="77777777" w:rsidR="007D48BE" w:rsidRPr="007D48BE" w:rsidRDefault="007D48BE" w:rsidP="000A34E3">
            <w:pPr>
              <w:jc w:val="right"/>
              <w:rPr>
                <w:rFonts w:ascii="Arial" w:hAnsi="Arial" w:cs="Arial"/>
                <w:lang w:val="en-GB"/>
              </w:rPr>
            </w:pPr>
          </w:p>
        </w:tc>
        <w:tc>
          <w:tcPr>
            <w:tcW w:w="1418" w:type="dxa"/>
          </w:tcPr>
          <w:p w14:paraId="0CFA1578" w14:textId="77777777" w:rsidR="007D48BE" w:rsidRPr="007D48BE" w:rsidRDefault="007D48BE" w:rsidP="000A34E3">
            <w:pPr>
              <w:jc w:val="right"/>
              <w:rPr>
                <w:rFonts w:ascii="Arial" w:hAnsi="Arial" w:cs="Arial"/>
                <w:lang w:val="en-GB"/>
              </w:rPr>
            </w:pPr>
          </w:p>
        </w:tc>
        <w:tc>
          <w:tcPr>
            <w:tcW w:w="1417" w:type="dxa"/>
          </w:tcPr>
          <w:p w14:paraId="71165EAE" w14:textId="77777777" w:rsidR="007D48BE" w:rsidRPr="007D48BE" w:rsidRDefault="007D48BE" w:rsidP="000A34E3">
            <w:pPr>
              <w:jc w:val="right"/>
              <w:rPr>
                <w:rFonts w:ascii="Arial" w:hAnsi="Arial" w:cs="Arial"/>
                <w:lang w:val="en-GB"/>
              </w:rPr>
            </w:pPr>
          </w:p>
        </w:tc>
        <w:tc>
          <w:tcPr>
            <w:tcW w:w="1417" w:type="dxa"/>
          </w:tcPr>
          <w:p w14:paraId="023B1AFF" w14:textId="77777777" w:rsidR="007D48BE" w:rsidRPr="007D48BE" w:rsidRDefault="007D48BE" w:rsidP="000A34E3">
            <w:pPr>
              <w:jc w:val="right"/>
              <w:rPr>
                <w:rFonts w:ascii="Arial" w:hAnsi="Arial" w:cs="Arial"/>
                <w:lang w:val="en-GB"/>
              </w:rPr>
            </w:pPr>
          </w:p>
        </w:tc>
      </w:tr>
      <w:tr w:rsidR="007D48BE" w:rsidRPr="007D48BE" w14:paraId="619E60C1" w14:textId="77777777" w:rsidTr="007D48BE">
        <w:tc>
          <w:tcPr>
            <w:tcW w:w="3681" w:type="dxa"/>
          </w:tcPr>
          <w:p w14:paraId="5424D35D" w14:textId="77777777" w:rsidR="007D48BE" w:rsidRPr="007D48BE" w:rsidRDefault="007D48BE" w:rsidP="007D48BE">
            <w:pPr>
              <w:jc w:val="both"/>
              <w:rPr>
                <w:rFonts w:ascii="Arial" w:hAnsi="Arial" w:cs="Arial"/>
                <w:b/>
                <w:lang w:val="en-GB"/>
              </w:rPr>
            </w:pPr>
            <w:r w:rsidRPr="007D48BE">
              <w:rPr>
                <w:rFonts w:ascii="Arial" w:hAnsi="Arial" w:cs="Arial"/>
                <w:b/>
                <w:lang w:val="en-GB"/>
              </w:rPr>
              <w:t>Investment utilization</w:t>
            </w:r>
          </w:p>
        </w:tc>
        <w:tc>
          <w:tcPr>
            <w:tcW w:w="1417" w:type="dxa"/>
          </w:tcPr>
          <w:p w14:paraId="23CD793E" w14:textId="77777777" w:rsidR="007D48BE" w:rsidRPr="007D48BE" w:rsidRDefault="007D48BE" w:rsidP="000A34E3">
            <w:pPr>
              <w:jc w:val="right"/>
              <w:rPr>
                <w:rFonts w:ascii="Arial" w:hAnsi="Arial" w:cs="Arial"/>
                <w:lang w:val="en-GB"/>
              </w:rPr>
            </w:pPr>
          </w:p>
        </w:tc>
        <w:tc>
          <w:tcPr>
            <w:tcW w:w="1418" w:type="dxa"/>
          </w:tcPr>
          <w:p w14:paraId="1CB10CED" w14:textId="77777777" w:rsidR="007D48BE" w:rsidRPr="007D48BE" w:rsidRDefault="007D48BE" w:rsidP="000A34E3">
            <w:pPr>
              <w:jc w:val="right"/>
              <w:rPr>
                <w:rFonts w:ascii="Arial" w:hAnsi="Arial" w:cs="Arial"/>
                <w:lang w:val="en-GB"/>
              </w:rPr>
            </w:pPr>
          </w:p>
        </w:tc>
        <w:tc>
          <w:tcPr>
            <w:tcW w:w="1417" w:type="dxa"/>
          </w:tcPr>
          <w:p w14:paraId="4F49ABED" w14:textId="77777777" w:rsidR="007D48BE" w:rsidRPr="007D48BE" w:rsidRDefault="007D48BE" w:rsidP="000A34E3">
            <w:pPr>
              <w:jc w:val="right"/>
              <w:rPr>
                <w:rFonts w:ascii="Arial" w:hAnsi="Arial" w:cs="Arial"/>
                <w:lang w:val="en-GB"/>
              </w:rPr>
            </w:pPr>
          </w:p>
        </w:tc>
        <w:tc>
          <w:tcPr>
            <w:tcW w:w="1417" w:type="dxa"/>
          </w:tcPr>
          <w:p w14:paraId="5855760B" w14:textId="77777777" w:rsidR="007D48BE" w:rsidRPr="007D48BE" w:rsidRDefault="007D48BE" w:rsidP="000A34E3">
            <w:pPr>
              <w:jc w:val="right"/>
              <w:rPr>
                <w:rFonts w:ascii="Arial" w:hAnsi="Arial" w:cs="Arial"/>
                <w:lang w:val="en-GB"/>
              </w:rPr>
            </w:pPr>
          </w:p>
        </w:tc>
      </w:tr>
      <w:tr w:rsidR="007D48BE" w:rsidRPr="007D48BE" w14:paraId="68DF582A" w14:textId="77777777" w:rsidTr="007D48BE">
        <w:tc>
          <w:tcPr>
            <w:tcW w:w="3681" w:type="dxa"/>
          </w:tcPr>
          <w:p w14:paraId="13F2C760" w14:textId="77777777" w:rsidR="007D48BE" w:rsidRPr="007D48BE" w:rsidRDefault="007D48BE" w:rsidP="007D48BE">
            <w:pPr>
              <w:jc w:val="both"/>
              <w:rPr>
                <w:rFonts w:ascii="Arial" w:hAnsi="Arial" w:cs="Arial"/>
                <w:lang w:val="en-GB"/>
              </w:rPr>
            </w:pPr>
            <w:r w:rsidRPr="007D48BE">
              <w:rPr>
                <w:rFonts w:ascii="Arial" w:hAnsi="Arial" w:cs="Arial"/>
                <w:lang w:val="en-GB"/>
              </w:rPr>
              <w:t>Fixed asset turnover</w:t>
            </w:r>
          </w:p>
        </w:tc>
        <w:tc>
          <w:tcPr>
            <w:tcW w:w="1417" w:type="dxa"/>
          </w:tcPr>
          <w:p w14:paraId="63D759A2" w14:textId="77777777" w:rsidR="007D48BE" w:rsidRPr="007D48BE" w:rsidRDefault="007D48BE" w:rsidP="000A34E3">
            <w:pPr>
              <w:jc w:val="right"/>
              <w:rPr>
                <w:rFonts w:ascii="Arial" w:hAnsi="Arial" w:cs="Arial"/>
                <w:lang w:val="en-GB"/>
              </w:rPr>
            </w:pPr>
            <w:r w:rsidRPr="007D48BE">
              <w:rPr>
                <w:rFonts w:ascii="Arial" w:hAnsi="Arial" w:cs="Arial"/>
                <w:lang w:val="en-GB"/>
              </w:rPr>
              <w:t>5.2×</w:t>
            </w:r>
          </w:p>
        </w:tc>
        <w:tc>
          <w:tcPr>
            <w:tcW w:w="1418" w:type="dxa"/>
          </w:tcPr>
          <w:p w14:paraId="579678B0" w14:textId="77777777" w:rsidR="007D48BE" w:rsidRPr="007D48BE" w:rsidRDefault="007D48BE" w:rsidP="000A34E3">
            <w:pPr>
              <w:jc w:val="right"/>
              <w:rPr>
                <w:rFonts w:ascii="Arial" w:hAnsi="Arial" w:cs="Arial"/>
                <w:lang w:val="en-GB"/>
              </w:rPr>
            </w:pPr>
            <w:r w:rsidRPr="007D48BE">
              <w:rPr>
                <w:rFonts w:ascii="Arial" w:hAnsi="Arial" w:cs="Arial"/>
                <w:lang w:val="en-GB"/>
              </w:rPr>
              <w:t>6.2×</w:t>
            </w:r>
          </w:p>
        </w:tc>
        <w:tc>
          <w:tcPr>
            <w:tcW w:w="1417" w:type="dxa"/>
          </w:tcPr>
          <w:p w14:paraId="42A0D3CD" w14:textId="77777777" w:rsidR="007D48BE" w:rsidRPr="007D48BE" w:rsidRDefault="007D48BE" w:rsidP="000A34E3">
            <w:pPr>
              <w:jc w:val="right"/>
              <w:rPr>
                <w:rFonts w:ascii="Arial" w:hAnsi="Arial" w:cs="Arial"/>
                <w:lang w:val="en-GB"/>
              </w:rPr>
            </w:pPr>
            <w:r w:rsidRPr="007D48BE">
              <w:rPr>
                <w:rFonts w:ascii="Arial" w:hAnsi="Arial" w:cs="Arial"/>
                <w:lang w:val="en-GB"/>
              </w:rPr>
              <w:t>0.8×</w:t>
            </w:r>
          </w:p>
        </w:tc>
        <w:tc>
          <w:tcPr>
            <w:tcW w:w="1417" w:type="dxa"/>
          </w:tcPr>
          <w:p w14:paraId="2EEA2D79" w14:textId="77777777" w:rsidR="007D48BE" w:rsidRPr="007D48BE" w:rsidRDefault="007D48BE" w:rsidP="000A34E3">
            <w:pPr>
              <w:jc w:val="right"/>
              <w:rPr>
                <w:rFonts w:ascii="Arial" w:hAnsi="Arial" w:cs="Arial"/>
                <w:lang w:val="en-GB"/>
              </w:rPr>
            </w:pPr>
            <w:r w:rsidRPr="007D48BE">
              <w:rPr>
                <w:rFonts w:ascii="Arial" w:hAnsi="Arial" w:cs="Arial"/>
                <w:lang w:val="en-GB"/>
              </w:rPr>
              <w:t>0.8×</w:t>
            </w:r>
          </w:p>
        </w:tc>
      </w:tr>
      <w:tr w:rsidR="007D48BE" w:rsidRPr="007D48BE" w14:paraId="1F29D71F" w14:textId="77777777" w:rsidTr="007D48BE">
        <w:tc>
          <w:tcPr>
            <w:tcW w:w="3681" w:type="dxa"/>
          </w:tcPr>
          <w:p w14:paraId="5B4641F6" w14:textId="77777777" w:rsidR="007D48BE" w:rsidRPr="007D48BE" w:rsidRDefault="007D48BE" w:rsidP="007D48BE">
            <w:pPr>
              <w:jc w:val="both"/>
              <w:rPr>
                <w:rFonts w:ascii="Arial" w:hAnsi="Arial" w:cs="Arial"/>
                <w:lang w:val="en-GB"/>
              </w:rPr>
            </w:pPr>
            <w:r w:rsidRPr="007D48BE">
              <w:rPr>
                <w:rFonts w:ascii="Arial" w:hAnsi="Arial" w:cs="Arial"/>
                <w:lang w:val="en-GB"/>
              </w:rPr>
              <w:t>Total asset turnover</w:t>
            </w:r>
          </w:p>
        </w:tc>
        <w:tc>
          <w:tcPr>
            <w:tcW w:w="1417" w:type="dxa"/>
          </w:tcPr>
          <w:p w14:paraId="315D5A20" w14:textId="77777777" w:rsidR="007D48BE" w:rsidRPr="007D48BE" w:rsidRDefault="007D48BE" w:rsidP="000A34E3">
            <w:pPr>
              <w:jc w:val="right"/>
              <w:rPr>
                <w:rFonts w:ascii="Arial" w:hAnsi="Arial" w:cs="Arial"/>
                <w:lang w:val="en-GB"/>
              </w:rPr>
            </w:pPr>
            <w:r w:rsidRPr="007D48BE">
              <w:rPr>
                <w:rFonts w:ascii="Arial" w:hAnsi="Arial" w:cs="Arial"/>
                <w:lang w:val="en-GB"/>
              </w:rPr>
              <w:t>0.4×</w:t>
            </w:r>
          </w:p>
        </w:tc>
        <w:tc>
          <w:tcPr>
            <w:tcW w:w="1418" w:type="dxa"/>
          </w:tcPr>
          <w:p w14:paraId="65575CB5" w14:textId="77777777" w:rsidR="007D48BE" w:rsidRPr="007D48BE" w:rsidRDefault="007D48BE" w:rsidP="000A34E3">
            <w:pPr>
              <w:jc w:val="right"/>
              <w:rPr>
                <w:rFonts w:ascii="Arial" w:hAnsi="Arial" w:cs="Arial"/>
                <w:lang w:val="en-GB"/>
              </w:rPr>
            </w:pPr>
            <w:r w:rsidRPr="007D48BE">
              <w:rPr>
                <w:rFonts w:ascii="Arial" w:hAnsi="Arial" w:cs="Arial"/>
                <w:lang w:val="en-GB"/>
              </w:rPr>
              <w:t>0.4×</w:t>
            </w:r>
          </w:p>
        </w:tc>
        <w:tc>
          <w:tcPr>
            <w:tcW w:w="1417" w:type="dxa"/>
          </w:tcPr>
          <w:p w14:paraId="638C78D9" w14:textId="77777777" w:rsidR="007D48BE" w:rsidRPr="007D48BE" w:rsidRDefault="007D48BE" w:rsidP="000A34E3">
            <w:pPr>
              <w:jc w:val="right"/>
              <w:rPr>
                <w:rFonts w:ascii="Arial" w:hAnsi="Arial" w:cs="Arial"/>
                <w:lang w:val="en-GB"/>
              </w:rPr>
            </w:pPr>
            <w:r w:rsidRPr="007D48BE">
              <w:rPr>
                <w:rFonts w:ascii="Arial" w:hAnsi="Arial" w:cs="Arial"/>
                <w:lang w:val="en-GB"/>
              </w:rPr>
              <w:t>0.6×</w:t>
            </w:r>
          </w:p>
        </w:tc>
        <w:tc>
          <w:tcPr>
            <w:tcW w:w="1417" w:type="dxa"/>
          </w:tcPr>
          <w:p w14:paraId="1F0508A8" w14:textId="77777777" w:rsidR="007D48BE" w:rsidRPr="007D48BE" w:rsidRDefault="007D48BE" w:rsidP="000A34E3">
            <w:pPr>
              <w:jc w:val="right"/>
              <w:rPr>
                <w:rFonts w:ascii="Arial" w:hAnsi="Arial" w:cs="Arial"/>
                <w:lang w:val="en-GB"/>
              </w:rPr>
            </w:pPr>
            <w:r w:rsidRPr="007D48BE">
              <w:rPr>
                <w:rFonts w:ascii="Arial" w:hAnsi="Arial" w:cs="Arial"/>
                <w:lang w:val="en-GB"/>
              </w:rPr>
              <w:t>0.6×</w:t>
            </w:r>
          </w:p>
        </w:tc>
      </w:tr>
      <w:tr w:rsidR="007D48BE" w:rsidRPr="007D48BE" w14:paraId="2E2F5AE1" w14:textId="77777777" w:rsidTr="007D48BE">
        <w:tc>
          <w:tcPr>
            <w:tcW w:w="3681" w:type="dxa"/>
          </w:tcPr>
          <w:p w14:paraId="232E7BAF" w14:textId="77777777" w:rsidR="007D48BE" w:rsidRPr="007D48BE" w:rsidRDefault="007D48BE" w:rsidP="007D48BE">
            <w:pPr>
              <w:jc w:val="both"/>
              <w:rPr>
                <w:rFonts w:ascii="Arial" w:hAnsi="Arial" w:cs="Arial"/>
                <w:lang w:val="en-GB"/>
              </w:rPr>
            </w:pPr>
          </w:p>
        </w:tc>
        <w:tc>
          <w:tcPr>
            <w:tcW w:w="1417" w:type="dxa"/>
          </w:tcPr>
          <w:p w14:paraId="494B9DA0" w14:textId="77777777" w:rsidR="007D48BE" w:rsidRPr="007D48BE" w:rsidRDefault="007D48BE" w:rsidP="000A34E3">
            <w:pPr>
              <w:jc w:val="right"/>
              <w:rPr>
                <w:rFonts w:ascii="Arial" w:hAnsi="Arial" w:cs="Arial"/>
                <w:lang w:val="en-GB"/>
              </w:rPr>
            </w:pPr>
          </w:p>
        </w:tc>
        <w:tc>
          <w:tcPr>
            <w:tcW w:w="1418" w:type="dxa"/>
          </w:tcPr>
          <w:p w14:paraId="74EACDAD" w14:textId="77777777" w:rsidR="007D48BE" w:rsidRPr="007D48BE" w:rsidRDefault="007D48BE" w:rsidP="000A34E3">
            <w:pPr>
              <w:jc w:val="right"/>
              <w:rPr>
                <w:rFonts w:ascii="Arial" w:hAnsi="Arial" w:cs="Arial"/>
                <w:lang w:val="en-GB"/>
              </w:rPr>
            </w:pPr>
          </w:p>
        </w:tc>
        <w:tc>
          <w:tcPr>
            <w:tcW w:w="1417" w:type="dxa"/>
          </w:tcPr>
          <w:p w14:paraId="6EE15BC8" w14:textId="77777777" w:rsidR="007D48BE" w:rsidRPr="007D48BE" w:rsidRDefault="007D48BE" w:rsidP="000A34E3">
            <w:pPr>
              <w:jc w:val="right"/>
              <w:rPr>
                <w:rFonts w:ascii="Arial" w:hAnsi="Arial" w:cs="Arial"/>
                <w:lang w:val="en-GB"/>
              </w:rPr>
            </w:pPr>
          </w:p>
        </w:tc>
        <w:tc>
          <w:tcPr>
            <w:tcW w:w="1417" w:type="dxa"/>
          </w:tcPr>
          <w:p w14:paraId="568B0443" w14:textId="77777777" w:rsidR="007D48BE" w:rsidRPr="007D48BE" w:rsidRDefault="007D48BE" w:rsidP="000A34E3">
            <w:pPr>
              <w:jc w:val="right"/>
              <w:rPr>
                <w:rFonts w:ascii="Arial" w:hAnsi="Arial" w:cs="Arial"/>
                <w:lang w:val="en-GB"/>
              </w:rPr>
            </w:pPr>
          </w:p>
        </w:tc>
      </w:tr>
      <w:tr w:rsidR="007D48BE" w:rsidRPr="007D48BE" w14:paraId="6CE90A4C" w14:textId="77777777" w:rsidTr="007D48BE">
        <w:tc>
          <w:tcPr>
            <w:tcW w:w="3681" w:type="dxa"/>
          </w:tcPr>
          <w:p w14:paraId="69BE29BA" w14:textId="77777777" w:rsidR="007D48BE" w:rsidRPr="007D48BE" w:rsidRDefault="007D48BE" w:rsidP="007D48BE">
            <w:pPr>
              <w:jc w:val="both"/>
              <w:rPr>
                <w:rFonts w:ascii="Arial" w:hAnsi="Arial" w:cs="Arial"/>
                <w:b/>
                <w:lang w:val="en-GB"/>
              </w:rPr>
            </w:pPr>
            <w:r w:rsidRPr="007D48BE">
              <w:rPr>
                <w:rFonts w:ascii="Arial" w:hAnsi="Arial" w:cs="Arial"/>
                <w:b/>
                <w:lang w:val="en-GB"/>
              </w:rPr>
              <w:t>Stability</w:t>
            </w:r>
          </w:p>
        </w:tc>
        <w:tc>
          <w:tcPr>
            <w:tcW w:w="1417" w:type="dxa"/>
          </w:tcPr>
          <w:p w14:paraId="3F53A30E" w14:textId="77777777" w:rsidR="007D48BE" w:rsidRPr="007D48BE" w:rsidRDefault="007D48BE" w:rsidP="000A34E3">
            <w:pPr>
              <w:jc w:val="right"/>
              <w:rPr>
                <w:rFonts w:ascii="Arial" w:hAnsi="Arial" w:cs="Arial"/>
                <w:lang w:val="en-GB"/>
              </w:rPr>
            </w:pPr>
          </w:p>
        </w:tc>
        <w:tc>
          <w:tcPr>
            <w:tcW w:w="1418" w:type="dxa"/>
          </w:tcPr>
          <w:p w14:paraId="06A32BCD" w14:textId="77777777" w:rsidR="007D48BE" w:rsidRPr="007D48BE" w:rsidRDefault="007D48BE" w:rsidP="000A34E3">
            <w:pPr>
              <w:jc w:val="right"/>
              <w:rPr>
                <w:rFonts w:ascii="Arial" w:hAnsi="Arial" w:cs="Arial"/>
                <w:lang w:val="en-GB"/>
              </w:rPr>
            </w:pPr>
          </w:p>
        </w:tc>
        <w:tc>
          <w:tcPr>
            <w:tcW w:w="1417" w:type="dxa"/>
          </w:tcPr>
          <w:p w14:paraId="3CD41789" w14:textId="77777777" w:rsidR="007D48BE" w:rsidRPr="007D48BE" w:rsidRDefault="007D48BE" w:rsidP="000A34E3">
            <w:pPr>
              <w:jc w:val="right"/>
              <w:rPr>
                <w:rFonts w:ascii="Arial" w:hAnsi="Arial" w:cs="Arial"/>
                <w:lang w:val="en-GB"/>
              </w:rPr>
            </w:pPr>
          </w:p>
        </w:tc>
        <w:tc>
          <w:tcPr>
            <w:tcW w:w="1417" w:type="dxa"/>
          </w:tcPr>
          <w:p w14:paraId="2F97C839" w14:textId="77777777" w:rsidR="007D48BE" w:rsidRPr="007D48BE" w:rsidRDefault="007D48BE" w:rsidP="000A34E3">
            <w:pPr>
              <w:jc w:val="right"/>
              <w:rPr>
                <w:rFonts w:ascii="Arial" w:hAnsi="Arial" w:cs="Arial"/>
                <w:lang w:val="en-GB"/>
              </w:rPr>
            </w:pPr>
          </w:p>
        </w:tc>
      </w:tr>
      <w:tr w:rsidR="007D48BE" w:rsidRPr="007D48BE" w14:paraId="51147D48" w14:textId="77777777" w:rsidTr="007D48BE">
        <w:tc>
          <w:tcPr>
            <w:tcW w:w="3681" w:type="dxa"/>
          </w:tcPr>
          <w:p w14:paraId="433CEC69" w14:textId="77777777" w:rsidR="007D48BE" w:rsidRPr="007D48BE" w:rsidRDefault="007D48BE" w:rsidP="007D48BE">
            <w:pPr>
              <w:jc w:val="both"/>
              <w:rPr>
                <w:rFonts w:ascii="Arial" w:hAnsi="Arial" w:cs="Arial"/>
                <w:lang w:val="en-GB"/>
              </w:rPr>
            </w:pPr>
            <w:r w:rsidRPr="007D48BE">
              <w:rPr>
                <w:rFonts w:ascii="Arial" w:hAnsi="Arial" w:cs="Arial"/>
                <w:lang w:val="en-GB"/>
              </w:rPr>
              <w:t>Net worth to total assets</w:t>
            </w:r>
          </w:p>
        </w:tc>
        <w:tc>
          <w:tcPr>
            <w:tcW w:w="1417" w:type="dxa"/>
          </w:tcPr>
          <w:p w14:paraId="13465A14" w14:textId="77777777" w:rsidR="007D48BE" w:rsidRPr="007D48BE" w:rsidRDefault="007D48BE" w:rsidP="000A34E3">
            <w:pPr>
              <w:jc w:val="right"/>
              <w:rPr>
                <w:rFonts w:ascii="Arial" w:hAnsi="Arial" w:cs="Arial"/>
                <w:lang w:val="en-GB"/>
              </w:rPr>
            </w:pPr>
            <w:r w:rsidRPr="007D48BE">
              <w:rPr>
                <w:rFonts w:ascii="Arial" w:hAnsi="Arial" w:cs="Arial"/>
                <w:lang w:val="en-GB"/>
              </w:rPr>
              <w:t>–10.9%</w:t>
            </w:r>
          </w:p>
        </w:tc>
        <w:tc>
          <w:tcPr>
            <w:tcW w:w="1418" w:type="dxa"/>
          </w:tcPr>
          <w:p w14:paraId="0CFA7441" w14:textId="77777777" w:rsidR="007D48BE" w:rsidRPr="007D48BE" w:rsidRDefault="007D48BE" w:rsidP="000A34E3">
            <w:pPr>
              <w:jc w:val="right"/>
              <w:rPr>
                <w:rFonts w:ascii="Arial" w:hAnsi="Arial" w:cs="Arial"/>
                <w:lang w:val="en-GB"/>
              </w:rPr>
            </w:pPr>
            <w:r w:rsidRPr="007D48BE">
              <w:rPr>
                <w:rFonts w:ascii="Arial" w:hAnsi="Arial" w:cs="Arial"/>
                <w:lang w:val="en-GB"/>
              </w:rPr>
              <w:t>–13.1%</w:t>
            </w:r>
          </w:p>
        </w:tc>
        <w:tc>
          <w:tcPr>
            <w:tcW w:w="1417" w:type="dxa"/>
          </w:tcPr>
          <w:p w14:paraId="7F4AA3EC" w14:textId="77777777" w:rsidR="007D48BE" w:rsidRPr="007D48BE" w:rsidRDefault="007D48BE" w:rsidP="000A34E3">
            <w:pPr>
              <w:jc w:val="right"/>
              <w:rPr>
                <w:rFonts w:ascii="Arial" w:hAnsi="Arial" w:cs="Arial"/>
                <w:lang w:val="en-GB"/>
              </w:rPr>
            </w:pPr>
            <w:r w:rsidRPr="007D48BE">
              <w:rPr>
                <w:rFonts w:ascii="Arial" w:hAnsi="Arial" w:cs="Arial"/>
                <w:lang w:val="en-GB"/>
              </w:rPr>
              <w:t>61.3%</w:t>
            </w:r>
          </w:p>
        </w:tc>
        <w:tc>
          <w:tcPr>
            <w:tcW w:w="1417" w:type="dxa"/>
          </w:tcPr>
          <w:p w14:paraId="6D7F8B6B" w14:textId="77777777" w:rsidR="007D48BE" w:rsidRPr="007D48BE" w:rsidRDefault="007D48BE" w:rsidP="000A34E3">
            <w:pPr>
              <w:jc w:val="right"/>
              <w:rPr>
                <w:rFonts w:ascii="Arial" w:hAnsi="Arial" w:cs="Arial"/>
                <w:lang w:val="en-GB"/>
              </w:rPr>
            </w:pPr>
            <w:r w:rsidRPr="007D48BE">
              <w:rPr>
                <w:rFonts w:ascii="Arial" w:hAnsi="Arial" w:cs="Arial"/>
                <w:lang w:val="en-GB"/>
              </w:rPr>
              <w:t>49.2%</w:t>
            </w:r>
          </w:p>
        </w:tc>
      </w:tr>
      <w:tr w:rsidR="007D48BE" w:rsidRPr="007D48BE" w14:paraId="27FCEEC4" w14:textId="77777777" w:rsidTr="007D48BE">
        <w:tc>
          <w:tcPr>
            <w:tcW w:w="3681" w:type="dxa"/>
          </w:tcPr>
          <w:p w14:paraId="1A172546" w14:textId="77777777" w:rsidR="007D48BE" w:rsidRPr="007D48BE" w:rsidRDefault="007D48BE" w:rsidP="007D48BE">
            <w:pPr>
              <w:jc w:val="both"/>
              <w:rPr>
                <w:rFonts w:ascii="Arial" w:hAnsi="Arial" w:cs="Arial"/>
                <w:lang w:val="en-GB"/>
              </w:rPr>
            </w:pPr>
            <w:r w:rsidRPr="007D48BE">
              <w:rPr>
                <w:rFonts w:ascii="Arial" w:hAnsi="Arial" w:cs="Arial"/>
                <w:lang w:val="en-GB"/>
              </w:rPr>
              <w:t>Interest coverage</w:t>
            </w:r>
          </w:p>
        </w:tc>
        <w:tc>
          <w:tcPr>
            <w:tcW w:w="1417" w:type="dxa"/>
          </w:tcPr>
          <w:p w14:paraId="04FDBA69" w14:textId="77777777" w:rsidR="007D48BE" w:rsidRPr="007D48BE" w:rsidRDefault="007D48BE" w:rsidP="000A34E3">
            <w:pPr>
              <w:jc w:val="right"/>
              <w:rPr>
                <w:rFonts w:ascii="Arial" w:hAnsi="Arial" w:cs="Arial"/>
                <w:lang w:val="en-GB"/>
              </w:rPr>
            </w:pPr>
            <w:r w:rsidRPr="007D48BE">
              <w:rPr>
                <w:rFonts w:ascii="Arial" w:hAnsi="Arial" w:cs="Arial"/>
                <w:lang w:val="en-GB"/>
              </w:rPr>
              <w:t>13.2×</w:t>
            </w:r>
          </w:p>
        </w:tc>
        <w:tc>
          <w:tcPr>
            <w:tcW w:w="1418" w:type="dxa"/>
          </w:tcPr>
          <w:p w14:paraId="14E508AB" w14:textId="77777777" w:rsidR="007D48BE" w:rsidRPr="007D48BE" w:rsidRDefault="007D48BE" w:rsidP="000A34E3">
            <w:pPr>
              <w:jc w:val="right"/>
              <w:rPr>
                <w:rFonts w:ascii="Arial" w:hAnsi="Arial" w:cs="Arial"/>
                <w:lang w:val="en-GB"/>
              </w:rPr>
            </w:pPr>
            <w:r w:rsidRPr="007D48BE">
              <w:rPr>
                <w:rFonts w:ascii="Arial" w:hAnsi="Arial" w:cs="Arial"/>
                <w:lang w:val="en-GB"/>
              </w:rPr>
              <w:t>4.3×</w:t>
            </w:r>
          </w:p>
        </w:tc>
        <w:tc>
          <w:tcPr>
            <w:tcW w:w="1417" w:type="dxa"/>
          </w:tcPr>
          <w:p w14:paraId="318A3647" w14:textId="77777777" w:rsidR="007D48BE" w:rsidRPr="007D48BE" w:rsidRDefault="007D48BE" w:rsidP="000A34E3">
            <w:pPr>
              <w:jc w:val="right"/>
              <w:rPr>
                <w:rFonts w:ascii="Arial" w:hAnsi="Arial" w:cs="Arial"/>
                <w:lang w:val="en-GB"/>
              </w:rPr>
            </w:pPr>
            <w:r w:rsidRPr="007D48BE">
              <w:rPr>
                <w:rFonts w:ascii="Arial" w:hAnsi="Arial" w:cs="Arial"/>
                <w:lang w:val="en-GB"/>
              </w:rPr>
              <w:t>–</w:t>
            </w:r>
          </w:p>
        </w:tc>
        <w:tc>
          <w:tcPr>
            <w:tcW w:w="1417" w:type="dxa"/>
          </w:tcPr>
          <w:p w14:paraId="1E511770" w14:textId="77777777" w:rsidR="007D48BE" w:rsidRPr="007D48BE" w:rsidRDefault="007D48BE" w:rsidP="000A34E3">
            <w:pPr>
              <w:jc w:val="right"/>
              <w:rPr>
                <w:rFonts w:ascii="Arial" w:hAnsi="Arial" w:cs="Arial"/>
                <w:lang w:val="en-GB"/>
              </w:rPr>
            </w:pPr>
            <w:r w:rsidRPr="007D48BE">
              <w:rPr>
                <w:rFonts w:ascii="Arial" w:hAnsi="Arial" w:cs="Arial"/>
                <w:lang w:val="en-GB"/>
              </w:rPr>
              <w:t>–</w:t>
            </w:r>
          </w:p>
        </w:tc>
      </w:tr>
      <w:tr w:rsidR="007D48BE" w:rsidRPr="007D48BE" w14:paraId="23F705E5" w14:textId="77777777" w:rsidTr="007D48BE">
        <w:tc>
          <w:tcPr>
            <w:tcW w:w="3681" w:type="dxa"/>
          </w:tcPr>
          <w:p w14:paraId="2D60AF32" w14:textId="77777777" w:rsidR="007D48BE" w:rsidRPr="007D48BE" w:rsidRDefault="007D48BE" w:rsidP="007D48BE">
            <w:pPr>
              <w:jc w:val="both"/>
              <w:rPr>
                <w:rFonts w:ascii="Arial" w:hAnsi="Arial" w:cs="Arial"/>
                <w:lang w:val="en-GB"/>
              </w:rPr>
            </w:pPr>
            <w:r w:rsidRPr="007D48BE">
              <w:rPr>
                <w:rFonts w:ascii="Arial" w:hAnsi="Arial" w:cs="Arial"/>
                <w:lang w:val="en-GB"/>
              </w:rPr>
              <w:t>Total debt to total assets</w:t>
            </w:r>
          </w:p>
        </w:tc>
        <w:tc>
          <w:tcPr>
            <w:tcW w:w="1417" w:type="dxa"/>
          </w:tcPr>
          <w:p w14:paraId="712DCA68" w14:textId="77777777" w:rsidR="007D48BE" w:rsidRPr="007D48BE" w:rsidRDefault="007D48BE" w:rsidP="000A34E3">
            <w:pPr>
              <w:jc w:val="right"/>
              <w:rPr>
                <w:rFonts w:ascii="Arial" w:hAnsi="Arial" w:cs="Arial"/>
                <w:lang w:val="en-GB"/>
              </w:rPr>
            </w:pPr>
            <w:r w:rsidRPr="007D48BE">
              <w:rPr>
                <w:rFonts w:ascii="Arial" w:hAnsi="Arial" w:cs="Arial"/>
                <w:lang w:val="en-GB"/>
              </w:rPr>
              <w:t>112.5</w:t>
            </w:r>
          </w:p>
        </w:tc>
        <w:tc>
          <w:tcPr>
            <w:tcW w:w="1418" w:type="dxa"/>
          </w:tcPr>
          <w:p w14:paraId="04BAEF4C" w14:textId="77777777" w:rsidR="007D48BE" w:rsidRPr="007D48BE" w:rsidRDefault="007D48BE" w:rsidP="000A34E3">
            <w:pPr>
              <w:jc w:val="right"/>
              <w:rPr>
                <w:rFonts w:ascii="Arial" w:hAnsi="Arial" w:cs="Arial"/>
                <w:lang w:val="en-GB"/>
              </w:rPr>
            </w:pPr>
            <w:r w:rsidRPr="007D48BE">
              <w:rPr>
                <w:rFonts w:ascii="Arial" w:hAnsi="Arial" w:cs="Arial"/>
                <w:lang w:val="en-GB"/>
              </w:rPr>
              <w:t>121.4%</w:t>
            </w:r>
          </w:p>
        </w:tc>
        <w:tc>
          <w:tcPr>
            <w:tcW w:w="1417" w:type="dxa"/>
          </w:tcPr>
          <w:p w14:paraId="127ADF4C" w14:textId="77777777" w:rsidR="007D48BE" w:rsidRPr="007D48BE" w:rsidRDefault="007D48BE" w:rsidP="000A34E3">
            <w:pPr>
              <w:jc w:val="right"/>
              <w:rPr>
                <w:rFonts w:ascii="Arial" w:hAnsi="Arial" w:cs="Arial"/>
                <w:lang w:val="en-GB"/>
              </w:rPr>
            </w:pPr>
            <w:r w:rsidRPr="007D48BE">
              <w:rPr>
                <w:rFonts w:ascii="Arial" w:hAnsi="Arial" w:cs="Arial"/>
                <w:lang w:val="en-GB"/>
              </w:rPr>
              <w:t>38.7%</w:t>
            </w:r>
          </w:p>
        </w:tc>
        <w:tc>
          <w:tcPr>
            <w:tcW w:w="1417" w:type="dxa"/>
          </w:tcPr>
          <w:p w14:paraId="0ED5324A" w14:textId="77777777" w:rsidR="007D48BE" w:rsidRPr="007D48BE" w:rsidRDefault="007D48BE" w:rsidP="000A34E3">
            <w:pPr>
              <w:jc w:val="right"/>
              <w:rPr>
                <w:rFonts w:ascii="Arial" w:hAnsi="Arial" w:cs="Arial"/>
                <w:lang w:val="en-GB"/>
              </w:rPr>
            </w:pPr>
            <w:r w:rsidRPr="007D48BE">
              <w:rPr>
                <w:rFonts w:ascii="Arial" w:hAnsi="Arial" w:cs="Arial"/>
                <w:lang w:val="en-GB"/>
              </w:rPr>
              <w:t>50.8%</w:t>
            </w:r>
          </w:p>
        </w:tc>
      </w:tr>
      <w:tr w:rsidR="007D48BE" w:rsidRPr="007D48BE" w14:paraId="1A3F4960" w14:textId="77777777" w:rsidTr="007D48BE">
        <w:tc>
          <w:tcPr>
            <w:tcW w:w="3681" w:type="dxa"/>
          </w:tcPr>
          <w:p w14:paraId="56A9E0D5" w14:textId="77777777" w:rsidR="007D48BE" w:rsidRPr="007D48BE" w:rsidRDefault="007D48BE" w:rsidP="007D48BE">
            <w:pPr>
              <w:jc w:val="both"/>
              <w:rPr>
                <w:rFonts w:ascii="Arial" w:hAnsi="Arial" w:cs="Arial"/>
                <w:lang w:val="en-GB"/>
              </w:rPr>
            </w:pPr>
          </w:p>
        </w:tc>
        <w:tc>
          <w:tcPr>
            <w:tcW w:w="1417" w:type="dxa"/>
          </w:tcPr>
          <w:p w14:paraId="4E231F86" w14:textId="77777777" w:rsidR="007D48BE" w:rsidRPr="007D48BE" w:rsidRDefault="007D48BE" w:rsidP="000A34E3">
            <w:pPr>
              <w:jc w:val="right"/>
              <w:rPr>
                <w:rFonts w:ascii="Arial" w:hAnsi="Arial" w:cs="Arial"/>
                <w:lang w:val="en-GB"/>
              </w:rPr>
            </w:pPr>
          </w:p>
        </w:tc>
        <w:tc>
          <w:tcPr>
            <w:tcW w:w="1418" w:type="dxa"/>
          </w:tcPr>
          <w:p w14:paraId="347D30D8" w14:textId="77777777" w:rsidR="007D48BE" w:rsidRPr="007D48BE" w:rsidRDefault="007D48BE" w:rsidP="000A34E3">
            <w:pPr>
              <w:jc w:val="right"/>
              <w:rPr>
                <w:rFonts w:ascii="Arial" w:hAnsi="Arial" w:cs="Arial"/>
                <w:lang w:val="en-GB"/>
              </w:rPr>
            </w:pPr>
          </w:p>
        </w:tc>
        <w:tc>
          <w:tcPr>
            <w:tcW w:w="1417" w:type="dxa"/>
          </w:tcPr>
          <w:p w14:paraId="41C7AE27" w14:textId="77777777" w:rsidR="007D48BE" w:rsidRPr="007D48BE" w:rsidRDefault="007D48BE" w:rsidP="000A34E3">
            <w:pPr>
              <w:jc w:val="right"/>
              <w:rPr>
                <w:rFonts w:ascii="Arial" w:hAnsi="Arial" w:cs="Arial"/>
                <w:lang w:val="en-GB"/>
              </w:rPr>
            </w:pPr>
          </w:p>
        </w:tc>
        <w:tc>
          <w:tcPr>
            <w:tcW w:w="1417" w:type="dxa"/>
          </w:tcPr>
          <w:p w14:paraId="2470E649" w14:textId="77777777" w:rsidR="007D48BE" w:rsidRPr="007D48BE" w:rsidRDefault="007D48BE" w:rsidP="000A34E3">
            <w:pPr>
              <w:jc w:val="right"/>
              <w:rPr>
                <w:rFonts w:ascii="Arial" w:hAnsi="Arial" w:cs="Arial"/>
                <w:lang w:val="en-GB"/>
              </w:rPr>
            </w:pPr>
          </w:p>
        </w:tc>
      </w:tr>
      <w:tr w:rsidR="007D48BE" w:rsidRPr="007D48BE" w14:paraId="43634A57" w14:textId="77777777" w:rsidTr="007D48BE">
        <w:tc>
          <w:tcPr>
            <w:tcW w:w="3681" w:type="dxa"/>
          </w:tcPr>
          <w:p w14:paraId="08EEACF6" w14:textId="77777777" w:rsidR="007D48BE" w:rsidRPr="007D48BE" w:rsidRDefault="007D48BE" w:rsidP="007D48BE">
            <w:pPr>
              <w:jc w:val="both"/>
              <w:rPr>
                <w:rFonts w:ascii="Arial" w:hAnsi="Arial" w:cs="Arial"/>
                <w:b/>
                <w:lang w:val="en-GB"/>
              </w:rPr>
            </w:pPr>
            <w:r w:rsidRPr="007D48BE">
              <w:rPr>
                <w:rFonts w:ascii="Arial" w:hAnsi="Arial" w:cs="Arial"/>
                <w:b/>
                <w:lang w:val="en-GB"/>
              </w:rPr>
              <w:t>Liquidity</w:t>
            </w:r>
          </w:p>
        </w:tc>
        <w:tc>
          <w:tcPr>
            <w:tcW w:w="1417" w:type="dxa"/>
          </w:tcPr>
          <w:p w14:paraId="476E1EFA" w14:textId="77777777" w:rsidR="007D48BE" w:rsidRPr="007D48BE" w:rsidRDefault="007D48BE" w:rsidP="000A34E3">
            <w:pPr>
              <w:jc w:val="right"/>
              <w:rPr>
                <w:rFonts w:ascii="Arial" w:hAnsi="Arial" w:cs="Arial"/>
                <w:lang w:val="en-GB"/>
              </w:rPr>
            </w:pPr>
          </w:p>
        </w:tc>
        <w:tc>
          <w:tcPr>
            <w:tcW w:w="1418" w:type="dxa"/>
          </w:tcPr>
          <w:p w14:paraId="66A72CD7" w14:textId="77777777" w:rsidR="007D48BE" w:rsidRPr="007D48BE" w:rsidRDefault="007D48BE" w:rsidP="000A34E3">
            <w:pPr>
              <w:jc w:val="right"/>
              <w:rPr>
                <w:rFonts w:ascii="Arial" w:hAnsi="Arial" w:cs="Arial"/>
                <w:lang w:val="en-GB"/>
              </w:rPr>
            </w:pPr>
          </w:p>
        </w:tc>
        <w:tc>
          <w:tcPr>
            <w:tcW w:w="1417" w:type="dxa"/>
          </w:tcPr>
          <w:p w14:paraId="36703402" w14:textId="77777777" w:rsidR="007D48BE" w:rsidRPr="007D48BE" w:rsidRDefault="007D48BE" w:rsidP="000A34E3">
            <w:pPr>
              <w:jc w:val="right"/>
              <w:rPr>
                <w:rFonts w:ascii="Arial" w:hAnsi="Arial" w:cs="Arial"/>
                <w:lang w:val="en-GB"/>
              </w:rPr>
            </w:pPr>
          </w:p>
        </w:tc>
        <w:tc>
          <w:tcPr>
            <w:tcW w:w="1417" w:type="dxa"/>
          </w:tcPr>
          <w:p w14:paraId="09880CE4" w14:textId="77777777" w:rsidR="007D48BE" w:rsidRPr="007D48BE" w:rsidRDefault="007D48BE" w:rsidP="000A34E3">
            <w:pPr>
              <w:jc w:val="right"/>
              <w:rPr>
                <w:rFonts w:ascii="Arial" w:hAnsi="Arial" w:cs="Arial"/>
                <w:lang w:val="en-GB"/>
              </w:rPr>
            </w:pPr>
          </w:p>
        </w:tc>
      </w:tr>
      <w:tr w:rsidR="007D48BE" w:rsidRPr="007D48BE" w14:paraId="35C1BAEB" w14:textId="77777777" w:rsidTr="007D48BE">
        <w:tc>
          <w:tcPr>
            <w:tcW w:w="3681" w:type="dxa"/>
          </w:tcPr>
          <w:p w14:paraId="5327B855" w14:textId="77777777" w:rsidR="007D48BE" w:rsidRPr="007D48BE" w:rsidRDefault="007D48BE" w:rsidP="007D48BE">
            <w:pPr>
              <w:jc w:val="both"/>
              <w:rPr>
                <w:rFonts w:ascii="Arial" w:hAnsi="Arial" w:cs="Arial"/>
                <w:lang w:val="en-GB"/>
              </w:rPr>
            </w:pPr>
            <w:r w:rsidRPr="007D48BE">
              <w:rPr>
                <w:rFonts w:ascii="Arial" w:hAnsi="Arial" w:cs="Arial"/>
                <w:lang w:val="en-GB"/>
              </w:rPr>
              <w:t>Current ratio</w:t>
            </w:r>
          </w:p>
        </w:tc>
        <w:tc>
          <w:tcPr>
            <w:tcW w:w="1417" w:type="dxa"/>
          </w:tcPr>
          <w:p w14:paraId="35D76EB8" w14:textId="77777777" w:rsidR="007D48BE" w:rsidRPr="007D48BE" w:rsidRDefault="007D48BE" w:rsidP="000A34E3">
            <w:pPr>
              <w:jc w:val="right"/>
              <w:rPr>
                <w:rFonts w:ascii="Arial" w:hAnsi="Arial" w:cs="Arial"/>
                <w:lang w:val="en-GB"/>
              </w:rPr>
            </w:pPr>
            <w:r w:rsidRPr="007D48BE">
              <w:rPr>
                <w:rFonts w:ascii="Arial" w:hAnsi="Arial" w:cs="Arial"/>
                <w:lang w:val="en-GB"/>
              </w:rPr>
              <w:t>1.58</w:t>
            </w:r>
          </w:p>
        </w:tc>
        <w:tc>
          <w:tcPr>
            <w:tcW w:w="1418" w:type="dxa"/>
          </w:tcPr>
          <w:p w14:paraId="24BF5A85" w14:textId="77777777" w:rsidR="007D48BE" w:rsidRPr="007D48BE" w:rsidRDefault="007D48BE" w:rsidP="000A34E3">
            <w:pPr>
              <w:jc w:val="right"/>
              <w:rPr>
                <w:rFonts w:ascii="Arial" w:hAnsi="Arial" w:cs="Arial"/>
                <w:lang w:val="en-GB"/>
              </w:rPr>
            </w:pPr>
            <w:r w:rsidRPr="007D48BE">
              <w:rPr>
                <w:rFonts w:ascii="Arial" w:hAnsi="Arial" w:cs="Arial"/>
                <w:lang w:val="en-GB"/>
              </w:rPr>
              <w:t>1.10</w:t>
            </w:r>
          </w:p>
        </w:tc>
        <w:tc>
          <w:tcPr>
            <w:tcW w:w="1417" w:type="dxa"/>
          </w:tcPr>
          <w:p w14:paraId="5C005357" w14:textId="77777777" w:rsidR="007D48BE" w:rsidRPr="007D48BE" w:rsidRDefault="007D48BE" w:rsidP="000A34E3">
            <w:pPr>
              <w:jc w:val="right"/>
              <w:rPr>
                <w:rFonts w:ascii="Arial" w:hAnsi="Arial" w:cs="Arial"/>
                <w:lang w:val="en-GB"/>
              </w:rPr>
            </w:pPr>
            <w:r w:rsidRPr="007D48BE">
              <w:rPr>
                <w:rFonts w:ascii="Arial" w:hAnsi="Arial" w:cs="Arial"/>
                <w:lang w:val="en-GB"/>
              </w:rPr>
              <w:t>1.00</w:t>
            </w:r>
          </w:p>
        </w:tc>
        <w:tc>
          <w:tcPr>
            <w:tcW w:w="1417" w:type="dxa"/>
          </w:tcPr>
          <w:p w14:paraId="138A2532" w14:textId="77777777" w:rsidR="007D48BE" w:rsidRPr="007D48BE" w:rsidRDefault="007D48BE" w:rsidP="000A34E3">
            <w:pPr>
              <w:jc w:val="right"/>
              <w:rPr>
                <w:rFonts w:ascii="Arial" w:hAnsi="Arial" w:cs="Arial"/>
                <w:lang w:val="en-GB"/>
              </w:rPr>
            </w:pPr>
            <w:r w:rsidRPr="007D48BE">
              <w:rPr>
                <w:rFonts w:ascii="Arial" w:hAnsi="Arial" w:cs="Arial"/>
                <w:lang w:val="en-GB"/>
              </w:rPr>
              <w:t>1.80</w:t>
            </w:r>
          </w:p>
        </w:tc>
      </w:tr>
      <w:tr w:rsidR="007D48BE" w:rsidRPr="007D48BE" w14:paraId="35585C4E" w14:textId="77777777" w:rsidTr="007D48BE">
        <w:tc>
          <w:tcPr>
            <w:tcW w:w="3681" w:type="dxa"/>
          </w:tcPr>
          <w:p w14:paraId="642C9559" w14:textId="77777777" w:rsidR="007D48BE" w:rsidRPr="007D48BE" w:rsidRDefault="007D48BE" w:rsidP="007D48BE">
            <w:pPr>
              <w:jc w:val="both"/>
              <w:rPr>
                <w:rFonts w:ascii="Arial" w:hAnsi="Arial" w:cs="Arial"/>
                <w:lang w:val="en-GB"/>
              </w:rPr>
            </w:pPr>
            <w:r w:rsidRPr="007D48BE">
              <w:rPr>
                <w:rFonts w:ascii="Arial" w:hAnsi="Arial" w:cs="Arial"/>
                <w:lang w:val="en-GB"/>
              </w:rPr>
              <w:t>Age of receivables</w:t>
            </w:r>
          </w:p>
        </w:tc>
        <w:tc>
          <w:tcPr>
            <w:tcW w:w="1417" w:type="dxa"/>
          </w:tcPr>
          <w:p w14:paraId="1D6A5837" w14:textId="77777777" w:rsidR="007D48BE" w:rsidRPr="007D48BE" w:rsidRDefault="007D48BE" w:rsidP="000A34E3">
            <w:pPr>
              <w:jc w:val="right"/>
              <w:rPr>
                <w:rFonts w:ascii="Arial" w:hAnsi="Arial" w:cs="Arial"/>
                <w:lang w:val="en-GB"/>
              </w:rPr>
            </w:pPr>
            <w:r w:rsidRPr="007D48BE">
              <w:rPr>
                <w:rFonts w:ascii="Arial" w:hAnsi="Arial" w:cs="Arial"/>
                <w:lang w:val="en-GB"/>
              </w:rPr>
              <w:t>47.6 days</w:t>
            </w:r>
          </w:p>
        </w:tc>
        <w:tc>
          <w:tcPr>
            <w:tcW w:w="1418" w:type="dxa"/>
          </w:tcPr>
          <w:p w14:paraId="13C70A81" w14:textId="77777777" w:rsidR="007D48BE" w:rsidRPr="007D48BE" w:rsidRDefault="007D48BE" w:rsidP="000A34E3">
            <w:pPr>
              <w:jc w:val="right"/>
              <w:rPr>
                <w:rFonts w:ascii="Arial" w:hAnsi="Arial" w:cs="Arial"/>
                <w:lang w:val="en-GB"/>
              </w:rPr>
            </w:pPr>
            <w:r w:rsidRPr="007D48BE">
              <w:rPr>
                <w:rFonts w:ascii="Arial" w:hAnsi="Arial" w:cs="Arial"/>
                <w:lang w:val="en-GB"/>
              </w:rPr>
              <w:t>40.3 days</w:t>
            </w:r>
          </w:p>
        </w:tc>
        <w:tc>
          <w:tcPr>
            <w:tcW w:w="1417" w:type="dxa"/>
          </w:tcPr>
          <w:p w14:paraId="55EAA624" w14:textId="77777777" w:rsidR="007D48BE" w:rsidRPr="007D48BE" w:rsidRDefault="007D48BE" w:rsidP="000A34E3">
            <w:pPr>
              <w:jc w:val="right"/>
              <w:rPr>
                <w:rFonts w:ascii="Arial" w:hAnsi="Arial" w:cs="Arial"/>
                <w:lang w:val="en-GB"/>
              </w:rPr>
            </w:pPr>
            <w:r w:rsidRPr="007D48BE">
              <w:rPr>
                <w:rFonts w:ascii="Arial" w:hAnsi="Arial" w:cs="Arial"/>
                <w:lang w:val="en-GB"/>
              </w:rPr>
              <w:t>21.9 days</w:t>
            </w:r>
          </w:p>
        </w:tc>
        <w:tc>
          <w:tcPr>
            <w:tcW w:w="1417" w:type="dxa"/>
          </w:tcPr>
          <w:p w14:paraId="25F4A485" w14:textId="77777777" w:rsidR="007D48BE" w:rsidRPr="007D48BE" w:rsidRDefault="007D48BE" w:rsidP="000A34E3">
            <w:pPr>
              <w:jc w:val="right"/>
              <w:rPr>
                <w:rFonts w:ascii="Arial" w:hAnsi="Arial" w:cs="Arial"/>
                <w:lang w:val="en-GB"/>
              </w:rPr>
            </w:pPr>
            <w:r w:rsidRPr="007D48BE">
              <w:rPr>
                <w:rFonts w:ascii="Arial" w:hAnsi="Arial" w:cs="Arial"/>
                <w:lang w:val="en-GB"/>
              </w:rPr>
              <w:t>19.0 days</w:t>
            </w:r>
          </w:p>
        </w:tc>
      </w:tr>
      <w:tr w:rsidR="007D48BE" w:rsidRPr="007D48BE" w14:paraId="63460875" w14:textId="77777777" w:rsidTr="007D48BE">
        <w:tc>
          <w:tcPr>
            <w:tcW w:w="3681" w:type="dxa"/>
          </w:tcPr>
          <w:p w14:paraId="19D9FBF2" w14:textId="77777777" w:rsidR="007D48BE" w:rsidRPr="007D48BE" w:rsidRDefault="007D48BE" w:rsidP="007D48BE">
            <w:pPr>
              <w:jc w:val="both"/>
              <w:rPr>
                <w:rFonts w:ascii="Arial" w:hAnsi="Arial" w:cs="Arial"/>
                <w:lang w:val="en-GB"/>
              </w:rPr>
            </w:pPr>
            <w:r w:rsidRPr="007D48BE">
              <w:rPr>
                <w:rFonts w:ascii="Arial" w:hAnsi="Arial" w:cs="Arial"/>
                <w:lang w:val="en-GB"/>
              </w:rPr>
              <w:t>Age of inventory</w:t>
            </w:r>
          </w:p>
        </w:tc>
        <w:tc>
          <w:tcPr>
            <w:tcW w:w="1417" w:type="dxa"/>
          </w:tcPr>
          <w:p w14:paraId="5AA3440F" w14:textId="77777777" w:rsidR="007D48BE" w:rsidRPr="007D48BE" w:rsidRDefault="007D48BE" w:rsidP="000A34E3">
            <w:pPr>
              <w:jc w:val="right"/>
              <w:rPr>
                <w:rFonts w:ascii="Arial" w:hAnsi="Arial" w:cs="Arial"/>
                <w:lang w:val="en-GB"/>
              </w:rPr>
            </w:pPr>
            <w:r w:rsidRPr="007D48BE">
              <w:rPr>
                <w:rFonts w:ascii="Arial" w:hAnsi="Arial" w:cs="Arial"/>
                <w:lang w:val="en-GB"/>
              </w:rPr>
              <w:t>7.5 days</w:t>
            </w:r>
          </w:p>
        </w:tc>
        <w:tc>
          <w:tcPr>
            <w:tcW w:w="1418" w:type="dxa"/>
          </w:tcPr>
          <w:p w14:paraId="4476E8C9" w14:textId="77777777" w:rsidR="007D48BE" w:rsidRPr="007D48BE" w:rsidRDefault="007D48BE" w:rsidP="000A34E3">
            <w:pPr>
              <w:jc w:val="right"/>
              <w:rPr>
                <w:rFonts w:ascii="Arial" w:hAnsi="Arial" w:cs="Arial"/>
                <w:lang w:val="en-GB"/>
              </w:rPr>
            </w:pPr>
            <w:r w:rsidRPr="007D48BE">
              <w:rPr>
                <w:rFonts w:ascii="Arial" w:hAnsi="Arial" w:cs="Arial"/>
                <w:lang w:val="en-GB"/>
              </w:rPr>
              <w:t>5.3 days</w:t>
            </w:r>
          </w:p>
        </w:tc>
        <w:tc>
          <w:tcPr>
            <w:tcW w:w="1417" w:type="dxa"/>
          </w:tcPr>
          <w:p w14:paraId="20CD5218" w14:textId="77777777" w:rsidR="007D48BE" w:rsidRPr="007D48BE" w:rsidRDefault="007D48BE" w:rsidP="000A34E3">
            <w:pPr>
              <w:jc w:val="right"/>
              <w:rPr>
                <w:rFonts w:ascii="Arial" w:hAnsi="Arial" w:cs="Arial"/>
                <w:lang w:val="en-GB"/>
              </w:rPr>
            </w:pPr>
            <w:r w:rsidRPr="007D48BE">
              <w:rPr>
                <w:rFonts w:ascii="Arial" w:hAnsi="Arial" w:cs="Arial"/>
                <w:lang w:val="en-GB"/>
              </w:rPr>
              <w:t>–</w:t>
            </w:r>
          </w:p>
        </w:tc>
        <w:tc>
          <w:tcPr>
            <w:tcW w:w="1417" w:type="dxa"/>
          </w:tcPr>
          <w:p w14:paraId="7FD32BD8" w14:textId="77777777" w:rsidR="007D48BE" w:rsidRPr="007D48BE" w:rsidRDefault="007D48BE" w:rsidP="000A34E3">
            <w:pPr>
              <w:jc w:val="right"/>
              <w:rPr>
                <w:rFonts w:ascii="Arial" w:hAnsi="Arial" w:cs="Arial"/>
                <w:lang w:val="en-GB"/>
              </w:rPr>
            </w:pPr>
            <w:r w:rsidRPr="007D48BE">
              <w:rPr>
                <w:rFonts w:ascii="Arial" w:hAnsi="Arial" w:cs="Arial"/>
                <w:lang w:val="en-GB"/>
              </w:rPr>
              <w:t>–</w:t>
            </w:r>
          </w:p>
        </w:tc>
      </w:tr>
      <w:tr w:rsidR="007D48BE" w:rsidRPr="007D48BE" w14:paraId="1A32E731" w14:textId="77777777" w:rsidTr="007D48BE">
        <w:tc>
          <w:tcPr>
            <w:tcW w:w="3681" w:type="dxa"/>
          </w:tcPr>
          <w:p w14:paraId="10BF6E9D" w14:textId="77777777" w:rsidR="007D48BE" w:rsidRPr="007D48BE" w:rsidRDefault="007D48BE" w:rsidP="007D48BE">
            <w:pPr>
              <w:jc w:val="both"/>
              <w:rPr>
                <w:rFonts w:ascii="Arial" w:hAnsi="Arial" w:cs="Arial"/>
                <w:lang w:val="en-GB"/>
              </w:rPr>
            </w:pPr>
            <w:r w:rsidRPr="007D48BE">
              <w:rPr>
                <w:rFonts w:ascii="Arial" w:hAnsi="Arial" w:cs="Arial"/>
                <w:lang w:val="en-GB"/>
              </w:rPr>
              <w:t>Age of payables</w:t>
            </w:r>
          </w:p>
        </w:tc>
        <w:tc>
          <w:tcPr>
            <w:tcW w:w="1417" w:type="dxa"/>
          </w:tcPr>
          <w:p w14:paraId="1B03250D" w14:textId="77777777" w:rsidR="007D48BE" w:rsidRPr="007D48BE" w:rsidRDefault="007D48BE" w:rsidP="000A34E3">
            <w:pPr>
              <w:jc w:val="right"/>
              <w:rPr>
                <w:rFonts w:ascii="Arial" w:hAnsi="Arial" w:cs="Arial"/>
                <w:lang w:val="en-GB"/>
              </w:rPr>
            </w:pPr>
            <w:r w:rsidRPr="007D48BE">
              <w:rPr>
                <w:rFonts w:ascii="Arial" w:hAnsi="Arial" w:cs="Arial"/>
                <w:lang w:val="en-GB"/>
              </w:rPr>
              <w:t>218.1 days</w:t>
            </w:r>
          </w:p>
        </w:tc>
        <w:tc>
          <w:tcPr>
            <w:tcW w:w="1418" w:type="dxa"/>
          </w:tcPr>
          <w:p w14:paraId="62B1170C" w14:textId="77777777" w:rsidR="007D48BE" w:rsidRPr="007D48BE" w:rsidRDefault="007D48BE" w:rsidP="000A34E3">
            <w:pPr>
              <w:jc w:val="right"/>
              <w:rPr>
                <w:rFonts w:ascii="Arial" w:hAnsi="Arial" w:cs="Arial"/>
                <w:lang w:val="en-GB"/>
              </w:rPr>
            </w:pPr>
            <w:r w:rsidRPr="007D48BE">
              <w:rPr>
                <w:rFonts w:ascii="Arial" w:hAnsi="Arial" w:cs="Arial"/>
                <w:lang w:val="en-GB"/>
              </w:rPr>
              <w:t>164.1 days</w:t>
            </w:r>
          </w:p>
        </w:tc>
        <w:tc>
          <w:tcPr>
            <w:tcW w:w="1417" w:type="dxa"/>
          </w:tcPr>
          <w:p w14:paraId="3ECE1175" w14:textId="77777777" w:rsidR="007D48BE" w:rsidRPr="007D48BE" w:rsidRDefault="007D48BE" w:rsidP="000A34E3">
            <w:pPr>
              <w:jc w:val="right"/>
              <w:rPr>
                <w:rFonts w:ascii="Arial" w:hAnsi="Arial" w:cs="Arial"/>
                <w:lang w:val="en-GB"/>
              </w:rPr>
            </w:pPr>
            <w:r w:rsidRPr="007D48BE">
              <w:rPr>
                <w:rFonts w:ascii="Arial" w:hAnsi="Arial" w:cs="Arial"/>
                <w:lang w:val="en-GB"/>
              </w:rPr>
              <w:t>88.9 days</w:t>
            </w:r>
          </w:p>
        </w:tc>
        <w:tc>
          <w:tcPr>
            <w:tcW w:w="1417" w:type="dxa"/>
          </w:tcPr>
          <w:p w14:paraId="02809724" w14:textId="77777777" w:rsidR="007D48BE" w:rsidRPr="007D48BE" w:rsidRDefault="007D48BE" w:rsidP="000A34E3">
            <w:pPr>
              <w:jc w:val="right"/>
              <w:rPr>
                <w:rFonts w:ascii="Arial" w:hAnsi="Arial" w:cs="Arial"/>
                <w:lang w:val="en-GB"/>
              </w:rPr>
            </w:pPr>
            <w:r w:rsidRPr="007D48BE">
              <w:rPr>
                <w:rFonts w:ascii="Arial" w:hAnsi="Arial" w:cs="Arial"/>
                <w:lang w:val="en-GB"/>
              </w:rPr>
              <w:t>28.4 days</w:t>
            </w:r>
          </w:p>
        </w:tc>
      </w:tr>
      <w:tr w:rsidR="007D48BE" w:rsidRPr="007D48BE" w14:paraId="4C885190" w14:textId="77777777" w:rsidTr="007D48BE">
        <w:tc>
          <w:tcPr>
            <w:tcW w:w="3681" w:type="dxa"/>
          </w:tcPr>
          <w:p w14:paraId="2DDC159A" w14:textId="77777777" w:rsidR="007D48BE" w:rsidRPr="007D48BE" w:rsidRDefault="007D48BE" w:rsidP="007D48BE">
            <w:pPr>
              <w:jc w:val="both"/>
              <w:rPr>
                <w:rFonts w:ascii="Arial" w:hAnsi="Arial" w:cs="Arial"/>
                <w:lang w:val="en-GB"/>
              </w:rPr>
            </w:pPr>
          </w:p>
        </w:tc>
        <w:tc>
          <w:tcPr>
            <w:tcW w:w="1417" w:type="dxa"/>
          </w:tcPr>
          <w:p w14:paraId="6F357468" w14:textId="77777777" w:rsidR="007D48BE" w:rsidRPr="007D48BE" w:rsidRDefault="007D48BE" w:rsidP="000A34E3">
            <w:pPr>
              <w:jc w:val="right"/>
              <w:rPr>
                <w:rFonts w:ascii="Arial" w:hAnsi="Arial" w:cs="Arial"/>
                <w:lang w:val="en-GB"/>
              </w:rPr>
            </w:pPr>
          </w:p>
        </w:tc>
        <w:tc>
          <w:tcPr>
            <w:tcW w:w="1418" w:type="dxa"/>
          </w:tcPr>
          <w:p w14:paraId="70BFB436" w14:textId="77777777" w:rsidR="007D48BE" w:rsidRPr="007D48BE" w:rsidRDefault="007D48BE" w:rsidP="000A34E3">
            <w:pPr>
              <w:jc w:val="right"/>
              <w:rPr>
                <w:rFonts w:ascii="Arial" w:hAnsi="Arial" w:cs="Arial"/>
                <w:lang w:val="en-GB"/>
              </w:rPr>
            </w:pPr>
          </w:p>
        </w:tc>
        <w:tc>
          <w:tcPr>
            <w:tcW w:w="1417" w:type="dxa"/>
          </w:tcPr>
          <w:p w14:paraId="05717455" w14:textId="77777777" w:rsidR="007D48BE" w:rsidRPr="007D48BE" w:rsidRDefault="007D48BE" w:rsidP="000A34E3">
            <w:pPr>
              <w:jc w:val="right"/>
              <w:rPr>
                <w:rFonts w:ascii="Arial" w:hAnsi="Arial" w:cs="Arial"/>
                <w:lang w:val="en-GB"/>
              </w:rPr>
            </w:pPr>
          </w:p>
        </w:tc>
        <w:tc>
          <w:tcPr>
            <w:tcW w:w="1417" w:type="dxa"/>
          </w:tcPr>
          <w:p w14:paraId="6C8885F7" w14:textId="77777777" w:rsidR="007D48BE" w:rsidRPr="007D48BE" w:rsidRDefault="007D48BE" w:rsidP="000A34E3">
            <w:pPr>
              <w:jc w:val="right"/>
              <w:rPr>
                <w:rFonts w:ascii="Arial" w:hAnsi="Arial" w:cs="Arial"/>
                <w:lang w:val="en-GB"/>
              </w:rPr>
            </w:pPr>
          </w:p>
        </w:tc>
      </w:tr>
      <w:tr w:rsidR="007D48BE" w:rsidRPr="007D48BE" w14:paraId="6C774272" w14:textId="77777777" w:rsidTr="007D48BE">
        <w:tc>
          <w:tcPr>
            <w:tcW w:w="3681" w:type="dxa"/>
          </w:tcPr>
          <w:p w14:paraId="24ADCC78" w14:textId="77777777" w:rsidR="007D48BE" w:rsidRPr="007D48BE" w:rsidRDefault="007D48BE" w:rsidP="007D48BE">
            <w:pPr>
              <w:jc w:val="both"/>
              <w:rPr>
                <w:rFonts w:ascii="Arial" w:hAnsi="Arial" w:cs="Arial"/>
                <w:b/>
                <w:lang w:val="en-GB"/>
              </w:rPr>
            </w:pPr>
            <w:r w:rsidRPr="007D48BE">
              <w:rPr>
                <w:rFonts w:ascii="Arial" w:hAnsi="Arial" w:cs="Arial"/>
                <w:b/>
                <w:lang w:val="en-GB"/>
              </w:rPr>
              <w:t>Growth</w:t>
            </w:r>
          </w:p>
        </w:tc>
        <w:tc>
          <w:tcPr>
            <w:tcW w:w="1417" w:type="dxa"/>
          </w:tcPr>
          <w:p w14:paraId="3A89D230" w14:textId="77777777" w:rsidR="007D48BE" w:rsidRPr="007D48BE" w:rsidRDefault="007D48BE" w:rsidP="000A34E3">
            <w:pPr>
              <w:jc w:val="right"/>
              <w:rPr>
                <w:rFonts w:ascii="Arial" w:hAnsi="Arial" w:cs="Arial"/>
                <w:lang w:val="en-GB"/>
              </w:rPr>
            </w:pPr>
          </w:p>
        </w:tc>
        <w:tc>
          <w:tcPr>
            <w:tcW w:w="1418" w:type="dxa"/>
          </w:tcPr>
          <w:p w14:paraId="545156ED" w14:textId="77777777" w:rsidR="007D48BE" w:rsidRPr="007D48BE" w:rsidRDefault="007D48BE" w:rsidP="000A34E3">
            <w:pPr>
              <w:jc w:val="right"/>
              <w:rPr>
                <w:rFonts w:ascii="Arial" w:hAnsi="Arial" w:cs="Arial"/>
                <w:lang w:val="en-GB"/>
              </w:rPr>
            </w:pPr>
          </w:p>
        </w:tc>
        <w:tc>
          <w:tcPr>
            <w:tcW w:w="1417" w:type="dxa"/>
          </w:tcPr>
          <w:p w14:paraId="4F80939E" w14:textId="77777777" w:rsidR="007D48BE" w:rsidRPr="007D48BE" w:rsidRDefault="007D48BE" w:rsidP="000A34E3">
            <w:pPr>
              <w:jc w:val="right"/>
              <w:rPr>
                <w:rFonts w:ascii="Arial" w:hAnsi="Arial" w:cs="Arial"/>
                <w:lang w:val="en-GB"/>
              </w:rPr>
            </w:pPr>
          </w:p>
        </w:tc>
        <w:tc>
          <w:tcPr>
            <w:tcW w:w="1417" w:type="dxa"/>
          </w:tcPr>
          <w:p w14:paraId="12AC0638" w14:textId="77777777" w:rsidR="007D48BE" w:rsidRPr="007D48BE" w:rsidRDefault="007D48BE" w:rsidP="000A34E3">
            <w:pPr>
              <w:jc w:val="right"/>
              <w:rPr>
                <w:rFonts w:ascii="Arial" w:hAnsi="Arial" w:cs="Arial"/>
                <w:lang w:val="en-GB"/>
              </w:rPr>
            </w:pPr>
          </w:p>
        </w:tc>
      </w:tr>
      <w:tr w:rsidR="007D48BE" w:rsidRPr="007D48BE" w14:paraId="2E4B6A0B" w14:textId="77777777" w:rsidTr="007D48BE">
        <w:tc>
          <w:tcPr>
            <w:tcW w:w="3681" w:type="dxa"/>
          </w:tcPr>
          <w:p w14:paraId="363D00C8" w14:textId="77777777" w:rsidR="007D48BE" w:rsidRPr="007D48BE" w:rsidRDefault="007D48BE" w:rsidP="007D48BE">
            <w:pPr>
              <w:jc w:val="both"/>
              <w:rPr>
                <w:rFonts w:ascii="Arial" w:hAnsi="Arial" w:cs="Arial"/>
                <w:lang w:val="en-GB"/>
              </w:rPr>
            </w:pPr>
            <w:r w:rsidRPr="007D48BE">
              <w:rPr>
                <w:rFonts w:ascii="Arial" w:hAnsi="Arial" w:cs="Arial"/>
                <w:lang w:val="en-GB"/>
              </w:rPr>
              <w:t>Sales growth</w:t>
            </w:r>
          </w:p>
        </w:tc>
        <w:tc>
          <w:tcPr>
            <w:tcW w:w="1417" w:type="dxa"/>
          </w:tcPr>
          <w:p w14:paraId="5D53CBC0" w14:textId="77777777" w:rsidR="007D48BE" w:rsidRPr="007D48BE" w:rsidRDefault="007D48BE" w:rsidP="000A34E3">
            <w:pPr>
              <w:jc w:val="right"/>
              <w:rPr>
                <w:rFonts w:ascii="Arial" w:hAnsi="Arial" w:cs="Arial"/>
                <w:lang w:val="en-GB"/>
              </w:rPr>
            </w:pPr>
            <w:r w:rsidRPr="007D48BE">
              <w:rPr>
                <w:rFonts w:ascii="Arial" w:hAnsi="Arial" w:cs="Arial"/>
                <w:lang w:val="en-GB"/>
              </w:rPr>
              <w:t>13.7%</w:t>
            </w:r>
          </w:p>
        </w:tc>
        <w:tc>
          <w:tcPr>
            <w:tcW w:w="1418" w:type="dxa"/>
          </w:tcPr>
          <w:p w14:paraId="72BC6F72" w14:textId="77777777" w:rsidR="007D48BE" w:rsidRPr="007D48BE" w:rsidRDefault="007D48BE" w:rsidP="000A34E3">
            <w:pPr>
              <w:jc w:val="right"/>
              <w:rPr>
                <w:rFonts w:ascii="Arial" w:hAnsi="Arial" w:cs="Arial"/>
                <w:lang w:val="en-GB"/>
              </w:rPr>
            </w:pPr>
            <w:r w:rsidRPr="007D48BE">
              <w:rPr>
                <w:rFonts w:ascii="Arial" w:hAnsi="Arial" w:cs="Arial"/>
                <w:lang w:val="en-GB"/>
              </w:rPr>
              <w:t>14.4%</w:t>
            </w:r>
          </w:p>
        </w:tc>
        <w:tc>
          <w:tcPr>
            <w:tcW w:w="1417" w:type="dxa"/>
          </w:tcPr>
          <w:p w14:paraId="420C5B6E" w14:textId="77777777" w:rsidR="007D48BE" w:rsidRPr="007D48BE" w:rsidRDefault="007D48BE" w:rsidP="000A34E3">
            <w:pPr>
              <w:jc w:val="right"/>
              <w:rPr>
                <w:rFonts w:ascii="Arial" w:hAnsi="Arial" w:cs="Arial"/>
                <w:lang w:val="en-GB"/>
              </w:rPr>
            </w:pPr>
            <w:r w:rsidRPr="007D48BE">
              <w:rPr>
                <w:rFonts w:ascii="Arial" w:hAnsi="Arial" w:cs="Arial"/>
                <w:lang w:val="en-GB"/>
              </w:rPr>
              <w:t>–23.5%</w:t>
            </w:r>
          </w:p>
        </w:tc>
        <w:tc>
          <w:tcPr>
            <w:tcW w:w="1417" w:type="dxa"/>
          </w:tcPr>
          <w:p w14:paraId="6F1C5DE7" w14:textId="77777777" w:rsidR="007D48BE" w:rsidRPr="007D48BE" w:rsidRDefault="007D48BE" w:rsidP="000A34E3">
            <w:pPr>
              <w:jc w:val="right"/>
              <w:rPr>
                <w:rFonts w:ascii="Arial" w:hAnsi="Arial" w:cs="Arial"/>
                <w:lang w:val="en-GB"/>
              </w:rPr>
            </w:pPr>
            <w:r w:rsidRPr="007D48BE">
              <w:rPr>
                <w:rFonts w:ascii="Arial" w:hAnsi="Arial" w:cs="Arial"/>
                <w:lang w:val="en-GB"/>
              </w:rPr>
              <w:t>–2.2%</w:t>
            </w:r>
          </w:p>
        </w:tc>
      </w:tr>
      <w:tr w:rsidR="007D48BE" w:rsidRPr="007D48BE" w14:paraId="0D0A161D" w14:textId="77777777" w:rsidTr="007D48BE">
        <w:tc>
          <w:tcPr>
            <w:tcW w:w="3681" w:type="dxa"/>
          </w:tcPr>
          <w:p w14:paraId="1E2FFD0B" w14:textId="77777777" w:rsidR="007D48BE" w:rsidRPr="007D48BE" w:rsidRDefault="007D48BE" w:rsidP="007D48BE">
            <w:pPr>
              <w:jc w:val="both"/>
              <w:rPr>
                <w:rFonts w:ascii="Arial" w:hAnsi="Arial" w:cs="Arial"/>
                <w:lang w:val="en-GB"/>
              </w:rPr>
            </w:pPr>
            <w:r w:rsidRPr="007D48BE">
              <w:rPr>
                <w:rFonts w:ascii="Arial" w:hAnsi="Arial" w:cs="Arial"/>
                <w:lang w:val="en-GB"/>
              </w:rPr>
              <w:t>Profit growth</w:t>
            </w:r>
          </w:p>
        </w:tc>
        <w:tc>
          <w:tcPr>
            <w:tcW w:w="1417" w:type="dxa"/>
          </w:tcPr>
          <w:p w14:paraId="320B48B1" w14:textId="77777777" w:rsidR="007D48BE" w:rsidRPr="007D48BE" w:rsidRDefault="007D48BE" w:rsidP="000A34E3">
            <w:pPr>
              <w:jc w:val="right"/>
              <w:rPr>
                <w:rFonts w:ascii="Arial" w:hAnsi="Arial" w:cs="Arial"/>
                <w:lang w:val="en-GB"/>
              </w:rPr>
            </w:pPr>
            <w:r w:rsidRPr="007D48BE">
              <w:rPr>
                <w:rFonts w:ascii="Arial" w:hAnsi="Arial" w:cs="Arial"/>
                <w:lang w:val="en-GB"/>
              </w:rPr>
              <w:t>54.2%</w:t>
            </w:r>
          </w:p>
        </w:tc>
        <w:tc>
          <w:tcPr>
            <w:tcW w:w="1418" w:type="dxa"/>
          </w:tcPr>
          <w:p w14:paraId="75F082E4" w14:textId="77777777" w:rsidR="007D48BE" w:rsidRPr="007D48BE" w:rsidRDefault="007D48BE" w:rsidP="000A34E3">
            <w:pPr>
              <w:jc w:val="right"/>
              <w:rPr>
                <w:rFonts w:ascii="Arial" w:hAnsi="Arial" w:cs="Arial"/>
                <w:lang w:val="en-GB"/>
              </w:rPr>
            </w:pPr>
            <w:r w:rsidRPr="007D48BE">
              <w:rPr>
                <w:rFonts w:ascii="Arial" w:hAnsi="Arial" w:cs="Arial"/>
                <w:lang w:val="en-GB"/>
              </w:rPr>
              <w:t>16.1%</w:t>
            </w:r>
          </w:p>
        </w:tc>
        <w:tc>
          <w:tcPr>
            <w:tcW w:w="1417" w:type="dxa"/>
          </w:tcPr>
          <w:p w14:paraId="26DA67CE" w14:textId="77777777" w:rsidR="007D48BE" w:rsidRPr="007D48BE" w:rsidRDefault="007D48BE" w:rsidP="000A34E3">
            <w:pPr>
              <w:jc w:val="right"/>
              <w:rPr>
                <w:rFonts w:ascii="Arial" w:hAnsi="Arial" w:cs="Arial"/>
                <w:lang w:val="en-GB"/>
              </w:rPr>
            </w:pPr>
            <w:r w:rsidRPr="007D48BE">
              <w:rPr>
                <w:rFonts w:ascii="Arial" w:hAnsi="Arial" w:cs="Arial"/>
                <w:lang w:val="en-GB"/>
              </w:rPr>
              <w:t>381.1%</w:t>
            </w:r>
          </w:p>
        </w:tc>
        <w:tc>
          <w:tcPr>
            <w:tcW w:w="1417" w:type="dxa"/>
          </w:tcPr>
          <w:p w14:paraId="23CD10CC" w14:textId="77777777" w:rsidR="007D48BE" w:rsidRPr="007D48BE" w:rsidRDefault="007D48BE" w:rsidP="000A34E3">
            <w:pPr>
              <w:jc w:val="right"/>
              <w:rPr>
                <w:rFonts w:ascii="Arial" w:hAnsi="Arial" w:cs="Arial"/>
                <w:lang w:val="en-GB"/>
              </w:rPr>
            </w:pPr>
            <w:r w:rsidRPr="007D48BE">
              <w:rPr>
                <w:rFonts w:ascii="Arial" w:hAnsi="Arial" w:cs="Arial"/>
                <w:lang w:val="en-GB"/>
              </w:rPr>
              <w:t>155.2%</w:t>
            </w:r>
          </w:p>
        </w:tc>
      </w:tr>
      <w:tr w:rsidR="007D48BE" w:rsidRPr="007D48BE" w14:paraId="3FD844FA" w14:textId="77777777" w:rsidTr="007D48BE">
        <w:tc>
          <w:tcPr>
            <w:tcW w:w="3681" w:type="dxa"/>
          </w:tcPr>
          <w:p w14:paraId="56FF0C42" w14:textId="77777777" w:rsidR="007D48BE" w:rsidRPr="007D48BE" w:rsidRDefault="007D48BE" w:rsidP="007D48BE">
            <w:pPr>
              <w:jc w:val="both"/>
              <w:rPr>
                <w:rFonts w:ascii="Arial" w:hAnsi="Arial" w:cs="Arial"/>
                <w:lang w:val="en-GB"/>
              </w:rPr>
            </w:pPr>
            <w:r w:rsidRPr="007D48BE">
              <w:rPr>
                <w:rFonts w:ascii="Arial" w:hAnsi="Arial" w:cs="Arial"/>
                <w:lang w:val="en-GB"/>
              </w:rPr>
              <w:t>Asset growth</w:t>
            </w:r>
          </w:p>
        </w:tc>
        <w:tc>
          <w:tcPr>
            <w:tcW w:w="1417" w:type="dxa"/>
          </w:tcPr>
          <w:p w14:paraId="118622E3" w14:textId="77777777" w:rsidR="007D48BE" w:rsidRPr="007D48BE" w:rsidRDefault="007D48BE" w:rsidP="000A34E3">
            <w:pPr>
              <w:jc w:val="right"/>
              <w:rPr>
                <w:rFonts w:ascii="Arial" w:hAnsi="Arial" w:cs="Arial"/>
                <w:lang w:val="en-GB"/>
              </w:rPr>
            </w:pPr>
            <w:r w:rsidRPr="007D48BE">
              <w:rPr>
                <w:rFonts w:ascii="Arial" w:hAnsi="Arial" w:cs="Arial"/>
                <w:lang w:val="en-GB"/>
              </w:rPr>
              <w:t>9.1%</w:t>
            </w:r>
          </w:p>
        </w:tc>
        <w:tc>
          <w:tcPr>
            <w:tcW w:w="1418" w:type="dxa"/>
          </w:tcPr>
          <w:p w14:paraId="61F508F3" w14:textId="77777777" w:rsidR="007D48BE" w:rsidRPr="007D48BE" w:rsidRDefault="007D48BE" w:rsidP="000A34E3">
            <w:pPr>
              <w:jc w:val="right"/>
              <w:rPr>
                <w:rFonts w:ascii="Arial" w:hAnsi="Arial" w:cs="Arial"/>
                <w:lang w:val="en-GB"/>
              </w:rPr>
            </w:pPr>
            <w:r w:rsidRPr="007D48BE">
              <w:rPr>
                <w:rFonts w:ascii="Arial" w:hAnsi="Arial" w:cs="Arial"/>
                <w:lang w:val="en-GB"/>
              </w:rPr>
              <w:t>43.2%</w:t>
            </w:r>
          </w:p>
        </w:tc>
        <w:tc>
          <w:tcPr>
            <w:tcW w:w="1417" w:type="dxa"/>
          </w:tcPr>
          <w:p w14:paraId="10652BBF" w14:textId="77777777" w:rsidR="007D48BE" w:rsidRPr="007D48BE" w:rsidRDefault="007D48BE" w:rsidP="000A34E3">
            <w:pPr>
              <w:jc w:val="right"/>
              <w:rPr>
                <w:rFonts w:ascii="Arial" w:hAnsi="Arial" w:cs="Arial"/>
                <w:lang w:val="en-GB"/>
              </w:rPr>
            </w:pPr>
            <w:r w:rsidRPr="007D48BE">
              <w:rPr>
                <w:rFonts w:ascii="Arial" w:hAnsi="Arial" w:cs="Arial"/>
                <w:lang w:val="en-GB"/>
              </w:rPr>
              <w:t>–19.0%</w:t>
            </w:r>
          </w:p>
        </w:tc>
        <w:tc>
          <w:tcPr>
            <w:tcW w:w="1417" w:type="dxa"/>
          </w:tcPr>
          <w:p w14:paraId="144BED38" w14:textId="77777777" w:rsidR="007D48BE" w:rsidRPr="007D48BE" w:rsidRDefault="007D48BE" w:rsidP="000A34E3">
            <w:pPr>
              <w:jc w:val="right"/>
              <w:rPr>
                <w:rFonts w:ascii="Arial" w:hAnsi="Arial" w:cs="Arial"/>
                <w:lang w:val="en-GB"/>
              </w:rPr>
            </w:pPr>
            <w:r w:rsidRPr="007D48BE">
              <w:rPr>
                <w:rFonts w:ascii="Arial" w:hAnsi="Arial" w:cs="Arial"/>
                <w:lang w:val="en-GB"/>
              </w:rPr>
              <w:t>–2.2%</w:t>
            </w:r>
          </w:p>
        </w:tc>
      </w:tr>
    </w:tbl>
    <w:p w14:paraId="66DAF72C" w14:textId="77777777" w:rsidR="007D48BE" w:rsidRPr="007D48BE" w:rsidRDefault="007D48BE" w:rsidP="007D48BE">
      <w:pPr>
        <w:jc w:val="both"/>
        <w:rPr>
          <w:rFonts w:ascii="Arial" w:hAnsi="Arial" w:cs="Arial"/>
          <w:sz w:val="17"/>
          <w:szCs w:val="17"/>
          <w:lang w:val="en-GB"/>
        </w:rPr>
      </w:pPr>
    </w:p>
    <w:p w14:paraId="79493058" w14:textId="77777777" w:rsidR="007D48BE" w:rsidRPr="007D48BE" w:rsidRDefault="007D48BE" w:rsidP="007D48BE">
      <w:pPr>
        <w:tabs>
          <w:tab w:val="left" w:pos="-1440"/>
          <w:tab w:val="left" w:pos="-720"/>
          <w:tab w:val="left" w:pos="1"/>
          <w:tab w:val="right" w:pos="9000"/>
        </w:tabs>
        <w:jc w:val="both"/>
        <w:rPr>
          <w:rFonts w:ascii="Arial" w:hAnsi="Arial" w:cs="Arial"/>
          <w:iCs/>
          <w:sz w:val="17"/>
          <w:szCs w:val="17"/>
          <w:lang w:val="en-GB"/>
        </w:rPr>
      </w:pPr>
      <w:r w:rsidRPr="007D48BE">
        <w:rPr>
          <w:rFonts w:ascii="Arial" w:hAnsi="Arial" w:cs="Arial"/>
          <w:iCs/>
          <w:sz w:val="17"/>
          <w:szCs w:val="17"/>
          <w:lang w:val="en-GB"/>
        </w:rPr>
        <w:t xml:space="preserve">Sources: “Plant Fitness, Inc. Common Stock (PLNT) Financials,” Nasdaq, August 2018, accessed September 1, 2018, </w:t>
      </w:r>
      <w:hyperlink r:id="rId9" w:history="1">
        <w:r w:rsidRPr="007D48BE">
          <w:rPr>
            <w:rFonts w:ascii="Arial" w:hAnsi="Arial" w:cs="Arial"/>
            <w:iCs/>
            <w:sz w:val="17"/>
            <w:szCs w:val="17"/>
            <w:lang w:val="en-GB"/>
          </w:rPr>
          <w:t>www.nasdaq.com/symbol/plnt/financials?query=ratios</w:t>
        </w:r>
      </w:hyperlink>
      <w:r w:rsidRPr="007D48BE">
        <w:rPr>
          <w:rFonts w:ascii="Arial" w:hAnsi="Arial" w:cs="Arial"/>
          <w:iCs/>
          <w:sz w:val="17"/>
          <w:szCs w:val="17"/>
          <w:lang w:val="en-GB"/>
        </w:rPr>
        <w:t xml:space="preserve">; “Industry Norms and Key Business Ratios: Ratios for SIC 4187,” Dun and Bradstreet, accessed September 1, 2018, </w:t>
      </w:r>
      <w:hyperlink r:id="rId10" w:history="1">
        <w:r w:rsidRPr="007D48BE">
          <w:rPr>
            <w:rFonts w:ascii="Arial" w:hAnsi="Arial" w:cs="Arial"/>
            <w:iCs/>
            <w:sz w:val="17"/>
            <w:szCs w:val="17"/>
            <w:lang w:val="en-GB"/>
          </w:rPr>
          <w:t>www.mergentkbr.com/index.php/reports/industry</w:t>
        </w:r>
      </w:hyperlink>
      <w:r w:rsidRPr="007D48BE">
        <w:rPr>
          <w:rFonts w:ascii="Arial" w:hAnsi="Arial" w:cs="Arial"/>
          <w:iCs/>
          <w:sz w:val="17"/>
          <w:szCs w:val="17"/>
          <w:lang w:val="en-GB"/>
        </w:rPr>
        <w:t>.</w:t>
      </w:r>
    </w:p>
    <w:p w14:paraId="65BAF67A" w14:textId="77777777" w:rsidR="007D48BE" w:rsidRPr="007D48BE" w:rsidRDefault="007D48BE" w:rsidP="007D48BE">
      <w:pPr>
        <w:jc w:val="both"/>
        <w:rPr>
          <w:sz w:val="22"/>
          <w:szCs w:val="22"/>
          <w:lang w:val="en-GB"/>
        </w:rPr>
      </w:pPr>
      <w:bookmarkStart w:id="1" w:name="_GoBack"/>
      <w:bookmarkEnd w:id="1"/>
    </w:p>
    <w:p w14:paraId="508E8D1F" w14:textId="77777777" w:rsidR="007D48BE" w:rsidRPr="007D48BE" w:rsidRDefault="007D48BE" w:rsidP="007D48BE">
      <w:pPr>
        <w:jc w:val="both"/>
        <w:rPr>
          <w:sz w:val="22"/>
          <w:szCs w:val="22"/>
          <w:lang w:val="en-GB"/>
        </w:rPr>
      </w:pPr>
    </w:p>
    <w:p w14:paraId="07C8C032" w14:textId="77777777" w:rsidR="007D48BE" w:rsidRPr="007D48BE" w:rsidRDefault="007D48BE" w:rsidP="004B083D">
      <w:pPr>
        <w:pStyle w:val="BodyTextMain"/>
        <w:rPr>
          <w:lang w:val="en-GB"/>
        </w:rPr>
      </w:pPr>
      <w:r w:rsidRPr="007D48BE">
        <w:rPr>
          <w:lang w:val="en-GB"/>
        </w:rPr>
        <w:br w:type="page"/>
      </w:r>
    </w:p>
    <w:p w14:paraId="3B820127" w14:textId="77777777" w:rsidR="007D48BE" w:rsidRPr="007D48BE" w:rsidRDefault="007D48BE" w:rsidP="007D48BE">
      <w:pPr>
        <w:jc w:val="center"/>
        <w:rPr>
          <w:rFonts w:ascii="Arial" w:hAnsi="Arial" w:cs="Arial"/>
          <w:b/>
          <w:caps/>
          <w:lang w:val="en-GB"/>
        </w:rPr>
      </w:pPr>
      <w:r w:rsidRPr="007D48BE">
        <w:rPr>
          <w:rFonts w:ascii="Arial" w:hAnsi="Arial" w:cs="Arial"/>
          <w:b/>
          <w:caps/>
          <w:lang w:val="en-GB"/>
        </w:rPr>
        <w:lastRenderedPageBreak/>
        <w:t>Exhibit 4: EQUIPMENT PACKAGE ALTERNATIVES</w:t>
      </w:r>
    </w:p>
    <w:p w14:paraId="0572F77C" w14:textId="77777777" w:rsidR="007D48BE" w:rsidRPr="007D48BE" w:rsidRDefault="007D48BE" w:rsidP="004B083D">
      <w:pPr>
        <w:pStyle w:val="BodyTextMain"/>
        <w:rPr>
          <w:lang w:val="en-GB"/>
        </w:rPr>
      </w:pPr>
    </w:p>
    <w:tbl>
      <w:tblPr>
        <w:tblStyle w:val="TableGridLight1"/>
        <w:tblW w:w="9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1028"/>
        <w:gridCol w:w="1108"/>
        <w:gridCol w:w="2992"/>
        <w:gridCol w:w="1028"/>
      </w:tblGrid>
      <w:tr w:rsidR="007D48BE" w:rsidRPr="007D48BE" w14:paraId="1CD76EF2" w14:textId="77777777" w:rsidTr="007D48BE">
        <w:trPr>
          <w:trHeight w:val="282"/>
        </w:trPr>
        <w:tc>
          <w:tcPr>
            <w:tcW w:w="4142" w:type="dxa"/>
            <w:gridSpan w:val="2"/>
            <w:noWrap/>
          </w:tcPr>
          <w:p w14:paraId="268CFA02" w14:textId="77777777" w:rsidR="007D48BE" w:rsidRPr="007D48BE" w:rsidRDefault="007D48BE" w:rsidP="007D48BE">
            <w:pPr>
              <w:jc w:val="center"/>
              <w:rPr>
                <w:rFonts w:ascii="Arial" w:hAnsi="Arial" w:cs="Arial"/>
                <w:b/>
                <w:lang w:val="en-CA" w:eastAsia="en-CA"/>
              </w:rPr>
            </w:pPr>
            <w:r w:rsidRPr="007D48BE">
              <w:rPr>
                <w:rFonts w:ascii="Arial" w:hAnsi="Arial" w:cs="Arial"/>
                <w:b/>
                <w:lang w:val="en-CA" w:eastAsia="en-CA"/>
              </w:rPr>
              <w:t>10-Person Affiliate Package</w:t>
            </w:r>
          </w:p>
          <w:p w14:paraId="095FEDC8" w14:textId="77777777" w:rsidR="007D48BE" w:rsidRPr="007D48BE" w:rsidRDefault="007D48BE" w:rsidP="007D48BE">
            <w:pPr>
              <w:jc w:val="center"/>
              <w:rPr>
                <w:rFonts w:ascii="Arial" w:hAnsi="Arial" w:cs="Arial"/>
                <w:b/>
                <w:lang w:val="en-CA" w:eastAsia="en-CA"/>
              </w:rPr>
            </w:pPr>
          </w:p>
        </w:tc>
        <w:tc>
          <w:tcPr>
            <w:tcW w:w="1154" w:type="dxa"/>
          </w:tcPr>
          <w:p w14:paraId="4031B6F9" w14:textId="77777777" w:rsidR="007D48BE" w:rsidRPr="007D48BE" w:rsidRDefault="007D48BE" w:rsidP="007D48BE">
            <w:pPr>
              <w:rPr>
                <w:rFonts w:ascii="Arial" w:hAnsi="Arial" w:cs="Arial"/>
                <w:lang w:val="en-CA" w:eastAsia="en-CA"/>
              </w:rPr>
            </w:pPr>
          </w:p>
        </w:tc>
        <w:tc>
          <w:tcPr>
            <w:tcW w:w="3974" w:type="dxa"/>
            <w:gridSpan w:val="2"/>
          </w:tcPr>
          <w:p w14:paraId="4E453377" w14:textId="77777777" w:rsidR="007D48BE" w:rsidRPr="007D48BE" w:rsidRDefault="007D48BE" w:rsidP="007D48BE">
            <w:pPr>
              <w:jc w:val="center"/>
              <w:rPr>
                <w:rFonts w:ascii="Arial" w:hAnsi="Arial" w:cs="Arial"/>
                <w:b/>
                <w:lang w:val="en-CA" w:eastAsia="en-CA"/>
              </w:rPr>
            </w:pPr>
            <w:r w:rsidRPr="007D48BE">
              <w:rPr>
                <w:rFonts w:ascii="Arial" w:hAnsi="Arial" w:cs="Arial"/>
                <w:b/>
                <w:lang w:val="en-CA" w:eastAsia="en-CA"/>
              </w:rPr>
              <w:t>15-Person Affiliate Package</w:t>
            </w:r>
          </w:p>
          <w:p w14:paraId="4FD4413C" w14:textId="77777777" w:rsidR="007D48BE" w:rsidRPr="007D48BE" w:rsidRDefault="007D48BE" w:rsidP="007D48BE">
            <w:pPr>
              <w:jc w:val="center"/>
              <w:rPr>
                <w:rFonts w:ascii="Arial" w:hAnsi="Arial" w:cs="Arial"/>
                <w:b/>
                <w:lang w:val="en-CA" w:eastAsia="en-CA"/>
              </w:rPr>
            </w:pPr>
          </w:p>
        </w:tc>
      </w:tr>
      <w:tr w:rsidR="007D48BE" w:rsidRPr="007D48BE" w14:paraId="5873B5B2" w14:textId="77777777" w:rsidTr="007D48BE">
        <w:trPr>
          <w:trHeight w:val="282"/>
        </w:trPr>
        <w:tc>
          <w:tcPr>
            <w:tcW w:w="3114" w:type="dxa"/>
            <w:noWrap/>
          </w:tcPr>
          <w:p w14:paraId="0FC7ECB8" w14:textId="77777777" w:rsidR="007D48BE" w:rsidRPr="007D48BE" w:rsidRDefault="007D48BE" w:rsidP="007D48BE">
            <w:pPr>
              <w:jc w:val="center"/>
              <w:rPr>
                <w:rFonts w:ascii="Arial" w:hAnsi="Arial" w:cs="Arial"/>
                <w:b/>
                <w:lang w:val="en-CA" w:eastAsia="en-CA"/>
              </w:rPr>
            </w:pPr>
            <w:r w:rsidRPr="007D48BE">
              <w:rPr>
                <w:rFonts w:ascii="Arial" w:hAnsi="Arial" w:cs="Arial"/>
                <w:b/>
                <w:lang w:val="en-CA" w:eastAsia="en-CA"/>
              </w:rPr>
              <w:t>Equipment</w:t>
            </w:r>
          </w:p>
        </w:tc>
        <w:tc>
          <w:tcPr>
            <w:tcW w:w="1028" w:type="dxa"/>
            <w:noWrap/>
          </w:tcPr>
          <w:p w14:paraId="03D1082B" w14:textId="77777777" w:rsidR="007D48BE" w:rsidRPr="007D48BE" w:rsidRDefault="007D48BE" w:rsidP="007D48BE">
            <w:pPr>
              <w:jc w:val="center"/>
              <w:rPr>
                <w:rFonts w:ascii="Arial" w:hAnsi="Arial" w:cs="Arial"/>
                <w:b/>
                <w:lang w:val="en-CA" w:eastAsia="en-CA"/>
              </w:rPr>
            </w:pPr>
            <w:r w:rsidRPr="007D48BE">
              <w:rPr>
                <w:rFonts w:ascii="Arial" w:hAnsi="Arial" w:cs="Arial"/>
                <w:b/>
                <w:lang w:val="en-CA" w:eastAsia="en-CA"/>
              </w:rPr>
              <w:t>Quantity</w:t>
            </w:r>
          </w:p>
          <w:p w14:paraId="05330B61" w14:textId="77777777" w:rsidR="007D48BE" w:rsidRPr="007D48BE" w:rsidRDefault="007D48BE" w:rsidP="007D48BE">
            <w:pPr>
              <w:jc w:val="center"/>
              <w:rPr>
                <w:rFonts w:ascii="Arial" w:hAnsi="Arial" w:cs="Arial"/>
                <w:b/>
                <w:lang w:val="en-CA" w:eastAsia="en-CA"/>
              </w:rPr>
            </w:pPr>
          </w:p>
        </w:tc>
        <w:tc>
          <w:tcPr>
            <w:tcW w:w="1154" w:type="dxa"/>
          </w:tcPr>
          <w:p w14:paraId="12482CBB" w14:textId="77777777" w:rsidR="007D48BE" w:rsidRPr="007D48BE" w:rsidRDefault="007D48BE" w:rsidP="007D48BE">
            <w:pPr>
              <w:rPr>
                <w:rFonts w:ascii="Arial" w:hAnsi="Arial" w:cs="Arial"/>
                <w:lang w:val="en-CA" w:eastAsia="en-CA"/>
              </w:rPr>
            </w:pPr>
          </w:p>
        </w:tc>
        <w:tc>
          <w:tcPr>
            <w:tcW w:w="3081" w:type="dxa"/>
          </w:tcPr>
          <w:p w14:paraId="75E8C704" w14:textId="77777777" w:rsidR="007D48BE" w:rsidRPr="007D48BE" w:rsidRDefault="007D48BE" w:rsidP="007D48BE">
            <w:pPr>
              <w:jc w:val="center"/>
              <w:rPr>
                <w:rFonts w:ascii="Arial" w:hAnsi="Arial" w:cs="Arial"/>
                <w:b/>
                <w:lang w:val="en-CA" w:eastAsia="en-CA"/>
              </w:rPr>
            </w:pPr>
            <w:r w:rsidRPr="007D48BE">
              <w:rPr>
                <w:rFonts w:ascii="Arial" w:hAnsi="Arial" w:cs="Arial"/>
                <w:b/>
                <w:lang w:val="en-CA" w:eastAsia="en-CA"/>
              </w:rPr>
              <w:t>Equipment</w:t>
            </w:r>
          </w:p>
        </w:tc>
        <w:tc>
          <w:tcPr>
            <w:tcW w:w="893" w:type="dxa"/>
          </w:tcPr>
          <w:p w14:paraId="7E27D06C" w14:textId="77777777" w:rsidR="007D48BE" w:rsidRPr="007D48BE" w:rsidRDefault="007D48BE" w:rsidP="007D48BE">
            <w:pPr>
              <w:jc w:val="center"/>
              <w:rPr>
                <w:rFonts w:ascii="Arial" w:hAnsi="Arial" w:cs="Arial"/>
                <w:b/>
                <w:lang w:val="en-CA" w:eastAsia="en-CA"/>
              </w:rPr>
            </w:pPr>
            <w:r w:rsidRPr="007D48BE">
              <w:rPr>
                <w:rFonts w:ascii="Arial" w:hAnsi="Arial" w:cs="Arial"/>
                <w:b/>
                <w:lang w:val="en-CA" w:eastAsia="en-CA"/>
              </w:rPr>
              <w:t>Quantity</w:t>
            </w:r>
          </w:p>
        </w:tc>
      </w:tr>
      <w:tr w:rsidR="007D48BE" w:rsidRPr="007D48BE" w14:paraId="57B86902" w14:textId="77777777" w:rsidTr="007D48BE">
        <w:trPr>
          <w:trHeight w:val="282"/>
        </w:trPr>
        <w:tc>
          <w:tcPr>
            <w:tcW w:w="3114" w:type="dxa"/>
            <w:noWrap/>
            <w:hideMark/>
          </w:tcPr>
          <w:p w14:paraId="6A0E4E3F" w14:textId="77777777" w:rsidR="007D48BE" w:rsidRPr="007D48BE" w:rsidRDefault="007D48BE" w:rsidP="007D48BE">
            <w:pPr>
              <w:rPr>
                <w:rFonts w:ascii="Arial" w:hAnsi="Arial" w:cs="Arial"/>
                <w:lang w:val="en-CA" w:eastAsia="en-CA"/>
              </w:rPr>
            </w:pPr>
            <w:r w:rsidRPr="007D48BE">
              <w:rPr>
                <w:rFonts w:ascii="Arial" w:hAnsi="Arial" w:cs="Arial"/>
                <w:lang w:val="en-CA" w:eastAsia="en-CA"/>
              </w:rPr>
              <w:t>2,000 lb. bumper plates</w:t>
            </w:r>
          </w:p>
        </w:tc>
        <w:tc>
          <w:tcPr>
            <w:tcW w:w="1028" w:type="dxa"/>
            <w:noWrap/>
            <w:hideMark/>
          </w:tcPr>
          <w:p w14:paraId="41DCA5E5" w14:textId="77777777" w:rsidR="007D48BE" w:rsidRPr="007D48BE" w:rsidRDefault="007D48BE" w:rsidP="007D48BE">
            <w:pPr>
              <w:jc w:val="center"/>
              <w:rPr>
                <w:rFonts w:ascii="Arial" w:hAnsi="Arial" w:cs="Arial"/>
                <w:lang w:val="en-CA" w:eastAsia="en-CA"/>
              </w:rPr>
            </w:pPr>
            <w:r w:rsidRPr="007D48BE">
              <w:rPr>
                <w:rFonts w:ascii="Arial" w:hAnsi="Arial" w:cs="Arial"/>
                <w:lang w:val="en-CA" w:eastAsia="en-CA"/>
              </w:rPr>
              <w:t>1</w:t>
            </w:r>
          </w:p>
        </w:tc>
        <w:tc>
          <w:tcPr>
            <w:tcW w:w="1154" w:type="dxa"/>
          </w:tcPr>
          <w:p w14:paraId="48D52852" w14:textId="77777777" w:rsidR="007D48BE" w:rsidRPr="007D48BE" w:rsidRDefault="007D48BE" w:rsidP="007D48BE">
            <w:pPr>
              <w:rPr>
                <w:rFonts w:ascii="Arial" w:hAnsi="Arial" w:cs="Arial"/>
                <w:lang w:val="en-CA" w:eastAsia="en-CA"/>
              </w:rPr>
            </w:pPr>
          </w:p>
        </w:tc>
        <w:tc>
          <w:tcPr>
            <w:tcW w:w="3081" w:type="dxa"/>
          </w:tcPr>
          <w:p w14:paraId="34789B5F" w14:textId="77777777" w:rsidR="007D48BE" w:rsidRPr="007D48BE" w:rsidRDefault="007D48BE" w:rsidP="007D48BE">
            <w:pPr>
              <w:rPr>
                <w:rFonts w:ascii="Arial" w:hAnsi="Arial" w:cs="Arial"/>
                <w:lang w:val="en-CA" w:eastAsia="en-CA"/>
              </w:rPr>
            </w:pPr>
            <w:r w:rsidRPr="007D48BE">
              <w:rPr>
                <w:rFonts w:ascii="Arial" w:hAnsi="Arial" w:cs="Arial"/>
                <w:lang w:val="en-CA" w:eastAsia="en-CA"/>
              </w:rPr>
              <w:t>2,000 lb. bumper plates</w:t>
            </w:r>
          </w:p>
        </w:tc>
        <w:tc>
          <w:tcPr>
            <w:tcW w:w="893" w:type="dxa"/>
          </w:tcPr>
          <w:p w14:paraId="11ED4D3A" w14:textId="77777777" w:rsidR="007D48BE" w:rsidRPr="007D48BE" w:rsidRDefault="007D48BE" w:rsidP="007D48BE">
            <w:pPr>
              <w:jc w:val="center"/>
              <w:rPr>
                <w:rFonts w:ascii="Arial" w:hAnsi="Arial" w:cs="Arial"/>
                <w:lang w:val="en-CA" w:eastAsia="en-CA"/>
              </w:rPr>
            </w:pPr>
            <w:r w:rsidRPr="007D48BE">
              <w:rPr>
                <w:rFonts w:ascii="Arial" w:hAnsi="Arial" w:cs="Arial"/>
                <w:lang w:val="en-CA" w:eastAsia="en-CA"/>
              </w:rPr>
              <w:t>1</w:t>
            </w:r>
          </w:p>
        </w:tc>
      </w:tr>
      <w:tr w:rsidR="007D48BE" w:rsidRPr="007D48BE" w14:paraId="41F8C2A0" w14:textId="77777777" w:rsidTr="007D48BE">
        <w:trPr>
          <w:trHeight w:val="282"/>
        </w:trPr>
        <w:tc>
          <w:tcPr>
            <w:tcW w:w="3114" w:type="dxa"/>
            <w:noWrap/>
            <w:hideMark/>
          </w:tcPr>
          <w:p w14:paraId="58A161BE" w14:textId="77777777" w:rsidR="007D48BE" w:rsidRPr="007D48BE" w:rsidRDefault="007D48BE" w:rsidP="007D48BE">
            <w:pPr>
              <w:rPr>
                <w:rFonts w:ascii="Arial" w:hAnsi="Arial" w:cs="Arial"/>
                <w:lang w:val="en-CA" w:eastAsia="en-CA"/>
              </w:rPr>
            </w:pPr>
            <w:r w:rsidRPr="007D48BE">
              <w:rPr>
                <w:rFonts w:ascii="Arial" w:hAnsi="Arial" w:cs="Arial"/>
                <w:lang w:val="en-CA" w:eastAsia="en-CA"/>
              </w:rPr>
              <w:t>Barbells</w:t>
            </w:r>
          </w:p>
        </w:tc>
        <w:tc>
          <w:tcPr>
            <w:tcW w:w="1028" w:type="dxa"/>
            <w:noWrap/>
            <w:hideMark/>
          </w:tcPr>
          <w:p w14:paraId="422FA511" w14:textId="77777777" w:rsidR="007D48BE" w:rsidRPr="007D48BE" w:rsidRDefault="007D48BE" w:rsidP="007D48BE">
            <w:pPr>
              <w:jc w:val="center"/>
              <w:rPr>
                <w:rFonts w:ascii="Arial" w:hAnsi="Arial" w:cs="Arial"/>
                <w:lang w:val="en-CA" w:eastAsia="en-CA"/>
              </w:rPr>
            </w:pPr>
            <w:r w:rsidRPr="007D48BE">
              <w:rPr>
                <w:rFonts w:ascii="Arial" w:hAnsi="Arial" w:cs="Arial"/>
                <w:lang w:val="en-CA" w:eastAsia="en-CA"/>
              </w:rPr>
              <w:t>18</w:t>
            </w:r>
          </w:p>
        </w:tc>
        <w:tc>
          <w:tcPr>
            <w:tcW w:w="1154" w:type="dxa"/>
          </w:tcPr>
          <w:p w14:paraId="38DC5E5C" w14:textId="77777777" w:rsidR="007D48BE" w:rsidRPr="007D48BE" w:rsidRDefault="007D48BE" w:rsidP="007D48BE">
            <w:pPr>
              <w:rPr>
                <w:rFonts w:ascii="Arial" w:hAnsi="Arial" w:cs="Arial"/>
                <w:lang w:val="en-CA" w:eastAsia="en-CA"/>
              </w:rPr>
            </w:pPr>
          </w:p>
        </w:tc>
        <w:tc>
          <w:tcPr>
            <w:tcW w:w="3081" w:type="dxa"/>
          </w:tcPr>
          <w:p w14:paraId="791CB973" w14:textId="77777777" w:rsidR="007D48BE" w:rsidRPr="007D48BE" w:rsidRDefault="007D48BE" w:rsidP="007D48BE">
            <w:pPr>
              <w:rPr>
                <w:rFonts w:ascii="Arial" w:hAnsi="Arial" w:cs="Arial"/>
                <w:lang w:val="en-CA" w:eastAsia="en-CA"/>
              </w:rPr>
            </w:pPr>
            <w:r w:rsidRPr="007D48BE">
              <w:rPr>
                <w:rFonts w:ascii="Arial" w:hAnsi="Arial" w:cs="Arial"/>
                <w:lang w:val="en-CA" w:eastAsia="en-CA"/>
              </w:rPr>
              <w:t>Barbells</w:t>
            </w:r>
          </w:p>
        </w:tc>
        <w:tc>
          <w:tcPr>
            <w:tcW w:w="893" w:type="dxa"/>
          </w:tcPr>
          <w:p w14:paraId="5E035C4C" w14:textId="77777777" w:rsidR="007D48BE" w:rsidRPr="007D48BE" w:rsidRDefault="007D48BE" w:rsidP="007D48BE">
            <w:pPr>
              <w:jc w:val="center"/>
              <w:rPr>
                <w:rFonts w:ascii="Arial" w:hAnsi="Arial" w:cs="Arial"/>
                <w:lang w:val="en-CA" w:eastAsia="en-CA"/>
              </w:rPr>
            </w:pPr>
            <w:r w:rsidRPr="007D48BE">
              <w:rPr>
                <w:rFonts w:ascii="Arial" w:hAnsi="Arial" w:cs="Arial"/>
                <w:lang w:val="en-CA" w:eastAsia="en-CA"/>
              </w:rPr>
              <w:t>25</w:t>
            </w:r>
          </w:p>
        </w:tc>
      </w:tr>
      <w:tr w:rsidR="007D48BE" w:rsidRPr="007D48BE" w14:paraId="621088A6" w14:textId="77777777" w:rsidTr="007D48BE">
        <w:trPr>
          <w:trHeight w:val="282"/>
        </w:trPr>
        <w:tc>
          <w:tcPr>
            <w:tcW w:w="3114" w:type="dxa"/>
            <w:noWrap/>
            <w:hideMark/>
          </w:tcPr>
          <w:p w14:paraId="7F4F46FE" w14:textId="77777777" w:rsidR="007D48BE" w:rsidRPr="007D48BE" w:rsidRDefault="007D48BE" w:rsidP="007D48BE">
            <w:pPr>
              <w:rPr>
                <w:rFonts w:ascii="Arial" w:hAnsi="Arial" w:cs="Arial"/>
                <w:lang w:val="en-CA" w:eastAsia="en-CA"/>
              </w:rPr>
            </w:pPr>
            <w:r w:rsidRPr="007D48BE">
              <w:rPr>
                <w:rFonts w:ascii="Arial" w:hAnsi="Arial" w:cs="Arial"/>
                <w:lang w:val="en-CA" w:eastAsia="en-CA"/>
              </w:rPr>
              <w:t>9-Barbell holder</w:t>
            </w:r>
          </w:p>
        </w:tc>
        <w:tc>
          <w:tcPr>
            <w:tcW w:w="1028" w:type="dxa"/>
            <w:noWrap/>
            <w:hideMark/>
          </w:tcPr>
          <w:p w14:paraId="1F637A6F" w14:textId="77777777" w:rsidR="007D48BE" w:rsidRPr="007D48BE" w:rsidRDefault="007D48BE" w:rsidP="007D48BE">
            <w:pPr>
              <w:jc w:val="center"/>
              <w:rPr>
                <w:rFonts w:ascii="Arial" w:hAnsi="Arial" w:cs="Arial"/>
                <w:lang w:val="en-CA" w:eastAsia="en-CA"/>
              </w:rPr>
            </w:pPr>
            <w:r w:rsidRPr="007D48BE">
              <w:rPr>
                <w:rFonts w:ascii="Arial" w:hAnsi="Arial" w:cs="Arial"/>
                <w:lang w:val="en-CA" w:eastAsia="en-CA"/>
              </w:rPr>
              <w:t>2</w:t>
            </w:r>
          </w:p>
        </w:tc>
        <w:tc>
          <w:tcPr>
            <w:tcW w:w="1154" w:type="dxa"/>
          </w:tcPr>
          <w:p w14:paraId="465CA70D" w14:textId="77777777" w:rsidR="007D48BE" w:rsidRPr="007D48BE" w:rsidRDefault="007D48BE" w:rsidP="007D48BE">
            <w:pPr>
              <w:rPr>
                <w:rFonts w:ascii="Arial" w:hAnsi="Arial" w:cs="Arial"/>
                <w:lang w:val="en-CA" w:eastAsia="en-CA"/>
              </w:rPr>
            </w:pPr>
          </w:p>
        </w:tc>
        <w:tc>
          <w:tcPr>
            <w:tcW w:w="3081" w:type="dxa"/>
          </w:tcPr>
          <w:p w14:paraId="6B81766F" w14:textId="77777777" w:rsidR="007D48BE" w:rsidRPr="007D48BE" w:rsidRDefault="007D48BE" w:rsidP="007D48BE">
            <w:pPr>
              <w:rPr>
                <w:rFonts w:ascii="Arial" w:hAnsi="Arial" w:cs="Arial"/>
                <w:lang w:val="en-CA" w:eastAsia="en-CA"/>
              </w:rPr>
            </w:pPr>
            <w:r w:rsidRPr="007D48BE">
              <w:rPr>
                <w:rFonts w:ascii="Arial" w:hAnsi="Arial" w:cs="Arial"/>
                <w:lang w:val="en-CA" w:eastAsia="en-CA"/>
              </w:rPr>
              <w:t>9-Barbell holder</w:t>
            </w:r>
          </w:p>
        </w:tc>
        <w:tc>
          <w:tcPr>
            <w:tcW w:w="893" w:type="dxa"/>
          </w:tcPr>
          <w:p w14:paraId="60A982EC" w14:textId="77777777" w:rsidR="007D48BE" w:rsidRPr="007D48BE" w:rsidRDefault="007D48BE" w:rsidP="007D48BE">
            <w:pPr>
              <w:jc w:val="center"/>
              <w:rPr>
                <w:rFonts w:ascii="Arial" w:hAnsi="Arial" w:cs="Arial"/>
                <w:lang w:val="en-CA" w:eastAsia="en-CA"/>
              </w:rPr>
            </w:pPr>
            <w:r w:rsidRPr="007D48BE">
              <w:rPr>
                <w:rFonts w:ascii="Arial" w:hAnsi="Arial" w:cs="Arial"/>
                <w:lang w:val="en-CA" w:eastAsia="en-CA"/>
              </w:rPr>
              <w:t>3</w:t>
            </w:r>
          </w:p>
        </w:tc>
      </w:tr>
      <w:tr w:rsidR="007D48BE" w:rsidRPr="007D48BE" w14:paraId="560BBF2C" w14:textId="77777777" w:rsidTr="007D48BE">
        <w:trPr>
          <w:trHeight w:val="282"/>
        </w:trPr>
        <w:tc>
          <w:tcPr>
            <w:tcW w:w="3114" w:type="dxa"/>
            <w:noWrap/>
            <w:hideMark/>
          </w:tcPr>
          <w:p w14:paraId="2F573E3E" w14:textId="77777777" w:rsidR="007D48BE" w:rsidRPr="007D48BE" w:rsidRDefault="007D48BE" w:rsidP="007D48BE">
            <w:pPr>
              <w:rPr>
                <w:rFonts w:ascii="Arial" w:hAnsi="Arial" w:cs="Arial"/>
                <w:lang w:val="en-CA" w:eastAsia="en-CA"/>
              </w:rPr>
            </w:pPr>
            <w:r w:rsidRPr="007D48BE">
              <w:rPr>
                <w:rFonts w:ascii="Arial" w:hAnsi="Arial" w:cs="Arial"/>
                <w:lang w:val="en-CA" w:eastAsia="en-CA"/>
              </w:rPr>
              <w:t>500 lb. kettlebell set</w:t>
            </w:r>
          </w:p>
        </w:tc>
        <w:tc>
          <w:tcPr>
            <w:tcW w:w="1028" w:type="dxa"/>
            <w:noWrap/>
            <w:hideMark/>
          </w:tcPr>
          <w:p w14:paraId="40FBA69E" w14:textId="77777777" w:rsidR="007D48BE" w:rsidRPr="007D48BE" w:rsidRDefault="007D48BE" w:rsidP="007D48BE">
            <w:pPr>
              <w:jc w:val="center"/>
              <w:rPr>
                <w:rFonts w:ascii="Arial" w:hAnsi="Arial" w:cs="Arial"/>
                <w:lang w:val="en-CA" w:eastAsia="en-CA"/>
              </w:rPr>
            </w:pPr>
            <w:r w:rsidRPr="007D48BE">
              <w:rPr>
                <w:rFonts w:ascii="Arial" w:hAnsi="Arial" w:cs="Arial"/>
                <w:lang w:val="en-CA" w:eastAsia="en-CA"/>
              </w:rPr>
              <w:t>1</w:t>
            </w:r>
          </w:p>
        </w:tc>
        <w:tc>
          <w:tcPr>
            <w:tcW w:w="1154" w:type="dxa"/>
          </w:tcPr>
          <w:p w14:paraId="1133C9ED" w14:textId="77777777" w:rsidR="007D48BE" w:rsidRPr="007D48BE" w:rsidRDefault="007D48BE" w:rsidP="007D48BE">
            <w:pPr>
              <w:rPr>
                <w:rFonts w:ascii="Arial" w:hAnsi="Arial" w:cs="Arial"/>
                <w:lang w:val="en-CA" w:eastAsia="en-CA"/>
              </w:rPr>
            </w:pPr>
          </w:p>
        </w:tc>
        <w:tc>
          <w:tcPr>
            <w:tcW w:w="3081" w:type="dxa"/>
          </w:tcPr>
          <w:p w14:paraId="0AD64A5D" w14:textId="77777777" w:rsidR="007D48BE" w:rsidRPr="007D48BE" w:rsidRDefault="007D48BE" w:rsidP="007D48BE">
            <w:pPr>
              <w:rPr>
                <w:rFonts w:ascii="Arial" w:hAnsi="Arial" w:cs="Arial"/>
                <w:lang w:val="en-CA" w:eastAsia="en-CA"/>
              </w:rPr>
            </w:pPr>
            <w:r w:rsidRPr="007D48BE">
              <w:rPr>
                <w:rFonts w:ascii="Arial" w:hAnsi="Arial" w:cs="Arial"/>
                <w:lang w:val="en-CA" w:eastAsia="en-CA"/>
              </w:rPr>
              <w:t>500 lb. kettlebell set</w:t>
            </w:r>
          </w:p>
        </w:tc>
        <w:tc>
          <w:tcPr>
            <w:tcW w:w="893" w:type="dxa"/>
          </w:tcPr>
          <w:p w14:paraId="59EF8D47" w14:textId="77777777" w:rsidR="007D48BE" w:rsidRPr="007D48BE" w:rsidRDefault="007D48BE" w:rsidP="007D48BE">
            <w:pPr>
              <w:jc w:val="center"/>
              <w:rPr>
                <w:rFonts w:ascii="Arial" w:hAnsi="Arial" w:cs="Arial"/>
                <w:lang w:val="en-CA" w:eastAsia="en-CA"/>
              </w:rPr>
            </w:pPr>
            <w:r w:rsidRPr="007D48BE">
              <w:rPr>
                <w:rFonts w:ascii="Arial" w:hAnsi="Arial" w:cs="Arial"/>
                <w:lang w:val="en-CA" w:eastAsia="en-CA"/>
              </w:rPr>
              <w:t>1</w:t>
            </w:r>
          </w:p>
        </w:tc>
      </w:tr>
      <w:tr w:rsidR="007D48BE" w:rsidRPr="007D48BE" w14:paraId="60C30FAC" w14:textId="77777777" w:rsidTr="007D48BE">
        <w:trPr>
          <w:trHeight w:val="282"/>
        </w:trPr>
        <w:tc>
          <w:tcPr>
            <w:tcW w:w="3114" w:type="dxa"/>
            <w:noWrap/>
            <w:hideMark/>
          </w:tcPr>
          <w:p w14:paraId="1BB1E7C8" w14:textId="77777777" w:rsidR="007D48BE" w:rsidRPr="007D48BE" w:rsidRDefault="007D48BE" w:rsidP="007D48BE">
            <w:pPr>
              <w:rPr>
                <w:rFonts w:ascii="Arial" w:hAnsi="Arial" w:cs="Arial"/>
                <w:lang w:val="en-CA" w:eastAsia="en-CA"/>
              </w:rPr>
            </w:pPr>
            <w:r w:rsidRPr="007D48BE">
              <w:rPr>
                <w:rFonts w:ascii="Arial" w:hAnsi="Arial" w:cs="Arial"/>
                <w:lang w:val="en-CA" w:eastAsia="en-CA"/>
              </w:rPr>
              <w:t>Barbell collars</w:t>
            </w:r>
          </w:p>
        </w:tc>
        <w:tc>
          <w:tcPr>
            <w:tcW w:w="1028" w:type="dxa"/>
            <w:noWrap/>
            <w:hideMark/>
          </w:tcPr>
          <w:p w14:paraId="1315B39C" w14:textId="77777777" w:rsidR="007D48BE" w:rsidRPr="007D48BE" w:rsidRDefault="007D48BE" w:rsidP="007D48BE">
            <w:pPr>
              <w:jc w:val="center"/>
              <w:rPr>
                <w:rFonts w:ascii="Arial" w:hAnsi="Arial" w:cs="Arial"/>
                <w:lang w:val="en-CA" w:eastAsia="en-CA"/>
              </w:rPr>
            </w:pPr>
            <w:r w:rsidRPr="007D48BE">
              <w:rPr>
                <w:rFonts w:ascii="Arial" w:hAnsi="Arial" w:cs="Arial"/>
                <w:lang w:val="en-CA" w:eastAsia="en-CA"/>
              </w:rPr>
              <w:t>15</w:t>
            </w:r>
          </w:p>
        </w:tc>
        <w:tc>
          <w:tcPr>
            <w:tcW w:w="1154" w:type="dxa"/>
          </w:tcPr>
          <w:p w14:paraId="429813E1" w14:textId="77777777" w:rsidR="007D48BE" w:rsidRPr="007D48BE" w:rsidRDefault="007D48BE" w:rsidP="007D48BE">
            <w:pPr>
              <w:rPr>
                <w:rFonts w:ascii="Arial" w:hAnsi="Arial" w:cs="Arial"/>
                <w:lang w:val="en-CA" w:eastAsia="en-CA"/>
              </w:rPr>
            </w:pPr>
          </w:p>
        </w:tc>
        <w:tc>
          <w:tcPr>
            <w:tcW w:w="3081" w:type="dxa"/>
          </w:tcPr>
          <w:p w14:paraId="5F3F7F05" w14:textId="77777777" w:rsidR="007D48BE" w:rsidRPr="007D48BE" w:rsidRDefault="007D48BE" w:rsidP="007D48BE">
            <w:pPr>
              <w:rPr>
                <w:rFonts w:ascii="Arial" w:hAnsi="Arial" w:cs="Arial"/>
                <w:lang w:val="en-CA" w:eastAsia="en-CA"/>
              </w:rPr>
            </w:pPr>
            <w:r w:rsidRPr="007D48BE">
              <w:rPr>
                <w:rFonts w:ascii="Arial" w:hAnsi="Arial" w:cs="Arial"/>
                <w:lang w:val="en-CA" w:eastAsia="en-CA"/>
              </w:rPr>
              <w:t>Barbell collars</w:t>
            </w:r>
          </w:p>
        </w:tc>
        <w:tc>
          <w:tcPr>
            <w:tcW w:w="893" w:type="dxa"/>
          </w:tcPr>
          <w:p w14:paraId="21F8CC51" w14:textId="77777777" w:rsidR="007D48BE" w:rsidRPr="007D48BE" w:rsidRDefault="007D48BE" w:rsidP="007D48BE">
            <w:pPr>
              <w:jc w:val="center"/>
              <w:rPr>
                <w:rFonts w:ascii="Arial" w:hAnsi="Arial" w:cs="Arial"/>
                <w:lang w:val="en-CA" w:eastAsia="en-CA"/>
              </w:rPr>
            </w:pPr>
            <w:r w:rsidRPr="007D48BE">
              <w:rPr>
                <w:rFonts w:ascii="Arial" w:hAnsi="Arial" w:cs="Arial"/>
                <w:lang w:val="en-CA" w:eastAsia="en-CA"/>
              </w:rPr>
              <w:t>25</w:t>
            </w:r>
          </w:p>
        </w:tc>
      </w:tr>
      <w:tr w:rsidR="007D48BE" w:rsidRPr="007D48BE" w14:paraId="695BC331" w14:textId="77777777" w:rsidTr="007D48BE">
        <w:trPr>
          <w:trHeight w:val="282"/>
        </w:trPr>
        <w:tc>
          <w:tcPr>
            <w:tcW w:w="3114" w:type="dxa"/>
            <w:noWrap/>
            <w:hideMark/>
          </w:tcPr>
          <w:p w14:paraId="363D27EE" w14:textId="77777777" w:rsidR="007D48BE" w:rsidRPr="007D48BE" w:rsidRDefault="007D48BE" w:rsidP="007D48BE">
            <w:pPr>
              <w:rPr>
                <w:rFonts w:ascii="Arial" w:hAnsi="Arial" w:cs="Arial"/>
                <w:lang w:val="en-CA" w:eastAsia="en-CA"/>
              </w:rPr>
            </w:pPr>
            <w:r w:rsidRPr="007D48BE">
              <w:rPr>
                <w:rFonts w:ascii="Arial" w:hAnsi="Arial" w:cs="Arial"/>
                <w:lang w:val="en-CA" w:eastAsia="en-CA"/>
              </w:rPr>
              <w:t>Wood rings</w:t>
            </w:r>
          </w:p>
        </w:tc>
        <w:tc>
          <w:tcPr>
            <w:tcW w:w="1028" w:type="dxa"/>
            <w:noWrap/>
            <w:hideMark/>
          </w:tcPr>
          <w:p w14:paraId="6331A542" w14:textId="77777777" w:rsidR="007D48BE" w:rsidRPr="007D48BE" w:rsidRDefault="007D48BE" w:rsidP="007D48BE">
            <w:pPr>
              <w:jc w:val="center"/>
              <w:rPr>
                <w:rFonts w:ascii="Arial" w:hAnsi="Arial" w:cs="Arial"/>
                <w:lang w:val="en-CA" w:eastAsia="en-CA"/>
              </w:rPr>
            </w:pPr>
            <w:r w:rsidRPr="007D48BE">
              <w:rPr>
                <w:rFonts w:ascii="Arial" w:hAnsi="Arial" w:cs="Arial"/>
                <w:lang w:val="en-CA" w:eastAsia="en-CA"/>
              </w:rPr>
              <w:t>10</w:t>
            </w:r>
          </w:p>
        </w:tc>
        <w:tc>
          <w:tcPr>
            <w:tcW w:w="1154" w:type="dxa"/>
          </w:tcPr>
          <w:p w14:paraId="029DBFFA" w14:textId="77777777" w:rsidR="007D48BE" w:rsidRPr="007D48BE" w:rsidRDefault="007D48BE" w:rsidP="007D48BE">
            <w:pPr>
              <w:rPr>
                <w:rFonts w:ascii="Arial" w:hAnsi="Arial" w:cs="Arial"/>
                <w:lang w:val="en-CA" w:eastAsia="en-CA"/>
              </w:rPr>
            </w:pPr>
          </w:p>
        </w:tc>
        <w:tc>
          <w:tcPr>
            <w:tcW w:w="3081" w:type="dxa"/>
          </w:tcPr>
          <w:p w14:paraId="78DA9BFB" w14:textId="77777777" w:rsidR="007D48BE" w:rsidRPr="007D48BE" w:rsidRDefault="007D48BE" w:rsidP="007D48BE">
            <w:pPr>
              <w:rPr>
                <w:rFonts w:ascii="Arial" w:hAnsi="Arial" w:cs="Arial"/>
                <w:lang w:val="en-CA" w:eastAsia="en-CA"/>
              </w:rPr>
            </w:pPr>
            <w:r w:rsidRPr="007D48BE">
              <w:rPr>
                <w:rFonts w:ascii="Arial" w:hAnsi="Arial" w:cs="Arial"/>
                <w:lang w:val="en-CA" w:eastAsia="en-CA"/>
              </w:rPr>
              <w:t>Wood rings</w:t>
            </w:r>
          </w:p>
        </w:tc>
        <w:tc>
          <w:tcPr>
            <w:tcW w:w="893" w:type="dxa"/>
          </w:tcPr>
          <w:p w14:paraId="759ED4EF" w14:textId="77777777" w:rsidR="007D48BE" w:rsidRPr="007D48BE" w:rsidRDefault="007D48BE" w:rsidP="007D48BE">
            <w:pPr>
              <w:jc w:val="center"/>
              <w:rPr>
                <w:rFonts w:ascii="Arial" w:hAnsi="Arial" w:cs="Arial"/>
                <w:lang w:val="en-CA" w:eastAsia="en-CA"/>
              </w:rPr>
            </w:pPr>
            <w:r w:rsidRPr="007D48BE">
              <w:rPr>
                <w:rFonts w:ascii="Arial" w:hAnsi="Arial" w:cs="Arial"/>
                <w:lang w:val="en-CA" w:eastAsia="en-CA"/>
              </w:rPr>
              <w:t>15</w:t>
            </w:r>
          </w:p>
        </w:tc>
      </w:tr>
      <w:tr w:rsidR="007D48BE" w:rsidRPr="007D48BE" w14:paraId="636E8F15" w14:textId="77777777" w:rsidTr="007D48BE">
        <w:trPr>
          <w:trHeight w:val="282"/>
        </w:trPr>
        <w:tc>
          <w:tcPr>
            <w:tcW w:w="3114" w:type="dxa"/>
            <w:noWrap/>
            <w:hideMark/>
          </w:tcPr>
          <w:p w14:paraId="005C1E13" w14:textId="77777777" w:rsidR="007D48BE" w:rsidRPr="007D48BE" w:rsidRDefault="007D48BE" w:rsidP="007D48BE">
            <w:pPr>
              <w:rPr>
                <w:rFonts w:ascii="Arial" w:hAnsi="Arial" w:cs="Arial"/>
                <w:lang w:val="en-CA" w:eastAsia="en-CA"/>
              </w:rPr>
            </w:pPr>
            <w:r w:rsidRPr="007D48BE">
              <w:rPr>
                <w:rFonts w:ascii="Arial" w:hAnsi="Arial" w:cs="Arial"/>
                <w:lang w:val="en-CA" w:eastAsia="en-CA"/>
              </w:rPr>
              <w:t>Medicine balls</w:t>
            </w:r>
          </w:p>
        </w:tc>
        <w:tc>
          <w:tcPr>
            <w:tcW w:w="1028" w:type="dxa"/>
            <w:noWrap/>
            <w:hideMark/>
          </w:tcPr>
          <w:p w14:paraId="68FA6843" w14:textId="77777777" w:rsidR="007D48BE" w:rsidRPr="007D48BE" w:rsidRDefault="007D48BE" w:rsidP="007D48BE">
            <w:pPr>
              <w:jc w:val="center"/>
              <w:rPr>
                <w:rFonts w:ascii="Arial" w:hAnsi="Arial" w:cs="Arial"/>
                <w:lang w:val="en-CA" w:eastAsia="en-CA"/>
              </w:rPr>
            </w:pPr>
            <w:r w:rsidRPr="007D48BE">
              <w:rPr>
                <w:rFonts w:ascii="Arial" w:hAnsi="Arial" w:cs="Arial"/>
                <w:lang w:val="en-CA" w:eastAsia="en-CA"/>
              </w:rPr>
              <w:t>10</w:t>
            </w:r>
          </w:p>
        </w:tc>
        <w:tc>
          <w:tcPr>
            <w:tcW w:w="1154" w:type="dxa"/>
          </w:tcPr>
          <w:p w14:paraId="697EB65E" w14:textId="77777777" w:rsidR="007D48BE" w:rsidRPr="007D48BE" w:rsidRDefault="007D48BE" w:rsidP="007D48BE">
            <w:pPr>
              <w:rPr>
                <w:rFonts w:ascii="Arial" w:hAnsi="Arial" w:cs="Arial"/>
                <w:lang w:val="en-CA" w:eastAsia="en-CA"/>
              </w:rPr>
            </w:pPr>
          </w:p>
        </w:tc>
        <w:tc>
          <w:tcPr>
            <w:tcW w:w="3081" w:type="dxa"/>
          </w:tcPr>
          <w:p w14:paraId="3D272F2E" w14:textId="77777777" w:rsidR="007D48BE" w:rsidRPr="007D48BE" w:rsidRDefault="007D48BE" w:rsidP="007D48BE">
            <w:pPr>
              <w:rPr>
                <w:rFonts w:ascii="Arial" w:hAnsi="Arial" w:cs="Arial"/>
                <w:lang w:val="en-CA" w:eastAsia="en-CA"/>
              </w:rPr>
            </w:pPr>
            <w:r w:rsidRPr="007D48BE">
              <w:rPr>
                <w:rFonts w:ascii="Arial" w:hAnsi="Arial" w:cs="Arial"/>
                <w:lang w:val="en-CA" w:eastAsia="en-CA"/>
              </w:rPr>
              <w:t>Medicine balls</w:t>
            </w:r>
          </w:p>
        </w:tc>
        <w:tc>
          <w:tcPr>
            <w:tcW w:w="893" w:type="dxa"/>
          </w:tcPr>
          <w:p w14:paraId="2349DB4B" w14:textId="77777777" w:rsidR="007D48BE" w:rsidRPr="007D48BE" w:rsidRDefault="007D48BE" w:rsidP="007D48BE">
            <w:pPr>
              <w:jc w:val="center"/>
              <w:rPr>
                <w:rFonts w:ascii="Arial" w:hAnsi="Arial" w:cs="Arial"/>
                <w:lang w:val="en-CA" w:eastAsia="en-CA"/>
              </w:rPr>
            </w:pPr>
            <w:r w:rsidRPr="007D48BE">
              <w:rPr>
                <w:rFonts w:ascii="Arial" w:hAnsi="Arial" w:cs="Arial"/>
                <w:lang w:val="en-CA" w:eastAsia="en-CA"/>
              </w:rPr>
              <w:t>15</w:t>
            </w:r>
          </w:p>
        </w:tc>
      </w:tr>
      <w:tr w:rsidR="007D48BE" w:rsidRPr="007D48BE" w14:paraId="001EB0FB" w14:textId="77777777" w:rsidTr="007D48BE">
        <w:trPr>
          <w:trHeight w:val="282"/>
        </w:trPr>
        <w:tc>
          <w:tcPr>
            <w:tcW w:w="3114" w:type="dxa"/>
            <w:noWrap/>
            <w:hideMark/>
          </w:tcPr>
          <w:p w14:paraId="2373F35E" w14:textId="77777777" w:rsidR="007D48BE" w:rsidRPr="007D48BE" w:rsidRDefault="007D48BE" w:rsidP="007D48BE">
            <w:pPr>
              <w:rPr>
                <w:rFonts w:ascii="Arial" w:hAnsi="Arial" w:cs="Arial"/>
                <w:lang w:val="en-CA" w:eastAsia="en-CA"/>
              </w:rPr>
            </w:pPr>
            <w:r w:rsidRPr="007D48BE">
              <w:rPr>
                <w:rFonts w:ascii="Arial" w:hAnsi="Arial" w:cs="Arial"/>
                <w:lang w:val="en-CA" w:eastAsia="en-CA"/>
              </w:rPr>
              <w:t>D-balls</w:t>
            </w:r>
          </w:p>
        </w:tc>
        <w:tc>
          <w:tcPr>
            <w:tcW w:w="1028" w:type="dxa"/>
            <w:noWrap/>
            <w:hideMark/>
          </w:tcPr>
          <w:p w14:paraId="324C35B7" w14:textId="77777777" w:rsidR="007D48BE" w:rsidRPr="007D48BE" w:rsidRDefault="007D48BE" w:rsidP="007D48BE">
            <w:pPr>
              <w:jc w:val="center"/>
              <w:rPr>
                <w:rFonts w:ascii="Arial" w:hAnsi="Arial" w:cs="Arial"/>
                <w:lang w:val="en-CA" w:eastAsia="en-CA"/>
              </w:rPr>
            </w:pPr>
            <w:r w:rsidRPr="007D48BE">
              <w:rPr>
                <w:rFonts w:ascii="Arial" w:hAnsi="Arial" w:cs="Arial"/>
                <w:lang w:val="en-CA" w:eastAsia="en-CA"/>
              </w:rPr>
              <w:t>8</w:t>
            </w:r>
          </w:p>
        </w:tc>
        <w:tc>
          <w:tcPr>
            <w:tcW w:w="1154" w:type="dxa"/>
          </w:tcPr>
          <w:p w14:paraId="30B57BC8" w14:textId="77777777" w:rsidR="007D48BE" w:rsidRPr="007D48BE" w:rsidRDefault="007D48BE" w:rsidP="007D48BE">
            <w:pPr>
              <w:rPr>
                <w:rFonts w:ascii="Arial" w:hAnsi="Arial" w:cs="Arial"/>
                <w:lang w:val="en-CA" w:eastAsia="en-CA"/>
              </w:rPr>
            </w:pPr>
          </w:p>
        </w:tc>
        <w:tc>
          <w:tcPr>
            <w:tcW w:w="3081" w:type="dxa"/>
          </w:tcPr>
          <w:p w14:paraId="3D5A7A61" w14:textId="77777777" w:rsidR="007D48BE" w:rsidRPr="007D48BE" w:rsidRDefault="007D48BE" w:rsidP="007D48BE">
            <w:pPr>
              <w:rPr>
                <w:rFonts w:ascii="Arial" w:hAnsi="Arial" w:cs="Arial"/>
                <w:lang w:val="en-CA" w:eastAsia="en-CA"/>
              </w:rPr>
            </w:pPr>
            <w:r w:rsidRPr="007D48BE">
              <w:rPr>
                <w:rFonts w:ascii="Arial" w:hAnsi="Arial" w:cs="Arial"/>
                <w:lang w:val="en-CA" w:eastAsia="en-CA"/>
              </w:rPr>
              <w:t>D-balls</w:t>
            </w:r>
          </w:p>
        </w:tc>
        <w:tc>
          <w:tcPr>
            <w:tcW w:w="893" w:type="dxa"/>
          </w:tcPr>
          <w:p w14:paraId="5315A318" w14:textId="77777777" w:rsidR="007D48BE" w:rsidRPr="007D48BE" w:rsidRDefault="007D48BE" w:rsidP="007D48BE">
            <w:pPr>
              <w:jc w:val="center"/>
              <w:rPr>
                <w:rFonts w:ascii="Arial" w:hAnsi="Arial" w:cs="Arial"/>
                <w:lang w:val="en-CA" w:eastAsia="en-CA"/>
              </w:rPr>
            </w:pPr>
            <w:r w:rsidRPr="007D48BE">
              <w:rPr>
                <w:rFonts w:ascii="Arial" w:hAnsi="Arial" w:cs="Arial"/>
                <w:lang w:val="en-CA" w:eastAsia="en-CA"/>
              </w:rPr>
              <w:t>10</w:t>
            </w:r>
          </w:p>
        </w:tc>
      </w:tr>
      <w:tr w:rsidR="007D48BE" w:rsidRPr="007D48BE" w14:paraId="399559C0" w14:textId="77777777" w:rsidTr="007D48BE">
        <w:trPr>
          <w:trHeight w:val="282"/>
        </w:trPr>
        <w:tc>
          <w:tcPr>
            <w:tcW w:w="3114" w:type="dxa"/>
            <w:noWrap/>
            <w:hideMark/>
          </w:tcPr>
          <w:p w14:paraId="347837D2" w14:textId="77777777" w:rsidR="007D48BE" w:rsidRPr="007D48BE" w:rsidRDefault="007D48BE" w:rsidP="007D48BE">
            <w:pPr>
              <w:rPr>
                <w:rFonts w:ascii="Arial" w:hAnsi="Arial" w:cs="Arial"/>
                <w:lang w:val="en-CA" w:eastAsia="en-CA"/>
              </w:rPr>
            </w:pPr>
            <w:r w:rsidRPr="007D48BE">
              <w:rPr>
                <w:rFonts w:ascii="Arial" w:hAnsi="Arial" w:cs="Arial"/>
                <w:lang w:val="en-CA" w:eastAsia="en-CA"/>
              </w:rPr>
              <w:t>Climbing ropes</w:t>
            </w:r>
          </w:p>
        </w:tc>
        <w:tc>
          <w:tcPr>
            <w:tcW w:w="1028" w:type="dxa"/>
            <w:noWrap/>
            <w:hideMark/>
          </w:tcPr>
          <w:p w14:paraId="03023455" w14:textId="77777777" w:rsidR="007D48BE" w:rsidRPr="007D48BE" w:rsidRDefault="007D48BE" w:rsidP="007D48BE">
            <w:pPr>
              <w:jc w:val="center"/>
              <w:rPr>
                <w:rFonts w:ascii="Arial" w:hAnsi="Arial" w:cs="Arial"/>
                <w:lang w:val="en-CA" w:eastAsia="en-CA"/>
              </w:rPr>
            </w:pPr>
            <w:r w:rsidRPr="007D48BE">
              <w:rPr>
                <w:rFonts w:ascii="Arial" w:hAnsi="Arial" w:cs="Arial"/>
                <w:lang w:val="en-CA" w:eastAsia="en-CA"/>
              </w:rPr>
              <w:t>2</w:t>
            </w:r>
          </w:p>
        </w:tc>
        <w:tc>
          <w:tcPr>
            <w:tcW w:w="1154" w:type="dxa"/>
          </w:tcPr>
          <w:p w14:paraId="069E55DB" w14:textId="77777777" w:rsidR="007D48BE" w:rsidRPr="007D48BE" w:rsidRDefault="007D48BE" w:rsidP="007D48BE">
            <w:pPr>
              <w:rPr>
                <w:rFonts w:ascii="Arial" w:hAnsi="Arial" w:cs="Arial"/>
                <w:lang w:val="en-CA" w:eastAsia="en-CA"/>
              </w:rPr>
            </w:pPr>
          </w:p>
        </w:tc>
        <w:tc>
          <w:tcPr>
            <w:tcW w:w="3081" w:type="dxa"/>
          </w:tcPr>
          <w:p w14:paraId="03507626" w14:textId="77777777" w:rsidR="007D48BE" w:rsidRPr="007D48BE" w:rsidRDefault="007D48BE" w:rsidP="007D48BE">
            <w:pPr>
              <w:rPr>
                <w:rFonts w:ascii="Arial" w:hAnsi="Arial" w:cs="Arial"/>
                <w:lang w:val="en-CA" w:eastAsia="en-CA"/>
              </w:rPr>
            </w:pPr>
            <w:r w:rsidRPr="007D48BE">
              <w:rPr>
                <w:rFonts w:ascii="Arial" w:hAnsi="Arial" w:cs="Arial"/>
                <w:lang w:val="en-CA" w:eastAsia="en-CA"/>
              </w:rPr>
              <w:t>Climbing ropes</w:t>
            </w:r>
          </w:p>
        </w:tc>
        <w:tc>
          <w:tcPr>
            <w:tcW w:w="893" w:type="dxa"/>
          </w:tcPr>
          <w:p w14:paraId="40D15421" w14:textId="77777777" w:rsidR="007D48BE" w:rsidRPr="007D48BE" w:rsidRDefault="007D48BE" w:rsidP="007D48BE">
            <w:pPr>
              <w:jc w:val="center"/>
              <w:rPr>
                <w:rFonts w:ascii="Arial" w:hAnsi="Arial" w:cs="Arial"/>
                <w:lang w:val="en-CA" w:eastAsia="en-CA"/>
              </w:rPr>
            </w:pPr>
            <w:r w:rsidRPr="007D48BE">
              <w:rPr>
                <w:rFonts w:ascii="Arial" w:hAnsi="Arial" w:cs="Arial"/>
                <w:lang w:val="en-CA" w:eastAsia="en-CA"/>
              </w:rPr>
              <w:t>5</w:t>
            </w:r>
          </w:p>
        </w:tc>
      </w:tr>
      <w:tr w:rsidR="007D48BE" w:rsidRPr="007D48BE" w14:paraId="65F1F509" w14:textId="77777777" w:rsidTr="007D48BE">
        <w:trPr>
          <w:trHeight w:val="282"/>
        </w:trPr>
        <w:tc>
          <w:tcPr>
            <w:tcW w:w="3114" w:type="dxa"/>
            <w:noWrap/>
            <w:hideMark/>
          </w:tcPr>
          <w:p w14:paraId="31A0E395" w14:textId="77777777" w:rsidR="007D48BE" w:rsidRPr="007D48BE" w:rsidRDefault="007D48BE" w:rsidP="007D48BE">
            <w:pPr>
              <w:rPr>
                <w:rFonts w:ascii="Arial" w:hAnsi="Arial" w:cs="Arial"/>
                <w:lang w:val="en-CA" w:eastAsia="en-CA"/>
              </w:rPr>
            </w:pPr>
            <w:r w:rsidRPr="007D48BE">
              <w:rPr>
                <w:rFonts w:ascii="Arial" w:hAnsi="Arial" w:cs="Arial"/>
                <w:lang w:val="en-CA" w:eastAsia="en-CA"/>
              </w:rPr>
              <w:t>Multi-side boxes</w:t>
            </w:r>
          </w:p>
        </w:tc>
        <w:tc>
          <w:tcPr>
            <w:tcW w:w="1028" w:type="dxa"/>
            <w:noWrap/>
            <w:hideMark/>
          </w:tcPr>
          <w:p w14:paraId="044793E3" w14:textId="77777777" w:rsidR="007D48BE" w:rsidRPr="007D48BE" w:rsidRDefault="007D48BE" w:rsidP="007D48BE">
            <w:pPr>
              <w:jc w:val="center"/>
              <w:rPr>
                <w:rFonts w:ascii="Arial" w:hAnsi="Arial" w:cs="Arial"/>
                <w:lang w:val="en-CA" w:eastAsia="en-CA"/>
              </w:rPr>
            </w:pPr>
            <w:r w:rsidRPr="007D48BE">
              <w:rPr>
                <w:rFonts w:ascii="Arial" w:hAnsi="Arial" w:cs="Arial"/>
                <w:lang w:val="en-CA" w:eastAsia="en-CA"/>
              </w:rPr>
              <w:t>10</w:t>
            </w:r>
          </w:p>
        </w:tc>
        <w:tc>
          <w:tcPr>
            <w:tcW w:w="1154" w:type="dxa"/>
          </w:tcPr>
          <w:p w14:paraId="49012D40" w14:textId="77777777" w:rsidR="007D48BE" w:rsidRPr="007D48BE" w:rsidRDefault="007D48BE" w:rsidP="007D48BE">
            <w:pPr>
              <w:rPr>
                <w:rFonts w:ascii="Arial" w:hAnsi="Arial" w:cs="Arial"/>
                <w:lang w:val="en-CA" w:eastAsia="en-CA"/>
              </w:rPr>
            </w:pPr>
          </w:p>
        </w:tc>
        <w:tc>
          <w:tcPr>
            <w:tcW w:w="3081" w:type="dxa"/>
          </w:tcPr>
          <w:p w14:paraId="4D31DC85" w14:textId="77777777" w:rsidR="007D48BE" w:rsidRPr="007D48BE" w:rsidRDefault="007D48BE" w:rsidP="007D48BE">
            <w:pPr>
              <w:rPr>
                <w:rFonts w:ascii="Arial" w:hAnsi="Arial" w:cs="Arial"/>
                <w:lang w:val="en-CA" w:eastAsia="en-CA"/>
              </w:rPr>
            </w:pPr>
            <w:r w:rsidRPr="007D48BE">
              <w:rPr>
                <w:rFonts w:ascii="Arial" w:hAnsi="Arial" w:cs="Arial"/>
                <w:lang w:val="en-CA" w:eastAsia="en-CA"/>
              </w:rPr>
              <w:t>Multi-side boxes</w:t>
            </w:r>
          </w:p>
        </w:tc>
        <w:tc>
          <w:tcPr>
            <w:tcW w:w="893" w:type="dxa"/>
          </w:tcPr>
          <w:p w14:paraId="0CE5C637" w14:textId="77777777" w:rsidR="007D48BE" w:rsidRPr="007D48BE" w:rsidRDefault="007D48BE" w:rsidP="007D48BE">
            <w:pPr>
              <w:jc w:val="center"/>
              <w:rPr>
                <w:rFonts w:ascii="Arial" w:hAnsi="Arial" w:cs="Arial"/>
                <w:lang w:val="en-CA" w:eastAsia="en-CA"/>
              </w:rPr>
            </w:pPr>
            <w:r w:rsidRPr="007D48BE">
              <w:rPr>
                <w:rFonts w:ascii="Arial" w:hAnsi="Arial" w:cs="Arial"/>
                <w:lang w:val="en-CA" w:eastAsia="en-CA"/>
              </w:rPr>
              <w:t>15</w:t>
            </w:r>
          </w:p>
        </w:tc>
      </w:tr>
      <w:tr w:rsidR="007D48BE" w:rsidRPr="007D48BE" w14:paraId="74948F73" w14:textId="77777777" w:rsidTr="007D48BE">
        <w:trPr>
          <w:trHeight w:val="282"/>
        </w:trPr>
        <w:tc>
          <w:tcPr>
            <w:tcW w:w="3114" w:type="dxa"/>
            <w:noWrap/>
            <w:hideMark/>
          </w:tcPr>
          <w:p w14:paraId="0E5237EF" w14:textId="77777777" w:rsidR="007D48BE" w:rsidRPr="007D48BE" w:rsidRDefault="007D48BE" w:rsidP="007D48BE">
            <w:pPr>
              <w:rPr>
                <w:rFonts w:ascii="Arial" w:hAnsi="Arial" w:cs="Arial"/>
                <w:lang w:val="en-CA" w:eastAsia="en-CA"/>
              </w:rPr>
            </w:pPr>
            <w:r w:rsidRPr="007D48BE">
              <w:rPr>
                <w:rFonts w:ascii="Arial" w:hAnsi="Arial" w:cs="Arial"/>
                <w:lang w:val="en-CA" w:eastAsia="en-CA"/>
              </w:rPr>
              <w:t>Squat/Press stands</w:t>
            </w:r>
          </w:p>
        </w:tc>
        <w:tc>
          <w:tcPr>
            <w:tcW w:w="1028" w:type="dxa"/>
            <w:noWrap/>
            <w:hideMark/>
          </w:tcPr>
          <w:p w14:paraId="03388141" w14:textId="77777777" w:rsidR="007D48BE" w:rsidRPr="007D48BE" w:rsidRDefault="007D48BE" w:rsidP="007D48BE">
            <w:pPr>
              <w:jc w:val="center"/>
              <w:rPr>
                <w:rFonts w:ascii="Arial" w:hAnsi="Arial" w:cs="Arial"/>
                <w:lang w:val="en-CA" w:eastAsia="en-CA"/>
              </w:rPr>
            </w:pPr>
            <w:r w:rsidRPr="007D48BE">
              <w:rPr>
                <w:rFonts w:ascii="Arial" w:hAnsi="Arial" w:cs="Arial"/>
                <w:lang w:val="en-CA" w:eastAsia="en-CA"/>
              </w:rPr>
              <w:t>5</w:t>
            </w:r>
          </w:p>
        </w:tc>
        <w:tc>
          <w:tcPr>
            <w:tcW w:w="1154" w:type="dxa"/>
          </w:tcPr>
          <w:p w14:paraId="29C33B49" w14:textId="77777777" w:rsidR="007D48BE" w:rsidRPr="007D48BE" w:rsidRDefault="007D48BE" w:rsidP="007D48BE">
            <w:pPr>
              <w:rPr>
                <w:rFonts w:ascii="Arial" w:hAnsi="Arial" w:cs="Arial"/>
                <w:lang w:val="en-CA" w:eastAsia="en-CA"/>
              </w:rPr>
            </w:pPr>
          </w:p>
        </w:tc>
        <w:tc>
          <w:tcPr>
            <w:tcW w:w="3081" w:type="dxa"/>
          </w:tcPr>
          <w:p w14:paraId="41C61A7E" w14:textId="77777777" w:rsidR="007D48BE" w:rsidRPr="007D48BE" w:rsidRDefault="007D48BE" w:rsidP="007D48BE">
            <w:pPr>
              <w:rPr>
                <w:rFonts w:ascii="Arial" w:hAnsi="Arial" w:cs="Arial"/>
                <w:lang w:val="en-CA" w:eastAsia="en-CA"/>
              </w:rPr>
            </w:pPr>
            <w:r w:rsidRPr="007D48BE">
              <w:rPr>
                <w:rFonts w:ascii="Arial" w:hAnsi="Arial" w:cs="Arial"/>
                <w:lang w:val="en-CA" w:eastAsia="en-CA"/>
              </w:rPr>
              <w:t>Squat/Press stands</w:t>
            </w:r>
          </w:p>
        </w:tc>
        <w:tc>
          <w:tcPr>
            <w:tcW w:w="893" w:type="dxa"/>
          </w:tcPr>
          <w:p w14:paraId="67F31C60" w14:textId="77777777" w:rsidR="007D48BE" w:rsidRPr="007D48BE" w:rsidRDefault="007D48BE" w:rsidP="007D48BE">
            <w:pPr>
              <w:jc w:val="center"/>
              <w:rPr>
                <w:rFonts w:ascii="Arial" w:hAnsi="Arial" w:cs="Arial"/>
                <w:lang w:val="en-CA" w:eastAsia="en-CA"/>
              </w:rPr>
            </w:pPr>
            <w:r w:rsidRPr="007D48BE">
              <w:rPr>
                <w:rFonts w:ascii="Arial" w:hAnsi="Arial" w:cs="Arial"/>
                <w:lang w:val="en-CA" w:eastAsia="en-CA"/>
              </w:rPr>
              <w:t>8</w:t>
            </w:r>
          </w:p>
        </w:tc>
      </w:tr>
      <w:tr w:rsidR="007D48BE" w:rsidRPr="007D48BE" w14:paraId="3472D5D9" w14:textId="77777777" w:rsidTr="007D48BE">
        <w:trPr>
          <w:trHeight w:val="282"/>
        </w:trPr>
        <w:tc>
          <w:tcPr>
            <w:tcW w:w="3114" w:type="dxa"/>
            <w:noWrap/>
            <w:hideMark/>
          </w:tcPr>
          <w:p w14:paraId="0250234C" w14:textId="77777777" w:rsidR="007D48BE" w:rsidRPr="007D48BE" w:rsidRDefault="007D48BE" w:rsidP="007D48BE">
            <w:pPr>
              <w:rPr>
                <w:rFonts w:ascii="Arial" w:hAnsi="Arial" w:cs="Arial"/>
                <w:lang w:val="en-CA" w:eastAsia="en-CA"/>
              </w:rPr>
            </w:pPr>
            <w:r w:rsidRPr="007D48BE">
              <w:rPr>
                <w:rFonts w:ascii="Arial" w:hAnsi="Arial" w:cs="Arial"/>
                <w:lang w:val="en-CA" w:eastAsia="en-CA"/>
              </w:rPr>
              <w:t>Flat utility bench</w:t>
            </w:r>
          </w:p>
        </w:tc>
        <w:tc>
          <w:tcPr>
            <w:tcW w:w="1028" w:type="dxa"/>
            <w:noWrap/>
            <w:hideMark/>
          </w:tcPr>
          <w:p w14:paraId="5766B91B" w14:textId="77777777" w:rsidR="007D48BE" w:rsidRPr="007D48BE" w:rsidRDefault="007D48BE" w:rsidP="007D48BE">
            <w:pPr>
              <w:jc w:val="center"/>
              <w:rPr>
                <w:rFonts w:ascii="Arial" w:hAnsi="Arial" w:cs="Arial"/>
                <w:lang w:val="en-CA" w:eastAsia="en-CA"/>
              </w:rPr>
            </w:pPr>
            <w:r w:rsidRPr="007D48BE">
              <w:rPr>
                <w:rFonts w:ascii="Arial" w:hAnsi="Arial" w:cs="Arial"/>
                <w:lang w:val="en-CA" w:eastAsia="en-CA"/>
              </w:rPr>
              <w:t>8</w:t>
            </w:r>
          </w:p>
        </w:tc>
        <w:tc>
          <w:tcPr>
            <w:tcW w:w="1154" w:type="dxa"/>
          </w:tcPr>
          <w:p w14:paraId="1AD817E1" w14:textId="77777777" w:rsidR="007D48BE" w:rsidRPr="007D48BE" w:rsidRDefault="007D48BE" w:rsidP="007D48BE">
            <w:pPr>
              <w:rPr>
                <w:rFonts w:ascii="Arial" w:hAnsi="Arial" w:cs="Arial"/>
                <w:lang w:val="en-CA" w:eastAsia="en-CA"/>
              </w:rPr>
            </w:pPr>
          </w:p>
        </w:tc>
        <w:tc>
          <w:tcPr>
            <w:tcW w:w="3081" w:type="dxa"/>
          </w:tcPr>
          <w:p w14:paraId="6F18DFC3" w14:textId="77777777" w:rsidR="007D48BE" w:rsidRPr="007D48BE" w:rsidRDefault="007D48BE" w:rsidP="007D48BE">
            <w:pPr>
              <w:rPr>
                <w:rFonts w:ascii="Arial" w:hAnsi="Arial" w:cs="Arial"/>
                <w:lang w:val="en-CA" w:eastAsia="en-CA"/>
              </w:rPr>
            </w:pPr>
            <w:r w:rsidRPr="007D48BE">
              <w:rPr>
                <w:rFonts w:ascii="Arial" w:hAnsi="Arial" w:cs="Arial"/>
                <w:lang w:val="en-CA" w:eastAsia="en-CA"/>
              </w:rPr>
              <w:t>Flat utility bench</w:t>
            </w:r>
          </w:p>
        </w:tc>
        <w:tc>
          <w:tcPr>
            <w:tcW w:w="893" w:type="dxa"/>
          </w:tcPr>
          <w:p w14:paraId="284D318E" w14:textId="77777777" w:rsidR="007D48BE" w:rsidRPr="007D48BE" w:rsidRDefault="007D48BE" w:rsidP="007D48BE">
            <w:pPr>
              <w:jc w:val="center"/>
              <w:rPr>
                <w:rFonts w:ascii="Arial" w:hAnsi="Arial" w:cs="Arial"/>
                <w:lang w:val="en-CA" w:eastAsia="en-CA"/>
              </w:rPr>
            </w:pPr>
            <w:r w:rsidRPr="007D48BE">
              <w:rPr>
                <w:rFonts w:ascii="Arial" w:hAnsi="Arial" w:cs="Arial"/>
                <w:lang w:val="en-CA" w:eastAsia="en-CA"/>
              </w:rPr>
              <w:t>10</w:t>
            </w:r>
          </w:p>
        </w:tc>
      </w:tr>
      <w:tr w:rsidR="007D48BE" w:rsidRPr="007D48BE" w14:paraId="34CFAE61" w14:textId="77777777" w:rsidTr="007D48BE">
        <w:trPr>
          <w:trHeight w:val="282"/>
        </w:trPr>
        <w:tc>
          <w:tcPr>
            <w:tcW w:w="3114" w:type="dxa"/>
            <w:noWrap/>
            <w:hideMark/>
          </w:tcPr>
          <w:p w14:paraId="3482C7B0" w14:textId="77777777" w:rsidR="007D48BE" w:rsidRPr="007D48BE" w:rsidRDefault="007D48BE" w:rsidP="007D48BE">
            <w:pPr>
              <w:rPr>
                <w:rFonts w:ascii="Arial" w:hAnsi="Arial" w:cs="Arial"/>
                <w:lang w:val="en-CA" w:eastAsia="en-CA"/>
              </w:rPr>
            </w:pPr>
            <w:r w:rsidRPr="007D48BE">
              <w:rPr>
                <w:rFonts w:ascii="Arial" w:hAnsi="Arial" w:cs="Arial"/>
                <w:lang w:val="en-CA" w:eastAsia="en-CA"/>
              </w:rPr>
              <w:t>GHD</w:t>
            </w:r>
          </w:p>
        </w:tc>
        <w:tc>
          <w:tcPr>
            <w:tcW w:w="1028" w:type="dxa"/>
            <w:noWrap/>
            <w:hideMark/>
          </w:tcPr>
          <w:p w14:paraId="18338D52" w14:textId="77777777" w:rsidR="007D48BE" w:rsidRPr="007D48BE" w:rsidRDefault="007D48BE" w:rsidP="007D48BE">
            <w:pPr>
              <w:jc w:val="center"/>
              <w:rPr>
                <w:rFonts w:ascii="Arial" w:hAnsi="Arial" w:cs="Arial"/>
                <w:lang w:val="en-CA" w:eastAsia="en-CA"/>
              </w:rPr>
            </w:pPr>
            <w:r w:rsidRPr="007D48BE">
              <w:rPr>
                <w:rFonts w:ascii="Arial" w:hAnsi="Arial" w:cs="Arial"/>
                <w:lang w:val="en-CA" w:eastAsia="en-CA"/>
              </w:rPr>
              <w:t>6</w:t>
            </w:r>
          </w:p>
        </w:tc>
        <w:tc>
          <w:tcPr>
            <w:tcW w:w="1154" w:type="dxa"/>
          </w:tcPr>
          <w:p w14:paraId="0CC1493A" w14:textId="77777777" w:rsidR="007D48BE" w:rsidRPr="007D48BE" w:rsidRDefault="007D48BE" w:rsidP="007D48BE">
            <w:pPr>
              <w:rPr>
                <w:rFonts w:ascii="Arial" w:hAnsi="Arial" w:cs="Arial"/>
                <w:lang w:val="en-CA" w:eastAsia="en-CA"/>
              </w:rPr>
            </w:pPr>
          </w:p>
        </w:tc>
        <w:tc>
          <w:tcPr>
            <w:tcW w:w="3081" w:type="dxa"/>
          </w:tcPr>
          <w:p w14:paraId="6E22DFA7" w14:textId="77777777" w:rsidR="007D48BE" w:rsidRPr="007D48BE" w:rsidRDefault="007D48BE" w:rsidP="007D48BE">
            <w:pPr>
              <w:rPr>
                <w:rFonts w:ascii="Arial" w:hAnsi="Arial" w:cs="Arial"/>
                <w:lang w:val="en-CA" w:eastAsia="en-CA"/>
              </w:rPr>
            </w:pPr>
            <w:r w:rsidRPr="007D48BE">
              <w:rPr>
                <w:rFonts w:ascii="Arial" w:hAnsi="Arial" w:cs="Arial"/>
                <w:lang w:val="en-CA" w:eastAsia="en-CA"/>
              </w:rPr>
              <w:t>GHD</w:t>
            </w:r>
          </w:p>
        </w:tc>
        <w:tc>
          <w:tcPr>
            <w:tcW w:w="893" w:type="dxa"/>
          </w:tcPr>
          <w:p w14:paraId="4AEB029A" w14:textId="77777777" w:rsidR="007D48BE" w:rsidRPr="007D48BE" w:rsidRDefault="007D48BE" w:rsidP="007D48BE">
            <w:pPr>
              <w:jc w:val="center"/>
              <w:rPr>
                <w:rFonts w:ascii="Arial" w:hAnsi="Arial" w:cs="Arial"/>
                <w:lang w:val="en-CA" w:eastAsia="en-CA"/>
              </w:rPr>
            </w:pPr>
            <w:r w:rsidRPr="007D48BE">
              <w:rPr>
                <w:rFonts w:ascii="Arial" w:hAnsi="Arial" w:cs="Arial"/>
                <w:lang w:val="en-CA" w:eastAsia="en-CA"/>
              </w:rPr>
              <w:t>6</w:t>
            </w:r>
          </w:p>
        </w:tc>
      </w:tr>
      <w:tr w:rsidR="007D48BE" w:rsidRPr="007D48BE" w14:paraId="32FFA857" w14:textId="77777777" w:rsidTr="007D48BE">
        <w:trPr>
          <w:trHeight w:val="282"/>
        </w:trPr>
        <w:tc>
          <w:tcPr>
            <w:tcW w:w="3114" w:type="dxa"/>
            <w:noWrap/>
            <w:hideMark/>
          </w:tcPr>
          <w:p w14:paraId="1E619050" w14:textId="77777777" w:rsidR="007D48BE" w:rsidRPr="007D48BE" w:rsidRDefault="007D48BE" w:rsidP="007D48BE">
            <w:pPr>
              <w:rPr>
                <w:rFonts w:ascii="Arial" w:hAnsi="Arial" w:cs="Arial"/>
                <w:lang w:val="en-CA" w:eastAsia="en-CA"/>
              </w:rPr>
            </w:pPr>
            <w:r w:rsidRPr="007D48BE">
              <w:rPr>
                <w:rFonts w:ascii="Arial" w:hAnsi="Arial" w:cs="Arial"/>
                <w:lang w:val="en-CA" w:eastAsia="en-CA"/>
              </w:rPr>
              <w:t>Butchers</w:t>
            </w:r>
          </w:p>
        </w:tc>
        <w:tc>
          <w:tcPr>
            <w:tcW w:w="1028" w:type="dxa"/>
            <w:noWrap/>
            <w:hideMark/>
          </w:tcPr>
          <w:p w14:paraId="1FEA1512" w14:textId="77777777" w:rsidR="007D48BE" w:rsidRPr="007D48BE" w:rsidRDefault="007D48BE" w:rsidP="007D48BE">
            <w:pPr>
              <w:jc w:val="center"/>
              <w:rPr>
                <w:rFonts w:ascii="Arial" w:hAnsi="Arial" w:cs="Arial"/>
                <w:lang w:val="en-CA" w:eastAsia="en-CA"/>
              </w:rPr>
            </w:pPr>
            <w:r w:rsidRPr="007D48BE">
              <w:rPr>
                <w:rFonts w:ascii="Arial" w:hAnsi="Arial" w:cs="Arial"/>
                <w:lang w:val="en-CA" w:eastAsia="en-CA"/>
              </w:rPr>
              <w:t>5</w:t>
            </w:r>
          </w:p>
        </w:tc>
        <w:tc>
          <w:tcPr>
            <w:tcW w:w="1154" w:type="dxa"/>
          </w:tcPr>
          <w:p w14:paraId="72371C5E" w14:textId="77777777" w:rsidR="007D48BE" w:rsidRPr="007D48BE" w:rsidRDefault="007D48BE" w:rsidP="007D48BE">
            <w:pPr>
              <w:rPr>
                <w:rFonts w:ascii="Arial" w:hAnsi="Arial" w:cs="Arial"/>
                <w:lang w:val="en-CA" w:eastAsia="en-CA"/>
              </w:rPr>
            </w:pPr>
          </w:p>
        </w:tc>
        <w:tc>
          <w:tcPr>
            <w:tcW w:w="3081" w:type="dxa"/>
          </w:tcPr>
          <w:p w14:paraId="47483144" w14:textId="77777777" w:rsidR="007D48BE" w:rsidRPr="007D48BE" w:rsidRDefault="007D48BE" w:rsidP="007D48BE">
            <w:pPr>
              <w:rPr>
                <w:rFonts w:ascii="Arial" w:hAnsi="Arial" w:cs="Arial"/>
                <w:lang w:val="en-CA" w:eastAsia="en-CA"/>
              </w:rPr>
            </w:pPr>
            <w:r w:rsidRPr="007D48BE">
              <w:rPr>
                <w:rFonts w:ascii="Arial" w:hAnsi="Arial" w:cs="Arial"/>
                <w:lang w:val="en-CA" w:eastAsia="en-CA"/>
              </w:rPr>
              <w:t>I-44 infinity rig</w:t>
            </w:r>
          </w:p>
        </w:tc>
        <w:tc>
          <w:tcPr>
            <w:tcW w:w="893" w:type="dxa"/>
          </w:tcPr>
          <w:p w14:paraId="3796E5EE" w14:textId="77777777" w:rsidR="007D48BE" w:rsidRPr="007D48BE" w:rsidRDefault="007D48BE" w:rsidP="007D48BE">
            <w:pPr>
              <w:jc w:val="center"/>
              <w:rPr>
                <w:rFonts w:ascii="Arial" w:hAnsi="Arial" w:cs="Arial"/>
                <w:lang w:val="en-CA" w:eastAsia="en-CA"/>
              </w:rPr>
            </w:pPr>
            <w:r w:rsidRPr="007D48BE">
              <w:rPr>
                <w:rFonts w:ascii="Arial" w:hAnsi="Arial" w:cs="Arial"/>
                <w:lang w:val="en-CA" w:eastAsia="en-CA"/>
              </w:rPr>
              <w:t>1</w:t>
            </w:r>
          </w:p>
        </w:tc>
      </w:tr>
      <w:tr w:rsidR="007D48BE" w:rsidRPr="007D48BE" w14:paraId="4A15720B" w14:textId="77777777" w:rsidTr="007D48BE">
        <w:trPr>
          <w:trHeight w:val="282"/>
        </w:trPr>
        <w:tc>
          <w:tcPr>
            <w:tcW w:w="3114" w:type="dxa"/>
            <w:noWrap/>
            <w:hideMark/>
          </w:tcPr>
          <w:p w14:paraId="14E9D305" w14:textId="77777777" w:rsidR="007D48BE" w:rsidRPr="007D48BE" w:rsidRDefault="007D48BE" w:rsidP="007D48BE">
            <w:pPr>
              <w:rPr>
                <w:rFonts w:ascii="Arial" w:hAnsi="Arial" w:cs="Arial"/>
                <w:lang w:val="en-CA" w:eastAsia="en-CA"/>
              </w:rPr>
            </w:pPr>
            <w:r w:rsidRPr="007D48BE">
              <w:rPr>
                <w:rFonts w:ascii="Arial" w:hAnsi="Arial" w:cs="Arial"/>
                <w:lang w:val="en-CA" w:eastAsia="en-CA"/>
              </w:rPr>
              <w:t>Sleds</w:t>
            </w:r>
          </w:p>
        </w:tc>
        <w:tc>
          <w:tcPr>
            <w:tcW w:w="1028" w:type="dxa"/>
            <w:noWrap/>
            <w:hideMark/>
          </w:tcPr>
          <w:p w14:paraId="6951303E" w14:textId="77777777" w:rsidR="007D48BE" w:rsidRPr="007D48BE" w:rsidRDefault="007D48BE" w:rsidP="007D48BE">
            <w:pPr>
              <w:jc w:val="center"/>
              <w:rPr>
                <w:rFonts w:ascii="Arial" w:hAnsi="Arial" w:cs="Arial"/>
                <w:lang w:val="en-CA" w:eastAsia="en-CA"/>
              </w:rPr>
            </w:pPr>
            <w:r w:rsidRPr="007D48BE">
              <w:rPr>
                <w:rFonts w:ascii="Arial" w:hAnsi="Arial" w:cs="Arial"/>
                <w:lang w:val="en-CA" w:eastAsia="en-CA"/>
              </w:rPr>
              <w:t>5</w:t>
            </w:r>
          </w:p>
        </w:tc>
        <w:tc>
          <w:tcPr>
            <w:tcW w:w="1154" w:type="dxa"/>
          </w:tcPr>
          <w:p w14:paraId="6AB4BB06" w14:textId="77777777" w:rsidR="007D48BE" w:rsidRPr="007D48BE" w:rsidRDefault="007D48BE" w:rsidP="007D48BE">
            <w:pPr>
              <w:rPr>
                <w:rFonts w:ascii="Arial" w:hAnsi="Arial" w:cs="Arial"/>
                <w:lang w:val="en-CA" w:eastAsia="en-CA"/>
              </w:rPr>
            </w:pPr>
          </w:p>
        </w:tc>
        <w:tc>
          <w:tcPr>
            <w:tcW w:w="3081" w:type="dxa"/>
          </w:tcPr>
          <w:p w14:paraId="3277C2BA" w14:textId="77777777" w:rsidR="007D48BE" w:rsidRPr="007D48BE" w:rsidRDefault="007D48BE" w:rsidP="007D48BE">
            <w:pPr>
              <w:rPr>
                <w:rFonts w:ascii="Arial" w:hAnsi="Arial" w:cs="Arial"/>
                <w:lang w:val="en-CA" w:eastAsia="en-CA"/>
              </w:rPr>
            </w:pPr>
            <w:r w:rsidRPr="007D48BE">
              <w:rPr>
                <w:rFonts w:ascii="Arial" w:hAnsi="Arial" w:cs="Arial"/>
                <w:lang w:val="en-CA" w:eastAsia="en-CA"/>
              </w:rPr>
              <w:t>Speed ropes</w:t>
            </w:r>
          </w:p>
        </w:tc>
        <w:tc>
          <w:tcPr>
            <w:tcW w:w="893" w:type="dxa"/>
          </w:tcPr>
          <w:p w14:paraId="3776227A" w14:textId="77777777" w:rsidR="007D48BE" w:rsidRPr="007D48BE" w:rsidRDefault="007D48BE" w:rsidP="007D48BE">
            <w:pPr>
              <w:jc w:val="center"/>
              <w:rPr>
                <w:rFonts w:ascii="Arial" w:hAnsi="Arial" w:cs="Arial"/>
                <w:lang w:val="en-CA" w:eastAsia="en-CA"/>
              </w:rPr>
            </w:pPr>
            <w:r w:rsidRPr="007D48BE">
              <w:rPr>
                <w:rFonts w:ascii="Arial" w:hAnsi="Arial" w:cs="Arial"/>
                <w:lang w:val="en-CA" w:eastAsia="en-CA"/>
              </w:rPr>
              <w:t>15</w:t>
            </w:r>
          </w:p>
        </w:tc>
      </w:tr>
      <w:tr w:rsidR="007D48BE" w:rsidRPr="007D48BE" w14:paraId="22292366" w14:textId="77777777" w:rsidTr="007D48BE">
        <w:trPr>
          <w:trHeight w:val="282"/>
        </w:trPr>
        <w:tc>
          <w:tcPr>
            <w:tcW w:w="3114" w:type="dxa"/>
            <w:noWrap/>
            <w:hideMark/>
          </w:tcPr>
          <w:p w14:paraId="33C4F407" w14:textId="77777777" w:rsidR="007D48BE" w:rsidRPr="007D48BE" w:rsidRDefault="007D48BE" w:rsidP="007D48BE">
            <w:pPr>
              <w:rPr>
                <w:rFonts w:ascii="Arial" w:hAnsi="Arial" w:cs="Arial"/>
                <w:lang w:val="en-CA" w:eastAsia="en-CA"/>
              </w:rPr>
            </w:pPr>
            <w:r w:rsidRPr="007D48BE">
              <w:rPr>
                <w:rFonts w:ascii="Arial" w:hAnsi="Arial" w:cs="Arial"/>
                <w:lang w:val="en-CA" w:eastAsia="en-CA"/>
              </w:rPr>
              <w:t>I-24 infinity rig</w:t>
            </w:r>
          </w:p>
        </w:tc>
        <w:tc>
          <w:tcPr>
            <w:tcW w:w="1028" w:type="dxa"/>
            <w:noWrap/>
            <w:hideMark/>
          </w:tcPr>
          <w:p w14:paraId="25D276D4" w14:textId="77777777" w:rsidR="007D48BE" w:rsidRPr="007D48BE" w:rsidRDefault="007D48BE" w:rsidP="007D48BE">
            <w:pPr>
              <w:jc w:val="center"/>
              <w:rPr>
                <w:rFonts w:ascii="Arial" w:hAnsi="Arial" w:cs="Arial"/>
                <w:lang w:val="en-CA" w:eastAsia="en-CA"/>
              </w:rPr>
            </w:pPr>
            <w:r w:rsidRPr="007D48BE">
              <w:rPr>
                <w:rFonts w:ascii="Arial" w:hAnsi="Arial" w:cs="Arial"/>
                <w:lang w:val="en-CA" w:eastAsia="en-CA"/>
              </w:rPr>
              <w:t>1</w:t>
            </w:r>
          </w:p>
        </w:tc>
        <w:tc>
          <w:tcPr>
            <w:tcW w:w="1154" w:type="dxa"/>
          </w:tcPr>
          <w:p w14:paraId="16256508" w14:textId="77777777" w:rsidR="007D48BE" w:rsidRPr="007D48BE" w:rsidRDefault="007D48BE" w:rsidP="007D48BE">
            <w:pPr>
              <w:rPr>
                <w:rFonts w:ascii="Arial" w:hAnsi="Arial" w:cs="Arial"/>
                <w:lang w:val="en-CA" w:eastAsia="en-CA"/>
              </w:rPr>
            </w:pPr>
          </w:p>
        </w:tc>
        <w:tc>
          <w:tcPr>
            <w:tcW w:w="3081" w:type="dxa"/>
          </w:tcPr>
          <w:p w14:paraId="33A1985B" w14:textId="77777777" w:rsidR="007D48BE" w:rsidRPr="007D48BE" w:rsidRDefault="007D48BE" w:rsidP="007D48BE">
            <w:pPr>
              <w:rPr>
                <w:rFonts w:ascii="Arial" w:hAnsi="Arial" w:cs="Arial"/>
                <w:lang w:val="en-CA" w:eastAsia="en-CA"/>
              </w:rPr>
            </w:pPr>
            <w:r w:rsidRPr="007D48BE">
              <w:rPr>
                <w:rFonts w:ascii="Arial" w:hAnsi="Arial" w:cs="Arial"/>
                <w:lang w:val="en-CA" w:eastAsia="en-CA"/>
              </w:rPr>
              <w:t>Ab-mats</w:t>
            </w:r>
          </w:p>
        </w:tc>
        <w:tc>
          <w:tcPr>
            <w:tcW w:w="893" w:type="dxa"/>
          </w:tcPr>
          <w:p w14:paraId="595EBA97" w14:textId="77777777" w:rsidR="007D48BE" w:rsidRPr="007D48BE" w:rsidRDefault="007D48BE" w:rsidP="007D48BE">
            <w:pPr>
              <w:jc w:val="center"/>
              <w:rPr>
                <w:rFonts w:ascii="Arial" w:hAnsi="Arial" w:cs="Arial"/>
                <w:lang w:val="en-CA" w:eastAsia="en-CA"/>
              </w:rPr>
            </w:pPr>
            <w:r w:rsidRPr="007D48BE">
              <w:rPr>
                <w:rFonts w:ascii="Arial" w:hAnsi="Arial" w:cs="Arial"/>
                <w:lang w:val="en-CA" w:eastAsia="en-CA"/>
              </w:rPr>
              <w:t>15</w:t>
            </w:r>
          </w:p>
        </w:tc>
      </w:tr>
      <w:tr w:rsidR="007D48BE" w:rsidRPr="007D48BE" w14:paraId="6875BE78" w14:textId="77777777" w:rsidTr="007D48BE">
        <w:trPr>
          <w:trHeight w:val="282"/>
        </w:trPr>
        <w:tc>
          <w:tcPr>
            <w:tcW w:w="3114" w:type="dxa"/>
            <w:noWrap/>
            <w:hideMark/>
          </w:tcPr>
          <w:p w14:paraId="1F3FD327" w14:textId="77777777" w:rsidR="007D48BE" w:rsidRPr="007D48BE" w:rsidRDefault="007D48BE" w:rsidP="007D48BE">
            <w:pPr>
              <w:rPr>
                <w:rFonts w:ascii="Arial" w:hAnsi="Arial" w:cs="Arial"/>
                <w:lang w:val="en-CA" w:eastAsia="en-CA"/>
              </w:rPr>
            </w:pPr>
            <w:r w:rsidRPr="007D48BE">
              <w:rPr>
                <w:rFonts w:ascii="Arial" w:hAnsi="Arial" w:cs="Arial"/>
                <w:lang w:val="en-CA" w:eastAsia="en-CA"/>
              </w:rPr>
              <w:t>Speed ropes</w:t>
            </w:r>
          </w:p>
        </w:tc>
        <w:tc>
          <w:tcPr>
            <w:tcW w:w="1028" w:type="dxa"/>
            <w:noWrap/>
            <w:hideMark/>
          </w:tcPr>
          <w:p w14:paraId="6E944380" w14:textId="77777777" w:rsidR="007D48BE" w:rsidRPr="007D48BE" w:rsidRDefault="007D48BE" w:rsidP="007D48BE">
            <w:pPr>
              <w:jc w:val="center"/>
              <w:rPr>
                <w:rFonts w:ascii="Arial" w:hAnsi="Arial" w:cs="Arial"/>
                <w:lang w:val="en-CA" w:eastAsia="en-CA"/>
              </w:rPr>
            </w:pPr>
            <w:r w:rsidRPr="007D48BE">
              <w:rPr>
                <w:rFonts w:ascii="Arial" w:hAnsi="Arial" w:cs="Arial"/>
                <w:lang w:val="en-CA" w:eastAsia="en-CA"/>
              </w:rPr>
              <w:t>10</w:t>
            </w:r>
          </w:p>
        </w:tc>
        <w:tc>
          <w:tcPr>
            <w:tcW w:w="1154" w:type="dxa"/>
          </w:tcPr>
          <w:p w14:paraId="48EE7884" w14:textId="77777777" w:rsidR="007D48BE" w:rsidRPr="007D48BE" w:rsidRDefault="007D48BE" w:rsidP="007D48BE">
            <w:pPr>
              <w:rPr>
                <w:rFonts w:ascii="Arial" w:hAnsi="Arial" w:cs="Arial"/>
                <w:lang w:val="en-CA" w:eastAsia="en-CA"/>
              </w:rPr>
            </w:pPr>
          </w:p>
        </w:tc>
        <w:tc>
          <w:tcPr>
            <w:tcW w:w="3081" w:type="dxa"/>
          </w:tcPr>
          <w:p w14:paraId="7F9232E5" w14:textId="77777777" w:rsidR="007D48BE" w:rsidRPr="007D48BE" w:rsidRDefault="007D48BE" w:rsidP="007D48BE">
            <w:pPr>
              <w:rPr>
                <w:rFonts w:ascii="Arial" w:hAnsi="Arial" w:cs="Arial"/>
                <w:lang w:val="en-CA" w:eastAsia="en-CA"/>
              </w:rPr>
            </w:pPr>
            <w:r w:rsidRPr="007D48BE">
              <w:rPr>
                <w:rFonts w:ascii="Arial" w:hAnsi="Arial" w:cs="Arial"/>
                <w:lang w:val="en-CA" w:eastAsia="en-CA"/>
              </w:rPr>
              <w:t>Rower</w:t>
            </w:r>
          </w:p>
        </w:tc>
        <w:tc>
          <w:tcPr>
            <w:tcW w:w="893" w:type="dxa"/>
          </w:tcPr>
          <w:p w14:paraId="26B77E51" w14:textId="77777777" w:rsidR="007D48BE" w:rsidRPr="007D48BE" w:rsidRDefault="007D48BE" w:rsidP="007D48BE">
            <w:pPr>
              <w:jc w:val="center"/>
              <w:rPr>
                <w:rFonts w:ascii="Arial" w:hAnsi="Arial" w:cs="Arial"/>
                <w:lang w:val="en-CA" w:eastAsia="en-CA"/>
              </w:rPr>
            </w:pPr>
            <w:r w:rsidRPr="007D48BE">
              <w:rPr>
                <w:rFonts w:ascii="Arial" w:hAnsi="Arial" w:cs="Arial"/>
                <w:lang w:val="en-CA" w:eastAsia="en-CA"/>
              </w:rPr>
              <w:t>10</w:t>
            </w:r>
          </w:p>
        </w:tc>
      </w:tr>
      <w:tr w:rsidR="007D48BE" w:rsidRPr="007D48BE" w14:paraId="6B1E5000" w14:textId="77777777" w:rsidTr="007D48BE">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282"/>
        </w:trPr>
        <w:tc>
          <w:tcPr>
            <w:tcW w:w="3114" w:type="dxa"/>
            <w:noWrap/>
            <w:hideMark/>
          </w:tcPr>
          <w:p w14:paraId="0818E1A8" w14:textId="77777777" w:rsidR="007D48BE" w:rsidRPr="007D48BE" w:rsidRDefault="007D48BE" w:rsidP="007D48BE">
            <w:pPr>
              <w:rPr>
                <w:rFonts w:ascii="Arial" w:hAnsi="Arial" w:cs="Arial"/>
                <w:lang w:val="en-CA" w:eastAsia="en-CA"/>
              </w:rPr>
            </w:pPr>
            <w:r w:rsidRPr="007D48BE">
              <w:rPr>
                <w:rFonts w:ascii="Arial" w:hAnsi="Arial" w:cs="Arial"/>
                <w:lang w:val="en-CA" w:eastAsia="en-CA"/>
              </w:rPr>
              <w:t>Ab-mats</w:t>
            </w:r>
          </w:p>
        </w:tc>
        <w:tc>
          <w:tcPr>
            <w:tcW w:w="1028" w:type="dxa"/>
            <w:noWrap/>
            <w:hideMark/>
          </w:tcPr>
          <w:p w14:paraId="3D959843" w14:textId="77777777" w:rsidR="007D48BE" w:rsidRPr="007D48BE" w:rsidRDefault="007D48BE" w:rsidP="007D48BE">
            <w:pPr>
              <w:jc w:val="center"/>
              <w:rPr>
                <w:rFonts w:ascii="Arial" w:hAnsi="Arial" w:cs="Arial"/>
                <w:lang w:val="en-CA" w:eastAsia="en-CA"/>
              </w:rPr>
            </w:pPr>
            <w:r w:rsidRPr="007D48BE">
              <w:rPr>
                <w:rFonts w:ascii="Arial" w:hAnsi="Arial" w:cs="Arial"/>
                <w:lang w:val="en-CA" w:eastAsia="en-CA"/>
              </w:rPr>
              <w:t>10</w:t>
            </w:r>
          </w:p>
        </w:tc>
        <w:tc>
          <w:tcPr>
            <w:tcW w:w="1154" w:type="dxa"/>
          </w:tcPr>
          <w:p w14:paraId="2EFF1EF4" w14:textId="77777777" w:rsidR="007D48BE" w:rsidRPr="007D48BE" w:rsidRDefault="007D48BE" w:rsidP="007D48BE">
            <w:pPr>
              <w:rPr>
                <w:rFonts w:ascii="Arial" w:hAnsi="Arial" w:cs="Arial"/>
                <w:lang w:val="en-CA" w:eastAsia="en-CA"/>
              </w:rPr>
            </w:pPr>
          </w:p>
        </w:tc>
        <w:tc>
          <w:tcPr>
            <w:tcW w:w="3081" w:type="dxa"/>
            <w:tcBorders>
              <w:bottom w:val="single" w:sz="4" w:space="0" w:color="auto"/>
            </w:tcBorders>
          </w:tcPr>
          <w:p w14:paraId="0C533D9A" w14:textId="77777777" w:rsidR="007D48BE" w:rsidRPr="007D48BE" w:rsidRDefault="007D48BE" w:rsidP="007D48BE">
            <w:pPr>
              <w:rPr>
                <w:rFonts w:ascii="Arial" w:hAnsi="Arial" w:cs="Arial"/>
                <w:lang w:val="en-CA" w:eastAsia="en-CA"/>
              </w:rPr>
            </w:pPr>
            <w:r w:rsidRPr="007D48BE">
              <w:rPr>
                <w:rFonts w:ascii="Arial" w:hAnsi="Arial" w:cs="Arial"/>
                <w:lang w:val="en-CA" w:eastAsia="en-CA"/>
              </w:rPr>
              <w:t>Gym timer</w:t>
            </w:r>
          </w:p>
        </w:tc>
        <w:tc>
          <w:tcPr>
            <w:tcW w:w="893" w:type="dxa"/>
            <w:tcBorders>
              <w:bottom w:val="single" w:sz="4" w:space="0" w:color="auto"/>
            </w:tcBorders>
          </w:tcPr>
          <w:p w14:paraId="706EF0F1" w14:textId="77777777" w:rsidR="007D48BE" w:rsidRPr="007D48BE" w:rsidRDefault="007D48BE" w:rsidP="007D48BE">
            <w:pPr>
              <w:jc w:val="center"/>
              <w:rPr>
                <w:rFonts w:ascii="Arial" w:hAnsi="Arial" w:cs="Arial"/>
                <w:lang w:val="en-CA" w:eastAsia="en-CA"/>
              </w:rPr>
            </w:pPr>
            <w:r w:rsidRPr="007D48BE">
              <w:rPr>
                <w:rFonts w:ascii="Arial" w:hAnsi="Arial" w:cs="Arial"/>
                <w:lang w:val="en-CA" w:eastAsia="en-CA"/>
              </w:rPr>
              <w:t>1</w:t>
            </w:r>
          </w:p>
        </w:tc>
      </w:tr>
      <w:tr w:rsidR="007D48BE" w:rsidRPr="007D48BE" w14:paraId="2DB00F01" w14:textId="77777777" w:rsidTr="007D48BE">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248"/>
        </w:trPr>
        <w:tc>
          <w:tcPr>
            <w:tcW w:w="3114" w:type="dxa"/>
            <w:noWrap/>
            <w:hideMark/>
          </w:tcPr>
          <w:p w14:paraId="04EFF2FC" w14:textId="77777777" w:rsidR="007D48BE" w:rsidRPr="007D48BE" w:rsidRDefault="007D48BE" w:rsidP="007D48BE">
            <w:pPr>
              <w:rPr>
                <w:rFonts w:ascii="Arial" w:hAnsi="Arial" w:cs="Arial"/>
                <w:lang w:val="en-CA" w:eastAsia="en-CA"/>
              </w:rPr>
            </w:pPr>
            <w:r w:rsidRPr="007D48BE">
              <w:rPr>
                <w:rFonts w:ascii="Arial" w:hAnsi="Arial" w:cs="Arial"/>
                <w:lang w:val="en-CA" w:eastAsia="en-CA"/>
              </w:rPr>
              <w:t>Rower</w:t>
            </w:r>
          </w:p>
        </w:tc>
        <w:tc>
          <w:tcPr>
            <w:tcW w:w="1028" w:type="dxa"/>
            <w:noWrap/>
            <w:hideMark/>
          </w:tcPr>
          <w:p w14:paraId="04495F14" w14:textId="77777777" w:rsidR="007D48BE" w:rsidRPr="007D48BE" w:rsidRDefault="007D48BE" w:rsidP="007D48BE">
            <w:pPr>
              <w:jc w:val="center"/>
              <w:rPr>
                <w:rFonts w:ascii="Arial" w:hAnsi="Arial" w:cs="Arial"/>
                <w:lang w:val="en-CA" w:eastAsia="en-CA"/>
              </w:rPr>
            </w:pPr>
            <w:r w:rsidRPr="007D48BE">
              <w:rPr>
                <w:rFonts w:ascii="Arial" w:hAnsi="Arial" w:cs="Arial"/>
                <w:lang w:val="en-CA" w:eastAsia="en-CA"/>
              </w:rPr>
              <w:t>8</w:t>
            </w:r>
          </w:p>
        </w:tc>
        <w:tc>
          <w:tcPr>
            <w:tcW w:w="1154" w:type="dxa"/>
          </w:tcPr>
          <w:p w14:paraId="0DD13838" w14:textId="77777777" w:rsidR="007D48BE" w:rsidRPr="007D48BE" w:rsidRDefault="007D48BE" w:rsidP="007D48BE">
            <w:pPr>
              <w:rPr>
                <w:rFonts w:ascii="Arial" w:hAnsi="Arial" w:cs="Arial"/>
                <w:lang w:val="en-CA" w:eastAsia="en-CA"/>
              </w:rPr>
            </w:pPr>
          </w:p>
        </w:tc>
        <w:tc>
          <w:tcPr>
            <w:tcW w:w="3081" w:type="dxa"/>
            <w:tcBorders>
              <w:top w:val="single" w:sz="4" w:space="0" w:color="auto"/>
              <w:bottom w:val="double" w:sz="4" w:space="0" w:color="auto"/>
            </w:tcBorders>
          </w:tcPr>
          <w:p w14:paraId="2E66676E" w14:textId="77777777" w:rsidR="007D48BE" w:rsidRPr="007D48BE" w:rsidRDefault="007D48BE" w:rsidP="007D48BE">
            <w:pPr>
              <w:rPr>
                <w:rFonts w:ascii="Arial" w:hAnsi="Arial" w:cs="Arial"/>
                <w:b/>
                <w:lang w:val="en-CA" w:eastAsia="en-CA"/>
              </w:rPr>
            </w:pPr>
            <w:r w:rsidRPr="007D48BE">
              <w:rPr>
                <w:rFonts w:ascii="Arial" w:hAnsi="Arial" w:cs="Arial"/>
                <w:b/>
                <w:lang w:val="en-CA" w:eastAsia="en-CA"/>
              </w:rPr>
              <w:t>Total cost</w:t>
            </w:r>
          </w:p>
        </w:tc>
        <w:tc>
          <w:tcPr>
            <w:tcW w:w="893" w:type="dxa"/>
            <w:tcBorders>
              <w:top w:val="single" w:sz="4" w:space="0" w:color="auto"/>
              <w:bottom w:val="double" w:sz="4" w:space="0" w:color="auto"/>
            </w:tcBorders>
          </w:tcPr>
          <w:p w14:paraId="299AAB72" w14:textId="77777777" w:rsidR="007D48BE" w:rsidRPr="007D48BE" w:rsidRDefault="007D48BE" w:rsidP="007D48BE">
            <w:pPr>
              <w:rPr>
                <w:rFonts w:ascii="Arial" w:hAnsi="Arial" w:cs="Arial"/>
                <w:b/>
                <w:lang w:val="en-CA" w:eastAsia="en-CA"/>
              </w:rPr>
            </w:pPr>
            <w:r w:rsidRPr="007D48BE">
              <w:rPr>
                <w:rFonts w:ascii="Arial" w:hAnsi="Arial" w:cs="Arial"/>
                <w:b/>
                <w:lang w:val="en-CA" w:eastAsia="en-CA"/>
              </w:rPr>
              <w:t>$60,000</w:t>
            </w:r>
          </w:p>
        </w:tc>
      </w:tr>
      <w:tr w:rsidR="007D48BE" w:rsidRPr="007D48BE" w14:paraId="302DBE24" w14:textId="77777777" w:rsidTr="007D48BE">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282"/>
        </w:trPr>
        <w:tc>
          <w:tcPr>
            <w:tcW w:w="3114" w:type="dxa"/>
            <w:tcBorders>
              <w:bottom w:val="single" w:sz="4" w:space="0" w:color="auto"/>
            </w:tcBorders>
            <w:noWrap/>
            <w:hideMark/>
          </w:tcPr>
          <w:p w14:paraId="563C63FE" w14:textId="77777777" w:rsidR="007D48BE" w:rsidRPr="007D48BE" w:rsidRDefault="007D48BE" w:rsidP="007D48BE">
            <w:pPr>
              <w:rPr>
                <w:rFonts w:ascii="Arial" w:hAnsi="Arial" w:cs="Arial"/>
                <w:lang w:val="en-CA" w:eastAsia="en-CA"/>
              </w:rPr>
            </w:pPr>
            <w:r w:rsidRPr="007D48BE">
              <w:rPr>
                <w:rFonts w:ascii="Arial" w:hAnsi="Arial" w:cs="Arial"/>
                <w:lang w:val="en-CA" w:eastAsia="en-CA"/>
              </w:rPr>
              <w:t>Gym timer</w:t>
            </w:r>
          </w:p>
        </w:tc>
        <w:tc>
          <w:tcPr>
            <w:tcW w:w="1028" w:type="dxa"/>
            <w:tcBorders>
              <w:bottom w:val="single" w:sz="4" w:space="0" w:color="auto"/>
            </w:tcBorders>
            <w:noWrap/>
            <w:hideMark/>
          </w:tcPr>
          <w:p w14:paraId="65D4DDD0" w14:textId="77777777" w:rsidR="007D48BE" w:rsidRPr="007D48BE" w:rsidRDefault="007D48BE" w:rsidP="007D48BE">
            <w:pPr>
              <w:jc w:val="center"/>
              <w:rPr>
                <w:rFonts w:ascii="Arial" w:hAnsi="Arial" w:cs="Arial"/>
                <w:lang w:val="en-CA" w:eastAsia="en-CA"/>
              </w:rPr>
            </w:pPr>
            <w:r w:rsidRPr="007D48BE">
              <w:rPr>
                <w:rFonts w:ascii="Arial" w:hAnsi="Arial" w:cs="Arial"/>
                <w:lang w:val="en-CA" w:eastAsia="en-CA"/>
              </w:rPr>
              <w:t>1</w:t>
            </w:r>
          </w:p>
        </w:tc>
        <w:tc>
          <w:tcPr>
            <w:tcW w:w="1154" w:type="dxa"/>
          </w:tcPr>
          <w:p w14:paraId="324E6CE6" w14:textId="77777777" w:rsidR="007D48BE" w:rsidRPr="007D48BE" w:rsidRDefault="007D48BE" w:rsidP="007D48BE">
            <w:pPr>
              <w:rPr>
                <w:rFonts w:ascii="Arial" w:hAnsi="Arial" w:cs="Arial"/>
                <w:lang w:val="en-CA" w:eastAsia="en-CA"/>
              </w:rPr>
            </w:pPr>
          </w:p>
        </w:tc>
        <w:tc>
          <w:tcPr>
            <w:tcW w:w="3081" w:type="dxa"/>
            <w:tcBorders>
              <w:top w:val="double" w:sz="4" w:space="0" w:color="auto"/>
            </w:tcBorders>
          </w:tcPr>
          <w:p w14:paraId="05B48275" w14:textId="77777777" w:rsidR="007D48BE" w:rsidRPr="007D48BE" w:rsidRDefault="007D48BE" w:rsidP="007D48BE">
            <w:pPr>
              <w:rPr>
                <w:rFonts w:ascii="Arial" w:hAnsi="Arial" w:cs="Arial"/>
                <w:lang w:val="en-CA" w:eastAsia="en-CA"/>
              </w:rPr>
            </w:pPr>
          </w:p>
        </w:tc>
        <w:tc>
          <w:tcPr>
            <w:tcW w:w="893" w:type="dxa"/>
            <w:tcBorders>
              <w:top w:val="double" w:sz="4" w:space="0" w:color="auto"/>
            </w:tcBorders>
          </w:tcPr>
          <w:p w14:paraId="78FD803E" w14:textId="77777777" w:rsidR="007D48BE" w:rsidRPr="007D48BE" w:rsidRDefault="007D48BE" w:rsidP="007D48BE">
            <w:pPr>
              <w:rPr>
                <w:rFonts w:ascii="Arial" w:hAnsi="Arial" w:cs="Arial"/>
                <w:lang w:val="en-CA" w:eastAsia="en-CA"/>
              </w:rPr>
            </w:pPr>
          </w:p>
        </w:tc>
      </w:tr>
      <w:tr w:rsidR="007D48BE" w:rsidRPr="007D48BE" w14:paraId="10B38743" w14:textId="77777777" w:rsidTr="007D48BE">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282"/>
        </w:trPr>
        <w:tc>
          <w:tcPr>
            <w:tcW w:w="3114" w:type="dxa"/>
            <w:tcBorders>
              <w:top w:val="single" w:sz="4" w:space="0" w:color="auto"/>
              <w:bottom w:val="double" w:sz="4" w:space="0" w:color="auto"/>
            </w:tcBorders>
            <w:noWrap/>
          </w:tcPr>
          <w:p w14:paraId="65E4290B" w14:textId="77777777" w:rsidR="007D48BE" w:rsidRPr="007D48BE" w:rsidRDefault="007D48BE" w:rsidP="007D48BE">
            <w:pPr>
              <w:rPr>
                <w:rFonts w:ascii="Arial" w:hAnsi="Arial" w:cs="Arial"/>
                <w:b/>
                <w:lang w:val="en-CA" w:eastAsia="en-CA"/>
              </w:rPr>
            </w:pPr>
            <w:r w:rsidRPr="007D48BE">
              <w:rPr>
                <w:rFonts w:ascii="Arial" w:hAnsi="Arial" w:cs="Arial"/>
                <w:b/>
                <w:lang w:val="en-CA" w:eastAsia="en-CA"/>
              </w:rPr>
              <w:t>Total cost</w:t>
            </w:r>
          </w:p>
        </w:tc>
        <w:tc>
          <w:tcPr>
            <w:tcW w:w="1028" w:type="dxa"/>
            <w:tcBorders>
              <w:top w:val="single" w:sz="4" w:space="0" w:color="auto"/>
              <w:bottom w:val="double" w:sz="4" w:space="0" w:color="auto"/>
            </w:tcBorders>
            <w:noWrap/>
          </w:tcPr>
          <w:p w14:paraId="7D076D26" w14:textId="77777777" w:rsidR="007D48BE" w:rsidRPr="007D48BE" w:rsidRDefault="007D48BE" w:rsidP="007D48BE">
            <w:pPr>
              <w:jc w:val="right"/>
              <w:rPr>
                <w:rFonts w:ascii="Arial" w:hAnsi="Arial" w:cs="Arial"/>
                <w:b/>
                <w:lang w:val="en-CA" w:eastAsia="en-CA"/>
              </w:rPr>
            </w:pPr>
            <w:r w:rsidRPr="007D48BE">
              <w:rPr>
                <w:rFonts w:ascii="Arial" w:hAnsi="Arial" w:cs="Arial"/>
                <w:b/>
                <w:lang w:val="en-CA" w:eastAsia="en-CA"/>
              </w:rPr>
              <w:t>$45,000</w:t>
            </w:r>
          </w:p>
        </w:tc>
        <w:tc>
          <w:tcPr>
            <w:tcW w:w="1154" w:type="dxa"/>
          </w:tcPr>
          <w:p w14:paraId="20F34910" w14:textId="77777777" w:rsidR="007D48BE" w:rsidRPr="007D48BE" w:rsidRDefault="007D48BE" w:rsidP="007D48BE">
            <w:pPr>
              <w:rPr>
                <w:rFonts w:ascii="Arial" w:hAnsi="Arial" w:cs="Arial"/>
                <w:lang w:val="en-CA" w:eastAsia="en-CA"/>
              </w:rPr>
            </w:pPr>
          </w:p>
        </w:tc>
        <w:tc>
          <w:tcPr>
            <w:tcW w:w="3081" w:type="dxa"/>
          </w:tcPr>
          <w:p w14:paraId="3046A0D6" w14:textId="77777777" w:rsidR="007D48BE" w:rsidRPr="007D48BE" w:rsidRDefault="007D48BE" w:rsidP="007D48BE">
            <w:pPr>
              <w:rPr>
                <w:rFonts w:ascii="Arial" w:hAnsi="Arial" w:cs="Arial"/>
                <w:lang w:val="en-CA" w:eastAsia="en-CA"/>
              </w:rPr>
            </w:pPr>
          </w:p>
        </w:tc>
        <w:tc>
          <w:tcPr>
            <w:tcW w:w="893" w:type="dxa"/>
          </w:tcPr>
          <w:p w14:paraId="20950A29" w14:textId="77777777" w:rsidR="007D48BE" w:rsidRPr="007D48BE" w:rsidRDefault="007D48BE" w:rsidP="007D48BE">
            <w:pPr>
              <w:rPr>
                <w:rFonts w:ascii="Arial" w:hAnsi="Arial" w:cs="Arial"/>
                <w:lang w:val="en-CA" w:eastAsia="en-CA"/>
              </w:rPr>
            </w:pPr>
          </w:p>
        </w:tc>
      </w:tr>
    </w:tbl>
    <w:p w14:paraId="5258C9F0" w14:textId="77777777" w:rsidR="007D48BE" w:rsidRPr="007D48BE" w:rsidRDefault="007D48BE" w:rsidP="007D48BE">
      <w:pPr>
        <w:tabs>
          <w:tab w:val="left" w:pos="-1440"/>
          <w:tab w:val="left" w:pos="-720"/>
          <w:tab w:val="left" w:pos="1"/>
          <w:tab w:val="right" w:pos="9000"/>
        </w:tabs>
        <w:jc w:val="both"/>
        <w:rPr>
          <w:rFonts w:ascii="Arial" w:hAnsi="Arial" w:cs="Arial"/>
          <w:iCs/>
          <w:sz w:val="17"/>
          <w:szCs w:val="17"/>
          <w:lang w:val="en-GB"/>
        </w:rPr>
      </w:pPr>
    </w:p>
    <w:p w14:paraId="3347E9A9" w14:textId="77777777" w:rsidR="007D48BE" w:rsidRPr="007D48BE" w:rsidRDefault="007D48BE" w:rsidP="007D48BE">
      <w:pPr>
        <w:tabs>
          <w:tab w:val="left" w:pos="-1440"/>
          <w:tab w:val="left" w:pos="-720"/>
          <w:tab w:val="left" w:pos="1"/>
          <w:tab w:val="right" w:pos="9000"/>
        </w:tabs>
        <w:jc w:val="both"/>
        <w:rPr>
          <w:rFonts w:ascii="Arial" w:hAnsi="Arial" w:cs="Arial"/>
          <w:iCs/>
          <w:sz w:val="17"/>
          <w:szCs w:val="17"/>
          <w:lang w:val="en-GB"/>
        </w:rPr>
      </w:pPr>
      <w:r w:rsidRPr="007D48BE">
        <w:rPr>
          <w:rFonts w:ascii="Arial" w:hAnsi="Arial" w:cs="Arial"/>
          <w:iCs/>
          <w:sz w:val="17"/>
          <w:szCs w:val="17"/>
          <w:lang w:val="en-GB"/>
        </w:rPr>
        <w:t xml:space="preserve">Sources: “10-Alpha – 10 Person Affiliate Package,” Rogue Canada, accessed September 1, 2018, </w:t>
      </w:r>
      <w:hyperlink r:id="rId11" w:history="1">
        <w:r w:rsidRPr="007D48BE">
          <w:rPr>
            <w:rFonts w:ascii="Arial" w:hAnsi="Arial" w:cs="Arial"/>
            <w:iCs/>
            <w:sz w:val="17"/>
            <w:szCs w:val="17"/>
            <w:lang w:val="en-GB"/>
          </w:rPr>
          <w:t>www.roguecanada.ca/10-alpha-10-person-affiliate-package</w:t>
        </w:r>
      </w:hyperlink>
      <w:r w:rsidRPr="007D48BE">
        <w:rPr>
          <w:rFonts w:ascii="Arial" w:hAnsi="Arial" w:cs="Arial"/>
          <w:iCs/>
          <w:sz w:val="17"/>
          <w:szCs w:val="17"/>
          <w:lang w:val="en-GB"/>
        </w:rPr>
        <w:t xml:space="preserve">; “15-Alpha – 15 Person Affiliate Package,” Rogue Canada, accessed September 1, 2018, www.roguecanada.ca/15-alpha-15-person-affiliate-package. </w:t>
      </w:r>
    </w:p>
    <w:p w14:paraId="2C183161" w14:textId="77777777" w:rsidR="00B87DC0" w:rsidRDefault="00B87DC0" w:rsidP="004F6D8C">
      <w:pPr>
        <w:pStyle w:val="BodyTextMain"/>
      </w:pPr>
    </w:p>
    <w:sectPr w:rsidR="00B87DC0" w:rsidSect="00751E0B">
      <w:headerReference w:type="default" r:id="rId1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D727" w14:textId="77777777" w:rsidR="00714C37" w:rsidRDefault="00714C37" w:rsidP="00D75295">
      <w:r>
        <w:separator/>
      </w:r>
    </w:p>
  </w:endnote>
  <w:endnote w:type="continuationSeparator" w:id="0">
    <w:p w14:paraId="6B71D05B" w14:textId="77777777" w:rsidR="00714C37" w:rsidRDefault="00714C3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楷体_GB2312"/>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4EE" w14:textId="77777777" w:rsidR="00714C37" w:rsidRDefault="00714C37" w:rsidP="00D75295">
      <w:r>
        <w:separator/>
      </w:r>
    </w:p>
  </w:footnote>
  <w:footnote w:type="continuationSeparator" w:id="0">
    <w:p w14:paraId="31BC9002" w14:textId="77777777" w:rsidR="00714C37" w:rsidRDefault="00714C37" w:rsidP="00D75295">
      <w:r>
        <w:continuationSeparator/>
      </w:r>
    </w:p>
  </w:footnote>
  <w:footnote w:id="1">
    <w:p w14:paraId="7074B6F8" w14:textId="77777777" w:rsidR="00714C37" w:rsidRPr="0040779C" w:rsidRDefault="00714C37" w:rsidP="004B083D">
      <w:pPr>
        <w:pStyle w:val="Footnote"/>
        <w:rPr>
          <w:lang w:val="en-CA"/>
        </w:rPr>
      </w:pPr>
      <w:r>
        <w:rPr>
          <w:rStyle w:val="FootnoteReference"/>
        </w:rPr>
        <w:footnoteRef/>
      </w:r>
      <w:r>
        <w:t xml:space="preserve"> </w:t>
      </w:r>
      <w:r>
        <w:rPr>
          <w:lang w:val="en-CA"/>
        </w:rPr>
        <w:t>All currency amounts are in CA$ unless otherwise specified; CA$1 = US$0.80 in October 2017.</w:t>
      </w:r>
    </w:p>
  </w:footnote>
  <w:footnote w:id="2">
    <w:p w14:paraId="78512F67" w14:textId="75BDD252" w:rsidR="00820248" w:rsidRDefault="00820248" w:rsidP="00820248">
      <w:pPr>
        <w:pStyle w:val="FootnoteText1"/>
      </w:pPr>
      <w:r>
        <w:rPr>
          <w:rStyle w:val="FootnoteReference"/>
        </w:rPr>
        <w:footnoteRef/>
      </w:r>
      <w:r>
        <w:t xml:space="preserve"> </w:t>
      </w:r>
      <w:r w:rsidRPr="0040779C">
        <w:t xml:space="preserve">“Gym, Health &amp; Fitness Clubs in Canada,” IBISWorld, December 2017, accessed August 18, 2018, </w:t>
      </w:r>
      <w:hyperlink r:id="rId1" w:history="1">
        <w:r w:rsidRPr="00CA5D24">
          <w:t>www.ibisworld.ca/industry-trends/market-research-reports/arts-entertainment-recreation/gym-health-fitness-clubs.html</w:t>
        </w:r>
      </w:hyperlink>
      <w:r w:rsidRPr="0040779C">
        <w:t>.</w:t>
      </w:r>
    </w:p>
  </w:footnote>
  <w:footnote w:id="3">
    <w:p w14:paraId="5ADBBCA8" w14:textId="2850A3C8" w:rsidR="00820248" w:rsidRPr="00820248" w:rsidRDefault="00820248" w:rsidP="00820248">
      <w:pPr>
        <w:pStyle w:val="FootnoteText1"/>
      </w:pPr>
      <w:r w:rsidRPr="00820248">
        <w:rPr>
          <w:rStyle w:val="FootnoteReference"/>
        </w:rPr>
        <w:footnoteRef/>
      </w:r>
      <w:r w:rsidRPr="00820248">
        <w:t xml:space="preserve"> Ibid.</w:t>
      </w:r>
    </w:p>
  </w:footnote>
  <w:footnote w:id="4">
    <w:p w14:paraId="2E6BDEE9" w14:textId="7631F7AC" w:rsidR="00714C37" w:rsidRPr="00F779C2" w:rsidRDefault="00714C37" w:rsidP="004B083D">
      <w:pPr>
        <w:pStyle w:val="FootnoteText"/>
        <w:jc w:val="both"/>
        <w:rPr>
          <w:rFonts w:ascii="Arial" w:hAnsi="Arial" w:cs="Arial"/>
          <w:sz w:val="17"/>
          <w:szCs w:val="17"/>
          <w:lang w:val="en-CA"/>
        </w:rPr>
      </w:pPr>
      <w:r w:rsidRPr="00F779C2">
        <w:rPr>
          <w:rStyle w:val="FootnoteReference"/>
          <w:rFonts w:ascii="Arial" w:hAnsi="Arial" w:cs="Arial"/>
          <w:sz w:val="17"/>
          <w:szCs w:val="17"/>
        </w:rPr>
        <w:footnoteRef/>
      </w:r>
      <w:r w:rsidRPr="00F779C2">
        <w:rPr>
          <w:rFonts w:ascii="Arial" w:hAnsi="Arial" w:cs="Arial"/>
          <w:sz w:val="17"/>
          <w:szCs w:val="17"/>
        </w:rPr>
        <w:t xml:space="preserve"> </w:t>
      </w:r>
      <w:r>
        <w:rPr>
          <w:rFonts w:ascii="Arial" w:hAnsi="Arial" w:cs="Arial"/>
          <w:sz w:val="17"/>
          <w:szCs w:val="17"/>
        </w:rPr>
        <w:t>Ibid.</w:t>
      </w:r>
    </w:p>
  </w:footnote>
  <w:footnote w:id="5">
    <w:p w14:paraId="7B5355BA" w14:textId="77777777" w:rsidR="00714C37" w:rsidRPr="00F779C2" w:rsidRDefault="00714C37" w:rsidP="004B083D">
      <w:pPr>
        <w:pStyle w:val="FootnoteText"/>
        <w:jc w:val="both"/>
        <w:rPr>
          <w:rFonts w:ascii="Arial" w:hAnsi="Arial" w:cs="Arial"/>
          <w:sz w:val="17"/>
          <w:szCs w:val="17"/>
          <w:lang w:val="en-CA"/>
        </w:rPr>
      </w:pPr>
      <w:r w:rsidRPr="00F779C2">
        <w:rPr>
          <w:rStyle w:val="FootnoteReference"/>
          <w:rFonts w:ascii="Arial" w:hAnsi="Arial" w:cs="Arial"/>
          <w:sz w:val="17"/>
          <w:szCs w:val="17"/>
        </w:rPr>
        <w:footnoteRef/>
      </w:r>
      <w:r w:rsidRPr="00F779C2">
        <w:rPr>
          <w:rFonts w:ascii="Arial" w:hAnsi="Arial" w:cs="Arial"/>
          <w:sz w:val="17"/>
          <w:szCs w:val="17"/>
        </w:rPr>
        <w:t xml:space="preserve"> I</w:t>
      </w:r>
      <w:r>
        <w:rPr>
          <w:rFonts w:ascii="Arial" w:hAnsi="Arial" w:cs="Arial"/>
          <w:sz w:val="17"/>
          <w:szCs w:val="17"/>
        </w:rPr>
        <w:t>bid.</w:t>
      </w:r>
    </w:p>
  </w:footnote>
  <w:footnote w:id="6">
    <w:p w14:paraId="470CAC8B" w14:textId="77777777" w:rsidR="00714C37" w:rsidRPr="00F779C2" w:rsidRDefault="00714C37" w:rsidP="004B083D">
      <w:pPr>
        <w:pStyle w:val="FootnoteText"/>
        <w:jc w:val="both"/>
        <w:rPr>
          <w:rFonts w:ascii="Arial" w:hAnsi="Arial" w:cs="Arial"/>
          <w:sz w:val="17"/>
          <w:szCs w:val="17"/>
          <w:lang w:val="en-CA"/>
        </w:rPr>
      </w:pPr>
      <w:r w:rsidRPr="00F779C2">
        <w:rPr>
          <w:rStyle w:val="FootnoteReference"/>
          <w:rFonts w:ascii="Arial" w:hAnsi="Arial" w:cs="Arial"/>
          <w:sz w:val="17"/>
          <w:szCs w:val="17"/>
        </w:rPr>
        <w:footnoteRef/>
      </w:r>
      <w:r w:rsidRPr="00F779C2">
        <w:rPr>
          <w:rFonts w:ascii="Arial" w:hAnsi="Arial" w:cs="Arial"/>
          <w:sz w:val="17"/>
          <w:szCs w:val="17"/>
        </w:rPr>
        <w:t xml:space="preserve"> </w:t>
      </w:r>
      <w:r>
        <w:rPr>
          <w:rFonts w:ascii="Arial" w:hAnsi="Arial" w:cs="Arial"/>
          <w:sz w:val="17"/>
          <w:szCs w:val="17"/>
        </w:rPr>
        <w:t xml:space="preserve">Christine </w:t>
      </w:r>
      <w:r w:rsidRPr="00F779C2">
        <w:rPr>
          <w:rFonts w:ascii="Arial" w:hAnsi="Arial" w:cs="Arial"/>
          <w:sz w:val="17"/>
          <w:szCs w:val="17"/>
        </w:rPr>
        <w:t xml:space="preserve">Wang, “How a </w:t>
      </w:r>
      <w:r>
        <w:rPr>
          <w:rFonts w:ascii="Arial" w:hAnsi="Arial" w:cs="Arial"/>
          <w:sz w:val="17"/>
          <w:szCs w:val="17"/>
        </w:rPr>
        <w:t>H</w:t>
      </w:r>
      <w:r w:rsidRPr="00F779C2">
        <w:rPr>
          <w:rFonts w:ascii="Arial" w:hAnsi="Arial" w:cs="Arial"/>
          <w:sz w:val="17"/>
          <w:szCs w:val="17"/>
        </w:rPr>
        <w:t xml:space="preserve">ealth </w:t>
      </w:r>
      <w:r>
        <w:rPr>
          <w:rFonts w:ascii="Arial" w:hAnsi="Arial" w:cs="Arial"/>
          <w:sz w:val="17"/>
          <w:szCs w:val="17"/>
        </w:rPr>
        <w:t>N</w:t>
      </w:r>
      <w:r w:rsidRPr="00F779C2">
        <w:rPr>
          <w:rFonts w:ascii="Arial" w:hAnsi="Arial" w:cs="Arial"/>
          <w:sz w:val="17"/>
          <w:szCs w:val="17"/>
        </w:rPr>
        <w:t xml:space="preserve">ut </w:t>
      </w:r>
      <w:r>
        <w:rPr>
          <w:rFonts w:ascii="Arial" w:hAnsi="Arial" w:cs="Arial"/>
          <w:sz w:val="17"/>
          <w:szCs w:val="17"/>
        </w:rPr>
        <w:t>C</w:t>
      </w:r>
      <w:r w:rsidRPr="00F779C2">
        <w:rPr>
          <w:rFonts w:ascii="Arial" w:hAnsi="Arial" w:cs="Arial"/>
          <w:sz w:val="17"/>
          <w:szCs w:val="17"/>
        </w:rPr>
        <w:t xml:space="preserve">reated the </w:t>
      </w:r>
      <w:r>
        <w:rPr>
          <w:rFonts w:ascii="Arial" w:hAnsi="Arial" w:cs="Arial"/>
          <w:sz w:val="17"/>
          <w:szCs w:val="17"/>
        </w:rPr>
        <w:t>W</w:t>
      </w:r>
      <w:r w:rsidRPr="00F779C2">
        <w:rPr>
          <w:rFonts w:ascii="Arial" w:hAnsi="Arial" w:cs="Arial"/>
          <w:sz w:val="17"/>
          <w:szCs w:val="17"/>
        </w:rPr>
        <w:t xml:space="preserve">orld’s </w:t>
      </w:r>
      <w:r>
        <w:rPr>
          <w:rFonts w:ascii="Arial" w:hAnsi="Arial" w:cs="Arial"/>
          <w:sz w:val="17"/>
          <w:szCs w:val="17"/>
        </w:rPr>
        <w:t>B</w:t>
      </w:r>
      <w:r w:rsidRPr="00F779C2">
        <w:rPr>
          <w:rFonts w:ascii="Arial" w:hAnsi="Arial" w:cs="Arial"/>
          <w:sz w:val="17"/>
          <w:szCs w:val="17"/>
        </w:rPr>
        <w:t xml:space="preserve">iggest </w:t>
      </w:r>
      <w:r>
        <w:rPr>
          <w:rFonts w:ascii="Arial" w:hAnsi="Arial" w:cs="Arial"/>
          <w:sz w:val="17"/>
          <w:szCs w:val="17"/>
        </w:rPr>
        <w:t>F</w:t>
      </w:r>
      <w:r w:rsidRPr="00F779C2">
        <w:rPr>
          <w:rFonts w:ascii="Arial" w:hAnsi="Arial" w:cs="Arial"/>
          <w:sz w:val="17"/>
          <w:szCs w:val="17"/>
        </w:rPr>
        <w:t xml:space="preserve">itness </w:t>
      </w:r>
      <w:r>
        <w:rPr>
          <w:rFonts w:ascii="Arial" w:hAnsi="Arial" w:cs="Arial"/>
          <w:sz w:val="17"/>
          <w:szCs w:val="17"/>
        </w:rPr>
        <w:t>T</w:t>
      </w:r>
      <w:r w:rsidRPr="00F779C2">
        <w:rPr>
          <w:rFonts w:ascii="Arial" w:hAnsi="Arial" w:cs="Arial"/>
          <w:sz w:val="17"/>
          <w:szCs w:val="17"/>
        </w:rPr>
        <w:t xml:space="preserve">rend,” CNBC, April </w:t>
      </w:r>
      <w:r>
        <w:rPr>
          <w:rFonts w:ascii="Arial" w:hAnsi="Arial" w:cs="Arial"/>
          <w:sz w:val="17"/>
          <w:szCs w:val="17"/>
        </w:rPr>
        <w:t xml:space="preserve">22, 2016, </w:t>
      </w:r>
      <w:r w:rsidRPr="00F779C2">
        <w:rPr>
          <w:rFonts w:ascii="Arial" w:hAnsi="Arial" w:cs="Arial"/>
          <w:sz w:val="17"/>
          <w:szCs w:val="17"/>
        </w:rPr>
        <w:t xml:space="preserve">accessed August 18, 2018, </w:t>
      </w:r>
      <w:r w:rsidRPr="00DB167F">
        <w:rPr>
          <w:rFonts w:ascii="Arial" w:hAnsi="Arial" w:cs="Arial"/>
          <w:sz w:val="17"/>
          <w:szCs w:val="17"/>
        </w:rPr>
        <w:t>www.cnbc.com/2016/04/05/how-crossfit-rode-a-single-issue-to-world-fitness-domination.html</w:t>
      </w:r>
      <w:r w:rsidRPr="00F779C2">
        <w:rPr>
          <w:rFonts w:ascii="Arial" w:hAnsi="Arial" w:cs="Arial"/>
          <w:sz w:val="17"/>
          <w:szCs w:val="17"/>
        </w:rPr>
        <w:t>.</w:t>
      </w:r>
    </w:p>
  </w:footnote>
  <w:footnote w:id="7">
    <w:p w14:paraId="4C442098" w14:textId="77777777" w:rsidR="00714C37" w:rsidRPr="00215B0D" w:rsidRDefault="00714C37" w:rsidP="004B083D">
      <w:pPr>
        <w:pStyle w:val="FootnoteText"/>
        <w:jc w:val="both"/>
        <w:rPr>
          <w:lang w:val="en-CA"/>
        </w:rPr>
      </w:pPr>
      <w:r w:rsidRPr="00F779C2">
        <w:rPr>
          <w:rStyle w:val="FootnoteReference"/>
          <w:rFonts w:ascii="Arial" w:hAnsi="Arial" w:cs="Arial"/>
          <w:sz w:val="17"/>
          <w:szCs w:val="17"/>
        </w:rPr>
        <w:footnoteRef/>
      </w:r>
      <w:r w:rsidRPr="00F779C2">
        <w:rPr>
          <w:rFonts w:ascii="Arial" w:hAnsi="Arial" w:cs="Arial"/>
          <w:sz w:val="17"/>
          <w:szCs w:val="17"/>
        </w:rPr>
        <w:t xml:space="preserve"> “About the </w:t>
      </w:r>
      <w:r>
        <w:rPr>
          <w:rFonts w:ascii="Arial" w:hAnsi="Arial" w:cs="Arial"/>
          <w:sz w:val="17"/>
          <w:szCs w:val="17"/>
        </w:rPr>
        <w:t>G</w:t>
      </w:r>
      <w:r w:rsidRPr="00F779C2">
        <w:rPr>
          <w:rFonts w:ascii="Arial" w:hAnsi="Arial" w:cs="Arial"/>
          <w:sz w:val="17"/>
          <w:szCs w:val="17"/>
        </w:rPr>
        <w:t xml:space="preserve">ames,” </w:t>
      </w:r>
      <w:r>
        <w:rPr>
          <w:rFonts w:ascii="Arial" w:hAnsi="Arial" w:cs="Arial"/>
          <w:sz w:val="17"/>
          <w:szCs w:val="17"/>
        </w:rPr>
        <w:t xml:space="preserve">Reebok </w:t>
      </w:r>
      <w:r w:rsidRPr="00F779C2">
        <w:rPr>
          <w:rFonts w:ascii="Arial" w:hAnsi="Arial" w:cs="Arial"/>
          <w:sz w:val="17"/>
          <w:szCs w:val="17"/>
        </w:rPr>
        <w:t>CrossFit</w:t>
      </w:r>
      <w:r>
        <w:rPr>
          <w:rFonts w:ascii="Arial" w:hAnsi="Arial" w:cs="Arial"/>
          <w:sz w:val="17"/>
          <w:szCs w:val="17"/>
        </w:rPr>
        <w:t xml:space="preserve"> Games 2020,</w:t>
      </w:r>
      <w:r w:rsidRPr="00F779C2">
        <w:rPr>
          <w:rFonts w:ascii="Arial" w:hAnsi="Arial" w:cs="Arial"/>
          <w:sz w:val="17"/>
          <w:szCs w:val="17"/>
        </w:rPr>
        <w:t xml:space="preserve"> accessed August 18, 2018,</w:t>
      </w:r>
      <w:r>
        <w:rPr>
          <w:rFonts w:ascii="Arial" w:hAnsi="Arial" w:cs="Arial"/>
          <w:sz w:val="17"/>
          <w:szCs w:val="17"/>
        </w:rPr>
        <w:t xml:space="preserve"> </w:t>
      </w:r>
      <w:r w:rsidRPr="00FF1B5C">
        <w:rPr>
          <w:rFonts w:ascii="Arial" w:hAnsi="Arial" w:cs="Arial"/>
          <w:sz w:val="17"/>
          <w:szCs w:val="17"/>
        </w:rPr>
        <w:t>https</w:t>
      </w:r>
      <w:r w:rsidRPr="00DB167F">
        <w:rPr>
          <w:rFonts w:ascii="Arial" w:hAnsi="Arial" w:cs="Arial"/>
          <w:sz w:val="17"/>
          <w:szCs w:val="17"/>
        </w:rPr>
        <w:t>://games.crossfit.com/about-the-games</w:t>
      </w:r>
      <w:r w:rsidRPr="00F779C2">
        <w:rPr>
          <w:rFonts w:ascii="Arial" w:hAnsi="Arial" w:cs="Arial"/>
          <w:sz w:val="17"/>
          <w:szCs w:val="17"/>
        </w:rPr>
        <w:t>.</w:t>
      </w:r>
    </w:p>
  </w:footnote>
  <w:footnote w:id="8">
    <w:p w14:paraId="6CA347B9" w14:textId="26279447" w:rsidR="00714C37" w:rsidRPr="003C1816" w:rsidRDefault="00714C37" w:rsidP="007D48BE">
      <w:pPr>
        <w:pStyle w:val="FootnoteText1"/>
      </w:pPr>
      <w:r w:rsidRPr="003C1816">
        <w:rPr>
          <w:rStyle w:val="FootnoteReference"/>
        </w:rPr>
        <w:footnoteRef/>
      </w:r>
      <w:r w:rsidRPr="003C1816">
        <w:t xml:space="preserve"> Functional fitness refers to the training of muscles to prepare them for real-life daily tasks and activities; “What is Functional </w:t>
      </w:r>
      <w:proofErr w:type="gramStart"/>
      <w:r w:rsidRPr="003C1816">
        <w:t>Fitness</w:t>
      </w:r>
      <w:r>
        <w:t>?</w:t>
      </w:r>
      <w:r w:rsidRPr="003C1816">
        <w:t>,</w:t>
      </w:r>
      <w:proofErr w:type="gramEnd"/>
      <w:r w:rsidRPr="003C1816">
        <w:t xml:space="preserve">” </w:t>
      </w:r>
      <w:r>
        <w:t xml:space="preserve">OPEX, </w:t>
      </w:r>
      <w:r w:rsidRPr="003C1816">
        <w:t xml:space="preserve">accessed August 27, 2019, </w:t>
      </w:r>
      <w:r w:rsidRPr="004B083D">
        <w:t>https://opexfit.com/blog/what-is-functional-fitness</w:t>
      </w:r>
      <w:r>
        <w:t>/.</w:t>
      </w:r>
      <w:r w:rsidRPr="003C1816">
        <w:rPr>
          <w:rStyle w:val="Hyperlink"/>
        </w:rPr>
        <w:t xml:space="preserve"> </w:t>
      </w:r>
    </w:p>
  </w:footnote>
  <w:footnote w:id="9">
    <w:p w14:paraId="4F03829C" w14:textId="77777777" w:rsidR="00714C37" w:rsidRPr="00F779C2" w:rsidRDefault="00714C37" w:rsidP="004B083D">
      <w:pPr>
        <w:pStyle w:val="FootnoteText"/>
        <w:jc w:val="both"/>
        <w:rPr>
          <w:rFonts w:ascii="Arial" w:hAnsi="Arial" w:cs="Arial"/>
          <w:sz w:val="17"/>
          <w:szCs w:val="17"/>
          <w:lang w:val="en-CA"/>
        </w:rPr>
      </w:pPr>
      <w:r w:rsidRPr="00F779C2">
        <w:rPr>
          <w:rStyle w:val="FootnoteReference"/>
          <w:rFonts w:ascii="Arial" w:hAnsi="Arial" w:cs="Arial"/>
          <w:sz w:val="17"/>
          <w:szCs w:val="17"/>
        </w:rPr>
        <w:footnoteRef/>
      </w:r>
      <w:r w:rsidRPr="00F779C2">
        <w:rPr>
          <w:rFonts w:ascii="Arial" w:hAnsi="Arial" w:cs="Arial"/>
          <w:sz w:val="17"/>
          <w:szCs w:val="17"/>
        </w:rPr>
        <w:t xml:space="preserve"> “The Business of CrossFit: An Update on New Market Research,” Rally Fitness, </w:t>
      </w:r>
      <w:r>
        <w:rPr>
          <w:rFonts w:ascii="Arial" w:hAnsi="Arial" w:cs="Arial"/>
          <w:sz w:val="17"/>
          <w:szCs w:val="17"/>
        </w:rPr>
        <w:t xml:space="preserve">March 13, 2017, </w:t>
      </w:r>
      <w:r w:rsidRPr="00F779C2">
        <w:rPr>
          <w:rFonts w:ascii="Arial" w:hAnsi="Arial" w:cs="Arial"/>
          <w:sz w:val="17"/>
          <w:szCs w:val="17"/>
        </w:rPr>
        <w:t xml:space="preserve">accessed August 18, 2018, </w:t>
      </w:r>
      <w:r w:rsidRPr="00DB167F">
        <w:rPr>
          <w:rFonts w:ascii="Arial" w:hAnsi="Arial" w:cs="Arial"/>
          <w:sz w:val="17"/>
          <w:szCs w:val="17"/>
        </w:rPr>
        <w:t>https://rallyfitness.com/blogs/news/the-business-of-crossfit-an-update-on-new-market-research-2017</w:t>
      </w:r>
      <w:r>
        <w:rPr>
          <w:rFonts w:ascii="Arial" w:hAnsi="Arial" w:cs="Arial"/>
          <w:sz w:val="17"/>
          <w:szCs w:val="17"/>
        </w:rPr>
        <w:t>.</w:t>
      </w:r>
      <w:r w:rsidRPr="00F779C2">
        <w:rPr>
          <w:rFonts w:ascii="Arial" w:hAnsi="Arial" w:cs="Arial"/>
          <w:sz w:val="17"/>
          <w:szCs w:val="17"/>
        </w:rPr>
        <w:t xml:space="preserve"> </w:t>
      </w:r>
    </w:p>
  </w:footnote>
  <w:footnote w:id="10">
    <w:p w14:paraId="54B684FF" w14:textId="22A3112C" w:rsidR="00714C37" w:rsidRPr="00F779C2" w:rsidRDefault="00714C37" w:rsidP="007D48BE">
      <w:pPr>
        <w:pStyle w:val="FootnoteText1"/>
        <w:rPr>
          <w:lang w:val="en-CA"/>
        </w:rPr>
      </w:pPr>
      <w:r w:rsidRPr="00F779C2">
        <w:rPr>
          <w:vertAlign w:val="superscript"/>
        </w:rPr>
        <w:footnoteRef/>
      </w:r>
      <w:r>
        <w:t xml:space="preserve"> “</w:t>
      </w:r>
      <w:r w:rsidRPr="00F779C2">
        <w:t>Gym, Health &amp; Fitness Clubs in Canada,”</w:t>
      </w:r>
      <w:r>
        <w:t xml:space="preserve"> op. cit.</w:t>
      </w:r>
    </w:p>
  </w:footnote>
  <w:footnote w:id="11">
    <w:p w14:paraId="7918FACF" w14:textId="77777777" w:rsidR="00714C37" w:rsidRPr="00F779C2" w:rsidRDefault="00714C37" w:rsidP="007D48BE">
      <w:pPr>
        <w:pStyle w:val="FootnoteText1"/>
        <w:rPr>
          <w:lang w:val="en-CA"/>
        </w:rPr>
      </w:pPr>
      <w:r w:rsidRPr="00F779C2">
        <w:rPr>
          <w:vertAlign w:val="superscript"/>
        </w:rPr>
        <w:footnoteRef/>
      </w:r>
      <w:r w:rsidRPr="00F779C2">
        <w:t xml:space="preserve"> “</w:t>
      </w:r>
      <w:r>
        <w:t>Gym Memberships: Gain Access to Over 255+ Clubs across Canada,”</w:t>
      </w:r>
      <w:r w:rsidRPr="00F779C2">
        <w:t xml:space="preserve"> GoodLife Fitness, accessed February 17, 2019, </w:t>
      </w:r>
      <w:r w:rsidRPr="003A2F8D">
        <w:t>www.goodlifefitness.com/gym-memberships</w:t>
      </w:r>
      <w:r>
        <w:t>.</w:t>
      </w:r>
    </w:p>
  </w:footnote>
  <w:footnote w:id="12">
    <w:p w14:paraId="4E5ABEAD" w14:textId="30F62223" w:rsidR="00714C37" w:rsidRPr="00F779C2" w:rsidRDefault="00714C37" w:rsidP="007D48BE">
      <w:pPr>
        <w:pStyle w:val="FootnoteText1"/>
        <w:rPr>
          <w:lang w:val="en-CA"/>
        </w:rPr>
      </w:pPr>
      <w:r w:rsidRPr="00F779C2">
        <w:rPr>
          <w:vertAlign w:val="superscript"/>
        </w:rPr>
        <w:footnoteRef/>
      </w:r>
      <w:r w:rsidRPr="00F779C2">
        <w:rPr>
          <w:vertAlign w:val="superscript"/>
        </w:rPr>
        <w:t xml:space="preserve"> </w:t>
      </w:r>
      <w:r w:rsidRPr="00F779C2">
        <w:t>“Gym, Health &amp; Fitness Clubs in Canada,”</w:t>
      </w:r>
      <w:r>
        <w:t xml:space="preserve"> op. cit.</w:t>
      </w:r>
    </w:p>
  </w:footnote>
  <w:footnote w:id="13">
    <w:p w14:paraId="0A51C6D9" w14:textId="77777777" w:rsidR="00714C37" w:rsidRPr="00F779C2" w:rsidRDefault="00714C37" w:rsidP="007D48BE">
      <w:pPr>
        <w:pStyle w:val="FootnoteText1"/>
        <w:rPr>
          <w:lang w:val="en-CA"/>
        </w:rPr>
      </w:pPr>
      <w:r w:rsidRPr="00F779C2">
        <w:rPr>
          <w:vertAlign w:val="superscript"/>
        </w:rPr>
        <w:footnoteRef/>
      </w:r>
      <w:r w:rsidRPr="00F779C2">
        <w:t xml:space="preserve"> “Memberships</w:t>
      </w:r>
      <w:r>
        <w:t>: Select the Right Membership for you</w:t>
      </w:r>
      <w:r w:rsidRPr="00F779C2">
        <w:t>,”</w:t>
      </w:r>
      <w:r>
        <w:t xml:space="preserve"> Planet Fitness, </w:t>
      </w:r>
      <w:r w:rsidRPr="00F779C2">
        <w:t xml:space="preserve">accessed August 18, 2018, </w:t>
      </w:r>
      <w:r w:rsidRPr="003A2F8D">
        <w:t>www.planetfitness.com/gym-memberships</w:t>
      </w:r>
      <w:r w:rsidRPr="00F779C2">
        <w:t>.</w:t>
      </w:r>
    </w:p>
  </w:footnote>
  <w:footnote w:id="14">
    <w:p w14:paraId="7E4617B1" w14:textId="6D8857F4" w:rsidR="00714C37" w:rsidRPr="00682CA4" w:rsidRDefault="00714C37" w:rsidP="007D48BE">
      <w:pPr>
        <w:pStyle w:val="FootnoteText1"/>
        <w:rPr>
          <w:lang w:val="en-CA"/>
        </w:rPr>
      </w:pPr>
      <w:r w:rsidRPr="00F779C2">
        <w:rPr>
          <w:vertAlign w:val="superscript"/>
        </w:rPr>
        <w:footnoteRef/>
      </w:r>
      <w:r w:rsidRPr="00F779C2">
        <w:t xml:space="preserve"> “Gym, Health &amp; Fitness Clubs in Canada,”</w:t>
      </w:r>
      <w:r>
        <w:t xml:space="preserve"> op. cit.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531A20B1" w:rsidR="00714C37" w:rsidRPr="00C92CC4" w:rsidRDefault="00714C3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8</w:t>
    </w:r>
    <w:r>
      <w:rPr>
        <w:rFonts w:ascii="Arial" w:hAnsi="Arial"/>
        <w:b/>
      </w:rPr>
      <w:fldChar w:fldCharType="end"/>
    </w:r>
    <w:r>
      <w:rPr>
        <w:rFonts w:ascii="Arial" w:hAnsi="Arial"/>
        <w:b/>
      </w:rPr>
      <w:tab/>
      <w:t>9B19B016</w:t>
    </w:r>
  </w:p>
  <w:p w14:paraId="2B53C0A0" w14:textId="77777777" w:rsidR="00714C37" w:rsidRDefault="00714C37" w:rsidP="00D13667">
    <w:pPr>
      <w:pStyle w:val="Header"/>
      <w:tabs>
        <w:tab w:val="clear" w:pos="4680"/>
      </w:tabs>
      <w:rPr>
        <w:sz w:val="18"/>
        <w:szCs w:val="18"/>
      </w:rPr>
    </w:pPr>
  </w:p>
  <w:p w14:paraId="47119730" w14:textId="77777777" w:rsidR="00714C37" w:rsidRPr="00C92CC4" w:rsidRDefault="00714C37"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0546DB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48238E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5769D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FC449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5FAE98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E045F0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6A800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26C9BA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E07A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BEE6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1381EE0"/>
    <w:multiLevelType w:val="hybridMultilevel"/>
    <w:tmpl w:val="29DC542A"/>
    <w:lvl w:ilvl="0" w:tplc="C6FE7E3C">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D6A49D8"/>
    <w:multiLevelType w:val="hybridMultilevel"/>
    <w:tmpl w:val="6AC20EAE"/>
    <w:lvl w:ilvl="0" w:tplc="82D6E58A">
      <w:start w:val="749"/>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119153F"/>
    <w:multiLevelType w:val="hybridMultilevel"/>
    <w:tmpl w:val="7F14B30E"/>
    <w:lvl w:ilvl="0" w:tplc="A8F68966">
      <w:start w:val="749"/>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70E2590"/>
    <w:multiLevelType w:val="hybridMultilevel"/>
    <w:tmpl w:val="2B663A54"/>
    <w:lvl w:ilvl="0" w:tplc="265018D6">
      <w:start w:val="749"/>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7" w15:restartNumberingAfterBreak="0">
    <w:nsid w:val="4C5B7CCD"/>
    <w:multiLevelType w:val="hybridMultilevel"/>
    <w:tmpl w:val="D67CF4B0"/>
    <w:lvl w:ilvl="0" w:tplc="4808ED36">
      <w:start w:val="749"/>
      <w:numFmt w:val="bullet"/>
      <w:lvlText w:val=""/>
      <w:lvlJc w:val="left"/>
      <w:pPr>
        <w:ind w:left="1080" w:hanging="360"/>
      </w:pPr>
      <w:rPr>
        <w:rFonts w:ascii="Wingdings" w:eastAsia="Times New Roman" w:hAnsi="Wingdings"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15:restartNumberingAfterBreak="0">
    <w:nsid w:val="51AE3FD6"/>
    <w:multiLevelType w:val="hybridMultilevel"/>
    <w:tmpl w:val="B606954C"/>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1" w15:restartNumberingAfterBreak="0">
    <w:nsid w:val="5C0879AD"/>
    <w:multiLevelType w:val="hybridMultilevel"/>
    <w:tmpl w:val="AD5E77B6"/>
    <w:lvl w:ilvl="0" w:tplc="86B4261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4"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6" w15:restartNumberingAfterBreak="0">
    <w:nsid w:val="671A2786"/>
    <w:multiLevelType w:val="hybridMultilevel"/>
    <w:tmpl w:val="6454517C"/>
    <w:lvl w:ilvl="0" w:tplc="94E6A2BA">
      <w:start w:val="2"/>
      <w:numFmt w:val="bullet"/>
      <w:lvlText w:val="-"/>
      <w:lvlJc w:val="left"/>
      <w:pPr>
        <w:ind w:left="720" w:hanging="360"/>
      </w:pPr>
      <w:rPr>
        <w:rFonts w:ascii="Times New Roman" w:eastAsia="Times New Roma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1"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8EE0B6B"/>
    <w:multiLevelType w:val="hybridMultilevel"/>
    <w:tmpl w:val="763C6C7E"/>
    <w:lvl w:ilvl="0" w:tplc="CA6C1DD2">
      <w:start w:val="749"/>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9A340CE"/>
    <w:multiLevelType w:val="hybridMultilevel"/>
    <w:tmpl w:val="6088CECA"/>
    <w:lvl w:ilvl="0" w:tplc="3F32EEDE">
      <w:start w:val="749"/>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43"/>
  </w:num>
  <w:num w:numId="2">
    <w:abstractNumId w:val="32"/>
  </w:num>
  <w:num w:numId="3">
    <w:abstractNumId w:val="19"/>
  </w:num>
  <w:num w:numId="4">
    <w:abstractNumId w:val="41"/>
  </w:num>
  <w:num w:numId="5">
    <w:abstractNumId w:val="22"/>
  </w:num>
  <w:num w:numId="6">
    <w:abstractNumId w:val="38"/>
  </w:num>
  <w:num w:numId="7">
    <w:abstractNumId w:val="13"/>
  </w:num>
  <w:num w:numId="8">
    <w:abstractNumId w:val="45"/>
  </w:num>
  <w:num w:numId="9">
    <w:abstractNumId w:val="39"/>
  </w:num>
  <w:num w:numId="10">
    <w:abstractNumId w:val="18"/>
  </w:num>
  <w:num w:numId="11">
    <w:abstractNumId w:val="34"/>
  </w:num>
  <w:num w:numId="12">
    <w:abstractNumId w:val="37"/>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4"/>
  </w:num>
  <w:num w:numId="24">
    <w:abstractNumId w:val="26"/>
  </w:num>
  <w:num w:numId="25">
    <w:abstractNumId w:val="12"/>
  </w:num>
  <w:num w:numId="26">
    <w:abstractNumId w:val="29"/>
  </w:num>
  <w:num w:numId="27">
    <w:abstractNumId w:val="30"/>
  </w:num>
  <w:num w:numId="28">
    <w:abstractNumId w:val="33"/>
  </w:num>
  <w:num w:numId="29">
    <w:abstractNumId w:val="17"/>
  </w:num>
  <w:num w:numId="30">
    <w:abstractNumId w:val="35"/>
  </w:num>
  <w:num w:numId="31">
    <w:abstractNumId w:val="11"/>
  </w:num>
  <w:num w:numId="32">
    <w:abstractNumId w:val="10"/>
  </w:num>
  <w:num w:numId="33">
    <w:abstractNumId w:val="40"/>
  </w:num>
  <w:num w:numId="34">
    <w:abstractNumId w:val="24"/>
  </w:num>
  <w:num w:numId="35">
    <w:abstractNumId w:val="4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36">
    <w:abstractNumId w:val="4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37">
    <w:abstractNumId w:val="4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38">
    <w:abstractNumId w:val="15"/>
  </w:num>
  <w:num w:numId="39">
    <w:abstractNumId w:val="21"/>
  </w:num>
  <w:num w:numId="40">
    <w:abstractNumId w:val="36"/>
  </w:num>
  <w:num w:numId="41">
    <w:abstractNumId w:val="44"/>
  </w:num>
  <w:num w:numId="42">
    <w:abstractNumId w:val="27"/>
  </w:num>
  <w:num w:numId="43">
    <w:abstractNumId w:val="23"/>
  </w:num>
  <w:num w:numId="44">
    <w:abstractNumId w:val="42"/>
  </w:num>
  <w:num w:numId="45">
    <w:abstractNumId w:val="20"/>
  </w:num>
  <w:num w:numId="46">
    <w:abstractNumId w:val="25"/>
  </w:num>
  <w:num w:numId="47">
    <w:abstractNumId w:val="31"/>
  </w:num>
  <w:num w:numId="48">
    <w:abstractNumId w:val="28"/>
  </w:num>
  <w:num w:numId="49">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A34E3"/>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0A05"/>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083D"/>
    <w:rsid w:val="004B1CCB"/>
    <w:rsid w:val="004B632F"/>
    <w:rsid w:val="004D3FB1"/>
    <w:rsid w:val="004D6F21"/>
    <w:rsid w:val="004D73A5"/>
    <w:rsid w:val="004F6D8C"/>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14C37"/>
    <w:rsid w:val="007507C6"/>
    <w:rsid w:val="00751E0B"/>
    <w:rsid w:val="00752BCD"/>
    <w:rsid w:val="00766DA1"/>
    <w:rsid w:val="00780D94"/>
    <w:rsid w:val="007866A6"/>
    <w:rsid w:val="007A130D"/>
    <w:rsid w:val="007D1A2D"/>
    <w:rsid w:val="007D32E6"/>
    <w:rsid w:val="007D4102"/>
    <w:rsid w:val="007D48BE"/>
    <w:rsid w:val="007E54A7"/>
    <w:rsid w:val="007F43B7"/>
    <w:rsid w:val="00804029"/>
    <w:rsid w:val="00820248"/>
    <w:rsid w:val="00821FFC"/>
    <w:rsid w:val="008271CA"/>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99"/>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99"/>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numbering" w:customStyle="1" w:styleId="NoList1">
    <w:name w:val="No List1"/>
    <w:next w:val="NoList"/>
    <w:uiPriority w:val="99"/>
    <w:semiHidden/>
    <w:unhideWhenUsed/>
    <w:rsid w:val="007D48BE"/>
  </w:style>
  <w:style w:type="table" w:customStyle="1" w:styleId="TableGrid1">
    <w:name w:val="Table Grid1"/>
    <w:basedOn w:val="TableNormal"/>
    <w:next w:val="TableGrid"/>
    <w:uiPriority w:val="99"/>
    <w:rsid w:val="007D48BE"/>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7D48BE"/>
    <w:rPr>
      <w:rFonts w:ascii="Consolas" w:eastAsiaTheme="minorEastAsia" w:hAnsi="Consolas" w:cs="Consolas"/>
      <w:sz w:val="21"/>
      <w:szCs w:val="21"/>
      <w:lang w:val="en-GB" w:eastAsia="zh-CN"/>
    </w:rPr>
  </w:style>
  <w:style w:type="character" w:customStyle="1" w:styleId="PlainTextChar">
    <w:name w:val="Plain Text Char"/>
    <w:basedOn w:val="DefaultParagraphFont"/>
    <w:link w:val="PlainText"/>
    <w:uiPriority w:val="99"/>
    <w:rsid w:val="007D48BE"/>
    <w:rPr>
      <w:rFonts w:ascii="Consolas" w:eastAsiaTheme="minorEastAsia" w:hAnsi="Consolas" w:cs="Consolas"/>
      <w:sz w:val="21"/>
      <w:szCs w:val="21"/>
      <w:lang w:val="en-GB" w:eastAsia="zh-CN"/>
    </w:rPr>
  </w:style>
  <w:style w:type="character" w:customStyle="1" w:styleId="Title1">
    <w:name w:val="Title1"/>
    <w:basedOn w:val="DefaultParagraphFont"/>
    <w:uiPriority w:val="99"/>
    <w:rsid w:val="007D48BE"/>
  </w:style>
  <w:style w:type="character" w:customStyle="1" w:styleId="UnresolvedMention1">
    <w:name w:val="Unresolved Mention1"/>
    <w:basedOn w:val="DefaultParagraphFont"/>
    <w:uiPriority w:val="99"/>
    <w:semiHidden/>
    <w:unhideWhenUsed/>
    <w:rsid w:val="007D48BE"/>
    <w:rPr>
      <w:color w:val="605E5C"/>
      <w:shd w:val="clear" w:color="auto" w:fill="E1DFDD"/>
    </w:rPr>
  </w:style>
  <w:style w:type="character" w:customStyle="1" w:styleId="UnresolvedMention2">
    <w:name w:val="Unresolved Mention2"/>
    <w:basedOn w:val="DefaultParagraphFont"/>
    <w:uiPriority w:val="99"/>
    <w:semiHidden/>
    <w:unhideWhenUsed/>
    <w:rsid w:val="007D48BE"/>
    <w:rPr>
      <w:color w:val="605E5C"/>
      <w:shd w:val="clear" w:color="auto" w:fill="E1DFDD"/>
    </w:rPr>
  </w:style>
  <w:style w:type="table" w:customStyle="1" w:styleId="TableGridLight1">
    <w:name w:val="Table Grid Light1"/>
    <w:basedOn w:val="TableNormal"/>
    <w:uiPriority w:val="40"/>
    <w:rsid w:val="007D48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oguecanada.ca/10-alpha-10-person-affiliate-package" TargetMode="External"/><Relationship Id="rId5" Type="http://schemas.openxmlformats.org/officeDocument/2006/relationships/webSettings" Target="webSettings.xml"/><Relationship Id="rId10" Type="http://schemas.openxmlformats.org/officeDocument/2006/relationships/hyperlink" Target="http://www.mergentkbr.com/index.php/reports/industry" TargetMode="External"/><Relationship Id="rId4" Type="http://schemas.openxmlformats.org/officeDocument/2006/relationships/settings" Target="settings.xml"/><Relationship Id="rId9" Type="http://schemas.openxmlformats.org/officeDocument/2006/relationships/hyperlink" Target="http://www.nasdaq.com/symbol/plnt/financials?query=ratios"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ibisworld.ca/industry-trends/market-research-reports/arts-entertainment-recreation/gym-health-fitness-club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31FD54-3F81-436E-94EB-AA66C9935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11</Pages>
  <Words>4090</Words>
  <Characters>23315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Pepers, Karen</cp:lastModifiedBy>
  <cp:revision>5</cp:revision>
  <cp:lastPrinted>2015-03-04T20:34:00Z</cp:lastPrinted>
  <dcterms:created xsi:type="dcterms:W3CDTF">2019-12-16T13:10:00Z</dcterms:created>
  <dcterms:modified xsi:type="dcterms:W3CDTF">2019-12-20T14:09:00Z</dcterms:modified>
</cp:coreProperties>
</file>