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4324D35" w:rsidR="00C02410" w:rsidRDefault="008361FD" w:rsidP="00C02410">
      <w:pPr>
        <w:pStyle w:val="ProductNumber"/>
      </w:pPr>
      <w:r>
        <w:t>9B19C020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62B724F" w:rsidR="00013360" w:rsidRDefault="008361FD" w:rsidP="00013360">
      <w:pPr>
        <w:pStyle w:val="CaseTitle"/>
        <w:spacing w:after="0" w:line="240" w:lineRule="auto"/>
        <w:rPr>
          <w:sz w:val="20"/>
          <w:szCs w:val="20"/>
        </w:rPr>
      </w:pPr>
      <w:r w:rsidRPr="00C86AC6">
        <w:rPr>
          <w:lang w:val="en-GB"/>
        </w:rPr>
        <w:t>LAKESIDE AUTOMOTIVE</w:t>
      </w:r>
      <w:r w:rsidR="00F0500C">
        <w:rPr>
          <w:lang w:val="en-GB"/>
        </w:rPr>
        <w:t xml:space="preserve"> Ltd.</w:t>
      </w:r>
      <w:r w:rsidRPr="00C86AC6">
        <w:rPr>
          <w:lang w:val="en-GB"/>
        </w:rPr>
        <w:t>: DIGITAL EMPLOYEE RECOGNITION AMID ORGANIZATIONAL CHANGE</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4277830" w:rsidR="00086B26" w:rsidRPr="00287D6F" w:rsidRDefault="008361FD" w:rsidP="00086B26">
      <w:pPr>
        <w:pStyle w:val="StyleCopyrightStatementAfter0ptBottomSinglesolidline1"/>
        <w:rPr>
          <w:lang w:val="en-GB"/>
        </w:rPr>
      </w:pPr>
      <w:r w:rsidRPr="00C86AC6">
        <w:rPr>
          <w:lang w:val="en-GB"/>
        </w:rPr>
        <w:t>Kun Huo and Ann Peng</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3FFA7711" w14:textId="77777777" w:rsidR="0019512E" w:rsidRPr="00E23AB7" w:rsidRDefault="0019512E" w:rsidP="0019512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r w:rsidRPr="005D0C0B">
        <w:rPr>
          <w:rFonts w:ascii="Arial" w:hAnsi="Arial"/>
          <w:i/>
          <w:iCs/>
          <w:color w:val="000000"/>
          <w:sz w:val="16"/>
        </w:rPr>
        <w:t>www.iveypublishing.ca</w:t>
      </w:r>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 xml:space="preserve">. </w:t>
      </w:r>
      <w:r w:rsidRPr="00923EE0">
        <w:rPr>
          <w:rFonts w:ascii="Arial" w:hAnsi="Arial"/>
          <w:i/>
          <w:iCs/>
          <w:color w:val="FFFFFF" w:themeColor="background1"/>
          <w:sz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AB292B7"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361FD">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361FD">
        <w:rPr>
          <w:rFonts w:cs="Arial"/>
          <w:iCs w:val="0"/>
          <w:color w:val="auto"/>
          <w:szCs w:val="16"/>
        </w:rPr>
        <w:t>19</w:t>
      </w:r>
      <w:r w:rsidRPr="00A323B0">
        <w:rPr>
          <w:rFonts w:cs="Arial"/>
          <w:iCs w:val="0"/>
          <w:color w:val="auto"/>
          <w:szCs w:val="16"/>
        </w:rPr>
        <w:t>-</w:t>
      </w:r>
      <w:r w:rsidR="008361FD">
        <w:rPr>
          <w:rFonts w:cs="Arial"/>
          <w:iCs w:val="0"/>
          <w:color w:val="auto"/>
          <w:szCs w:val="16"/>
        </w:rPr>
        <w:t>07</w:t>
      </w:r>
      <w:r w:rsidRPr="00A323B0">
        <w:rPr>
          <w:rFonts w:cs="Arial"/>
          <w:iCs w:val="0"/>
          <w:color w:val="auto"/>
          <w:szCs w:val="16"/>
        </w:rPr>
        <w:t>-</w:t>
      </w:r>
      <w:r w:rsidR="008361FD">
        <w:rPr>
          <w:rFonts w:cs="Arial"/>
          <w:iCs w:val="0"/>
          <w:color w:val="auto"/>
          <w:szCs w:val="16"/>
        </w:rPr>
        <w:t>1</w:t>
      </w:r>
      <w:r w:rsidR="006C1FE1">
        <w:rPr>
          <w:rFonts w:cs="Arial"/>
          <w:iCs w:val="0"/>
          <w:color w:val="auto"/>
          <w:szCs w:val="16"/>
        </w:rPr>
        <w:t>9</w:t>
      </w:r>
    </w:p>
    <w:p w14:paraId="0A2A54E4" w14:textId="7358F36D" w:rsidR="00751E0B" w:rsidRDefault="00751E0B" w:rsidP="00751E0B">
      <w:pPr>
        <w:pStyle w:val="StyleCopyrightStatementAfter0ptBottomSinglesolidline1"/>
        <w:rPr>
          <w:rFonts w:ascii="Times New Roman" w:hAnsi="Times New Roman"/>
          <w:sz w:val="20"/>
        </w:rPr>
      </w:pPr>
    </w:p>
    <w:p w14:paraId="367F8E6A" w14:textId="77777777" w:rsidR="001F4E62" w:rsidRPr="00F60786" w:rsidRDefault="001F4E62" w:rsidP="00751E0B">
      <w:pPr>
        <w:pStyle w:val="StyleCopyrightStatementAfter0ptBottomSinglesolidline1"/>
        <w:rPr>
          <w:rFonts w:ascii="Times New Roman" w:hAnsi="Times New Roman"/>
          <w:sz w:val="20"/>
        </w:rPr>
      </w:pPr>
    </w:p>
    <w:p w14:paraId="557619FA" w14:textId="20AF2CD4" w:rsidR="008361FD" w:rsidRPr="008361FD" w:rsidRDefault="008361FD" w:rsidP="001F4E62">
      <w:pPr>
        <w:pStyle w:val="BodyTextMain"/>
        <w:rPr>
          <w:rFonts w:eastAsia="Calibri"/>
          <w:lang w:val="en-GB" w:eastAsia="zh-CN"/>
        </w:rPr>
      </w:pPr>
      <w:proofErr w:type="spellStart"/>
      <w:r w:rsidRPr="008361FD">
        <w:rPr>
          <w:rFonts w:eastAsia="Calibri"/>
          <w:lang w:val="en-GB" w:eastAsia="zh-CN"/>
        </w:rPr>
        <w:t>Katri</w:t>
      </w:r>
      <w:proofErr w:type="spellEnd"/>
      <w:r w:rsidRPr="008361FD">
        <w:rPr>
          <w:rFonts w:eastAsia="Calibri"/>
          <w:lang w:val="en-GB" w:eastAsia="zh-CN"/>
        </w:rPr>
        <w:t xml:space="preserve"> Sidhu, the dealership facilitator at Lakeside Automotive</w:t>
      </w:r>
      <w:r w:rsidR="0020052C">
        <w:rPr>
          <w:rFonts w:eastAsia="Calibri"/>
          <w:lang w:val="en-GB" w:eastAsia="zh-CN"/>
        </w:rPr>
        <w:t xml:space="preserve"> L</w:t>
      </w:r>
      <w:r w:rsidR="00F0500C">
        <w:rPr>
          <w:rFonts w:eastAsia="Calibri"/>
          <w:lang w:val="en-GB" w:eastAsia="zh-CN"/>
        </w:rPr>
        <w:t>td.</w:t>
      </w:r>
      <w:r w:rsidRPr="008361FD">
        <w:rPr>
          <w:rFonts w:eastAsia="Calibri"/>
          <w:lang w:val="en-GB" w:eastAsia="zh-CN"/>
        </w:rPr>
        <w:t xml:space="preserve"> (Lakeside), was perplexed. The usage report generated from the Thumbs Up system seemed to contradict the personal feedback provided by the employees. While the report’s statistics showed that employees had increased their usage of Thumbs Up since the dealership adopted it in June 2016, some employees had commented that the tool was “a waste of time.” The Thumbs Up system was designed for the managers and employees to recognize others’ good work by sending digitalized badges, and it promised to be a useful tool to engage the employees in the digital age. The implementation of the Thumbs Up system was also intended to facilitate the </w:t>
      </w:r>
      <w:r w:rsidRPr="008361FD">
        <w:rPr>
          <w:rFonts w:eastAsia="Calibri"/>
          <w:noProof/>
          <w:lang w:val="en-GB" w:eastAsia="zh-CN"/>
        </w:rPr>
        <w:t>relocation</w:t>
      </w:r>
      <w:r w:rsidRPr="008361FD">
        <w:rPr>
          <w:rFonts w:eastAsia="Calibri"/>
          <w:lang w:val="en-GB" w:eastAsia="zh-CN"/>
        </w:rPr>
        <w:t xml:space="preserve"> and expansion of the dealership early in 2019; by then, the majority of the company’s internal communications would be conducted virtually. Should Lakeside Automotive continue to implement the Thumbs Up system? Sidhu found herself wavering and unable to decide.</w:t>
      </w:r>
    </w:p>
    <w:p w14:paraId="2ECF6B35" w14:textId="77777777" w:rsidR="008361FD" w:rsidRPr="008361FD" w:rsidRDefault="008361FD" w:rsidP="001F4E62">
      <w:pPr>
        <w:pStyle w:val="BodyTextMain"/>
        <w:rPr>
          <w:rFonts w:eastAsia="Calibri"/>
          <w:lang w:val="en-GB" w:eastAsia="zh-CN"/>
        </w:rPr>
      </w:pPr>
    </w:p>
    <w:p w14:paraId="66508C7F" w14:textId="77777777" w:rsidR="008361FD" w:rsidRPr="008361FD" w:rsidRDefault="008361FD" w:rsidP="001F4E62">
      <w:pPr>
        <w:pStyle w:val="BodyTextMain"/>
        <w:rPr>
          <w:rFonts w:eastAsia="Calibri"/>
          <w:lang w:val="en-GB" w:eastAsia="zh-CN"/>
        </w:rPr>
      </w:pPr>
    </w:p>
    <w:p w14:paraId="3B2ABF7A" w14:textId="77777777" w:rsidR="008361FD" w:rsidRPr="008361FD" w:rsidRDefault="008361FD" w:rsidP="003528D1">
      <w:pPr>
        <w:pStyle w:val="Casehead1"/>
        <w:rPr>
          <w:rFonts w:eastAsia="SimSun"/>
          <w:lang w:val="en-GB" w:eastAsia="zh-CN"/>
        </w:rPr>
      </w:pPr>
      <w:r w:rsidRPr="008361FD">
        <w:rPr>
          <w:rFonts w:eastAsia="SimSun"/>
          <w:lang w:val="en-GB" w:eastAsia="zh-CN"/>
        </w:rPr>
        <w:t>KATRI SIDHU</w:t>
      </w:r>
    </w:p>
    <w:p w14:paraId="72006EE7" w14:textId="77777777" w:rsidR="008361FD" w:rsidRPr="008361FD" w:rsidRDefault="008361FD" w:rsidP="001F4E62">
      <w:pPr>
        <w:pStyle w:val="BodyTextMain"/>
        <w:rPr>
          <w:rFonts w:eastAsia="SimSun"/>
          <w:lang w:val="en-GB" w:eastAsia="zh-CN"/>
        </w:rPr>
      </w:pPr>
    </w:p>
    <w:p w14:paraId="15AB8DFB" w14:textId="77777777" w:rsidR="008361FD" w:rsidRPr="008361FD" w:rsidRDefault="008361FD" w:rsidP="001F4E62">
      <w:pPr>
        <w:pStyle w:val="BodyTextMain"/>
        <w:rPr>
          <w:rFonts w:eastAsia="Calibri"/>
          <w:sz w:val="24"/>
          <w:lang w:val="en-GB"/>
        </w:rPr>
      </w:pPr>
      <w:r w:rsidRPr="008361FD">
        <w:rPr>
          <w:lang w:val="en-GB"/>
        </w:rPr>
        <w:t>Sidhu had obtained a bachelor’s degree in commerce with a major in accounting from the University of Guelph, in Ontario. Later, she graduated with a master of science degree in the international business program from Ivey Business School at Western University. Sidhu had worked in the dealership’s accounting department for two years before commencing work on her Ivey degree. After working on a compliance project in Singapore for two years, she was lured back to Lakeside by both its family business environment and the opportunity to practise business management</w:t>
      </w:r>
      <w:r w:rsidRPr="008361FD">
        <w:rPr>
          <w:rFonts w:eastAsia="Calibri"/>
          <w:sz w:val="24"/>
          <w:lang w:val="en-GB"/>
        </w:rPr>
        <w:t xml:space="preserve">. </w:t>
      </w:r>
    </w:p>
    <w:p w14:paraId="7172859C" w14:textId="77777777" w:rsidR="008361FD" w:rsidRPr="008361FD" w:rsidRDefault="008361FD" w:rsidP="001F4E62">
      <w:pPr>
        <w:pStyle w:val="BodyTextMain"/>
        <w:rPr>
          <w:lang w:val="en-GB"/>
        </w:rPr>
      </w:pPr>
    </w:p>
    <w:p w14:paraId="517CB10D" w14:textId="2B6D34E3" w:rsidR="008361FD" w:rsidRPr="008361FD" w:rsidRDefault="008361FD" w:rsidP="001F4E62">
      <w:pPr>
        <w:pStyle w:val="BodyTextMain"/>
        <w:rPr>
          <w:lang w:val="en-GB"/>
        </w:rPr>
      </w:pPr>
      <w:r w:rsidRPr="008361FD">
        <w:rPr>
          <w:lang w:val="en-GB"/>
        </w:rPr>
        <w:t xml:space="preserve">As the dealership facilitator at Lakeside, Sidhu had </w:t>
      </w:r>
      <w:r w:rsidR="00BB7B68">
        <w:rPr>
          <w:lang w:val="en-GB"/>
        </w:rPr>
        <w:t>ma</w:t>
      </w:r>
      <w:r w:rsidR="006178E7">
        <w:rPr>
          <w:lang w:val="en-GB"/>
        </w:rPr>
        <w:t>ny</w:t>
      </w:r>
      <w:r w:rsidRPr="008361FD">
        <w:rPr>
          <w:lang w:val="en-GB"/>
        </w:rPr>
        <w:t xml:space="preserve"> responsibilities. She supported the sales and service departments across all six brands that the dealership sold, mainly through projects related to customer experience, such as implementing customized human resources (HR) solutions, which included the Thumbs Up application (app). In addition, she worked with vendors, auto traders, and Google advertisements in an effort to strengthen Lakeside’s marketing both on and off the Internet. Lastly, she helped to facilitate the dealership’s compliance with policies of the manufacturers, a key function that maintained good relationships and supply agreements with the automakers. </w:t>
      </w:r>
    </w:p>
    <w:p w14:paraId="37A11178" w14:textId="77777777" w:rsidR="008361FD" w:rsidRPr="008361FD" w:rsidRDefault="008361FD" w:rsidP="001F4E62">
      <w:pPr>
        <w:pStyle w:val="BodyTextMain"/>
        <w:rPr>
          <w:lang w:val="en-GB"/>
        </w:rPr>
      </w:pPr>
    </w:p>
    <w:p w14:paraId="392808F4" w14:textId="77777777" w:rsidR="008361FD" w:rsidRPr="008361FD" w:rsidRDefault="008361FD" w:rsidP="001F4E62">
      <w:pPr>
        <w:pStyle w:val="BodyTextMain"/>
        <w:rPr>
          <w:lang w:val="en-GB"/>
        </w:rPr>
      </w:pPr>
    </w:p>
    <w:p w14:paraId="0A2713CB" w14:textId="77777777" w:rsidR="003528D1" w:rsidRDefault="003528D1" w:rsidP="003528D1">
      <w:pPr>
        <w:pStyle w:val="Casehead1"/>
        <w:rPr>
          <w:lang w:val="en-GB"/>
        </w:rPr>
      </w:pPr>
    </w:p>
    <w:p w14:paraId="4FEC42BE" w14:textId="4D4278F4" w:rsidR="008361FD" w:rsidRPr="008361FD" w:rsidRDefault="008361FD" w:rsidP="003528D1">
      <w:pPr>
        <w:pStyle w:val="Casehead1"/>
        <w:rPr>
          <w:lang w:val="en-GB"/>
        </w:rPr>
      </w:pPr>
      <w:r w:rsidRPr="008361FD">
        <w:rPr>
          <w:lang w:val="en-GB"/>
        </w:rPr>
        <w:lastRenderedPageBreak/>
        <w:t>LAKESIDE AUTOMOTIVE: COMPANY BACKGROUND</w:t>
      </w:r>
    </w:p>
    <w:p w14:paraId="35C96584" w14:textId="77777777" w:rsidR="008361FD" w:rsidRPr="008361FD" w:rsidRDefault="008361FD" w:rsidP="001F4E62">
      <w:pPr>
        <w:pStyle w:val="BodyTextMain"/>
        <w:rPr>
          <w:rFonts w:eastAsia="Calibri"/>
          <w:lang w:val="en-GB"/>
        </w:rPr>
      </w:pPr>
    </w:p>
    <w:p w14:paraId="0A48416A" w14:textId="3698CDD0" w:rsidR="008361FD" w:rsidRPr="008361FD" w:rsidRDefault="008361FD" w:rsidP="001F4E62">
      <w:pPr>
        <w:pStyle w:val="BodyTextMain"/>
        <w:rPr>
          <w:rFonts w:eastAsia="Calibri"/>
          <w:spacing w:val="-2"/>
          <w:lang w:val="en-GB"/>
        </w:rPr>
      </w:pPr>
      <w:r w:rsidRPr="008361FD">
        <w:rPr>
          <w:rFonts w:eastAsia="Calibri"/>
          <w:spacing w:val="-2"/>
          <w:lang w:val="en-GB"/>
        </w:rPr>
        <w:t>Lakeside Automotive</w:t>
      </w:r>
      <w:r w:rsidR="0020052C">
        <w:rPr>
          <w:rFonts w:eastAsia="Calibri"/>
          <w:spacing w:val="-2"/>
          <w:lang w:val="en-GB"/>
        </w:rPr>
        <w:t xml:space="preserve"> L</w:t>
      </w:r>
      <w:r w:rsidR="00F0500C">
        <w:rPr>
          <w:rFonts w:eastAsia="Calibri"/>
          <w:spacing w:val="-2"/>
          <w:lang w:val="en-GB"/>
        </w:rPr>
        <w:t>td.</w:t>
      </w:r>
      <w:r w:rsidRPr="008361FD">
        <w:rPr>
          <w:rFonts w:eastAsia="Calibri"/>
          <w:spacing w:val="-2"/>
          <w:lang w:val="en-GB"/>
        </w:rPr>
        <w:t xml:space="preserve"> (Lakeside) was a family-owned auto dealership group that operated in the Greater Toronto Area (GTA). The company was founded in 1965 by Matteo </w:t>
      </w:r>
      <w:proofErr w:type="spellStart"/>
      <w:r w:rsidRPr="008361FD">
        <w:rPr>
          <w:rFonts w:eastAsia="Calibri"/>
          <w:spacing w:val="-2"/>
          <w:lang w:val="en-GB"/>
        </w:rPr>
        <w:t>DiBiaggio</w:t>
      </w:r>
      <w:proofErr w:type="spellEnd"/>
      <w:r w:rsidRPr="008361FD">
        <w:rPr>
          <w:rFonts w:eastAsia="Calibri"/>
          <w:spacing w:val="-2"/>
          <w:lang w:val="en-GB"/>
        </w:rPr>
        <w:t xml:space="preserve">, who was the father of the current owners, Angelo and Anthony </w:t>
      </w:r>
      <w:proofErr w:type="spellStart"/>
      <w:r w:rsidRPr="008361FD">
        <w:rPr>
          <w:rFonts w:eastAsia="Calibri"/>
          <w:spacing w:val="-2"/>
          <w:lang w:val="en-GB"/>
        </w:rPr>
        <w:t>DiBiaggio</w:t>
      </w:r>
      <w:proofErr w:type="spellEnd"/>
      <w:r w:rsidRPr="008361FD">
        <w:rPr>
          <w:rFonts w:eastAsia="Calibri"/>
          <w:spacing w:val="-2"/>
          <w:lang w:val="en-GB"/>
        </w:rPr>
        <w:t xml:space="preserve">. Under the Lakeside banner, six separate dealerships sold and serviced six automobile brands: Honda, Hyundai, Subaru, Volvo, Jaguar, and Land Rover. The Honda, Hyundai, and Subaru dealerships were close to each other at the lakeside, while the three premium brands (Volvo, Jaguar, and Land Rover) were located in a different part of the GTA. Lakeside had been successful through more than five decades in the market. The elder </w:t>
      </w:r>
      <w:proofErr w:type="spellStart"/>
      <w:r w:rsidRPr="008361FD">
        <w:rPr>
          <w:rFonts w:eastAsia="Calibri"/>
          <w:spacing w:val="-2"/>
          <w:lang w:val="en-GB"/>
        </w:rPr>
        <w:t>DiBiaggio</w:t>
      </w:r>
      <w:proofErr w:type="spellEnd"/>
      <w:r w:rsidRPr="008361FD">
        <w:rPr>
          <w:rFonts w:eastAsia="Calibri"/>
          <w:spacing w:val="-2"/>
          <w:lang w:val="en-GB"/>
        </w:rPr>
        <w:t xml:space="preserve"> believed that the key to long-term success was cultivating close personal relationships, both with customers and with employees. Each Friday, he met with and talked to his front-line employees, sales staff, and service personnel, and thanked them for their contributions to the firm. As a result, compared with the rest of the industry, Lakeside had enjoyed higher employee satisfaction and longer tenure over the past many years. </w:t>
      </w:r>
    </w:p>
    <w:p w14:paraId="1102256D" w14:textId="77777777" w:rsidR="008361FD" w:rsidRPr="008361FD" w:rsidRDefault="008361FD" w:rsidP="001F4E62">
      <w:pPr>
        <w:pStyle w:val="BodyTextMain"/>
        <w:rPr>
          <w:rFonts w:eastAsia="Calibri"/>
          <w:lang w:val="en-GB"/>
        </w:rPr>
      </w:pPr>
    </w:p>
    <w:p w14:paraId="1A6276A1" w14:textId="0303041B" w:rsidR="008361FD" w:rsidRPr="008361FD" w:rsidRDefault="008361FD" w:rsidP="001F4E62">
      <w:pPr>
        <w:pStyle w:val="BodyTextMain"/>
        <w:rPr>
          <w:rFonts w:eastAsia="Calibri"/>
          <w:lang w:val="en-GB"/>
        </w:rPr>
      </w:pPr>
      <w:r w:rsidRPr="008361FD">
        <w:rPr>
          <w:rFonts w:eastAsia="Calibri"/>
          <w:lang w:val="en-GB"/>
        </w:rPr>
        <w:t xml:space="preserve">The children of Matteo </w:t>
      </w:r>
      <w:proofErr w:type="spellStart"/>
      <w:r w:rsidRPr="008361FD">
        <w:rPr>
          <w:rFonts w:eastAsia="Calibri"/>
          <w:lang w:val="en-GB"/>
        </w:rPr>
        <w:t>DiBiaggio</w:t>
      </w:r>
      <w:proofErr w:type="spellEnd"/>
      <w:r w:rsidRPr="008361FD">
        <w:rPr>
          <w:rFonts w:eastAsia="Calibri"/>
          <w:lang w:val="en-GB"/>
        </w:rPr>
        <w:t>, Angelo and Anthony, were keen to maintain the success and the reputation of the business but needed to overcome several difficulties since Matteo’s retirement in 2017. First, due to the expansion of the dealership over the years</w:t>
      </w:r>
      <w:r w:rsidRPr="008361FD">
        <w:rPr>
          <w:rFonts w:eastAsia="Calibri"/>
          <w:vertAlign w:val="superscript"/>
          <w:lang w:val="en-GB"/>
        </w:rPr>
        <w:footnoteReference w:id="1"/>
      </w:r>
      <w:r w:rsidRPr="008361FD">
        <w:rPr>
          <w:rFonts w:eastAsia="Calibri"/>
          <w:lang w:val="en-GB"/>
        </w:rPr>
        <w:t xml:space="preserve"> and the lack of investment in human resource management systems (HRMS), the paperwork involved with managing personnel additions, terminations, vacations, and bonus pay was slow and error-prone. Second, the younger </w:t>
      </w:r>
      <w:proofErr w:type="spellStart"/>
      <w:r w:rsidRPr="008361FD">
        <w:rPr>
          <w:rFonts w:eastAsia="Calibri"/>
          <w:lang w:val="en-GB"/>
        </w:rPr>
        <w:t>DiBiaggios</w:t>
      </w:r>
      <w:proofErr w:type="spellEnd"/>
      <w:r w:rsidRPr="008361FD">
        <w:rPr>
          <w:rFonts w:eastAsia="Calibri"/>
          <w:lang w:val="en-GB"/>
        </w:rPr>
        <w:t xml:space="preserve"> did not want to spend all of their time in the dealerships and wanted to pursue other interests while managing the business. Thus, they were looking for alternative methods to track activities in the dealerships so that they could step in when necessary. Third, responding to the growth of the GTA automotive market, Lakeside had been planning to expand by relocating its Honda, Hyundai, and Subaru dealerships. Unlike the current location, where the management team could interact with the employees frequently</w:t>
      </w:r>
      <w:r w:rsidR="006178E7">
        <w:rPr>
          <w:rFonts w:eastAsia="Calibri"/>
          <w:lang w:val="en-GB"/>
        </w:rPr>
        <w:t xml:space="preserve"> and</w:t>
      </w:r>
      <w:r w:rsidRPr="008361FD">
        <w:rPr>
          <w:rFonts w:eastAsia="Calibri"/>
          <w:lang w:val="en-GB"/>
        </w:rPr>
        <w:t xml:space="preserve"> in person, the individual dealerships would be farther apart from one another. </w:t>
      </w:r>
    </w:p>
    <w:p w14:paraId="4E6DC286" w14:textId="77777777" w:rsidR="008361FD" w:rsidRPr="008361FD" w:rsidRDefault="008361FD" w:rsidP="001F4E62">
      <w:pPr>
        <w:pStyle w:val="BodyTextMain"/>
        <w:rPr>
          <w:rFonts w:eastAsia="SimSun"/>
          <w:lang w:val="en-GB" w:eastAsia="zh-CN"/>
        </w:rPr>
      </w:pPr>
    </w:p>
    <w:p w14:paraId="63CC65D2" w14:textId="77777777" w:rsidR="008361FD" w:rsidRPr="008361FD" w:rsidRDefault="008361FD" w:rsidP="001F4E62">
      <w:pPr>
        <w:pStyle w:val="BodyTextMain"/>
        <w:rPr>
          <w:rFonts w:eastAsia="SimSun"/>
          <w:lang w:val="en-GB" w:eastAsia="zh-CN"/>
        </w:rPr>
      </w:pPr>
    </w:p>
    <w:p w14:paraId="336B0CA5" w14:textId="77777777" w:rsidR="008361FD" w:rsidRPr="008361FD" w:rsidRDefault="008361FD" w:rsidP="003528D1">
      <w:pPr>
        <w:pStyle w:val="Casehead1"/>
        <w:rPr>
          <w:rFonts w:eastAsia="SimSun"/>
          <w:lang w:val="en-GB" w:eastAsia="zh-CN"/>
        </w:rPr>
      </w:pPr>
      <w:r w:rsidRPr="008361FD">
        <w:rPr>
          <w:rFonts w:eastAsia="SimSun"/>
          <w:lang w:val="en-GB" w:eastAsia="zh-CN"/>
        </w:rPr>
        <w:t>THE CANADIAN AUTOMOTIVE RETAIL INDUSTRY</w:t>
      </w:r>
    </w:p>
    <w:p w14:paraId="2CD0EA3D" w14:textId="77777777" w:rsidR="008361FD" w:rsidRPr="008361FD" w:rsidRDefault="008361FD" w:rsidP="001F4E62">
      <w:pPr>
        <w:pStyle w:val="BodyTextMain"/>
        <w:rPr>
          <w:rFonts w:eastAsia="Calibri"/>
          <w:lang w:val="en-GB"/>
        </w:rPr>
      </w:pPr>
    </w:p>
    <w:p w14:paraId="65B6E6E5" w14:textId="55B8C01E" w:rsidR="008361FD" w:rsidRPr="003528D1" w:rsidRDefault="008361FD" w:rsidP="001F4E62">
      <w:pPr>
        <w:pStyle w:val="BodyTextMain"/>
        <w:rPr>
          <w:rFonts w:eastAsia="Calibri"/>
          <w:spacing w:val="-2"/>
          <w:lang w:val="en-GB"/>
        </w:rPr>
      </w:pPr>
      <w:r w:rsidRPr="003528D1">
        <w:rPr>
          <w:rFonts w:eastAsia="Calibri"/>
          <w:spacing w:val="-2"/>
          <w:lang w:val="en-GB"/>
        </w:rPr>
        <w:t xml:space="preserve">Canada was a thriving market for automotive manufacturers and retailers. According to Statistics Canada, in 2016, more than 33 million vehicles were registered in Canada, of which 22 million were passenger vehicles. </w:t>
      </w:r>
      <w:r w:rsidRPr="003528D1">
        <w:rPr>
          <w:rFonts w:eastAsia="SimSun"/>
          <w:spacing w:val="-2"/>
          <w:lang w:val="en-GB" w:eastAsia="zh-CN"/>
        </w:rPr>
        <w:t xml:space="preserve">Given Canada’s population of approximately 36 million, car ownership per capita was 0.6 per 1,000 people </w:t>
      </w:r>
      <w:r w:rsidRPr="003528D1">
        <w:rPr>
          <w:rFonts w:eastAsia="SimSun"/>
          <w:spacing w:val="-2"/>
          <w:lang w:val="en-GB" w:eastAsia="zh-CN"/>
        </w:rPr>
        <w:fldChar w:fldCharType="begin" w:fldLock="1"/>
      </w:r>
      <w:r w:rsidRPr="003528D1">
        <w:rPr>
          <w:rFonts w:eastAsia="SimSun"/>
          <w:spacing w:val="-2"/>
          <w:lang w:val="en-GB" w:eastAsia="zh-CN"/>
        </w:rPr>
        <w:instrText>ADDIN CSL_CITATION { "citationItems" : [ { "id" : "ITEM-1", "itemData" : { "author" : [ { "dropping-particle" : "", "family" : "Statistics Canada", "given" : "", "non-dropping-particle" : "", "parse-names" : false, "suffix" : "" } ], "id" : "ITEM-1", "issued" : { "date-parts" : [ [ "2018" ] ] }, "title" : "Road motor vehicle registrations, by type of vehicle", "type" : "report" }, "uris" : [ "http://www.mendeley.com/documents/?uuid=2087ae1c-0449-4dda-ba36-58338da81cfa" ] } ], "mendeley" : { "formattedCitation" : "(Statistics Canada 2018)", "plainTextFormattedCitation" : "(Statistics Canada 2018)", "previouslyFormattedCitation" : "(\u201cRoad Motor Vehicle Registrations, by Type of Vehicle\u201d 2018)" }, "properties" : { "noteIndex" : 0 }, "schema" : "https://github.com/citation-style-language/schema/raw/master/csl-citation.json" }</w:instrText>
      </w:r>
      <w:r w:rsidRPr="003528D1">
        <w:rPr>
          <w:rFonts w:eastAsia="SimSun"/>
          <w:spacing w:val="-2"/>
          <w:lang w:val="en-GB" w:eastAsia="zh-CN"/>
        </w:rPr>
        <w:fldChar w:fldCharType="separate"/>
      </w:r>
      <w:r w:rsidRPr="003528D1">
        <w:rPr>
          <w:rFonts w:eastAsia="SimSun"/>
          <w:noProof/>
          <w:spacing w:val="-2"/>
          <w:lang w:val="en-GB" w:eastAsia="zh-CN"/>
        </w:rPr>
        <w:t>(Statistics Canada 2018)</w:t>
      </w:r>
      <w:r w:rsidRPr="003528D1">
        <w:rPr>
          <w:rFonts w:eastAsia="SimSun"/>
          <w:spacing w:val="-2"/>
          <w:lang w:val="en-GB" w:eastAsia="zh-CN"/>
        </w:rPr>
        <w:fldChar w:fldCharType="end"/>
      </w:r>
      <w:r w:rsidRPr="003528D1">
        <w:rPr>
          <w:rFonts w:eastAsia="SimSun"/>
          <w:spacing w:val="-2"/>
          <w:lang w:val="en-GB" w:eastAsia="zh-CN"/>
        </w:rPr>
        <w:t>.</w:t>
      </w:r>
      <w:r w:rsidRPr="003528D1">
        <w:rPr>
          <w:rFonts w:eastAsia="SimSun"/>
          <w:spacing w:val="-2"/>
          <w:vertAlign w:val="superscript"/>
          <w:lang w:val="en-GB" w:eastAsia="zh-CN"/>
        </w:rPr>
        <w:footnoteReference w:id="2"/>
      </w:r>
      <w:r w:rsidRPr="003528D1">
        <w:rPr>
          <w:rFonts w:eastAsia="SimSun"/>
          <w:spacing w:val="-2"/>
          <w:lang w:val="en-GB" w:eastAsia="zh-CN"/>
        </w:rPr>
        <w:t xml:space="preserve"> </w:t>
      </w:r>
      <w:r w:rsidRPr="003528D1">
        <w:rPr>
          <w:rFonts w:eastAsia="Calibri"/>
          <w:spacing w:val="-2"/>
          <w:lang w:val="en-GB"/>
        </w:rPr>
        <w:t>A Scotiabank report showed that passenger car sales had increased by 23 per cent since 2014, and that more than 2 million passenger vehicles were expected to be sold in 2018.</w:t>
      </w:r>
      <w:r w:rsidRPr="003528D1">
        <w:rPr>
          <w:rFonts w:eastAsia="Calibri"/>
          <w:spacing w:val="-2"/>
          <w:vertAlign w:val="superscript"/>
          <w:lang w:val="en-GB"/>
        </w:rPr>
        <w:footnoteReference w:id="3"/>
      </w:r>
      <w:r w:rsidRPr="003528D1">
        <w:rPr>
          <w:rFonts w:eastAsia="Calibri"/>
          <w:spacing w:val="-2"/>
          <w:lang w:val="en-GB"/>
        </w:rPr>
        <w:t xml:space="preserve"> The Scotia bank report further suggested that Ontario ma</w:t>
      </w:r>
      <w:r w:rsidR="006178E7">
        <w:rPr>
          <w:rFonts w:eastAsia="Calibri"/>
          <w:spacing w:val="-2"/>
          <w:lang w:val="en-GB"/>
        </w:rPr>
        <w:t>d</w:t>
      </w:r>
      <w:r w:rsidRPr="003528D1">
        <w:rPr>
          <w:rFonts w:eastAsia="Calibri"/>
          <w:spacing w:val="-2"/>
          <w:lang w:val="en-GB"/>
        </w:rPr>
        <w:t>e up for over 40 per cent of Canadian retail sales, and this level was expected to hold for 2018 and beyond.</w:t>
      </w:r>
      <w:r w:rsidRPr="003528D1">
        <w:rPr>
          <w:rFonts w:eastAsia="Calibri"/>
          <w:spacing w:val="-2"/>
          <w:vertAlign w:val="superscript"/>
          <w:lang w:val="en-GB"/>
        </w:rPr>
        <w:footnoteReference w:id="4"/>
      </w:r>
      <w:r w:rsidRPr="003528D1">
        <w:rPr>
          <w:rFonts w:eastAsia="Calibri"/>
          <w:spacing w:val="-2"/>
          <w:lang w:val="en-GB"/>
        </w:rPr>
        <w:t xml:space="preserve"> In Southern Ontario, strong sales were generated by a significant appreciation of property values. As house prices trended up, consumers were able to borrow against their property values to finance vehicle purchases.</w:t>
      </w:r>
      <w:r w:rsidRPr="003528D1">
        <w:rPr>
          <w:rFonts w:eastAsia="Calibri"/>
          <w:spacing w:val="-2"/>
          <w:vertAlign w:val="superscript"/>
          <w:lang w:val="en-GB"/>
        </w:rPr>
        <w:footnoteReference w:id="5"/>
      </w:r>
      <w:r w:rsidRPr="003528D1">
        <w:rPr>
          <w:rFonts w:eastAsia="Calibri"/>
          <w:spacing w:val="-2"/>
          <w:lang w:val="en-GB"/>
        </w:rPr>
        <w:t xml:space="preserve"> The GTA region was the largest municipal market for cars in Ontario and Canada. A 2011 report showed that the GTA region had at least 1.1 million cars, and that number had grown substantially, given</w:t>
      </w:r>
      <w:r w:rsidR="006178E7">
        <w:rPr>
          <w:rFonts w:eastAsia="Calibri"/>
          <w:spacing w:val="-2"/>
          <w:lang w:val="en-GB"/>
        </w:rPr>
        <w:t xml:space="preserve"> that</w:t>
      </w:r>
      <w:r w:rsidRPr="003528D1">
        <w:rPr>
          <w:rFonts w:eastAsia="Calibri"/>
          <w:spacing w:val="-2"/>
          <w:lang w:val="en-GB"/>
        </w:rPr>
        <w:t xml:space="preserve"> the region’s population continued to expand.</w:t>
      </w:r>
      <w:r w:rsidRPr="003528D1">
        <w:rPr>
          <w:rFonts w:eastAsia="Calibri"/>
          <w:spacing w:val="-2"/>
          <w:vertAlign w:val="superscript"/>
          <w:lang w:val="en-GB"/>
        </w:rPr>
        <w:footnoteReference w:id="6"/>
      </w:r>
      <w:r w:rsidRPr="003528D1">
        <w:rPr>
          <w:rFonts w:eastAsia="Calibri"/>
          <w:spacing w:val="-2"/>
          <w:lang w:val="en-GB"/>
        </w:rPr>
        <w:t xml:space="preserve"> </w:t>
      </w:r>
    </w:p>
    <w:p w14:paraId="34C4DCFF" w14:textId="77777777" w:rsidR="008361FD" w:rsidRPr="008361FD" w:rsidRDefault="008361FD" w:rsidP="001F4E62">
      <w:pPr>
        <w:pStyle w:val="BodyTextMain"/>
        <w:rPr>
          <w:rFonts w:eastAsia="Calibri"/>
          <w:lang w:val="en-GB"/>
        </w:rPr>
      </w:pPr>
    </w:p>
    <w:p w14:paraId="7F5EFB80" w14:textId="4F049ABF" w:rsidR="008361FD" w:rsidRPr="008361FD" w:rsidRDefault="008361FD" w:rsidP="001F4E62">
      <w:pPr>
        <w:pStyle w:val="BodyTextMain"/>
        <w:rPr>
          <w:rFonts w:eastAsia="Calibri"/>
          <w:lang w:val="en-GB" w:eastAsia="zh-CN"/>
        </w:rPr>
      </w:pPr>
      <w:r w:rsidRPr="008361FD">
        <w:rPr>
          <w:rFonts w:eastAsia="Calibri"/>
          <w:lang w:val="en-GB" w:eastAsia="zh-CN"/>
        </w:rPr>
        <w:lastRenderedPageBreak/>
        <w:t>IBISWorld reported the Canadian automotive retail industry would have an annual revenue of $125.2 billion in 2017.</w:t>
      </w:r>
      <w:r w:rsidRPr="008361FD">
        <w:rPr>
          <w:rFonts w:eastAsia="Calibri"/>
          <w:vertAlign w:val="superscript"/>
          <w:lang w:val="en-GB" w:eastAsia="zh-CN"/>
        </w:rPr>
        <w:footnoteReference w:id="7"/>
      </w:r>
      <w:r w:rsidRPr="008361FD">
        <w:rPr>
          <w:rFonts w:eastAsia="Calibri"/>
          <w:lang w:val="en-GB" w:eastAsia="zh-CN"/>
        </w:rPr>
        <w:t xml:space="preserve"> However, this industry was incredibly fragmented. Only one company, </w:t>
      </w:r>
      <w:proofErr w:type="spellStart"/>
      <w:r w:rsidRPr="008361FD">
        <w:rPr>
          <w:rFonts w:eastAsia="Calibri"/>
          <w:lang w:val="en-GB" w:eastAsia="zh-CN"/>
        </w:rPr>
        <w:t>AutoCanada</w:t>
      </w:r>
      <w:proofErr w:type="spellEnd"/>
      <w:r w:rsidRPr="008361FD">
        <w:rPr>
          <w:rFonts w:eastAsia="Calibri"/>
          <w:lang w:val="en-GB" w:eastAsia="zh-CN"/>
        </w:rPr>
        <w:t xml:space="preserve"> Inc., had more than 1 per cent of the market share, while independent owners such as the </w:t>
      </w:r>
      <w:proofErr w:type="spellStart"/>
      <w:r w:rsidRPr="008361FD">
        <w:rPr>
          <w:rFonts w:eastAsia="Calibri"/>
          <w:lang w:val="en-GB" w:eastAsia="zh-CN"/>
        </w:rPr>
        <w:t>DiBiaggios</w:t>
      </w:r>
      <w:proofErr w:type="spellEnd"/>
      <w:r w:rsidRPr="008361FD">
        <w:rPr>
          <w:rFonts w:eastAsia="Calibri"/>
          <w:lang w:val="en-GB" w:eastAsia="zh-CN"/>
        </w:rPr>
        <w:t xml:space="preserve"> accounted for the rest of the market. The industry was nevertheless highly profitable with a profit-to-revenue ratio of 2.6 per cent and a return on equity that was more than 20 per cent over the period of 2012–2017.</w:t>
      </w:r>
      <w:r w:rsidRPr="008361FD">
        <w:rPr>
          <w:rFonts w:eastAsia="Calibri"/>
          <w:vertAlign w:val="superscript"/>
          <w:lang w:val="en-GB" w:eastAsia="zh-CN"/>
        </w:rPr>
        <w:footnoteReference w:id="8"/>
      </w:r>
      <w:r w:rsidRPr="008361FD">
        <w:rPr>
          <w:rFonts w:eastAsia="Calibri"/>
          <w:lang w:val="en-GB" w:eastAsia="zh-CN"/>
        </w:rPr>
        <w:t xml:space="preserve"> As of 2017, Canada had 3,744 dealership groups, which employed a total of 141,616 workers.</w:t>
      </w:r>
      <w:r w:rsidRPr="008361FD">
        <w:rPr>
          <w:rFonts w:eastAsia="Calibri"/>
          <w:vertAlign w:val="superscript"/>
          <w:lang w:val="en-GB" w:eastAsia="zh-CN"/>
        </w:rPr>
        <w:footnoteReference w:id="9"/>
      </w:r>
      <w:r w:rsidRPr="008361FD">
        <w:rPr>
          <w:rFonts w:eastAsia="Calibri"/>
          <w:lang w:val="en-GB" w:eastAsia="zh-CN"/>
        </w:rPr>
        <w:t xml:space="preserve"> IBISWorld projected the industry would continue to grow over the next five years, given the stable employment trends, growing household disposable income, and strong corporate profit levels.</w:t>
      </w:r>
      <w:r w:rsidR="006C1FE1">
        <w:rPr>
          <w:rStyle w:val="FootnoteReference"/>
          <w:rFonts w:eastAsia="Calibri"/>
          <w:lang w:val="en-GB" w:eastAsia="zh-CN"/>
        </w:rPr>
        <w:footnoteReference w:id="10"/>
      </w:r>
      <w:r w:rsidRPr="008361FD">
        <w:rPr>
          <w:rFonts w:eastAsia="Calibri"/>
          <w:lang w:val="en-GB" w:eastAsia="zh-CN"/>
        </w:rPr>
        <w:t xml:space="preserve"> </w:t>
      </w:r>
    </w:p>
    <w:p w14:paraId="79E347AC" w14:textId="77777777" w:rsidR="008361FD" w:rsidRPr="008361FD" w:rsidRDefault="008361FD" w:rsidP="001F4E62">
      <w:pPr>
        <w:pStyle w:val="BodyTextMain"/>
        <w:rPr>
          <w:rFonts w:eastAsia="Calibri"/>
          <w:lang w:val="en-GB" w:eastAsia="zh-CN"/>
        </w:rPr>
      </w:pPr>
    </w:p>
    <w:p w14:paraId="1F417A29" w14:textId="77777777" w:rsidR="008361FD" w:rsidRPr="008361FD" w:rsidRDefault="008361FD" w:rsidP="001F4E62">
      <w:pPr>
        <w:pStyle w:val="BodyTextMain"/>
        <w:rPr>
          <w:rFonts w:eastAsia="Calibri"/>
          <w:lang w:val="en-GB" w:eastAsia="zh-CN"/>
        </w:rPr>
      </w:pPr>
      <w:r w:rsidRPr="008361FD">
        <w:rPr>
          <w:rFonts w:eastAsia="Calibri"/>
          <w:lang w:val="en-GB" w:eastAsia="zh-CN"/>
        </w:rPr>
        <w:t xml:space="preserve">Although profits were strong, dealerships were on the verge of both technological and social changes. The </w:t>
      </w:r>
      <w:r w:rsidRPr="008361FD">
        <w:rPr>
          <w:rFonts w:eastAsia="Calibri"/>
          <w:i/>
          <w:lang w:val="en-GB" w:eastAsia="zh-CN"/>
        </w:rPr>
        <w:t>Globe and Mail</w:t>
      </w:r>
      <w:r w:rsidRPr="008361FD">
        <w:rPr>
          <w:rFonts w:eastAsia="Calibri"/>
          <w:lang w:val="en-GB" w:eastAsia="zh-CN"/>
        </w:rPr>
        <w:t xml:space="preserve"> documented that in 2018, 44 per cent of car buyers expected to make their purchase decision over the Internet rather than visiting the dealership.</w:t>
      </w:r>
      <w:r w:rsidRPr="008361FD">
        <w:rPr>
          <w:rFonts w:eastAsia="Calibri"/>
          <w:vertAlign w:val="superscript"/>
          <w:lang w:val="en-GB" w:eastAsia="zh-CN"/>
        </w:rPr>
        <w:footnoteReference w:id="11"/>
      </w:r>
      <w:r w:rsidRPr="008361FD">
        <w:rPr>
          <w:rFonts w:eastAsia="Calibri"/>
          <w:lang w:val="en-GB" w:eastAsia="zh-CN"/>
        </w:rPr>
        <w:t xml:space="preserve"> This trend coincided with a growing number of younger buyers entering the car market; </w:t>
      </w:r>
      <w:r w:rsidRPr="008361FD">
        <w:rPr>
          <w:rFonts w:eastAsia="Calibri"/>
          <w:i/>
          <w:lang w:val="en-GB" w:eastAsia="zh-CN"/>
        </w:rPr>
        <w:t>Forbes</w:t>
      </w:r>
      <w:r w:rsidRPr="008361FD">
        <w:rPr>
          <w:rFonts w:eastAsia="Calibri"/>
          <w:lang w:val="en-GB" w:eastAsia="zh-CN"/>
        </w:rPr>
        <w:t xml:space="preserve"> estimated that, by 2020, 40 per cent of the market would consist of millennials.</w:t>
      </w:r>
      <w:r w:rsidRPr="008361FD">
        <w:rPr>
          <w:rFonts w:eastAsia="Calibri"/>
          <w:vertAlign w:val="superscript"/>
          <w:lang w:val="en-GB" w:eastAsia="zh-CN"/>
        </w:rPr>
        <w:footnoteReference w:id="12"/>
      </w:r>
      <w:r w:rsidRPr="008361FD">
        <w:rPr>
          <w:rFonts w:eastAsia="Calibri"/>
          <w:lang w:val="en-GB" w:eastAsia="zh-CN"/>
        </w:rPr>
        <w:t xml:space="preserve"> While visits to car dealerships dropped, those who walked through the doors were much more likely to buy, as they had already done their research on the Internet. In response, many dealerships in Toronto had been placing product experts in showrooms to answer detailed questions about the car models available.</w:t>
      </w:r>
      <w:r w:rsidRPr="008361FD">
        <w:rPr>
          <w:rFonts w:eastAsia="Calibri"/>
          <w:vertAlign w:val="superscript"/>
          <w:lang w:val="en-GB" w:eastAsia="zh-CN"/>
        </w:rPr>
        <w:footnoteReference w:id="13"/>
      </w:r>
    </w:p>
    <w:p w14:paraId="2DF8474B" w14:textId="77777777" w:rsidR="008361FD" w:rsidRPr="008361FD" w:rsidRDefault="008361FD" w:rsidP="001F4E62">
      <w:pPr>
        <w:pStyle w:val="BodyTextMain"/>
        <w:rPr>
          <w:rFonts w:eastAsia="SimSun"/>
          <w:lang w:val="en-GB" w:eastAsia="zh-CN"/>
        </w:rPr>
      </w:pPr>
    </w:p>
    <w:p w14:paraId="28D3DE44" w14:textId="77777777" w:rsidR="008361FD" w:rsidRPr="008361FD" w:rsidRDefault="008361FD" w:rsidP="001F4E62">
      <w:pPr>
        <w:pStyle w:val="BodyTextMain"/>
        <w:rPr>
          <w:rFonts w:eastAsia="SimSun"/>
          <w:lang w:val="en-GB" w:eastAsia="zh-CN"/>
        </w:rPr>
      </w:pPr>
    </w:p>
    <w:p w14:paraId="63029E42" w14:textId="77777777" w:rsidR="008361FD" w:rsidRPr="008361FD" w:rsidRDefault="008361FD" w:rsidP="003528D1">
      <w:pPr>
        <w:pStyle w:val="Casehead1"/>
        <w:rPr>
          <w:rFonts w:eastAsia="SimSun"/>
          <w:lang w:val="en-GB" w:eastAsia="zh-CN"/>
        </w:rPr>
      </w:pPr>
      <w:r w:rsidRPr="008361FD">
        <w:rPr>
          <w:rFonts w:eastAsia="SimSun"/>
          <w:lang w:val="en-GB" w:eastAsia="zh-CN"/>
        </w:rPr>
        <w:t>TALENT MANAGEMENT IN DEALERSHIPS</w:t>
      </w:r>
    </w:p>
    <w:p w14:paraId="767E35B8" w14:textId="77777777" w:rsidR="008361FD" w:rsidRPr="008361FD" w:rsidRDefault="008361FD" w:rsidP="001F4E62">
      <w:pPr>
        <w:pStyle w:val="BodyTextMain"/>
        <w:rPr>
          <w:rFonts w:eastAsia="SimSun"/>
          <w:lang w:val="en-GB"/>
        </w:rPr>
      </w:pPr>
    </w:p>
    <w:p w14:paraId="62DFDBB0" w14:textId="58ADE1C6" w:rsidR="008361FD" w:rsidRPr="008361FD" w:rsidRDefault="008361FD" w:rsidP="001F4E62">
      <w:pPr>
        <w:pStyle w:val="BodyTextMain"/>
        <w:rPr>
          <w:rFonts w:eastAsia="Calibri"/>
          <w:lang w:val="en-GB"/>
        </w:rPr>
      </w:pPr>
      <w:r w:rsidRPr="008361FD">
        <w:rPr>
          <w:rFonts w:eastAsia="Calibri"/>
          <w:lang w:val="en-GB"/>
        </w:rPr>
        <w:t xml:space="preserve">Industry experts concluded that having a knowledgeable and dedicated staff was key to continued success in the automotive retail industry. However, the industry was having difficulties retaining staff. The </w:t>
      </w:r>
      <w:r w:rsidRPr="008361FD">
        <w:rPr>
          <w:rFonts w:eastAsia="Calibri"/>
          <w:i/>
          <w:lang w:val="en-GB"/>
        </w:rPr>
        <w:t>Automotive News</w:t>
      </w:r>
      <w:r w:rsidRPr="008361FD">
        <w:rPr>
          <w:rFonts w:eastAsia="Calibri"/>
          <w:lang w:val="en-GB"/>
        </w:rPr>
        <w:t>, citing research by the National Automobile Dealers Association, reported that the average employee turnover rate in US dealerships for all positions was 40 per cent in 2015, up from 35 per cent in 2011, and that the average turnover rate for salespersons was a shocking 67 per cent.</w:t>
      </w:r>
      <w:r w:rsidRPr="008361FD">
        <w:rPr>
          <w:rFonts w:eastAsia="Calibri"/>
          <w:vertAlign w:val="superscript"/>
          <w:lang w:val="en-GB"/>
        </w:rPr>
        <w:footnoteReference w:id="14"/>
      </w:r>
      <w:r w:rsidRPr="008361FD">
        <w:rPr>
          <w:rFonts w:eastAsia="Calibri"/>
          <w:lang w:val="en-GB"/>
        </w:rPr>
        <w:t xml:space="preserve"> The losses from high turnover could be immense for two reasons. First, almost all auto manufacturers required new dealership sales staff to attend product and brand training. Such training investment by the dealership was largely wasted as a result of high staff turnover. Second, dealership revenue often came from repeat customers with whom the salespersons had established personal connections. High turnover risked losing those connections and therefore led to lower sales.</w:t>
      </w:r>
    </w:p>
    <w:p w14:paraId="40FBD4EA" w14:textId="77777777" w:rsidR="008361FD" w:rsidRPr="008361FD" w:rsidRDefault="008361FD" w:rsidP="001F4E62">
      <w:pPr>
        <w:pStyle w:val="BodyTextMain"/>
        <w:rPr>
          <w:rFonts w:eastAsia="Calibri"/>
          <w:lang w:val="en-GB"/>
        </w:rPr>
      </w:pPr>
    </w:p>
    <w:p w14:paraId="1823F704" w14:textId="77777777" w:rsidR="008361FD" w:rsidRPr="008361FD" w:rsidRDefault="008361FD" w:rsidP="001F4E62">
      <w:pPr>
        <w:pStyle w:val="BodyTextMain"/>
        <w:rPr>
          <w:rFonts w:eastAsia="Calibri"/>
          <w:lang w:val="en-GB"/>
        </w:rPr>
      </w:pPr>
      <w:r w:rsidRPr="008361FD">
        <w:rPr>
          <w:rFonts w:eastAsia="Calibri"/>
          <w:lang w:val="en-GB"/>
        </w:rPr>
        <w:t>At the same time, dealerships were having difficulty attracting talented younger workers. Salespersons’ compensation was primarily from commissions, which varied week to week. This compensation structure also resulted in stiff competition among co-workers. While some thrived in such environments, many university and college graduates reported that they would rather work in a lower-pressure environment such as Starbucks.</w:t>
      </w:r>
      <w:r w:rsidRPr="008361FD">
        <w:rPr>
          <w:rFonts w:eastAsia="Calibri"/>
          <w:vertAlign w:val="superscript"/>
          <w:lang w:val="en-GB"/>
        </w:rPr>
        <w:footnoteReference w:id="15"/>
      </w:r>
      <w:r w:rsidRPr="008361FD">
        <w:rPr>
          <w:rFonts w:eastAsia="Calibri"/>
          <w:lang w:val="en-GB"/>
        </w:rPr>
        <w:t xml:space="preserve"> Nonetheless, as current employees were nearing retirement, a dealership would need to </w:t>
      </w:r>
      <w:r w:rsidRPr="008361FD">
        <w:rPr>
          <w:rFonts w:eastAsia="Calibri"/>
          <w:lang w:val="en-GB"/>
        </w:rPr>
        <w:lastRenderedPageBreak/>
        <w:t xml:space="preserve">tackle the challenge of attracting, training, and retaining younger workers. This need was particularly urgent for Lakeside, as its business was expanding. </w:t>
      </w:r>
    </w:p>
    <w:p w14:paraId="36C81E69" w14:textId="77777777" w:rsidR="008361FD" w:rsidRPr="008361FD" w:rsidRDefault="008361FD" w:rsidP="001F4E62">
      <w:pPr>
        <w:pStyle w:val="BodyTextMain"/>
        <w:rPr>
          <w:rFonts w:eastAsia="SimSun"/>
          <w:lang w:val="en-GB"/>
        </w:rPr>
      </w:pPr>
    </w:p>
    <w:p w14:paraId="36436056" w14:textId="77777777" w:rsidR="008361FD" w:rsidRPr="008361FD" w:rsidRDefault="008361FD" w:rsidP="001F4E62">
      <w:pPr>
        <w:pStyle w:val="BodyTextMain"/>
        <w:rPr>
          <w:rFonts w:eastAsia="SimSun"/>
          <w:lang w:val="en-GB"/>
        </w:rPr>
      </w:pPr>
    </w:p>
    <w:p w14:paraId="51D393F0" w14:textId="77777777" w:rsidR="008361FD" w:rsidRPr="008361FD" w:rsidRDefault="008361FD" w:rsidP="003528D1">
      <w:pPr>
        <w:pStyle w:val="Casehead1"/>
        <w:rPr>
          <w:rFonts w:eastAsia="SimSun"/>
          <w:lang w:val="en-GB" w:eastAsia="zh-CN"/>
        </w:rPr>
      </w:pPr>
      <w:r w:rsidRPr="008361FD">
        <w:rPr>
          <w:rFonts w:eastAsia="SimSun"/>
          <w:lang w:val="en-GB" w:eastAsia="zh-CN"/>
        </w:rPr>
        <w:t xml:space="preserve">A DIGITAL SOLUTION? THE THUMBS UP APP </w:t>
      </w:r>
    </w:p>
    <w:p w14:paraId="3CDF5014" w14:textId="77777777" w:rsidR="008361FD" w:rsidRPr="008361FD" w:rsidRDefault="008361FD" w:rsidP="001F4E62">
      <w:pPr>
        <w:pStyle w:val="BodyTextMain"/>
        <w:rPr>
          <w:rFonts w:eastAsia="Calibri"/>
          <w:lang w:val="en-GB"/>
        </w:rPr>
      </w:pPr>
    </w:p>
    <w:p w14:paraId="5E0FECB3" w14:textId="21BB579A" w:rsidR="008361FD" w:rsidRPr="008361FD" w:rsidRDefault="008361FD" w:rsidP="001F4E62">
      <w:pPr>
        <w:pStyle w:val="BodyTextMain"/>
        <w:rPr>
          <w:rFonts w:eastAsia="Calibri"/>
          <w:lang w:val="en-GB"/>
        </w:rPr>
      </w:pPr>
      <w:r w:rsidRPr="008361FD">
        <w:rPr>
          <w:rFonts w:eastAsia="Calibri"/>
          <w:lang w:val="en-GB"/>
        </w:rPr>
        <w:t xml:space="preserve">In 2015, Lakeside engaged </w:t>
      </w:r>
      <w:proofErr w:type="spellStart"/>
      <w:r w:rsidRPr="008361FD">
        <w:rPr>
          <w:rFonts w:eastAsia="Calibri"/>
          <w:lang w:val="en-GB"/>
        </w:rPr>
        <w:t>DigitalHR</w:t>
      </w:r>
      <w:proofErr w:type="spellEnd"/>
      <w:r w:rsidRPr="008361FD">
        <w:rPr>
          <w:rFonts w:eastAsia="Calibri"/>
          <w:lang w:val="en-GB"/>
        </w:rPr>
        <w:t xml:space="preserve"> to streamline its HR management. Based in London, Ontario, </w:t>
      </w:r>
      <w:proofErr w:type="spellStart"/>
      <w:r w:rsidRPr="008361FD">
        <w:rPr>
          <w:rFonts w:eastAsia="Calibri"/>
          <w:lang w:val="en-GB"/>
        </w:rPr>
        <w:t>DigitalHR</w:t>
      </w:r>
      <w:proofErr w:type="spellEnd"/>
      <w:r w:rsidRPr="008361FD">
        <w:rPr>
          <w:rFonts w:eastAsia="Calibri"/>
          <w:lang w:val="en-GB"/>
        </w:rPr>
        <w:t xml:space="preserve"> was a medium-sized technology company specializing in designing and maintaining cloud-based HRMS. </w:t>
      </w:r>
      <w:proofErr w:type="spellStart"/>
      <w:r w:rsidRPr="008361FD">
        <w:rPr>
          <w:rFonts w:eastAsia="Calibri"/>
          <w:lang w:val="en-GB"/>
        </w:rPr>
        <w:t>DigitalHR’s</w:t>
      </w:r>
      <w:proofErr w:type="spellEnd"/>
      <w:r w:rsidRPr="008361FD">
        <w:rPr>
          <w:rFonts w:eastAsia="Calibri"/>
          <w:lang w:val="en-GB"/>
        </w:rPr>
        <w:t xml:space="preserve"> management believed that technology could be used not only to manage the workplace but also to improve worker engagement and performance. Similar to their father, Angelo and Anthony </w:t>
      </w:r>
      <w:proofErr w:type="spellStart"/>
      <w:r w:rsidRPr="008361FD">
        <w:rPr>
          <w:rFonts w:eastAsia="Calibri"/>
          <w:lang w:val="en-GB"/>
        </w:rPr>
        <w:t>DiBiaggio</w:t>
      </w:r>
      <w:proofErr w:type="spellEnd"/>
      <w:r w:rsidRPr="008361FD">
        <w:rPr>
          <w:rFonts w:eastAsia="Calibri"/>
          <w:lang w:val="en-GB"/>
        </w:rPr>
        <w:t xml:space="preserve"> had always believed that recognizing employees for work accomplishments could be as important as pay in terms of fostering employee commitment. Since the brothers did not always have time to talk to all 222 of their employees, digitization offered a potential solution to this problem. After some discussion and based on the inputs from Lakeside’s management, </w:t>
      </w:r>
      <w:proofErr w:type="spellStart"/>
      <w:r w:rsidRPr="008361FD">
        <w:rPr>
          <w:rFonts w:eastAsia="Calibri"/>
          <w:lang w:val="en-GB"/>
        </w:rPr>
        <w:t>DigitalHR</w:t>
      </w:r>
      <w:proofErr w:type="spellEnd"/>
      <w:r w:rsidRPr="008361FD">
        <w:rPr>
          <w:rFonts w:eastAsia="Calibri"/>
          <w:lang w:val="en-GB"/>
        </w:rPr>
        <w:t xml:space="preserve"> decided to develop Thumbs Up. In return, Lakeside would be the test site for the Thumbs Up system, which might be marketed toward future HRMS customers.</w:t>
      </w:r>
    </w:p>
    <w:p w14:paraId="23F87C46" w14:textId="77777777" w:rsidR="008361FD" w:rsidRPr="008361FD" w:rsidRDefault="008361FD" w:rsidP="001F4E62">
      <w:pPr>
        <w:pStyle w:val="BodyTextMain"/>
        <w:rPr>
          <w:rFonts w:eastAsia="Calibri"/>
          <w:sz w:val="24"/>
          <w:lang w:val="en-GB"/>
        </w:rPr>
      </w:pPr>
    </w:p>
    <w:p w14:paraId="0EC45CD4" w14:textId="77777777" w:rsidR="008361FD" w:rsidRPr="008361FD" w:rsidRDefault="008361FD" w:rsidP="001F4E62">
      <w:pPr>
        <w:pStyle w:val="BodyTextMain"/>
        <w:rPr>
          <w:rFonts w:eastAsia="Calibri"/>
          <w:lang w:val="en-GB"/>
        </w:rPr>
      </w:pPr>
      <w:r w:rsidRPr="008361FD">
        <w:rPr>
          <w:rFonts w:eastAsia="Calibri"/>
          <w:lang w:val="en-GB"/>
        </w:rPr>
        <w:t xml:space="preserve">Sidhu had been involved with Thumbs Up since the initial stages of development. The concept behind Thumbs Up was quite simple. Employees accessed the Thumbs Up app under the existing HRMS. Inside the app, they could send a digital badge to a colleague (or a group of colleagues) to compliment the recipient for a good deed or work achievement. For example, a manager could congratulate a salesperson for satisfying a difficult customer, or salespeople might thank a peer for taking care of their customer while they were occupied with other tasks. To send a badge, employees selected from a variety of colourful choices and attached a personalized message to the badge (see Exhibit 2). The sender might also designate how many people would receive the badge and how many others would be tagged on the message so that the worthy deed was visible to more people. </w:t>
      </w:r>
    </w:p>
    <w:p w14:paraId="1E29EADD" w14:textId="77777777" w:rsidR="008361FD" w:rsidRPr="008361FD" w:rsidRDefault="008361FD" w:rsidP="001F4E62">
      <w:pPr>
        <w:pStyle w:val="BodyTextMain"/>
        <w:rPr>
          <w:rFonts w:eastAsia="Calibri"/>
          <w:lang w:val="en-GB"/>
        </w:rPr>
      </w:pPr>
    </w:p>
    <w:p w14:paraId="4923DC74" w14:textId="3A94961F" w:rsidR="008361FD" w:rsidRPr="008361FD" w:rsidRDefault="008361FD" w:rsidP="001F4E62">
      <w:pPr>
        <w:pStyle w:val="BodyTextMain"/>
        <w:rPr>
          <w:rFonts w:eastAsia="Calibri"/>
          <w:lang w:val="en-GB"/>
        </w:rPr>
      </w:pPr>
      <w:r w:rsidRPr="008361FD">
        <w:rPr>
          <w:rFonts w:eastAsia="Calibri"/>
          <w:lang w:val="en-GB"/>
        </w:rPr>
        <w:t xml:space="preserve">Unlike the traditional handshake approach that could work only in person, Thumbs Up could be accessed anywhere and anytime from a computer or a smartphone. The badges sent and received stayed in the employees’ profiles, and management could view usage statistics such as the type and frequencies of badges sent by each employee. Sidhu was pleased with the tracking feature. In the past, the owners and the HR department had little </w:t>
      </w:r>
      <w:r w:rsidR="006178E7">
        <w:rPr>
          <w:rFonts w:eastAsia="Calibri"/>
          <w:lang w:val="en-GB"/>
        </w:rPr>
        <w:t>knowledge on</w:t>
      </w:r>
      <w:r w:rsidRPr="008361FD">
        <w:rPr>
          <w:rFonts w:eastAsia="Calibri"/>
          <w:lang w:val="en-GB"/>
        </w:rPr>
        <w:t xml:space="preserve"> whether</w:t>
      </w:r>
      <w:r w:rsidR="006178E7">
        <w:rPr>
          <w:rFonts w:eastAsia="Calibri"/>
          <w:lang w:val="en-GB"/>
        </w:rPr>
        <w:t xml:space="preserve"> or not</w:t>
      </w:r>
      <w:r w:rsidRPr="008361FD">
        <w:rPr>
          <w:rFonts w:eastAsia="Calibri"/>
          <w:lang w:val="en-GB"/>
        </w:rPr>
        <w:t xml:space="preserve"> an employee had gone above and beyond the call of duty to serve a customer or to help out a colleague, unless the supervisor reported the incident. With Thumbs Up, employees could recognize each other and provide good stories to celebrate. Sidhu saw the Thumbs Up app as a tool to assess employee engagement levels in real time. </w:t>
      </w:r>
    </w:p>
    <w:p w14:paraId="7FCD2282" w14:textId="77777777" w:rsidR="008361FD" w:rsidRPr="008361FD" w:rsidRDefault="008361FD" w:rsidP="001F4E62">
      <w:pPr>
        <w:pStyle w:val="BodyTextMain"/>
        <w:rPr>
          <w:rFonts w:eastAsia="Calibri"/>
          <w:lang w:val="en-GB"/>
        </w:rPr>
      </w:pPr>
    </w:p>
    <w:p w14:paraId="7BB1C34B" w14:textId="77777777" w:rsidR="008361FD" w:rsidRPr="003528D1" w:rsidRDefault="008361FD" w:rsidP="001F4E62">
      <w:pPr>
        <w:pStyle w:val="BodyTextMain"/>
        <w:rPr>
          <w:rFonts w:eastAsia="Calibri"/>
          <w:spacing w:val="-2"/>
          <w:lang w:val="en-GB"/>
        </w:rPr>
      </w:pPr>
      <w:r w:rsidRPr="003528D1">
        <w:rPr>
          <w:rFonts w:eastAsia="Calibri"/>
          <w:spacing w:val="-2"/>
          <w:lang w:val="en-GB"/>
        </w:rPr>
        <w:t xml:space="preserve">Over the past two years, the collection of badges in Thumbs Up had grown to include fun badges that celebrated birthdays and work anniversaries, and “one-liners” that employees found amusing. Usage statistics had grown significantly year by year, although there were large monthly variations (see Exhibit 3). Usage also differed between employees versus managers. Thus, Sidhu wondered how to interpret these patterns. </w:t>
      </w:r>
    </w:p>
    <w:p w14:paraId="6D9E0E01" w14:textId="77777777" w:rsidR="008361FD" w:rsidRPr="008361FD" w:rsidRDefault="008361FD" w:rsidP="001F4E62">
      <w:pPr>
        <w:pStyle w:val="BodyTextMain"/>
        <w:rPr>
          <w:rFonts w:eastAsia="Calibri"/>
          <w:lang w:val="en-GB"/>
        </w:rPr>
      </w:pPr>
    </w:p>
    <w:p w14:paraId="638C1CA5" w14:textId="77777777" w:rsidR="008361FD" w:rsidRPr="008361FD" w:rsidRDefault="008361FD" w:rsidP="001F4E62">
      <w:pPr>
        <w:pStyle w:val="BodyTextMain"/>
        <w:rPr>
          <w:rFonts w:eastAsia="Calibri"/>
          <w:lang w:val="en-GB"/>
        </w:rPr>
      </w:pPr>
    </w:p>
    <w:p w14:paraId="1133CF85" w14:textId="77777777" w:rsidR="008361FD" w:rsidRPr="008361FD" w:rsidRDefault="008361FD" w:rsidP="003528D1">
      <w:pPr>
        <w:pStyle w:val="Casehead1"/>
        <w:rPr>
          <w:rFonts w:eastAsia="Calibri"/>
          <w:lang w:val="en-GB"/>
        </w:rPr>
      </w:pPr>
      <w:r w:rsidRPr="008361FD">
        <w:rPr>
          <w:rFonts w:eastAsia="Calibri"/>
          <w:lang w:val="en-GB"/>
        </w:rPr>
        <w:t>SIDHU’S LOVE WITH THUMBS UP</w:t>
      </w:r>
    </w:p>
    <w:p w14:paraId="0BACD22C" w14:textId="77777777" w:rsidR="008361FD" w:rsidRPr="008361FD" w:rsidRDefault="008361FD" w:rsidP="001F4E62">
      <w:pPr>
        <w:pStyle w:val="BodyTextMain"/>
        <w:rPr>
          <w:rFonts w:eastAsia="Calibri"/>
          <w:lang w:val="en-GB"/>
        </w:rPr>
      </w:pPr>
    </w:p>
    <w:p w14:paraId="0007A5F3" w14:textId="714FE785" w:rsidR="008361FD" w:rsidRPr="008361FD" w:rsidRDefault="008361FD" w:rsidP="001F4E62">
      <w:pPr>
        <w:pStyle w:val="BodyTextMain"/>
        <w:rPr>
          <w:lang w:val="en-GB"/>
        </w:rPr>
      </w:pPr>
      <w:r w:rsidRPr="008361FD">
        <w:rPr>
          <w:lang w:val="en-GB"/>
        </w:rPr>
        <w:t>Sidhu frequently used Thumbs Up to recognize group accomplishments such as completing required training and meeting or exceeding manufacturers’ customer service standards. For example, in the previous week, Lakeside had dramatically shortened its response time to online inquiries, and Sidhu sent everyone on the sales team a congratulatory badge. She believed that the personal repository of badges could be motivating in itself:</w:t>
      </w:r>
    </w:p>
    <w:p w14:paraId="0AAE0479" w14:textId="29130274" w:rsidR="008361FD" w:rsidRPr="008361FD" w:rsidRDefault="008361FD" w:rsidP="001F4E62">
      <w:pPr>
        <w:pStyle w:val="BodyTextMain"/>
        <w:ind w:left="720"/>
        <w:rPr>
          <w:rFonts w:eastAsia="Calibri"/>
          <w:lang w:val="en-GB"/>
        </w:rPr>
      </w:pPr>
      <w:r w:rsidRPr="008361FD">
        <w:rPr>
          <w:rFonts w:eastAsia="Calibri"/>
          <w:lang w:val="en-GB"/>
        </w:rPr>
        <w:lastRenderedPageBreak/>
        <w:t xml:space="preserve">Whenever I get good news or I get something that’s fantastic in my email, I move it to a “Good News” folder and then I can go back to look at my good news. So when I go to my history app I can see all of the thumbs-up I ever gave anyone and I can see all </w:t>
      </w:r>
      <w:r w:rsidR="006178E7">
        <w:rPr>
          <w:rFonts w:eastAsia="Calibri"/>
          <w:lang w:val="en-GB"/>
        </w:rPr>
        <w:t xml:space="preserve">of </w:t>
      </w:r>
      <w:r w:rsidRPr="008361FD">
        <w:rPr>
          <w:rFonts w:eastAsia="Calibri"/>
          <w:lang w:val="en-GB"/>
        </w:rPr>
        <w:t>the thumbs-up people gave me. It’s just a really great place for me to go. These are my victories.</w:t>
      </w:r>
    </w:p>
    <w:p w14:paraId="50EE5126" w14:textId="77777777" w:rsidR="008361FD" w:rsidRPr="008361FD" w:rsidRDefault="008361FD" w:rsidP="001F4E62">
      <w:pPr>
        <w:pStyle w:val="BodyTextMain"/>
        <w:rPr>
          <w:lang w:val="en-GB"/>
        </w:rPr>
      </w:pPr>
    </w:p>
    <w:p w14:paraId="61AC0BAC" w14:textId="77777777" w:rsidR="008361FD" w:rsidRPr="008361FD" w:rsidRDefault="008361FD" w:rsidP="001F4E62">
      <w:pPr>
        <w:pStyle w:val="BodyTextMain"/>
        <w:rPr>
          <w:rFonts w:eastAsia="Calibri"/>
          <w:lang w:val="en-GB"/>
        </w:rPr>
      </w:pPr>
      <w:r w:rsidRPr="008361FD">
        <w:rPr>
          <w:rFonts w:eastAsia="Calibri"/>
          <w:lang w:val="en-GB"/>
        </w:rPr>
        <w:t xml:space="preserve">In the future, Sidhu had also considered using Thumbs Up in two other avenues. First, Thumbs Up could be modified to be more closely linked to employees’ day-to-day jobs so that they would be more engaged with using the app. She believed that having consistent follow-ups with employees, seeking their feedback, and making adjustments were important to involve employees in the changes. Second, Sidhu wanted to use Thumbs Up data in employees’ performance reviews. Although data from Thumbs Up would not be a direct input to employee bonus and promotion decisions, they could supplement supervisor assessment and employee self-assessment. </w:t>
      </w:r>
    </w:p>
    <w:p w14:paraId="2048C2C4" w14:textId="77777777" w:rsidR="008361FD" w:rsidRPr="008361FD" w:rsidRDefault="008361FD" w:rsidP="001F4E62">
      <w:pPr>
        <w:pStyle w:val="BodyTextMain"/>
        <w:rPr>
          <w:rFonts w:eastAsia="Calibri"/>
          <w:lang w:val="en-GB"/>
        </w:rPr>
      </w:pPr>
    </w:p>
    <w:p w14:paraId="2264A7A8" w14:textId="77777777" w:rsidR="008361FD" w:rsidRPr="008361FD" w:rsidRDefault="008361FD" w:rsidP="001F4E62">
      <w:pPr>
        <w:pStyle w:val="BodyTextMain"/>
        <w:rPr>
          <w:rFonts w:eastAsia="Calibri"/>
          <w:lang w:val="en-GB"/>
        </w:rPr>
      </w:pPr>
      <w:r w:rsidRPr="008361FD">
        <w:rPr>
          <w:rFonts w:eastAsia="Calibri"/>
          <w:lang w:val="en-GB"/>
        </w:rPr>
        <w:t>More importantly, Sidhu saw Thumbs Up as a tool to manage communications when the dealership expanded. The three dealerships currently located in one location would, in the future, have separate buildings, making face-to-face communications more difficult among managers in different dealerships.</w:t>
      </w:r>
    </w:p>
    <w:p w14:paraId="0A809254" w14:textId="77777777" w:rsidR="008361FD" w:rsidRPr="008361FD" w:rsidRDefault="008361FD" w:rsidP="001F4E62">
      <w:pPr>
        <w:pStyle w:val="BodyTextMain"/>
        <w:rPr>
          <w:lang w:val="en-GB"/>
        </w:rPr>
      </w:pPr>
    </w:p>
    <w:p w14:paraId="017A6022" w14:textId="77777777" w:rsidR="008361FD" w:rsidRPr="008361FD" w:rsidRDefault="008361FD" w:rsidP="001F4E62">
      <w:pPr>
        <w:pStyle w:val="BodyTextMain"/>
        <w:ind w:left="720"/>
        <w:rPr>
          <w:rFonts w:eastAsia="Calibri"/>
          <w:lang w:val="en-GB"/>
        </w:rPr>
      </w:pPr>
      <w:r w:rsidRPr="008361FD">
        <w:rPr>
          <w:rFonts w:eastAsia="Calibri"/>
          <w:lang w:val="en-GB"/>
        </w:rPr>
        <w:t>As we’re growing, the group is getting bigger and we’re going to be spread across three separate buildings. So that’s where things for me personally would get a little bit more difficult, and the thumbs-up or having a digital way of communicating with the team is really important for me.</w:t>
      </w:r>
    </w:p>
    <w:p w14:paraId="4EC6B3FE" w14:textId="77777777" w:rsidR="008361FD" w:rsidRPr="008361FD" w:rsidRDefault="008361FD" w:rsidP="001F4E62">
      <w:pPr>
        <w:pStyle w:val="BodyTextMain"/>
        <w:rPr>
          <w:rFonts w:eastAsia="Calibri"/>
          <w:lang w:val="en-GB"/>
        </w:rPr>
      </w:pPr>
    </w:p>
    <w:p w14:paraId="37F40798" w14:textId="77777777" w:rsidR="008361FD" w:rsidRPr="008361FD" w:rsidRDefault="008361FD" w:rsidP="001F4E62">
      <w:pPr>
        <w:pStyle w:val="BodyTextMain"/>
        <w:rPr>
          <w:rFonts w:eastAsia="Calibri"/>
          <w:lang w:val="en-GB"/>
        </w:rPr>
      </w:pPr>
    </w:p>
    <w:p w14:paraId="27D41BE0" w14:textId="77777777" w:rsidR="008361FD" w:rsidRPr="008361FD" w:rsidRDefault="008361FD" w:rsidP="003528D1">
      <w:pPr>
        <w:pStyle w:val="Casehead1"/>
        <w:rPr>
          <w:rFonts w:eastAsia="SimSun"/>
          <w:lang w:val="en-GB" w:eastAsia="zh-CN"/>
        </w:rPr>
      </w:pPr>
      <w:r w:rsidRPr="008361FD">
        <w:rPr>
          <w:rFonts w:eastAsia="SimSun"/>
          <w:lang w:val="en-GB" w:eastAsia="zh-CN"/>
        </w:rPr>
        <w:t>ENCOUNTERING PUSHBACK</w:t>
      </w:r>
    </w:p>
    <w:p w14:paraId="0F3E290F" w14:textId="77777777" w:rsidR="008361FD" w:rsidRPr="008361FD" w:rsidRDefault="008361FD" w:rsidP="001F4E62">
      <w:pPr>
        <w:pStyle w:val="BodyTextMain"/>
        <w:rPr>
          <w:rFonts w:eastAsia="SimSun"/>
          <w:lang w:val="en-GB"/>
        </w:rPr>
      </w:pPr>
    </w:p>
    <w:p w14:paraId="5EB9DF44" w14:textId="06B3620B" w:rsidR="008361FD" w:rsidRPr="008361FD" w:rsidRDefault="008361FD" w:rsidP="001F4E62">
      <w:pPr>
        <w:pStyle w:val="BodyTextMain"/>
        <w:rPr>
          <w:rFonts w:eastAsia="Calibri"/>
          <w:spacing w:val="-2"/>
          <w:lang w:val="en-GB"/>
        </w:rPr>
      </w:pPr>
      <w:r w:rsidRPr="008361FD">
        <w:rPr>
          <w:rFonts w:eastAsia="Calibri"/>
          <w:spacing w:val="-2"/>
          <w:lang w:val="en-GB"/>
        </w:rPr>
        <w:t xml:space="preserve">Change was never smooth, whether it occurred in large or small organizations. Sidhu had, along with </w:t>
      </w:r>
      <w:proofErr w:type="spellStart"/>
      <w:r w:rsidRPr="008361FD">
        <w:rPr>
          <w:rFonts w:eastAsia="Calibri"/>
          <w:spacing w:val="-2"/>
          <w:lang w:val="en-GB"/>
        </w:rPr>
        <w:t>DigitalHR</w:t>
      </w:r>
      <w:proofErr w:type="spellEnd"/>
      <w:r w:rsidRPr="008361FD">
        <w:rPr>
          <w:rFonts w:eastAsia="Calibri"/>
          <w:spacing w:val="-2"/>
          <w:lang w:val="en-GB"/>
        </w:rPr>
        <w:t xml:space="preserve">, organized a series of training sessions for employees to learn how to use the software. She had also obtained verbal commitment from Angelo and Anthony </w:t>
      </w:r>
      <w:proofErr w:type="spellStart"/>
      <w:r w:rsidRPr="008361FD">
        <w:rPr>
          <w:rFonts w:eastAsia="Calibri"/>
          <w:spacing w:val="-2"/>
          <w:lang w:val="en-GB"/>
        </w:rPr>
        <w:t>DiBiaggio</w:t>
      </w:r>
      <w:proofErr w:type="spellEnd"/>
      <w:r w:rsidRPr="008361FD">
        <w:rPr>
          <w:rFonts w:eastAsia="Calibri"/>
          <w:spacing w:val="-2"/>
          <w:lang w:val="en-GB"/>
        </w:rPr>
        <w:t xml:space="preserve">, who would lead </w:t>
      </w:r>
      <w:r w:rsidR="006178E7">
        <w:rPr>
          <w:rFonts w:eastAsia="Calibri"/>
          <w:spacing w:val="-2"/>
          <w:lang w:val="en-GB"/>
        </w:rPr>
        <w:t>by</w:t>
      </w:r>
      <w:r w:rsidRPr="008361FD">
        <w:rPr>
          <w:rFonts w:eastAsia="Calibri"/>
          <w:spacing w:val="-2"/>
          <w:lang w:val="en-GB"/>
        </w:rPr>
        <w:t xml:space="preserve"> example by using the tool to send their own recognition messages. Many employees balked at the idea of sending recognition using an app, and some negative reactions surfaced and circulated around the company. To better understand the issues, </w:t>
      </w:r>
      <w:proofErr w:type="spellStart"/>
      <w:r w:rsidRPr="008361FD">
        <w:rPr>
          <w:rFonts w:eastAsia="Calibri"/>
          <w:spacing w:val="-2"/>
          <w:lang w:val="en-GB"/>
        </w:rPr>
        <w:t>DigitalHR</w:t>
      </w:r>
      <w:proofErr w:type="spellEnd"/>
      <w:r w:rsidRPr="008361FD">
        <w:rPr>
          <w:rFonts w:eastAsia="Calibri"/>
          <w:spacing w:val="-2"/>
          <w:lang w:val="en-GB"/>
        </w:rPr>
        <w:t xml:space="preserve"> conducted interviews among some representative employees at Lakeside. </w:t>
      </w:r>
    </w:p>
    <w:p w14:paraId="1BB72419" w14:textId="77777777" w:rsidR="008361FD" w:rsidRPr="008361FD" w:rsidRDefault="008361FD" w:rsidP="001F4E62">
      <w:pPr>
        <w:pStyle w:val="BodyTextMain"/>
        <w:rPr>
          <w:rFonts w:eastAsia="Calibri"/>
          <w:lang w:val="en-GB"/>
        </w:rPr>
      </w:pPr>
    </w:p>
    <w:p w14:paraId="5BF0983D" w14:textId="77777777" w:rsidR="008361FD" w:rsidRPr="008361FD" w:rsidRDefault="008361FD" w:rsidP="001F4E62">
      <w:pPr>
        <w:pStyle w:val="BodyTextMain"/>
        <w:rPr>
          <w:rFonts w:eastAsia="Calibri"/>
          <w:lang w:val="en-GB"/>
        </w:rPr>
      </w:pPr>
    </w:p>
    <w:p w14:paraId="380D4F1A" w14:textId="77777777" w:rsidR="008361FD" w:rsidRPr="008361FD" w:rsidRDefault="008361FD" w:rsidP="003528D1">
      <w:pPr>
        <w:pStyle w:val="Casehead1"/>
        <w:rPr>
          <w:rFonts w:eastAsia="SimSun"/>
          <w:lang w:val="en-GB"/>
        </w:rPr>
      </w:pPr>
      <w:r w:rsidRPr="008361FD">
        <w:rPr>
          <w:rFonts w:eastAsia="SimSun"/>
          <w:lang w:val="en-GB"/>
        </w:rPr>
        <w:t>David Smith</w:t>
      </w:r>
    </w:p>
    <w:p w14:paraId="71A06458" w14:textId="77777777" w:rsidR="008361FD" w:rsidRPr="008361FD" w:rsidRDefault="008361FD" w:rsidP="001F4E62">
      <w:pPr>
        <w:pStyle w:val="BodyTextMain"/>
        <w:rPr>
          <w:rFonts w:eastAsia="SimSun"/>
          <w:lang w:val="en-GB"/>
        </w:rPr>
      </w:pPr>
    </w:p>
    <w:p w14:paraId="3136843F" w14:textId="33EEFCDB" w:rsidR="008361FD" w:rsidRPr="008361FD" w:rsidRDefault="008361FD" w:rsidP="001F4E62">
      <w:pPr>
        <w:pStyle w:val="BodyTextMain"/>
        <w:rPr>
          <w:rFonts w:eastAsia="Calibri"/>
          <w:lang w:val="en-GB"/>
        </w:rPr>
      </w:pPr>
      <w:r w:rsidRPr="008361FD">
        <w:rPr>
          <w:rFonts w:eastAsia="Calibri"/>
          <w:lang w:val="en-GB"/>
        </w:rPr>
        <w:t>Smith was a salesperson in his early 50s. He had worked for Lakeside for five years and had been at the dealership since the inception of Thumbs Up. His attitude toward the app, however, was mostly negative. Smith was a strong believer in the superiority of using physical objects as tokens of appreciation and preferring verbal communications over electronic ones. Not surprisingly, he rarely used Thumbs Up and did not see a future for this app at Lakeside. Several of his comments included:</w:t>
      </w:r>
    </w:p>
    <w:p w14:paraId="137C3D88" w14:textId="77777777" w:rsidR="008361FD" w:rsidRPr="008361FD" w:rsidRDefault="008361FD" w:rsidP="001F4E62">
      <w:pPr>
        <w:pStyle w:val="BodyTextMain"/>
        <w:rPr>
          <w:rFonts w:eastAsia="Calibri"/>
          <w:lang w:val="en-GB"/>
        </w:rPr>
      </w:pPr>
    </w:p>
    <w:p w14:paraId="20513950" w14:textId="77777777" w:rsidR="008361FD" w:rsidRPr="008361FD" w:rsidRDefault="008361FD" w:rsidP="001F4E62">
      <w:pPr>
        <w:pStyle w:val="BodyTextMain"/>
        <w:ind w:left="720"/>
        <w:rPr>
          <w:rFonts w:eastAsia="Calibri"/>
          <w:lang w:val="en-GB"/>
        </w:rPr>
      </w:pPr>
      <w:r w:rsidRPr="008361FD">
        <w:rPr>
          <w:rFonts w:eastAsia="Calibri"/>
          <w:lang w:val="en-GB"/>
        </w:rPr>
        <w:t>If somebody helped me out, instead of sending a badge to them electronically, why not print it out and give it to them personally? If you were to receive a print copy, you get to have a drawer of cards which you look at it from time to time. You can even make a folder and leave it on your desk and customers can even look through it and say, “Wow, this guy is a good worker.” Also, [with print copies] you can be sure that the person has received it. I’m not letting it go through the email and not knowing whether it has been opened.</w:t>
      </w:r>
    </w:p>
    <w:p w14:paraId="671080A9" w14:textId="77777777" w:rsidR="008361FD" w:rsidRPr="008361FD" w:rsidRDefault="008361FD" w:rsidP="001F4E62">
      <w:pPr>
        <w:pStyle w:val="BodyTextMain"/>
        <w:rPr>
          <w:rFonts w:eastAsia="Calibri"/>
          <w:lang w:val="en-GB"/>
        </w:rPr>
      </w:pPr>
    </w:p>
    <w:p w14:paraId="7F24C1FC" w14:textId="77777777" w:rsidR="008361FD" w:rsidRPr="008361FD" w:rsidRDefault="008361FD" w:rsidP="001F4E62">
      <w:pPr>
        <w:pStyle w:val="BodyTextMain"/>
        <w:ind w:left="720"/>
        <w:rPr>
          <w:rFonts w:eastAsia="Calibri"/>
          <w:lang w:val="en-GB"/>
        </w:rPr>
      </w:pPr>
      <w:r w:rsidRPr="008361FD">
        <w:rPr>
          <w:rFonts w:eastAsia="Calibri"/>
          <w:lang w:val="en-GB"/>
        </w:rPr>
        <w:t xml:space="preserve">I’d rather have a manager who’s just across the desk from me, walk over to me and tell me, “Hey, great job selling three cars today,” instead of getting a badge on my email, which I might not open until two days later. I mean you can go in your phone [to check it] but I turn that off because what </w:t>
      </w:r>
      <w:r w:rsidRPr="008361FD">
        <w:rPr>
          <w:rFonts w:eastAsia="Calibri"/>
          <w:lang w:val="en-GB"/>
        </w:rPr>
        <w:lastRenderedPageBreak/>
        <w:t>happens is I often get a thumbs-up but that is not for me, I am just getting tagged on messages by people I don’t even know. [Smith points to his cell phone] See, I open it up and it says somebody from Land Rover [dealership] tagged you on a message that says “Thank you for cleaning the lot.” But the message is not to me.</w:t>
      </w:r>
    </w:p>
    <w:p w14:paraId="4032E4A5" w14:textId="77777777" w:rsidR="008361FD" w:rsidRPr="008361FD" w:rsidRDefault="008361FD" w:rsidP="001F4E62">
      <w:pPr>
        <w:pStyle w:val="BodyTextMain"/>
        <w:rPr>
          <w:lang w:val="en-GB"/>
        </w:rPr>
      </w:pPr>
    </w:p>
    <w:p w14:paraId="7B7A70C5" w14:textId="77777777" w:rsidR="008361FD" w:rsidRPr="008361FD" w:rsidRDefault="008361FD" w:rsidP="001F4E62">
      <w:pPr>
        <w:pStyle w:val="BodyTextMain"/>
        <w:rPr>
          <w:rFonts w:eastAsia="Calibri"/>
          <w:lang w:val="en-GB"/>
        </w:rPr>
      </w:pPr>
      <w:r w:rsidRPr="008361FD">
        <w:rPr>
          <w:rFonts w:eastAsia="Calibri"/>
          <w:lang w:val="en-GB"/>
        </w:rPr>
        <w:t xml:space="preserve">However, when asked whether he enjoyed still receiving an electronic badge from a manager or a colleague, Smith was affirmative: </w:t>
      </w:r>
    </w:p>
    <w:p w14:paraId="234525D0" w14:textId="77777777" w:rsidR="008361FD" w:rsidRPr="008361FD" w:rsidRDefault="008361FD" w:rsidP="001F4E62">
      <w:pPr>
        <w:pStyle w:val="BodyTextMain"/>
        <w:rPr>
          <w:rFonts w:eastAsia="Calibri"/>
          <w:lang w:val="en-GB"/>
        </w:rPr>
      </w:pPr>
    </w:p>
    <w:p w14:paraId="2EC853F0" w14:textId="77777777" w:rsidR="008361FD" w:rsidRPr="008361FD" w:rsidRDefault="008361FD" w:rsidP="001F4E62">
      <w:pPr>
        <w:pStyle w:val="BodyTextMain"/>
        <w:ind w:left="720"/>
        <w:rPr>
          <w:rFonts w:eastAsia="Calibri"/>
          <w:lang w:val="en-GB"/>
        </w:rPr>
      </w:pPr>
      <w:r w:rsidRPr="008361FD">
        <w:rPr>
          <w:rFonts w:eastAsia="Calibri"/>
          <w:lang w:val="en-GB"/>
        </w:rPr>
        <w:t>The times I do get it, it’s good. Sometimes they made funny ones with tags and try to make you smile. I like them. But I don’t want to receive a badge just because a colleague or manager is forced to give them out. Those are not genuine.</w:t>
      </w:r>
    </w:p>
    <w:p w14:paraId="5648DA94" w14:textId="77777777" w:rsidR="008361FD" w:rsidRPr="008361FD" w:rsidRDefault="008361FD" w:rsidP="001F4E62">
      <w:pPr>
        <w:pStyle w:val="BodyTextMain"/>
        <w:rPr>
          <w:lang w:val="en-GB"/>
        </w:rPr>
      </w:pPr>
    </w:p>
    <w:p w14:paraId="43F6490A" w14:textId="77777777" w:rsidR="008361FD" w:rsidRPr="008361FD" w:rsidRDefault="008361FD" w:rsidP="001F4E62">
      <w:pPr>
        <w:pStyle w:val="BodyTextMain"/>
        <w:rPr>
          <w:lang w:val="en-GB"/>
        </w:rPr>
      </w:pPr>
    </w:p>
    <w:p w14:paraId="5A5CE657" w14:textId="77777777" w:rsidR="008361FD" w:rsidRPr="003528D1" w:rsidRDefault="008361FD" w:rsidP="003528D1">
      <w:pPr>
        <w:pStyle w:val="Casehead1"/>
        <w:rPr>
          <w:rFonts w:eastAsia="SimSun"/>
        </w:rPr>
      </w:pPr>
      <w:r w:rsidRPr="003528D1">
        <w:rPr>
          <w:rFonts w:eastAsia="SimSun"/>
        </w:rPr>
        <w:t>Samuel Okafor</w:t>
      </w:r>
    </w:p>
    <w:p w14:paraId="38FD6C0D" w14:textId="77777777" w:rsidR="008361FD" w:rsidRPr="008361FD" w:rsidRDefault="008361FD" w:rsidP="001F4E62">
      <w:pPr>
        <w:pStyle w:val="BodyTextMain"/>
        <w:rPr>
          <w:rFonts w:eastAsia="Calibri"/>
          <w:lang w:val="en-GB"/>
        </w:rPr>
      </w:pPr>
    </w:p>
    <w:p w14:paraId="6D26FD65" w14:textId="77777777" w:rsidR="008361FD" w:rsidRPr="008361FD" w:rsidRDefault="008361FD" w:rsidP="001F4E62">
      <w:pPr>
        <w:pStyle w:val="BodyTextMain"/>
        <w:rPr>
          <w:rFonts w:eastAsia="Calibri"/>
          <w:lang w:val="en-GB"/>
        </w:rPr>
      </w:pPr>
      <w:r w:rsidRPr="008361FD">
        <w:rPr>
          <w:rFonts w:eastAsia="Calibri"/>
          <w:lang w:val="en-GB"/>
        </w:rPr>
        <w:t>Okafor was a salesperson in his late 20s. He was from Nigeria and had worked for Lakeside since 2014. Similar to Smith, Okafor had been at Lakeside since Thumbs Up was introduced. Different from Smith, his attitude toward the app was mostly positive. He believed that the app provided an effective way to get things done even when he was not in the dealership:</w:t>
      </w:r>
    </w:p>
    <w:p w14:paraId="0BD40142" w14:textId="77777777" w:rsidR="008361FD" w:rsidRPr="008361FD" w:rsidRDefault="008361FD" w:rsidP="001F4E62">
      <w:pPr>
        <w:pStyle w:val="BodyTextMain"/>
        <w:rPr>
          <w:lang w:val="en-GB"/>
        </w:rPr>
      </w:pPr>
    </w:p>
    <w:p w14:paraId="5F40F44D" w14:textId="77777777" w:rsidR="008361FD" w:rsidRPr="008361FD" w:rsidRDefault="008361FD" w:rsidP="001F4E62">
      <w:pPr>
        <w:pStyle w:val="BodyTextMain"/>
        <w:ind w:left="720"/>
        <w:rPr>
          <w:rFonts w:eastAsia="Calibri"/>
          <w:lang w:val="en-GB"/>
        </w:rPr>
      </w:pPr>
      <w:r w:rsidRPr="008361FD">
        <w:rPr>
          <w:rFonts w:eastAsia="Calibri"/>
          <w:lang w:val="en-GB"/>
        </w:rPr>
        <w:t>I had a deal that was going to fall through, but for some reason, my manager was able to talk to [the customers] and then they reconsidered and went ahead with it. He sends me an email to let me know. With the app, I can just go quickly to my phone and send him a thumbs-up and tag my colleagues in it just to show my appreciation. So that’s the good thing.</w:t>
      </w:r>
    </w:p>
    <w:p w14:paraId="59E91812" w14:textId="77777777" w:rsidR="008361FD" w:rsidRPr="008361FD" w:rsidRDefault="008361FD" w:rsidP="001F4E62">
      <w:pPr>
        <w:pStyle w:val="BodyTextMain"/>
        <w:rPr>
          <w:rFonts w:eastAsia="Calibri"/>
          <w:lang w:val="en-GB"/>
        </w:rPr>
      </w:pPr>
    </w:p>
    <w:p w14:paraId="5E4D4C2B" w14:textId="77777777" w:rsidR="008361FD" w:rsidRPr="008361FD" w:rsidRDefault="008361FD" w:rsidP="001F4E62">
      <w:pPr>
        <w:pStyle w:val="BodyTextMain"/>
        <w:rPr>
          <w:rFonts w:eastAsia="Calibri"/>
          <w:lang w:val="en-GB"/>
        </w:rPr>
      </w:pPr>
      <w:r w:rsidRPr="008361FD">
        <w:rPr>
          <w:rFonts w:eastAsia="Calibri"/>
          <w:lang w:val="en-GB"/>
        </w:rPr>
        <w:t>Okafor also thought that the app could complement face-to-face interaction:</w:t>
      </w:r>
    </w:p>
    <w:p w14:paraId="56700176" w14:textId="77777777" w:rsidR="008361FD" w:rsidRPr="008361FD" w:rsidRDefault="008361FD" w:rsidP="001F4E62">
      <w:pPr>
        <w:pStyle w:val="BodyTextMain"/>
        <w:rPr>
          <w:rFonts w:eastAsia="Calibri"/>
          <w:lang w:val="en-GB"/>
        </w:rPr>
      </w:pPr>
    </w:p>
    <w:p w14:paraId="21F4DEAA" w14:textId="2DF8760C" w:rsidR="008361FD" w:rsidRPr="008361FD" w:rsidRDefault="008361FD" w:rsidP="001F4E62">
      <w:pPr>
        <w:pStyle w:val="BodyTextMain"/>
        <w:ind w:left="720"/>
        <w:rPr>
          <w:rFonts w:eastAsia="Calibri"/>
          <w:lang w:val="en-GB"/>
        </w:rPr>
      </w:pPr>
      <w:r w:rsidRPr="008361FD">
        <w:rPr>
          <w:rFonts w:eastAsia="Calibri"/>
          <w:lang w:val="en-GB"/>
        </w:rPr>
        <w:t xml:space="preserve">. . . my sending [a thumbs-up] ensures that my colleagues see that I appreciate what [my manager] did [to help me]. It is more like getting all </w:t>
      </w:r>
      <w:r w:rsidR="006178E7">
        <w:rPr>
          <w:rFonts w:eastAsia="Calibri"/>
          <w:lang w:val="en-GB"/>
        </w:rPr>
        <w:t xml:space="preserve">of </w:t>
      </w:r>
      <w:r w:rsidRPr="008361FD">
        <w:rPr>
          <w:rFonts w:eastAsia="Calibri"/>
          <w:lang w:val="en-GB"/>
        </w:rPr>
        <w:t>my colleagues to say “Thank you” to my manager. But at the end of the day, I would still go to him, out of courtesy to say, “Thank you” face-to-face. I believe that there’s a place for Thumbs Up and that there is a place for face-to-face. The two ways [of communicating] do not conflict.</w:t>
      </w:r>
    </w:p>
    <w:p w14:paraId="4A0EEE95" w14:textId="77777777" w:rsidR="008361FD" w:rsidRPr="008361FD" w:rsidRDefault="008361FD" w:rsidP="001F4E62">
      <w:pPr>
        <w:pStyle w:val="BodyTextMain"/>
        <w:rPr>
          <w:lang w:val="en-GB"/>
        </w:rPr>
      </w:pPr>
    </w:p>
    <w:p w14:paraId="39E3A744" w14:textId="77777777" w:rsidR="008361FD" w:rsidRPr="008361FD" w:rsidRDefault="008361FD" w:rsidP="001F4E62">
      <w:pPr>
        <w:pStyle w:val="BodyTextMain"/>
        <w:rPr>
          <w:rFonts w:eastAsia="Calibri"/>
          <w:lang w:val="en-GB"/>
        </w:rPr>
      </w:pPr>
      <w:r w:rsidRPr="008361FD">
        <w:rPr>
          <w:rFonts w:eastAsia="Calibri"/>
          <w:lang w:val="en-GB"/>
        </w:rPr>
        <w:t>On how to make the app work better, Okafor pointed to the abuse of the app’s tagging function. While tagging people could save a person’s time compared with messaging multiple people, its implementation had led to issues:</w:t>
      </w:r>
    </w:p>
    <w:p w14:paraId="6D94AD13" w14:textId="77777777" w:rsidR="008361FD" w:rsidRPr="008361FD" w:rsidRDefault="008361FD" w:rsidP="001F4E62">
      <w:pPr>
        <w:pStyle w:val="BodyTextMain"/>
        <w:rPr>
          <w:rFonts w:eastAsia="Calibri"/>
          <w:lang w:val="en-GB"/>
        </w:rPr>
      </w:pPr>
    </w:p>
    <w:p w14:paraId="7BC095C7" w14:textId="77777777" w:rsidR="008361FD" w:rsidRPr="008361FD" w:rsidRDefault="008361FD" w:rsidP="001F4E62">
      <w:pPr>
        <w:pStyle w:val="BodyTextMain"/>
        <w:ind w:left="720"/>
        <w:rPr>
          <w:rFonts w:eastAsia="Calibri"/>
          <w:lang w:val="en-GB"/>
        </w:rPr>
      </w:pPr>
      <w:r w:rsidRPr="008361FD">
        <w:rPr>
          <w:rFonts w:eastAsia="Calibri"/>
          <w:lang w:val="en-GB"/>
        </w:rPr>
        <w:t>We are not using it the way we are supposed to. See, we have six dealerships. Something happens at Jaguar, and the person tags everybody in the company. But I don’t know who he is talking about so it doesn’t make me excited, and I just go through them and quickly press erase. This takes away the good essence of Thumbs Up.</w:t>
      </w:r>
    </w:p>
    <w:p w14:paraId="263EF871" w14:textId="77777777" w:rsidR="008361FD" w:rsidRPr="008361FD" w:rsidRDefault="008361FD" w:rsidP="001F4E62">
      <w:pPr>
        <w:pStyle w:val="BodyTextMain"/>
        <w:rPr>
          <w:lang w:val="en-GB"/>
        </w:rPr>
      </w:pPr>
    </w:p>
    <w:p w14:paraId="58CDD859" w14:textId="77777777" w:rsidR="008361FD" w:rsidRPr="008361FD" w:rsidRDefault="008361FD" w:rsidP="001F4E62">
      <w:pPr>
        <w:pStyle w:val="BodyTextMain"/>
        <w:rPr>
          <w:lang w:val="en-GB"/>
        </w:rPr>
      </w:pPr>
    </w:p>
    <w:p w14:paraId="6BF1AB3E" w14:textId="77777777" w:rsidR="008361FD" w:rsidRPr="008361FD" w:rsidRDefault="008361FD" w:rsidP="003528D1">
      <w:pPr>
        <w:pStyle w:val="Casehead1"/>
        <w:rPr>
          <w:rFonts w:eastAsia="SimSun"/>
          <w:lang w:val="en-GB"/>
        </w:rPr>
      </w:pPr>
      <w:r w:rsidRPr="008361FD">
        <w:rPr>
          <w:rFonts w:eastAsia="SimSun"/>
          <w:lang w:val="en-GB"/>
        </w:rPr>
        <w:t>Alex Frederick</w:t>
      </w:r>
    </w:p>
    <w:p w14:paraId="31434C5B" w14:textId="77777777" w:rsidR="008361FD" w:rsidRPr="008361FD" w:rsidRDefault="008361FD" w:rsidP="003528D1">
      <w:pPr>
        <w:pStyle w:val="BodyTextMain"/>
        <w:rPr>
          <w:rFonts w:eastAsia="Calibri"/>
          <w:lang w:val="en-GB"/>
        </w:rPr>
      </w:pPr>
    </w:p>
    <w:p w14:paraId="7DD50902" w14:textId="77777777" w:rsidR="008361FD" w:rsidRPr="008361FD" w:rsidRDefault="008361FD" w:rsidP="003528D1">
      <w:pPr>
        <w:pStyle w:val="BodyTextMain"/>
        <w:rPr>
          <w:rFonts w:eastAsia="Calibri"/>
          <w:lang w:val="en-GB"/>
        </w:rPr>
      </w:pPr>
      <w:r w:rsidRPr="008361FD">
        <w:rPr>
          <w:rFonts w:eastAsia="Calibri"/>
          <w:lang w:val="en-GB"/>
        </w:rPr>
        <w:t>Frederick was a more recent hire with eight months of experience in a sales position. In his mid-20s, he was an adept user of technology. Frederick was initially active on Thumbs Up but his enthusiasm for the app had declined over time. In addition to pointing out the tagging issues voiced by Smith and Okafor, he was also disappointed by the lack of mobile functionality in the app and pointed to some potential improvements:</w:t>
      </w:r>
    </w:p>
    <w:p w14:paraId="34D136CA" w14:textId="77777777" w:rsidR="008361FD" w:rsidRPr="008361FD" w:rsidRDefault="008361FD" w:rsidP="003528D1">
      <w:pPr>
        <w:pStyle w:val="BodyTextMain"/>
        <w:ind w:left="720"/>
        <w:rPr>
          <w:rFonts w:eastAsia="Calibri"/>
          <w:lang w:val="en-GB"/>
        </w:rPr>
      </w:pPr>
      <w:r w:rsidRPr="008361FD">
        <w:rPr>
          <w:rFonts w:eastAsia="Calibri"/>
          <w:lang w:val="en-GB"/>
        </w:rPr>
        <w:lastRenderedPageBreak/>
        <w:t>. . . most times too I don’t even log onto the portal. If there is some way the Thumbs Up app could be incorporated into a [real] app on your phone for example, that’d be a lot easier to use. Currently, you have to log into the company website on your phone and [it becomes a hassle].</w:t>
      </w:r>
    </w:p>
    <w:p w14:paraId="592FBCEC" w14:textId="77777777" w:rsidR="008361FD" w:rsidRPr="008361FD" w:rsidRDefault="008361FD" w:rsidP="003528D1">
      <w:pPr>
        <w:pStyle w:val="BodyTextMain"/>
        <w:ind w:left="720"/>
        <w:rPr>
          <w:rFonts w:eastAsia="Calibri"/>
          <w:lang w:val="en-GB"/>
        </w:rPr>
      </w:pPr>
    </w:p>
    <w:p w14:paraId="176F85E6" w14:textId="278F313D" w:rsidR="008361FD" w:rsidRPr="008361FD" w:rsidRDefault="008361FD" w:rsidP="003528D1">
      <w:pPr>
        <w:pStyle w:val="BodyTextMain"/>
        <w:ind w:left="720"/>
        <w:rPr>
          <w:rFonts w:eastAsia="Calibri"/>
          <w:lang w:val="en-GB"/>
        </w:rPr>
      </w:pPr>
      <w:r w:rsidRPr="008361FD">
        <w:rPr>
          <w:rFonts w:eastAsia="Calibri"/>
          <w:lang w:val="en-GB"/>
        </w:rPr>
        <w:t xml:space="preserve">. . . it’d be pretty cool if you </w:t>
      </w:r>
      <w:r w:rsidR="006178E7">
        <w:rPr>
          <w:rFonts w:eastAsia="Calibri"/>
          <w:lang w:val="en-GB"/>
        </w:rPr>
        <w:t>could</w:t>
      </w:r>
      <w:r w:rsidRPr="008361FD">
        <w:rPr>
          <w:rFonts w:eastAsia="Calibri"/>
          <w:lang w:val="en-GB"/>
        </w:rPr>
        <w:t xml:space="preserve"> include a picture file. Let’s say I help out with a car [sale], and my colleague would be able to go to the car and take a picture of it and then post it alongside a badge that says, “Good job, this is the car that you sold,” and then write a little paragraph. I am a visual learner and they’d like to see unique pictures. The pre-existing badges in the app can get a little boring.</w:t>
      </w:r>
    </w:p>
    <w:p w14:paraId="2C708C11" w14:textId="77777777" w:rsidR="008361FD" w:rsidRPr="008361FD" w:rsidRDefault="008361FD" w:rsidP="003528D1">
      <w:pPr>
        <w:pStyle w:val="BodyTextMain"/>
        <w:rPr>
          <w:rFonts w:eastAsia="Calibri"/>
          <w:lang w:val="en-GB"/>
        </w:rPr>
      </w:pPr>
    </w:p>
    <w:p w14:paraId="74BA34E6" w14:textId="77777777" w:rsidR="008361FD" w:rsidRPr="008361FD" w:rsidRDefault="008361FD" w:rsidP="003528D1">
      <w:pPr>
        <w:pStyle w:val="BodyTextMain"/>
        <w:rPr>
          <w:lang w:val="en-GB"/>
        </w:rPr>
      </w:pPr>
    </w:p>
    <w:p w14:paraId="268C5BC2" w14:textId="77777777" w:rsidR="008361FD" w:rsidRPr="008361FD" w:rsidRDefault="008361FD" w:rsidP="003528D1">
      <w:pPr>
        <w:pStyle w:val="Casehead1"/>
        <w:rPr>
          <w:rFonts w:eastAsia="SimSun"/>
          <w:lang w:val="en-GB" w:eastAsia="zh-CN"/>
        </w:rPr>
      </w:pPr>
      <w:r w:rsidRPr="008361FD">
        <w:rPr>
          <w:rFonts w:eastAsia="SimSun"/>
          <w:lang w:val="en-GB" w:eastAsia="zh-CN"/>
        </w:rPr>
        <w:t>Ron Patel</w:t>
      </w:r>
    </w:p>
    <w:p w14:paraId="71A8F338" w14:textId="77777777" w:rsidR="008361FD" w:rsidRPr="008361FD" w:rsidRDefault="008361FD" w:rsidP="008361FD">
      <w:pPr>
        <w:jc w:val="both"/>
        <w:rPr>
          <w:rFonts w:eastAsia="SimSun"/>
          <w:sz w:val="22"/>
          <w:szCs w:val="22"/>
          <w:lang w:val="en-GB" w:eastAsia="zh-CN"/>
        </w:rPr>
      </w:pPr>
    </w:p>
    <w:p w14:paraId="7987B210" w14:textId="77777777" w:rsidR="008361FD" w:rsidRPr="008361FD" w:rsidRDefault="008361FD" w:rsidP="008361FD">
      <w:pPr>
        <w:jc w:val="both"/>
        <w:rPr>
          <w:rFonts w:eastAsia="Calibri"/>
          <w:sz w:val="22"/>
          <w:szCs w:val="22"/>
          <w:lang w:val="en-GB" w:eastAsia="zh-CN"/>
        </w:rPr>
      </w:pPr>
      <w:r w:rsidRPr="008361FD">
        <w:rPr>
          <w:rFonts w:eastAsia="Calibri"/>
          <w:sz w:val="22"/>
          <w:szCs w:val="22"/>
          <w:lang w:val="en-GB" w:eastAsia="zh-CN"/>
        </w:rPr>
        <w:t>Patel was the manager of the service, parts, and rental cars departments of the Subaru and Hyundai dealerships. He was in his late 50s, had been at Lakeside for five years, and supervised 33 workers. Patel’s assessment of Thumbs Up was both positive and negative. As a manager, he supported the mandate to evolve the organization and to use new tools to boost employee engagement. But he had also received resistance from his direct reports:</w:t>
      </w:r>
    </w:p>
    <w:p w14:paraId="65C7006E" w14:textId="77777777" w:rsidR="008361FD" w:rsidRPr="008361FD" w:rsidRDefault="008361FD" w:rsidP="008361FD">
      <w:pPr>
        <w:jc w:val="both"/>
        <w:rPr>
          <w:rFonts w:eastAsia="Calibri"/>
          <w:sz w:val="22"/>
          <w:szCs w:val="22"/>
          <w:lang w:val="en-GB" w:eastAsia="zh-CN"/>
        </w:rPr>
      </w:pPr>
    </w:p>
    <w:p w14:paraId="1E68561A" w14:textId="6D7F51FF" w:rsidR="008361FD" w:rsidRPr="008361FD" w:rsidRDefault="008361FD" w:rsidP="003528D1">
      <w:pPr>
        <w:pStyle w:val="BodyTextMain"/>
        <w:ind w:left="720"/>
        <w:rPr>
          <w:rFonts w:eastAsia="Calibri"/>
          <w:lang w:val="en-GB"/>
        </w:rPr>
      </w:pPr>
      <w:r w:rsidRPr="008361FD">
        <w:rPr>
          <w:rFonts w:eastAsia="Calibri"/>
          <w:lang w:val="en-GB"/>
        </w:rPr>
        <w:t xml:space="preserve">In the service department especially, there are people </w:t>
      </w:r>
      <w:r w:rsidR="006178E7">
        <w:rPr>
          <w:rFonts w:eastAsia="Calibri"/>
          <w:lang w:val="en-GB"/>
        </w:rPr>
        <w:t xml:space="preserve">who have been </w:t>
      </w:r>
      <w:r w:rsidRPr="008361FD">
        <w:rPr>
          <w:rFonts w:eastAsia="Calibri"/>
          <w:lang w:val="en-GB"/>
        </w:rPr>
        <w:t xml:space="preserve">working here for 40 years. A lot of the older tenured employees have a great sense of loyalty. Personal contact and the handshake [mean] so much to them. For people who have been around more than six or seven years, the personal contact and handshakes [were] the expectation. A manager back then would shake hands with the technicians or salespersons and say, “Thank you very much.” Every Friday the owner would also come in and personally express his gratitude to the employees. </w:t>
      </w:r>
    </w:p>
    <w:p w14:paraId="23BBEAA1" w14:textId="77777777" w:rsidR="008361FD" w:rsidRPr="008361FD" w:rsidRDefault="008361FD" w:rsidP="003528D1">
      <w:pPr>
        <w:pStyle w:val="BodyTextMain"/>
        <w:ind w:left="720"/>
        <w:rPr>
          <w:rFonts w:eastAsia="Calibri"/>
          <w:lang w:val="en-GB"/>
        </w:rPr>
      </w:pPr>
    </w:p>
    <w:p w14:paraId="7B24EB64" w14:textId="77777777" w:rsidR="008361FD" w:rsidRPr="008361FD" w:rsidRDefault="008361FD" w:rsidP="003528D1">
      <w:pPr>
        <w:pStyle w:val="BodyTextMain"/>
        <w:ind w:left="720"/>
        <w:rPr>
          <w:rFonts w:eastAsia="Calibri"/>
          <w:lang w:val="en-GB"/>
        </w:rPr>
      </w:pPr>
      <w:r w:rsidRPr="008361FD">
        <w:rPr>
          <w:rFonts w:eastAsia="Calibri"/>
          <w:lang w:val="en-GB"/>
        </w:rPr>
        <w:t>Now, our people are told that they need to do it in a new way and need to get to a website. Perhaps that was just a mindset. But to change the culture, to change their thinking, to change the way they have been accustomed to at Lakeside does not make much sense to me.</w:t>
      </w:r>
    </w:p>
    <w:p w14:paraId="5267516A" w14:textId="77777777" w:rsidR="008361FD" w:rsidRPr="008361FD" w:rsidRDefault="008361FD" w:rsidP="003528D1">
      <w:pPr>
        <w:pStyle w:val="BodyTextMain"/>
        <w:rPr>
          <w:lang w:val="en-GB"/>
        </w:rPr>
      </w:pPr>
    </w:p>
    <w:p w14:paraId="60AB3389" w14:textId="77777777" w:rsidR="008361FD" w:rsidRPr="008361FD" w:rsidRDefault="008361FD" w:rsidP="003528D1">
      <w:pPr>
        <w:pStyle w:val="BodyTextMain"/>
        <w:rPr>
          <w:rFonts w:eastAsia="Calibri"/>
          <w:lang w:val="en-GB"/>
        </w:rPr>
      </w:pPr>
      <w:r w:rsidRPr="008361FD">
        <w:rPr>
          <w:rFonts w:eastAsia="Calibri"/>
          <w:lang w:val="en-GB"/>
        </w:rPr>
        <w:t>In addition, Patel pointed out significant differences in the work environment between his department and the new-car sales departments:</w:t>
      </w:r>
    </w:p>
    <w:p w14:paraId="22E4FB6B" w14:textId="77777777" w:rsidR="008361FD" w:rsidRPr="008361FD" w:rsidRDefault="008361FD" w:rsidP="003528D1">
      <w:pPr>
        <w:pStyle w:val="BodyTextMain"/>
        <w:rPr>
          <w:rFonts w:eastAsia="Calibri"/>
          <w:lang w:val="en-GB"/>
        </w:rPr>
      </w:pPr>
    </w:p>
    <w:p w14:paraId="458DF9E2" w14:textId="77777777" w:rsidR="008361FD" w:rsidRPr="008361FD" w:rsidRDefault="008361FD" w:rsidP="003528D1">
      <w:pPr>
        <w:pStyle w:val="BodyTextMain"/>
        <w:ind w:left="720"/>
        <w:rPr>
          <w:rFonts w:eastAsia="Calibri"/>
          <w:lang w:val="en-GB"/>
        </w:rPr>
      </w:pPr>
      <w:r w:rsidRPr="008361FD">
        <w:rPr>
          <w:rFonts w:eastAsia="Calibri"/>
          <w:lang w:val="en-GB"/>
        </w:rPr>
        <w:t>We actually discourage our employees to be on the phone while working on the cars. You can lose the focus if you leave a bolt loose, the engine costs $10,000. So that’s a danger there.</w:t>
      </w:r>
    </w:p>
    <w:p w14:paraId="72B82DE9" w14:textId="77777777" w:rsidR="008361FD" w:rsidRPr="008361FD" w:rsidRDefault="008361FD" w:rsidP="003528D1">
      <w:pPr>
        <w:pStyle w:val="BodyTextMain"/>
        <w:rPr>
          <w:lang w:val="en-GB"/>
        </w:rPr>
      </w:pPr>
    </w:p>
    <w:p w14:paraId="1EC6498B" w14:textId="77777777" w:rsidR="008361FD" w:rsidRPr="008361FD" w:rsidRDefault="008361FD" w:rsidP="003528D1">
      <w:pPr>
        <w:pStyle w:val="BodyTextMain"/>
        <w:rPr>
          <w:rFonts w:eastAsia="Calibri"/>
          <w:lang w:val="en-GB"/>
        </w:rPr>
      </w:pPr>
      <w:r w:rsidRPr="008361FD">
        <w:rPr>
          <w:rFonts w:eastAsia="Calibri"/>
          <w:lang w:val="en-GB"/>
        </w:rPr>
        <w:t>In terms of individual recognition, Patel favoured instant verbal communications but recognized the value of Thumbs Up in some circumstances:</w:t>
      </w:r>
    </w:p>
    <w:p w14:paraId="380023C0" w14:textId="77777777" w:rsidR="008361FD" w:rsidRPr="008361FD" w:rsidRDefault="008361FD" w:rsidP="003528D1">
      <w:pPr>
        <w:pStyle w:val="BodyTextMain"/>
        <w:rPr>
          <w:rFonts w:eastAsia="Calibri"/>
          <w:lang w:val="en-GB"/>
        </w:rPr>
      </w:pPr>
    </w:p>
    <w:p w14:paraId="786856D0" w14:textId="77777777" w:rsidR="008361FD" w:rsidRPr="008361FD" w:rsidRDefault="008361FD" w:rsidP="003528D1">
      <w:pPr>
        <w:pStyle w:val="BodyTextMain"/>
        <w:ind w:left="720"/>
        <w:rPr>
          <w:rFonts w:eastAsia="Calibri"/>
          <w:lang w:val="en-GB"/>
        </w:rPr>
      </w:pPr>
      <w:r w:rsidRPr="008361FD">
        <w:rPr>
          <w:rFonts w:eastAsia="Calibri"/>
          <w:lang w:val="en-GB"/>
        </w:rPr>
        <w:t>. . . if my people are doing well, I will provide the instant recognition on the spot. For example, I may say, “Hey guys, come. So far, the past four hours have been excellent, very good workflow, customers all happy, and there’s nobody waiting in the waiting area.” If I see a technician doing a good job, I would definitely approach him right away and say, “Thank you very much,” and loud enough that his peers would listen to my compliment and they learn what is good behaviour. A thumbs-up would not work very effectively in this situation. If I come back to office to send a thumbs-up and the person accesses the system two days later, I lose the moment and it does not give much impact.</w:t>
      </w:r>
    </w:p>
    <w:p w14:paraId="55D75023" w14:textId="77777777" w:rsidR="008361FD" w:rsidRPr="008361FD" w:rsidRDefault="008361FD" w:rsidP="003528D1">
      <w:pPr>
        <w:pStyle w:val="BodyTextMain"/>
        <w:ind w:left="720"/>
        <w:rPr>
          <w:rFonts w:eastAsia="Calibri"/>
          <w:lang w:val="en-GB"/>
        </w:rPr>
      </w:pPr>
    </w:p>
    <w:p w14:paraId="402A422E" w14:textId="77777777" w:rsidR="008361FD" w:rsidRPr="008361FD" w:rsidRDefault="008361FD" w:rsidP="003528D1">
      <w:pPr>
        <w:pStyle w:val="BodyTextMain"/>
        <w:ind w:left="720"/>
        <w:rPr>
          <w:rFonts w:eastAsia="Calibri"/>
          <w:lang w:val="en-GB"/>
        </w:rPr>
      </w:pPr>
      <w:r w:rsidRPr="008361FD">
        <w:rPr>
          <w:rFonts w:eastAsia="Calibri"/>
          <w:lang w:val="en-GB"/>
        </w:rPr>
        <w:lastRenderedPageBreak/>
        <w:t>If there’s a birthday coming up, or a baby coming in one of our employees’ life, we want to celebrate together. We can send a thumbs-up because this is not as time-sensitive as other scenarios.</w:t>
      </w:r>
    </w:p>
    <w:p w14:paraId="3039B508" w14:textId="77777777" w:rsidR="008361FD" w:rsidRPr="008361FD" w:rsidRDefault="008361FD" w:rsidP="003528D1">
      <w:pPr>
        <w:pStyle w:val="BodyTextMain"/>
        <w:rPr>
          <w:lang w:val="en-GB"/>
        </w:rPr>
      </w:pPr>
    </w:p>
    <w:p w14:paraId="30E2B0F9" w14:textId="77777777" w:rsidR="008361FD" w:rsidRPr="008361FD" w:rsidRDefault="008361FD" w:rsidP="003528D1">
      <w:pPr>
        <w:pStyle w:val="BodyTextMain"/>
        <w:rPr>
          <w:rFonts w:eastAsia="Calibri"/>
          <w:lang w:val="en-GB"/>
        </w:rPr>
      </w:pPr>
      <w:r w:rsidRPr="008361FD">
        <w:rPr>
          <w:rFonts w:eastAsia="Calibri"/>
          <w:lang w:val="en-GB"/>
        </w:rPr>
        <w:t>Toward the end of the interview, Patel showed a text he sent to an employee that showed his personal touch and sincerity. He read:</w:t>
      </w:r>
    </w:p>
    <w:p w14:paraId="03AC1BB9" w14:textId="77777777" w:rsidR="008361FD" w:rsidRPr="008361FD" w:rsidRDefault="008361FD" w:rsidP="003528D1">
      <w:pPr>
        <w:pStyle w:val="BodyTextMain"/>
        <w:rPr>
          <w:rFonts w:eastAsia="Calibri"/>
          <w:lang w:val="en-GB"/>
        </w:rPr>
      </w:pPr>
    </w:p>
    <w:p w14:paraId="7CB044D2" w14:textId="77777777" w:rsidR="008361FD" w:rsidRPr="008361FD" w:rsidRDefault="008361FD" w:rsidP="003528D1">
      <w:pPr>
        <w:pStyle w:val="BodyTextMain"/>
        <w:ind w:left="720"/>
        <w:rPr>
          <w:rFonts w:eastAsia="Calibri"/>
          <w:lang w:val="en-GB"/>
        </w:rPr>
      </w:pPr>
      <w:r w:rsidRPr="008361FD">
        <w:rPr>
          <w:rFonts w:eastAsia="Calibri"/>
          <w:lang w:val="en-GB"/>
        </w:rPr>
        <w:t>Good morning Richard. Today’s a very special day for Lakeside’s success history. Your contribution to this auto group’s success speaks the highest volume. Your dedication, honesty, and hard work speaks for itself. . . . Thanks to you for being such a valuable friend. Please pass on my regards to your lovely wife and parents. Such a milestone of 20 years. Regards.</w:t>
      </w:r>
    </w:p>
    <w:p w14:paraId="114D2A79" w14:textId="77777777" w:rsidR="008361FD" w:rsidRPr="008361FD" w:rsidRDefault="008361FD" w:rsidP="003528D1">
      <w:pPr>
        <w:pStyle w:val="BodyTextMain"/>
        <w:rPr>
          <w:lang w:val="en-GB"/>
        </w:rPr>
      </w:pPr>
    </w:p>
    <w:p w14:paraId="586312F0" w14:textId="77777777" w:rsidR="008361FD" w:rsidRPr="008361FD" w:rsidRDefault="008361FD" w:rsidP="003528D1">
      <w:pPr>
        <w:pStyle w:val="BodyTextMain"/>
        <w:rPr>
          <w:rFonts w:eastAsia="Calibri"/>
          <w:lang w:val="en-GB"/>
        </w:rPr>
      </w:pPr>
      <w:r w:rsidRPr="008361FD">
        <w:rPr>
          <w:rFonts w:eastAsia="Calibri"/>
          <w:lang w:val="en-GB"/>
        </w:rPr>
        <w:t>The aforementioned Richard was appreciative and stopped by Patel’s office to thank him. Patel expressed doubt that a Thumbs Up badge would have had the same impact.</w:t>
      </w:r>
    </w:p>
    <w:p w14:paraId="6BDA56C1" w14:textId="77777777" w:rsidR="008361FD" w:rsidRPr="008361FD" w:rsidRDefault="008361FD" w:rsidP="003528D1">
      <w:pPr>
        <w:pStyle w:val="BodyTextMain"/>
        <w:rPr>
          <w:rFonts w:eastAsia="Calibri"/>
          <w:lang w:val="en-GB"/>
        </w:rPr>
      </w:pPr>
    </w:p>
    <w:p w14:paraId="323F1496" w14:textId="77777777" w:rsidR="008361FD" w:rsidRPr="008361FD" w:rsidRDefault="008361FD" w:rsidP="003528D1">
      <w:pPr>
        <w:pStyle w:val="BodyTextMain"/>
        <w:rPr>
          <w:rFonts w:eastAsia="Calibri"/>
          <w:lang w:val="en-GB"/>
        </w:rPr>
      </w:pPr>
    </w:p>
    <w:p w14:paraId="39059CAE" w14:textId="77777777" w:rsidR="008361FD" w:rsidRPr="008361FD" w:rsidRDefault="008361FD" w:rsidP="003528D1">
      <w:pPr>
        <w:pStyle w:val="Casehead1"/>
        <w:rPr>
          <w:rFonts w:eastAsia="SimSun"/>
          <w:lang w:val="en-GB" w:eastAsia="zh-CN"/>
        </w:rPr>
      </w:pPr>
      <w:r w:rsidRPr="008361FD">
        <w:rPr>
          <w:rFonts w:eastAsia="SimSun"/>
          <w:lang w:val="en-GB" w:eastAsia="zh-CN"/>
        </w:rPr>
        <w:t>Pascal Rahal</w:t>
      </w:r>
    </w:p>
    <w:p w14:paraId="27587F0D" w14:textId="77777777" w:rsidR="008361FD" w:rsidRPr="008361FD" w:rsidRDefault="008361FD" w:rsidP="003528D1">
      <w:pPr>
        <w:pStyle w:val="BodyTextMain"/>
        <w:rPr>
          <w:rFonts w:eastAsia="SimSun"/>
          <w:lang w:val="en-GB" w:eastAsia="zh-CN"/>
        </w:rPr>
      </w:pPr>
    </w:p>
    <w:p w14:paraId="090EE646" w14:textId="77777777" w:rsidR="008361FD" w:rsidRPr="003528D1" w:rsidRDefault="008361FD" w:rsidP="003528D1">
      <w:pPr>
        <w:pStyle w:val="BodyTextMain"/>
        <w:rPr>
          <w:rFonts w:eastAsia="Calibri"/>
          <w:spacing w:val="-2"/>
          <w:lang w:val="en-GB" w:eastAsia="zh-CN"/>
        </w:rPr>
      </w:pPr>
      <w:r w:rsidRPr="003528D1">
        <w:rPr>
          <w:rFonts w:eastAsia="Calibri"/>
          <w:spacing w:val="-2"/>
          <w:lang w:val="en-GB" w:eastAsia="zh-CN"/>
        </w:rPr>
        <w:t>Rahal was a new-car sales manager for one of the brands. He was in his late 30s and he had been in the position for two years. Rahal came to Lakeside with a non-auto background, having previously worked as a finance manager at Rogers Communications Inc., a large Canadian telecommunications company. Rahal’s initial enthusiasm for Thumbs Up was high, partly because he had good experience with a similar app at Rogers:</w:t>
      </w:r>
    </w:p>
    <w:p w14:paraId="1BA4C906" w14:textId="77777777" w:rsidR="008361FD" w:rsidRPr="008361FD" w:rsidRDefault="008361FD" w:rsidP="003528D1">
      <w:pPr>
        <w:pStyle w:val="BodyTextMain"/>
        <w:rPr>
          <w:rFonts w:eastAsia="Calibri"/>
          <w:lang w:val="en-GB" w:eastAsia="zh-CN"/>
        </w:rPr>
      </w:pPr>
    </w:p>
    <w:p w14:paraId="1BC0AA7F" w14:textId="77777777" w:rsidR="008361FD" w:rsidRPr="008361FD" w:rsidRDefault="008361FD" w:rsidP="003528D1">
      <w:pPr>
        <w:pStyle w:val="BodyTextMain"/>
        <w:ind w:left="720"/>
        <w:rPr>
          <w:rFonts w:eastAsia="Calibri"/>
          <w:lang w:val="en-GB"/>
        </w:rPr>
      </w:pPr>
      <w:r w:rsidRPr="008361FD">
        <w:rPr>
          <w:rFonts w:eastAsia="Calibri"/>
          <w:lang w:val="en-GB"/>
        </w:rPr>
        <w:t>The digital generation is growing. I think this was a great way for me and my team at Rogers to communicate when I see something happening with the salesforce while I’m upstairs in a meeting or on a conference call. But the team I worked in had 2,500 employees. Currently, we are only a small dealership. It takes me literally two or three minutes to send a badge whereas it takes me 10 seconds to gather my guys up and say, “Hey guys, great job.”</w:t>
      </w:r>
    </w:p>
    <w:p w14:paraId="49599045" w14:textId="77777777" w:rsidR="008361FD" w:rsidRPr="008361FD" w:rsidRDefault="008361FD" w:rsidP="003528D1">
      <w:pPr>
        <w:pStyle w:val="BodyTextMain"/>
        <w:rPr>
          <w:lang w:val="en-GB"/>
        </w:rPr>
      </w:pPr>
    </w:p>
    <w:p w14:paraId="0C008182" w14:textId="77777777" w:rsidR="008361FD" w:rsidRPr="008361FD" w:rsidRDefault="008361FD" w:rsidP="003528D1">
      <w:pPr>
        <w:pStyle w:val="BodyTextMain"/>
        <w:rPr>
          <w:rFonts w:eastAsia="Calibri"/>
          <w:lang w:val="en-GB"/>
        </w:rPr>
      </w:pPr>
      <w:r w:rsidRPr="008361FD">
        <w:rPr>
          <w:rFonts w:eastAsia="Calibri"/>
          <w:lang w:val="en-GB"/>
        </w:rPr>
        <w:t>Further, Rahal was discouraged by the lack of reciprocity on behalf of his employees. Although he sent many badges, he received few. The lack of badges coming from employees had, at times, made him wonder whether he had done something wrong. But after talking to his employees it was apparent that things were fine. Pascal was frustrated with the mandated number of badges he had to send, though no such quotas were applied to non-managerial employees:</w:t>
      </w:r>
    </w:p>
    <w:p w14:paraId="0A7514EC" w14:textId="77777777" w:rsidR="008361FD" w:rsidRPr="008361FD" w:rsidRDefault="008361FD" w:rsidP="003528D1">
      <w:pPr>
        <w:pStyle w:val="BodyTextMain"/>
        <w:rPr>
          <w:rFonts w:eastAsia="Calibri"/>
          <w:lang w:val="en-GB"/>
        </w:rPr>
      </w:pPr>
    </w:p>
    <w:p w14:paraId="48B05A28" w14:textId="2EFAC9F3" w:rsidR="008361FD" w:rsidRPr="008361FD" w:rsidRDefault="008361FD" w:rsidP="003528D1">
      <w:pPr>
        <w:pStyle w:val="BodyTextMain"/>
        <w:ind w:left="720"/>
        <w:rPr>
          <w:rFonts w:eastAsia="Calibri"/>
          <w:lang w:val="en-GB"/>
        </w:rPr>
      </w:pPr>
      <w:r w:rsidRPr="008361FD">
        <w:rPr>
          <w:rFonts w:eastAsia="Calibri"/>
          <w:lang w:val="en-GB"/>
        </w:rPr>
        <w:t>Today I got a reminder that it has been 57 days since I sent a badge. But I say, “Good job” to my people every day. We just spoke verbally about what they did, and then I got to reinforce them, “Hey, don’t forget to send me your thumbs-up before we leave.” It becomes something that you’re doing just for the sake of using the app.</w:t>
      </w:r>
    </w:p>
    <w:p w14:paraId="307F81C1" w14:textId="77777777" w:rsidR="008361FD" w:rsidRPr="008361FD" w:rsidRDefault="008361FD" w:rsidP="003528D1">
      <w:pPr>
        <w:pStyle w:val="BodyTextMain"/>
        <w:rPr>
          <w:lang w:val="en-GB"/>
        </w:rPr>
      </w:pPr>
    </w:p>
    <w:p w14:paraId="26A19F0F" w14:textId="48738293" w:rsidR="008361FD" w:rsidRPr="008361FD" w:rsidRDefault="008361FD" w:rsidP="003528D1">
      <w:pPr>
        <w:pStyle w:val="BodyTextMain"/>
        <w:rPr>
          <w:rFonts w:eastAsia="Calibri"/>
          <w:lang w:val="en-GB"/>
        </w:rPr>
      </w:pPr>
      <w:r w:rsidRPr="008361FD">
        <w:rPr>
          <w:rFonts w:eastAsia="Calibri"/>
          <w:lang w:val="en-GB"/>
        </w:rPr>
        <w:t>Rahal believed in the need for digital innovation but also recognized that people in the automotive industry tend</w:t>
      </w:r>
      <w:r w:rsidR="006178E7">
        <w:rPr>
          <w:rFonts w:eastAsia="Calibri"/>
          <w:lang w:val="en-GB"/>
        </w:rPr>
        <w:t>ed</w:t>
      </w:r>
      <w:r w:rsidRPr="008361FD">
        <w:rPr>
          <w:rFonts w:eastAsia="Calibri"/>
          <w:lang w:val="en-GB"/>
        </w:rPr>
        <w:t xml:space="preserve"> to be less tech-savvy. Thus, how to manage digital change with the current workforce had become a significant challenge.</w:t>
      </w:r>
    </w:p>
    <w:p w14:paraId="215FC30A" w14:textId="77777777" w:rsidR="008361FD" w:rsidRPr="008361FD" w:rsidRDefault="008361FD" w:rsidP="003528D1">
      <w:pPr>
        <w:pStyle w:val="BodyTextMain"/>
        <w:rPr>
          <w:rFonts w:eastAsia="Calibri"/>
          <w:lang w:val="en-GB"/>
        </w:rPr>
      </w:pPr>
    </w:p>
    <w:p w14:paraId="71CA2022" w14:textId="77777777" w:rsidR="008361FD" w:rsidRPr="008361FD" w:rsidRDefault="008361FD" w:rsidP="003528D1">
      <w:pPr>
        <w:pStyle w:val="BodyTextMain"/>
        <w:rPr>
          <w:rFonts w:eastAsia="Calibri"/>
          <w:lang w:val="en-GB"/>
        </w:rPr>
      </w:pPr>
    </w:p>
    <w:p w14:paraId="723FBFD2" w14:textId="77777777" w:rsidR="008361FD" w:rsidRPr="008361FD" w:rsidRDefault="008361FD" w:rsidP="003528D1">
      <w:pPr>
        <w:pStyle w:val="Casehead1"/>
        <w:rPr>
          <w:rFonts w:eastAsia="SimSun"/>
          <w:lang w:val="en-GB" w:eastAsia="zh-CN"/>
        </w:rPr>
      </w:pPr>
      <w:r w:rsidRPr="008361FD">
        <w:rPr>
          <w:rFonts w:eastAsia="SimSun"/>
          <w:lang w:val="en-GB" w:eastAsia="zh-CN"/>
        </w:rPr>
        <w:t>REACTIONS FROM DIGITALHR</w:t>
      </w:r>
    </w:p>
    <w:p w14:paraId="12AEC4B7" w14:textId="77777777" w:rsidR="008361FD" w:rsidRPr="008361FD" w:rsidRDefault="008361FD" w:rsidP="003528D1">
      <w:pPr>
        <w:pStyle w:val="BodyTextMain"/>
        <w:rPr>
          <w:rFonts w:eastAsia="Calibri"/>
          <w:lang w:val="en-GB" w:eastAsia="zh-CN"/>
        </w:rPr>
      </w:pPr>
    </w:p>
    <w:p w14:paraId="55BD69D6" w14:textId="6D5DDAF3" w:rsidR="008361FD" w:rsidRPr="008361FD" w:rsidRDefault="008361FD" w:rsidP="003528D1">
      <w:pPr>
        <w:pStyle w:val="BodyTextMain"/>
        <w:rPr>
          <w:rFonts w:eastAsia="Calibri"/>
          <w:lang w:val="en-GB" w:eastAsia="zh-CN"/>
        </w:rPr>
      </w:pPr>
      <w:r w:rsidRPr="008361FD">
        <w:rPr>
          <w:rFonts w:eastAsia="Calibri"/>
          <w:lang w:val="en-GB" w:eastAsia="zh-CN"/>
        </w:rPr>
        <w:t xml:space="preserve">The management at </w:t>
      </w:r>
      <w:proofErr w:type="spellStart"/>
      <w:r w:rsidRPr="008361FD">
        <w:rPr>
          <w:rFonts w:eastAsia="Calibri"/>
          <w:lang w:val="en-GB" w:eastAsia="zh-CN"/>
        </w:rPr>
        <w:t>DigitalHR</w:t>
      </w:r>
      <w:proofErr w:type="spellEnd"/>
      <w:r w:rsidRPr="008361FD">
        <w:rPr>
          <w:rFonts w:eastAsia="Calibri"/>
          <w:lang w:val="en-GB" w:eastAsia="zh-CN"/>
        </w:rPr>
        <w:t xml:space="preserve"> was surprised by the feedback from the Lakeside employees. Aside from the actual results, which showed that the Thumbs Up usage increased from approximately 100 per month to 200 per month, many of the new badge designs were actually from suggestions by Lakeside employees. In addition, </w:t>
      </w:r>
      <w:proofErr w:type="spellStart"/>
      <w:r w:rsidRPr="008361FD">
        <w:rPr>
          <w:rFonts w:eastAsia="Calibri"/>
          <w:lang w:val="en-GB" w:eastAsia="zh-CN"/>
        </w:rPr>
        <w:t>DigitalHR’s</w:t>
      </w:r>
      <w:proofErr w:type="spellEnd"/>
      <w:r w:rsidRPr="008361FD">
        <w:rPr>
          <w:rFonts w:eastAsia="Calibri"/>
          <w:lang w:val="en-GB" w:eastAsia="zh-CN"/>
        </w:rPr>
        <w:t xml:space="preserve"> management and employees liked the product so much that they used it themselves </w:t>
      </w:r>
      <w:r w:rsidRPr="008361FD">
        <w:rPr>
          <w:rFonts w:eastAsia="Calibri"/>
          <w:lang w:val="en-GB" w:eastAsia="zh-CN"/>
        </w:rPr>
        <w:lastRenderedPageBreak/>
        <w:t xml:space="preserve">(see Exhibit </w:t>
      </w:r>
      <w:r w:rsidR="00177165">
        <w:rPr>
          <w:rFonts w:eastAsia="Calibri"/>
          <w:lang w:val="en-GB" w:eastAsia="zh-CN"/>
        </w:rPr>
        <w:t>3</w:t>
      </w:r>
      <w:r w:rsidRPr="008361FD">
        <w:rPr>
          <w:rFonts w:eastAsia="Calibri"/>
          <w:lang w:val="en-GB" w:eastAsia="zh-CN"/>
        </w:rPr>
        <w:t xml:space="preserve">). However, the employees at </w:t>
      </w:r>
      <w:proofErr w:type="spellStart"/>
      <w:r w:rsidRPr="008361FD">
        <w:rPr>
          <w:rFonts w:eastAsia="Calibri"/>
          <w:lang w:val="en-GB" w:eastAsia="zh-CN"/>
        </w:rPr>
        <w:t>DigitalHR</w:t>
      </w:r>
      <w:proofErr w:type="spellEnd"/>
      <w:r w:rsidRPr="008361FD">
        <w:rPr>
          <w:rFonts w:eastAsia="Calibri"/>
          <w:lang w:val="en-GB" w:eastAsia="zh-CN"/>
        </w:rPr>
        <w:t xml:space="preserve"> comprised mostly programmers, designers, and sales associates.</w:t>
      </w:r>
    </w:p>
    <w:p w14:paraId="5E9209E9" w14:textId="77777777" w:rsidR="008361FD" w:rsidRPr="008361FD" w:rsidRDefault="008361FD" w:rsidP="003528D1">
      <w:pPr>
        <w:pStyle w:val="BodyTextMain"/>
        <w:rPr>
          <w:rFonts w:eastAsia="Calibri"/>
          <w:lang w:val="en-GB" w:eastAsia="zh-CN"/>
        </w:rPr>
      </w:pPr>
    </w:p>
    <w:p w14:paraId="23932150" w14:textId="77777777" w:rsidR="008361FD" w:rsidRPr="008361FD" w:rsidRDefault="008361FD" w:rsidP="003528D1">
      <w:pPr>
        <w:pStyle w:val="BodyTextMain"/>
        <w:rPr>
          <w:rFonts w:eastAsia="Calibri"/>
          <w:lang w:val="en-GB" w:eastAsia="zh-CN"/>
        </w:rPr>
      </w:pPr>
    </w:p>
    <w:p w14:paraId="5E71C297" w14:textId="77777777" w:rsidR="008361FD" w:rsidRPr="008361FD" w:rsidRDefault="008361FD" w:rsidP="003528D1">
      <w:pPr>
        <w:pStyle w:val="Casehead1"/>
        <w:rPr>
          <w:rFonts w:eastAsia="SimSun"/>
          <w:lang w:val="en-GB" w:eastAsia="zh-CN"/>
        </w:rPr>
      </w:pPr>
      <w:r w:rsidRPr="008361FD">
        <w:rPr>
          <w:rFonts w:eastAsia="SimSun"/>
          <w:lang w:val="en-GB" w:eastAsia="zh-CN"/>
        </w:rPr>
        <w:t>WHAT’S NEXT</w:t>
      </w:r>
    </w:p>
    <w:p w14:paraId="4D431477" w14:textId="77777777" w:rsidR="008361FD" w:rsidRPr="008361FD" w:rsidRDefault="008361FD" w:rsidP="003528D1">
      <w:pPr>
        <w:pStyle w:val="BodyTextMain"/>
        <w:rPr>
          <w:rFonts w:eastAsia="SimSun"/>
          <w:lang w:val="en-GB"/>
        </w:rPr>
      </w:pPr>
    </w:p>
    <w:p w14:paraId="2174EB81" w14:textId="77777777" w:rsidR="008361FD" w:rsidRPr="003528D1" w:rsidRDefault="008361FD" w:rsidP="003528D1">
      <w:pPr>
        <w:pStyle w:val="BodyTextMain"/>
        <w:rPr>
          <w:rFonts w:eastAsia="Calibri"/>
          <w:spacing w:val="-2"/>
          <w:lang w:val="en-GB"/>
        </w:rPr>
      </w:pPr>
      <w:r w:rsidRPr="003528D1">
        <w:rPr>
          <w:rFonts w:eastAsia="Calibri"/>
          <w:spacing w:val="-2"/>
          <w:lang w:val="en-GB"/>
        </w:rPr>
        <w:t>As she sat in her office, rolling a toy Land Rover across her desk, Sidhu contemplated the roadblocks to her vision for Lakeside. The automotive market in Canada remained strong but the demographics of the buyers and their purchasing behaviours were changing. To respond to these changes, Lakeside needed to attract young and talented employees and to train current employees to be accustomed to digital technologies. At the same time, the incredible loyalty of the current and often long-tenured employees was what made Lakeside’s culture so strong and special. Given Lakeside’s current circumstances, what was the role of Thumbs Up in promoting employee engagement? Would it be advantageous to incorporate the data from Thumbs Up into employee evaluation decisions? Such a change would certainly require the greenlight from the owners who would want to see a strategic roadmap. Sidhu made herself a mochaccino and began to strategize.</w:t>
      </w:r>
    </w:p>
    <w:p w14:paraId="1D7B7846" w14:textId="77777777" w:rsidR="008361FD" w:rsidRPr="008361FD" w:rsidRDefault="008361FD" w:rsidP="003528D1">
      <w:pPr>
        <w:pStyle w:val="BodyTextMain"/>
        <w:rPr>
          <w:rFonts w:eastAsia="Calibri"/>
          <w:lang w:val="en-GB"/>
        </w:rPr>
      </w:pPr>
    </w:p>
    <w:p w14:paraId="24C1E90D" w14:textId="77777777" w:rsidR="008361FD" w:rsidRPr="008361FD" w:rsidRDefault="008361FD" w:rsidP="003528D1">
      <w:pPr>
        <w:pStyle w:val="BodyTextMain"/>
        <w:rPr>
          <w:lang w:val="en-GB"/>
        </w:rPr>
      </w:pPr>
    </w:p>
    <w:p w14:paraId="3E166679" w14:textId="3018651E" w:rsidR="008361FD" w:rsidRDefault="008361FD" w:rsidP="003528D1">
      <w:pPr>
        <w:pStyle w:val="BodyTextMain"/>
        <w:rPr>
          <w:szCs w:val="24"/>
          <w:lang w:val="en-GB"/>
        </w:rPr>
      </w:pPr>
      <w:r>
        <w:rPr>
          <w:szCs w:val="24"/>
          <w:lang w:val="en-GB"/>
        </w:rPr>
        <w:br w:type="page"/>
      </w:r>
    </w:p>
    <w:p w14:paraId="321B2736" w14:textId="77777777" w:rsidR="008361FD" w:rsidRPr="00C86AC6" w:rsidRDefault="008361FD" w:rsidP="003528D1">
      <w:pPr>
        <w:pStyle w:val="casehead10"/>
        <w:jc w:val="center"/>
        <w:rPr>
          <w:lang w:val="en-GB"/>
        </w:rPr>
      </w:pPr>
      <w:r w:rsidRPr="00C86AC6">
        <w:rPr>
          <w:lang w:val="en-GB"/>
        </w:rPr>
        <w:lastRenderedPageBreak/>
        <w:t xml:space="preserve">Exhibit </w:t>
      </w:r>
      <w:r>
        <w:rPr>
          <w:lang w:val="en-GB"/>
        </w:rPr>
        <w:t>1</w:t>
      </w:r>
      <w:r w:rsidRPr="00C86AC6">
        <w:rPr>
          <w:lang w:val="en-GB"/>
        </w:rPr>
        <w:t>: Sample Badges from the Thumbs Up App</w:t>
      </w:r>
    </w:p>
    <w:p w14:paraId="56BC1B55" w14:textId="77777777" w:rsidR="008361FD" w:rsidRPr="00C86AC6" w:rsidRDefault="008361FD" w:rsidP="008361FD">
      <w:pPr>
        <w:pStyle w:val="BodyTextMain"/>
        <w:rPr>
          <w:lang w:val="en-GB"/>
        </w:rPr>
      </w:pPr>
    </w:p>
    <w:p w14:paraId="0971681F" w14:textId="77777777" w:rsidR="008361FD" w:rsidRPr="00C86AC6" w:rsidRDefault="008361FD" w:rsidP="008361FD">
      <w:pPr>
        <w:pStyle w:val="ExhibitText"/>
        <w:rPr>
          <w:b/>
          <w:lang w:val="en-GB"/>
        </w:rPr>
      </w:pPr>
      <w:r w:rsidRPr="00C86AC6">
        <w:rPr>
          <w:b/>
          <w:lang w:val="en-GB"/>
        </w:rPr>
        <w:t>Category: Recognition Badges</w:t>
      </w:r>
    </w:p>
    <w:p w14:paraId="5EB41160" w14:textId="77777777" w:rsidR="008361FD" w:rsidRPr="00C86AC6" w:rsidRDefault="008361FD" w:rsidP="008361FD">
      <w:pPr>
        <w:pStyle w:val="BodyTextMain"/>
        <w:jc w:val="center"/>
        <w:rPr>
          <w:lang w:val="en-GB"/>
        </w:rPr>
      </w:pPr>
      <w:r w:rsidRPr="00C86AC6">
        <w:rPr>
          <w:noProof/>
          <w:lang w:val="en-GB" w:eastAsia="en-GB"/>
        </w:rPr>
        <w:drawing>
          <wp:inline distT="0" distB="0" distL="0" distR="0" wp14:anchorId="7BC50E68" wp14:editId="51C69940">
            <wp:extent cx="50006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000625" cy="895350"/>
                    </a:xfrm>
                    <a:prstGeom prst="rect">
                      <a:avLst/>
                    </a:prstGeom>
                    <a:noFill/>
                    <a:ln>
                      <a:noFill/>
                    </a:ln>
                  </pic:spPr>
                </pic:pic>
              </a:graphicData>
            </a:graphic>
          </wp:inline>
        </w:drawing>
      </w:r>
    </w:p>
    <w:p w14:paraId="3D0B7ED8" w14:textId="77777777" w:rsidR="008361FD" w:rsidRPr="00C86AC6" w:rsidRDefault="008361FD" w:rsidP="008361FD">
      <w:pPr>
        <w:pStyle w:val="ExhibitText"/>
        <w:rPr>
          <w:b/>
          <w:lang w:val="en-GB"/>
        </w:rPr>
      </w:pPr>
      <w:r w:rsidRPr="00C86AC6">
        <w:rPr>
          <w:b/>
          <w:lang w:val="en-GB"/>
        </w:rPr>
        <w:t>Category: Motivational Badges</w:t>
      </w:r>
    </w:p>
    <w:p w14:paraId="7D0DFEAE" w14:textId="77777777" w:rsidR="008361FD" w:rsidRPr="00C86AC6" w:rsidRDefault="008361FD" w:rsidP="008361FD">
      <w:pPr>
        <w:pStyle w:val="BodyTextMain"/>
        <w:jc w:val="center"/>
        <w:rPr>
          <w:lang w:val="en-GB"/>
        </w:rPr>
      </w:pPr>
      <w:r w:rsidRPr="00C86AC6">
        <w:rPr>
          <w:noProof/>
          <w:lang w:val="en-GB" w:eastAsia="en-GB"/>
        </w:rPr>
        <w:drawing>
          <wp:inline distT="0" distB="0" distL="0" distR="0" wp14:anchorId="4AF214A0" wp14:editId="440E18F0">
            <wp:extent cx="50387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038725" cy="1047750"/>
                    </a:xfrm>
                    <a:prstGeom prst="rect">
                      <a:avLst/>
                    </a:prstGeom>
                    <a:noFill/>
                    <a:ln>
                      <a:noFill/>
                    </a:ln>
                  </pic:spPr>
                </pic:pic>
              </a:graphicData>
            </a:graphic>
          </wp:inline>
        </w:drawing>
      </w:r>
    </w:p>
    <w:p w14:paraId="1CF04DBA" w14:textId="77777777" w:rsidR="008361FD" w:rsidRPr="00C86AC6" w:rsidRDefault="008361FD" w:rsidP="008361FD">
      <w:pPr>
        <w:pStyle w:val="ExhibitText"/>
        <w:rPr>
          <w:b/>
          <w:lang w:val="en-GB"/>
        </w:rPr>
      </w:pPr>
      <w:r w:rsidRPr="00C86AC6">
        <w:rPr>
          <w:b/>
          <w:lang w:val="en-GB"/>
        </w:rPr>
        <w:t>Category: Fun Badges</w:t>
      </w:r>
    </w:p>
    <w:p w14:paraId="49E29D6E" w14:textId="77777777" w:rsidR="008361FD" w:rsidRPr="00C86AC6" w:rsidRDefault="008361FD" w:rsidP="008361FD">
      <w:pPr>
        <w:pStyle w:val="BodyTextMain"/>
        <w:jc w:val="center"/>
        <w:rPr>
          <w:lang w:val="en-GB"/>
        </w:rPr>
      </w:pPr>
      <w:r w:rsidRPr="00C86AC6">
        <w:rPr>
          <w:noProof/>
          <w:lang w:val="en-GB" w:eastAsia="en-GB"/>
        </w:rPr>
        <w:drawing>
          <wp:inline distT="0" distB="0" distL="0" distR="0" wp14:anchorId="6BDF8EB8" wp14:editId="7A731962">
            <wp:extent cx="505777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057775" cy="1038225"/>
                    </a:xfrm>
                    <a:prstGeom prst="rect">
                      <a:avLst/>
                    </a:prstGeom>
                    <a:noFill/>
                    <a:ln>
                      <a:noFill/>
                    </a:ln>
                  </pic:spPr>
                </pic:pic>
              </a:graphicData>
            </a:graphic>
          </wp:inline>
        </w:drawing>
      </w:r>
    </w:p>
    <w:p w14:paraId="15BE5C08" w14:textId="77777777" w:rsidR="008361FD" w:rsidRPr="00C86AC6" w:rsidRDefault="008361FD" w:rsidP="008361FD">
      <w:pPr>
        <w:pStyle w:val="ExhibitText"/>
        <w:rPr>
          <w:b/>
          <w:lang w:val="en-GB"/>
        </w:rPr>
      </w:pPr>
      <w:r w:rsidRPr="00C86AC6">
        <w:rPr>
          <w:b/>
          <w:lang w:val="en-GB"/>
        </w:rPr>
        <w:t>Category: Special Occasion Badges</w:t>
      </w:r>
    </w:p>
    <w:p w14:paraId="42DD54EE" w14:textId="77777777" w:rsidR="008361FD" w:rsidRPr="00C86AC6" w:rsidRDefault="008361FD" w:rsidP="008361FD">
      <w:pPr>
        <w:pStyle w:val="BodyTextMain"/>
        <w:jc w:val="center"/>
        <w:rPr>
          <w:lang w:val="en-GB"/>
        </w:rPr>
      </w:pPr>
      <w:r w:rsidRPr="00C86AC6">
        <w:rPr>
          <w:noProof/>
          <w:lang w:val="en-GB" w:eastAsia="en-GB"/>
        </w:rPr>
        <w:drawing>
          <wp:inline distT="0" distB="0" distL="0" distR="0" wp14:anchorId="2CA1BE36" wp14:editId="540AEFF6">
            <wp:extent cx="4981575" cy="89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981575" cy="895350"/>
                    </a:xfrm>
                    <a:prstGeom prst="rect">
                      <a:avLst/>
                    </a:prstGeom>
                    <a:noFill/>
                    <a:ln>
                      <a:noFill/>
                    </a:ln>
                  </pic:spPr>
                </pic:pic>
              </a:graphicData>
            </a:graphic>
          </wp:inline>
        </w:drawing>
      </w:r>
    </w:p>
    <w:p w14:paraId="1A0E3673" w14:textId="77777777" w:rsidR="003528D1" w:rsidRDefault="003528D1" w:rsidP="003528D1">
      <w:pPr>
        <w:pStyle w:val="FootnoteText1"/>
        <w:rPr>
          <w:lang w:val="en-GB"/>
        </w:rPr>
      </w:pPr>
    </w:p>
    <w:p w14:paraId="401006E0" w14:textId="408C4CC6" w:rsidR="008361FD" w:rsidRDefault="008361FD" w:rsidP="003528D1">
      <w:pPr>
        <w:pStyle w:val="FootnoteText1"/>
        <w:rPr>
          <w:lang w:val="en-GB"/>
        </w:rPr>
      </w:pPr>
      <w:r>
        <w:rPr>
          <w:lang w:val="en-GB"/>
        </w:rPr>
        <w:t xml:space="preserve">Source: Images obtained from the Thumbs Up app developed by </w:t>
      </w:r>
      <w:proofErr w:type="spellStart"/>
      <w:r>
        <w:rPr>
          <w:lang w:val="en-GB"/>
        </w:rPr>
        <w:t>Digita</w:t>
      </w:r>
      <w:r w:rsidR="006178E7">
        <w:rPr>
          <w:lang w:val="en-GB"/>
        </w:rPr>
        <w:t>l</w:t>
      </w:r>
      <w:r>
        <w:rPr>
          <w:lang w:val="en-GB"/>
        </w:rPr>
        <w:t>HR</w:t>
      </w:r>
      <w:proofErr w:type="spellEnd"/>
      <w:r>
        <w:rPr>
          <w:lang w:val="en-GB"/>
        </w:rPr>
        <w:t>. Used with permission.</w:t>
      </w:r>
    </w:p>
    <w:p w14:paraId="41E4A61A" w14:textId="77777777" w:rsidR="008361FD" w:rsidRDefault="008361FD" w:rsidP="003528D1">
      <w:pPr>
        <w:pStyle w:val="BodyTextMain"/>
        <w:rPr>
          <w:lang w:val="en-GB"/>
        </w:rPr>
      </w:pPr>
    </w:p>
    <w:p w14:paraId="32EBEAA5" w14:textId="22DA4F33" w:rsidR="008361FD" w:rsidRDefault="008361FD">
      <w:pPr>
        <w:spacing w:after="200" w:line="276" w:lineRule="auto"/>
        <w:rPr>
          <w:sz w:val="22"/>
          <w:szCs w:val="24"/>
          <w:lang w:val="en-GB"/>
        </w:rPr>
      </w:pPr>
      <w:r>
        <w:rPr>
          <w:szCs w:val="24"/>
          <w:lang w:val="en-GB"/>
        </w:rPr>
        <w:br w:type="page"/>
      </w:r>
    </w:p>
    <w:p w14:paraId="252B41A2" w14:textId="77777777" w:rsidR="008361FD" w:rsidRPr="00C86AC6" w:rsidRDefault="008361FD" w:rsidP="003528D1">
      <w:pPr>
        <w:pStyle w:val="Casehead1"/>
        <w:jc w:val="center"/>
        <w:rPr>
          <w:lang w:val="en-GB"/>
        </w:rPr>
      </w:pPr>
      <w:r w:rsidRPr="00C86AC6">
        <w:rPr>
          <w:lang w:val="en-GB"/>
        </w:rPr>
        <w:lastRenderedPageBreak/>
        <w:t xml:space="preserve">Exhibit </w:t>
      </w:r>
      <w:r>
        <w:rPr>
          <w:lang w:val="en-GB"/>
        </w:rPr>
        <w:t>2</w:t>
      </w:r>
      <w:r w:rsidRPr="00C86AC6">
        <w:rPr>
          <w:lang w:val="en-GB"/>
        </w:rPr>
        <w:t xml:space="preserve">: </w:t>
      </w:r>
      <w:r>
        <w:rPr>
          <w:lang w:val="en-GB"/>
        </w:rPr>
        <w:t xml:space="preserve">Lakeside automotive’s </w:t>
      </w:r>
      <w:r w:rsidRPr="00C86AC6">
        <w:rPr>
          <w:lang w:val="en-GB"/>
        </w:rPr>
        <w:t>Badge Usage Statistics</w:t>
      </w:r>
    </w:p>
    <w:p w14:paraId="0781B6CD" w14:textId="77777777" w:rsidR="008361FD" w:rsidRPr="00C86AC6" w:rsidRDefault="008361FD" w:rsidP="008361FD">
      <w:pPr>
        <w:pStyle w:val="BodyTextMain"/>
        <w:rPr>
          <w:lang w:val="en-GB"/>
        </w:rPr>
      </w:pPr>
    </w:p>
    <w:p w14:paraId="164E8CE0" w14:textId="77777777" w:rsidR="008361FD" w:rsidRPr="00C86AC6" w:rsidRDefault="008361FD" w:rsidP="008361FD">
      <w:pPr>
        <w:pStyle w:val="Casehead2"/>
        <w:rPr>
          <w:lang w:val="en-GB"/>
        </w:rPr>
      </w:pPr>
      <w:r w:rsidRPr="00C86AC6">
        <w:rPr>
          <w:lang w:val="en-GB"/>
        </w:rPr>
        <w:t>Panel A</w:t>
      </w:r>
      <w:r>
        <w:rPr>
          <w:lang w:val="en-GB"/>
        </w:rPr>
        <w:t xml:space="preserve">: </w:t>
      </w:r>
      <w:r w:rsidRPr="00C86AC6">
        <w:rPr>
          <w:lang w:val="en-GB"/>
        </w:rPr>
        <w:t xml:space="preserve">Frequency and Types of Badges </w:t>
      </w:r>
      <w:r>
        <w:rPr>
          <w:lang w:val="en-GB"/>
        </w:rPr>
        <w:t>S</w:t>
      </w:r>
      <w:r w:rsidRPr="00C86AC6">
        <w:rPr>
          <w:lang w:val="en-GB"/>
        </w:rPr>
        <w:t>ent</w:t>
      </w:r>
      <w:r>
        <w:rPr>
          <w:lang w:val="en-GB"/>
        </w:rPr>
        <w:t>, August 2015 to December 2017</w:t>
      </w:r>
    </w:p>
    <w:p w14:paraId="5E7F1BE7" w14:textId="77777777" w:rsidR="008361FD" w:rsidRPr="00303B78" w:rsidRDefault="008361FD" w:rsidP="008361FD">
      <w:pPr>
        <w:pStyle w:val="BodyTextMain"/>
        <w:rPr>
          <w:sz w:val="16"/>
          <w:szCs w:val="16"/>
          <w:lang w:val="en-GB" w:eastAsia="zh-CN"/>
        </w:rPr>
      </w:pPr>
    </w:p>
    <w:p w14:paraId="4D5E6567" w14:textId="77777777" w:rsidR="008361FD" w:rsidRPr="00C86AC6" w:rsidRDefault="008361FD" w:rsidP="003528D1">
      <w:pPr>
        <w:jc w:val="center"/>
        <w:rPr>
          <w:rStyle w:val="BodyTextMainChar"/>
          <w:lang w:val="en-GB"/>
        </w:rPr>
      </w:pPr>
      <w:r w:rsidRPr="00C86AC6">
        <w:rPr>
          <w:noProof/>
          <w:lang w:val="en-GB" w:eastAsia="en-GB"/>
        </w:rPr>
        <w:drawing>
          <wp:inline distT="0" distB="0" distL="0" distR="0" wp14:anchorId="35FB2725" wp14:editId="09263928">
            <wp:extent cx="5705475" cy="2886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64FD41" w14:textId="77777777" w:rsidR="008361FD" w:rsidRPr="00C86AC6" w:rsidRDefault="008361FD" w:rsidP="008361FD">
      <w:pPr>
        <w:pStyle w:val="BodyTextMain"/>
        <w:rPr>
          <w:lang w:val="en-GB"/>
        </w:rPr>
      </w:pPr>
    </w:p>
    <w:p w14:paraId="72548279" w14:textId="77777777" w:rsidR="008361FD" w:rsidRPr="00C86AC6" w:rsidRDefault="008361FD" w:rsidP="008361FD">
      <w:pPr>
        <w:pStyle w:val="BodyTextMain"/>
        <w:rPr>
          <w:lang w:val="en-GB"/>
        </w:rPr>
      </w:pPr>
    </w:p>
    <w:p w14:paraId="2F1E5052" w14:textId="77777777" w:rsidR="008361FD" w:rsidRPr="00C86AC6" w:rsidRDefault="008361FD" w:rsidP="008361FD">
      <w:pPr>
        <w:pStyle w:val="Casehead2"/>
        <w:rPr>
          <w:lang w:val="en-GB"/>
        </w:rPr>
      </w:pPr>
      <w:r w:rsidRPr="00C86AC6">
        <w:rPr>
          <w:lang w:val="en-GB"/>
        </w:rPr>
        <w:t>Panel B</w:t>
      </w:r>
      <w:r>
        <w:rPr>
          <w:lang w:val="en-GB"/>
        </w:rPr>
        <w:t xml:space="preserve">: </w:t>
      </w:r>
      <w:r w:rsidRPr="00C86AC6">
        <w:rPr>
          <w:lang w:val="en-GB"/>
        </w:rPr>
        <w:t xml:space="preserve">Types of Badge </w:t>
      </w:r>
      <w:r>
        <w:rPr>
          <w:lang w:val="en-GB"/>
        </w:rPr>
        <w:t>S</w:t>
      </w:r>
      <w:r w:rsidRPr="00C86AC6">
        <w:rPr>
          <w:lang w:val="en-GB"/>
        </w:rPr>
        <w:t>ent</w:t>
      </w:r>
      <w:r>
        <w:rPr>
          <w:lang w:val="en-GB"/>
        </w:rPr>
        <w:t>,</w:t>
      </w:r>
      <w:r w:rsidRPr="00C86AC6">
        <w:rPr>
          <w:lang w:val="en-GB"/>
        </w:rPr>
        <w:t xml:space="preserve"> by </w:t>
      </w:r>
      <w:r>
        <w:rPr>
          <w:lang w:val="en-GB"/>
        </w:rPr>
        <w:t>U</w:t>
      </w:r>
      <w:r w:rsidRPr="00C86AC6">
        <w:rPr>
          <w:lang w:val="en-GB"/>
        </w:rPr>
        <w:t xml:space="preserve">ser </w:t>
      </w:r>
      <w:r>
        <w:rPr>
          <w:lang w:val="en-GB"/>
        </w:rPr>
        <w:t>T</w:t>
      </w:r>
      <w:r w:rsidRPr="00C86AC6">
        <w:rPr>
          <w:lang w:val="en-GB"/>
        </w:rPr>
        <w:t>ype</w:t>
      </w:r>
    </w:p>
    <w:p w14:paraId="38FC3713" w14:textId="77777777" w:rsidR="008361FD" w:rsidRPr="00303B78" w:rsidRDefault="008361FD" w:rsidP="008361FD">
      <w:pPr>
        <w:pStyle w:val="BodyTextMain"/>
        <w:rPr>
          <w:sz w:val="16"/>
          <w:szCs w:val="16"/>
          <w:lang w:val="en-GB" w:eastAsia="zh-CN"/>
        </w:rPr>
      </w:pPr>
    </w:p>
    <w:p w14:paraId="3ED9B336" w14:textId="77777777" w:rsidR="008361FD" w:rsidRPr="00C86AC6" w:rsidRDefault="008361FD" w:rsidP="008361FD">
      <w:pPr>
        <w:jc w:val="center"/>
        <w:rPr>
          <w:rStyle w:val="BodyTextMainChar"/>
          <w:lang w:val="en-GB"/>
        </w:rPr>
      </w:pPr>
      <w:r w:rsidRPr="00C86AC6">
        <w:rPr>
          <w:noProof/>
          <w:lang w:val="en-GB" w:eastAsia="en-GB"/>
        </w:rPr>
        <w:drawing>
          <wp:inline distT="0" distB="0" distL="0" distR="0" wp14:anchorId="10B8A33D" wp14:editId="3AEC2E61">
            <wp:extent cx="4641850" cy="247650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BCFA41" w14:textId="77777777" w:rsidR="008361FD" w:rsidRPr="00303B78" w:rsidRDefault="008361FD" w:rsidP="008361FD">
      <w:pPr>
        <w:pStyle w:val="BodyTextMain"/>
        <w:rPr>
          <w:sz w:val="16"/>
          <w:szCs w:val="16"/>
          <w:lang w:val="en-GB" w:eastAsia="zh-CN"/>
        </w:rPr>
      </w:pP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332"/>
        <w:gridCol w:w="1170"/>
        <w:gridCol w:w="1440"/>
        <w:gridCol w:w="1705"/>
        <w:gridCol w:w="810"/>
        <w:gridCol w:w="1080"/>
      </w:tblGrid>
      <w:tr w:rsidR="008361FD" w:rsidRPr="003528D1" w14:paraId="6AEB2906" w14:textId="77777777" w:rsidTr="00E81E54">
        <w:trPr>
          <w:trHeight w:val="675"/>
          <w:jc w:val="center"/>
        </w:trPr>
        <w:tc>
          <w:tcPr>
            <w:tcW w:w="1728" w:type="dxa"/>
            <w:shd w:val="clear" w:color="auto" w:fill="auto"/>
            <w:noWrap/>
            <w:vAlign w:val="bottom"/>
            <w:hideMark/>
          </w:tcPr>
          <w:p w14:paraId="2CD96F13"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Employee Level</w:t>
            </w:r>
          </w:p>
        </w:tc>
        <w:tc>
          <w:tcPr>
            <w:tcW w:w="1332" w:type="dxa"/>
            <w:shd w:val="clear" w:color="auto" w:fill="auto"/>
            <w:noWrap/>
            <w:vAlign w:val="bottom"/>
            <w:hideMark/>
          </w:tcPr>
          <w:p w14:paraId="2C86EF1D"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Registered Users</w:t>
            </w:r>
          </w:p>
        </w:tc>
        <w:tc>
          <w:tcPr>
            <w:tcW w:w="1170" w:type="dxa"/>
            <w:vAlign w:val="bottom"/>
          </w:tcPr>
          <w:p w14:paraId="4F9002C0"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 of Total</w:t>
            </w:r>
          </w:p>
        </w:tc>
        <w:tc>
          <w:tcPr>
            <w:tcW w:w="1440" w:type="dxa"/>
          </w:tcPr>
          <w:p w14:paraId="62C66A12"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Motivation + Recognition Badges</w:t>
            </w:r>
          </w:p>
        </w:tc>
        <w:tc>
          <w:tcPr>
            <w:tcW w:w="1705" w:type="dxa"/>
          </w:tcPr>
          <w:p w14:paraId="70E02B13"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Fun + Special Occasion Badges</w:t>
            </w:r>
          </w:p>
        </w:tc>
        <w:tc>
          <w:tcPr>
            <w:tcW w:w="810" w:type="dxa"/>
          </w:tcPr>
          <w:p w14:paraId="62E15F60"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Total</w:t>
            </w:r>
          </w:p>
        </w:tc>
        <w:tc>
          <w:tcPr>
            <w:tcW w:w="1080" w:type="dxa"/>
          </w:tcPr>
          <w:p w14:paraId="7B14E03B" w14:textId="77777777" w:rsidR="008361FD" w:rsidRPr="003528D1" w:rsidRDefault="008361FD" w:rsidP="003528D1">
            <w:pPr>
              <w:pStyle w:val="ExhibitText"/>
              <w:jc w:val="center"/>
              <w:rPr>
                <w:b/>
                <w:sz w:val="18"/>
                <w:szCs w:val="18"/>
                <w:lang w:val="en-GB" w:eastAsia="zh-CN"/>
              </w:rPr>
            </w:pPr>
            <w:r w:rsidRPr="003528D1">
              <w:rPr>
                <w:b/>
                <w:sz w:val="18"/>
                <w:szCs w:val="18"/>
                <w:lang w:val="en-GB" w:eastAsia="zh-CN"/>
              </w:rPr>
              <w:t>% of Total</w:t>
            </w:r>
          </w:p>
        </w:tc>
      </w:tr>
      <w:tr w:rsidR="008361FD" w:rsidRPr="003528D1" w14:paraId="23E6FF84" w14:textId="77777777" w:rsidTr="00E81E54">
        <w:trPr>
          <w:trHeight w:val="315"/>
          <w:jc w:val="center"/>
        </w:trPr>
        <w:tc>
          <w:tcPr>
            <w:tcW w:w="1728" w:type="dxa"/>
            <w:shd w:val="clear" w:color="auto" w:fill="auto"/>
            <w:noWrap/>
            <w:vAlign w:val="bottom"/>
            <w:hideMark/>
          </w:tcPr>
          <w:p w14:paraId="5A91B31B" w14:textId="77777777" w:rsidR="008361FD" w:rsidRPr="003528D1" w:rsidRDefault="008361FD" w:rsidP="00E81E54">
            <w:pPr>
              <w:pStyle w:val="ExhibitText"/>
              <w:jc w:val="left"/>
              <w:rPr>
                <w:b/>
                <w:sz w:val="18"/>
                <w:szCs w:val="18"/>
                <w:lang w:val="en-GB" w:eastAsia="zh-CN"/>
              </w:rPr>
            </w:pPr>
            <w:r w:rsidRPr="003528D1">
              <w:rPr>
                <w:b/>
                <w:sz w:val="18"/>
                <w:szCs w:val="18"/>
                <w:lang w:val="en-GB" w:eastAsia="zh-CN"/>
              </w:rPr>
              <w:t>Employee</w:t>
            </w:r>
          </w:p>
        </w:tc>
        <w:tc>
          <w:tcPr>
            <w:tcW w:w="1332" w:type="dxa"/>
            <w:shd w:val="clear" w:color="auto" w:fill="auto"/>
            <w:noWrap/>
            <w:vAlign w:val="bottom"/>
            <w:hideMark/>
          </w:tcPr>
          <w:p w14:paraId="2290EA41" w14:textId="77777777" w:rsidR="008361FD" w:rsidRPr="003528D1" w:rsidRDefault="008361FD" w:rsidP="00E81E54">
            <w:pPr>
              <w:pStyle w:val="ExhibitText"/>
              <w:tabs>
                <w:tab w:val="decimal" w:pos="712"/>
              </w:tabs>
              <w:rPr>
                <w:sz w:val="18"/>
                <w:szCs w:val="18"/>
                <w:lang w:val="en-GB" w:eastAsia="zh-CN"/>
              </w:rPr>
            </w:pPr>
            <w:r w:rsidRPr="003528D1">
              <w:rPr>
                <w:sz w:val="18"/>
                <w:szCs w:val="18"/>
                <w:lang w:val="en-GB" w:eastAsia="zh-CN"/>
              </w:rPr>
              <w:t>309</w:t>
            </w:r>
          </w:p>
        </w:tc>
        <w:tc>
          <w:tcPr>
            <w:tcW w:w="1170" w:type="dxa"/>
            <w:vAlign w:val="bottom"/>
          </w:tcPr>
          <w:p w14:paraId="2C77721E"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89.83%</w:t>
            </w:r>
          </w:p>
        </w:tc>
        <w:tc>
          <w:tcPr>
            <w:tcW w:w="1440" w:type="dxa"/>
            <w:vAlign w:val="bottom"/>
          </w:tcPr>
          <w:p w14:paraId="7D61ACB5"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1,026</w:t>
            </w:r>
          </w:p>
        </w:tc>
        <w:tc>
          <w:tcPr>
            <w:tcW w:w="1705" w:type="dxa"/>
            <w:vAlign w:val="bottom"/>
          </w:tcPr>
          <w:p w14:paraId="272B845B"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461</w:t>
            </w:r>
          </w:p>
        </w:tc>
        <w:tc>
          <w:tcPr>
            <w:tcW w:w="810" w:type="dxa"/>
            <w:vAlign w:val="bottom"/>
          </w:tcPr>
          <w:p w14:paraId="4B81606A"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1,487</w:t>
            </w:r>
          </w:p>
        </w:tc>
        <w:tc>
          <w:tcPr>
            <w:tcW w:w="1080" w:type="dxa"/>
            <w:vAlign w:val="bottom"/>
          </w:tcPr>
          <w:p w14:paraId="3D5C95AE"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38%</w:t>
            </w:r>
          </w:p>
        </w:tc>
      </w:tr>
      <w:tr w:rsidR="008361FD" w:rsidRPr="003528D1" w14:paraId="3DBAB0BA" w14:textId="77777777" w:rsidTr="00E81E54">
        <w:trPr>
          <w:trHeight w:val="315"/>
          <w:jc w:val="center"/>
        </w:trPr>
        <w:tc>
          <w:tcPr>
            <w:tcW w:w="1728" w:type="dxa"/>
            <w:shd w:val="clear" w:color="auto" w:fill="auto"/>
            <w:noWrap/>
            <w:vAlign w:val="bottom"/>
            <w:hideMark/>
          </w:tcPr>
          <w:p w14:paraId="6FE5337B" w14:textId="77777777" w:rsidR="008361FD" w:rsidRPr="003528D1" w:rsidRDefault="008361FD" w:rsidP="00E81E54">
            <w:pPr>
              <w:pStyle w:val="ExhibitText"/>
              <w:jc w:val="left"/>
              <w:rPr>
                <w:b/>
                <w:sz w:val="18"/>
                <w:szCs w:val="18"/>
                <w:lang w:val="en-GB" w:eastAsia="zh-CN"/>
              </w:rPr>
            </w:pPr>
            <w:r w:rsidRPr="003528D1">
              <w:rPr>
                <w:b/>
                <w:sz w:val="18"/>
                <w:szCs w:val="18"/>
                <w:lang w:val="en-GB" w:eastAsia="zh-CN"/>
              </w:rPr>
              <w:t>Supervisor</w:t>
            </w:r>
          </w:p>
        </w:tc>
        <w:tc>
          <w:tcPr>
            <w:tcW w:w="1332" w:type="dxa"/>
            <w:shd w:val="clear" w:color="auto" w:fill="auto"/>
            <w:noWrap/>
            <w:vAlign w:val="bottom"/>
            <w:hideMark/>
          </w:tcPr>
          <w:p w14:paraId="46F4EF4B" w14:textId="77777777" w:rsidR="008361FD" w:rsidRPr="003528D1" w:rsidRDefault="008361FD" w:rsidP="00E81E54">
            <w:pPr>
              <w:pStyle w:val="ExhibitText"/>
              <w:tabs>
                <w:tab w:val="decimal" w:pos="712"/>
              </w:tabs>
              <w:rPr>
                <w:sz w:val="18"/>
                <w:szCs w:val="18"/>
                <w:lang w:val="en-GB" w:eastAsia="zh-CN"/>
              </w:rPr>
            </w:pPr>
            <w:r w:rsidRPr="003528D1">
              <w:rPr>
                <w:sz w:val="18"/>
                <w:szCs w:val="18"/>
                <w:lang w:val="en-GB" w:eastAsia="zh-CN"/>
              </w:rPr>
              <w:t>35</w:t>
            </w:r>
          </w:p>
        </w:tc>
        <w:tc>
          <w:tcPr>
            <w:tcW w:w="1170" w:type="dxa"/>
            <w:vAlign w:val="bottom"/>
          </w:tcPr>
          <w:p w14:paraId="3D8CE298"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10.17%</w:t>
            </w:r>
          </w:p>
        </w:tc>
        <w:tc>
          <w:tcPr>
            <w:tcW w:w="1440" w:type="dxa"/>
            <w:vAlign w:val="bottom"/>
          </w:tcPr>
          <w:p w14:paraId="60DDAC98"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1,990</w:t>
            </w:r>
          </w:p>
        </w:tc>
        <w:tc>
          <w:tcPr>
            <w:tcW w:w="1705" w:type="dxa"/>
            <w:vAlign w:val="bottom"/>
          </w:tcPr>
          <w:p w14:paraId="33333915"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405</w:t>
            </w:r>
          </w:p>
        </w:tc>
        <w:tc>
          <w:tcPr>
            <w:tcW w:w="810" w:type="dxa"/>
            <w:vAlign w:val="bottom"/>
          </w:tcPr>
          <w:p w14:paraId="4F21A9C1"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2,395</w:t>
            </w:r>
          </w:p>
        </w:tc>
        <w:tc>
          <w:tcPr>
            <w:tcW w:w="1080" w:type="dxa"/>
            <w:vAlign w:val="bottom"/>
          </w:tcPr>
          <w:p w14:paraId="597A23C2" w14:textId="77777777" w:rsidR="008361FD" w:rsidRPr="003528D1" w:rsidRDefault="008361FD" w:rsidP="00E81E54">
            <w:pPr>
              <w:pStyle w:val="ExhibitText"/>
              <w:jc w:val="center"/>
              <w:rPr>
                <w:sz w:val="18"/>
                <w:szCs w:val="18"/>
                <w:lang w:val="en-GB" w:eastAsia="zh-CN"/>
              </w:rPr>
            </w:pPr>
            <w:r w:rsidRPr="003528D1">
              <w:rPr>
                <w:sz w:val="18"/>
                <w:szCs w:val="18"/>
                <w:lang w:val="en-GB" w:eastAsia="zh-CN"/>
              </w:rPr>
              <w:t>62%</w:t>
            </w:r>
          </w:p>
        </w:tc>
      </w:tr>
    </w:tbl>
    <w:p w14:paraId="3E1AB4F3" w14:textId="77777777" w:rsidR="008361FD" w:rsidRPr="00C86AC6" w:rsidRDefault="008361FD" w:rsidP="003528D1">
      <w:pPr>
        <w:pStyle w:val="FootnoteText1"/>
        <w:rPr>
          <w:lang w:val="en-GB" w:eastAsia="zh-CN"/>
        </w:rPr>
      </w:pPr>
    </w:p>
    <w:p w14:paraId="219C9EE7" w14:textId="3C4E4105" w:rsidR="00841EE7" w:rsidRDefault="008361FD" w:rsidP="003528D1">
      <w:pPr>
        <w:pStyle w:val="FootnoteText1"/>
        <w:rPr>
          <w:lang w:val="en-GB"/>
        </w:rPr>
      </w:pPr>
      <w:r>
        <w:rPr>
          <w:lang w:val="en-GB"/>
        </w:rPr>
        <w:t xml:space="preserve">Source: </w:t>
      </w:r>
      <w:r w:rsidR="00E80FFE">
        <w:rPr>
          <w:lang w:val="en-GB"/>
        </w:rPr>
        <w:t>Created by the case authors using data from company files</w:t>
      </w:r>
      <w:r>
        <w:rPr>
          <w:lang w:val="en-GB"/>
        </w:rPr>
        <w:t>.</w:t>
      </w:r>
    </w:p>
    <w:p w14:paraId="19621C2F" w14:textId="77777777" w:rsidR="00841EE7" w:rsidRDefault="00841EE7">
      <w:pPr>
        <w:spacing w:after="200" w:line="276" w:lineRule="auto"/>
        <w:rPr>
          <w:rFonts w:ascii="Arial" w:hAnsi="Arial" w:cs="Arial"/>
          <w:iCs/>
          <w:sz w:val="17"/>
          <w:szCs w:val="17"/>
          <w:lang w:val="en-GB"/>
        </w:rPr>
      </w:pPr>
      <w:r>
        <w:rPr>
          <w:lang w:val="en-GB"/>
        </w:rPr>
        <w:br w:type="page"/>
      </w:r>
    </w:p>
    <w:p w14:paraId="1088C87B" w14:textId="77777777" w:rsidR="008361FD" w:rsidRPr="00C86AC6" w:rsidRDefault="008361FD" w:rsidP="008361FD">
      <w:pPr>
        <w:pStyle w:val="Casehead1"/>
        <w:jc w:val="center"/>
        <w:rPr>
          <w:lang w:val="en-GB"/>
        </w:rPr>
      </w:pPr>
      <w:r w:rsidRPr="00C86AC6">
        <w:rPr>
          <w:lang w:val="en-GB"/>
        </w:rPr>
        <w:lastRenderedPageBreak/>
        <w:t xml:space="preserve">Exhibit </w:t>
      </w:r>
      <w:r>
        <w:rPr>
          <w:lang w:val="en-GB"/>
        </w:rPr>
        <w:t>2</w:t>
      </w:r>
      <w:r w:rsidRPr="00C86AC6">
        <w:rPr>
          <w:lang w:val="en-GB"/>
        </w:rPr>
        <w:t xml:space="preserve"> (continued)</w:t>
      </w:r>
    </w:p>
    <w:p w14:paraId="6A7FD1E0" w14:textId="77777777" w:rsidR="008361FD" w:rsidRPr="00C86AC6" w:rsidRDefault="008361FD" w:rsidP="008361FD">
      <w:pPr>
        <w:pStyle w:val="BodyTextMain"/>
        <w:rPr>
          <w:lang w:val="en-GB"/>
        </w:rPr>
      </w:pPr>
    </w:p>
    <w:p w14:paraId="44A36B3F" w14:textId="77777777" w:rsidR="008361FD" w:rsidRPr="00C86AC6" w:rsidRDefault="008361FD" w:rsidP="008361FD">
      <w:pPr>
        <w:pStyle w:val="Casehead2"/>
        <w:rPr>
          <w:lang w:val="en-GB"/>
        </w:rPr>
      </w:pPr>
      <w:r w:rsidRPr="00C86AC6">
        <w:rPr>
          <w:lang w:val="en-GB"/>
        </w:rPr>
        <w:t>Panel C</w:t>
      </w:r>
      <w:r>
        <w:rPr>
          <w:lang w:val="en-GB"/>
        </w:rPr>
        <w:t xml:space="preserve">: </w:t>
      </w:r>
      <w:r w:rsidRPr="00C86AC6">
        <w:rPr>
          <w:lang w:val="en-GB"/>
        </w:rPr>
        <w:t>Example</w:t>
      </w:r>
      <w:r>
        <w:rPr>
          <w:lang w:val="en-GB"/>
        </w:rPr>
        <w:t>s</w:t>
      </w:r>
      <w:r w:rsidRPr="00C86AC6">
        <w:rPr>
          <w:lang w:val="en-GB"/>
        </w:rPr>
        <w:t xml:space="preserve"> of Comments Accompanying the Badges</w:t>
      </w:r>
    </w:p>
    <w:p w14:paraId="4C5626CE" w14:textId="77777777" w:rsidR="008361FD" w:rsidRPr="00C86AC6" w:rsidRDefault="008361FD" w:rsidP="008361FD">
      <w:pPr>
        <w:pStyle w:val="BodyTextMain"/>
        <w:rPr>
          <w:lang w:val="en-GB" w:eastAsia="zh-CN"/>
        </w:rPr>
      </w:pPr>
    </w:p>
    <w:tbl>
      <w:tblPr>
        <w:tblStyle w:val="TableGrid"/>
        <w:tblW w:w="0" w:type="auto"/>
        <w:jc w:val="center"/>
        <w:tblLook w:val="04A0" w:firstRow="1" w:lastRow="0" w:firstColumn="1" w:lastColumn="0" w:noHBand="0" w:noVBand="1"/>
      </w:tblPr>
      <w:tblGrid>
        <w:gridCol w:w="933"/>
        <w:gridCol w:w="1697"/>
        <w:gridCol w:w="2059"/>
        <w:gridCol w:w="1691"/>
        <w:gridCol w:w="2970"/>
      </w:tblGrid>
      <w:tr w:rsidR="008361FD" w:rsidRPr="00C86AC6" w14:paraId="479CF563" w14:textId="77777777" w:rsidTr="00E81E54">
        <w:trPr>
          <w:jc w:val="center"/>
        </w:trPr>
        <w:tc>
          <w:tcPr>
            <w:tcW w:w="985" w:type="dxa"/>
          </w:tcPr>
          <w:p w14:paraId="201B7B4A" w14:textId="77777777" w:rsidR="008361FD" w:rsidRPr="00C86AC6" w:rsidRDefault="008361FD" w:rsidP="00E81E54">
            <w:pPr>
              <w:pStyle w:val="ExhibitText"/>
              <w:jc w:val="center"/>
              <w:rPr>
                <w:b/>
                <w:lang w:val="en-GB" w:eastAsia="zh-CN"/>
              </w:rPr>
            </w:pPr>
            <w:r w:rsidRPr="00C86AC6">
              <w:rPr>
                <w:b/>
                <w:lang w:val="en-GB" w:eastAsia="zh-CN"/>
              </w:rPr>
              <w:t>Sender</w:t>
            </w:r>
          </w:p>
        </w:tc>
        <w:tc>
          <w:tcPr>
            <w:tcW w:w="2250" w:type="dxa"/>
          </w:tcPr>
          <w:p w14:paraId="5955802D" w14:textId="77777777" w:rsidR="008361FD" w:rsidRPr="00C86AC6" w:rsidRDefault="008361FD" w:rsidP="00E81E54">
            <w:pPr>
              <w:pStyle w:val="ExhibitText"/>
              <w:jc w:val="center"/>
              <w:rPr>
                <w:b/>
                <w:lang w:val="en-GB" w:eastAsia="zh-CN"/>
              </w:rPr>
            </w:pPr>
            <w:r w:rsidRPr="00C86AC6">
              <w:rPr>
                <w:b/>
                <w:lang w:val="en-GB" w:eastAsia="zh-CN"/>
              </w:rPr>
              <w:t>Receiver(s)</w:t>
            </w:r>
          </w:p>
        </w:tc>
        <w:tc>
          <w:tcPr>
            <w:tcW w:w="2070" w:type="dxa"/>
          </w:tcPr>
          <w:p w14:paraId="40232453" w14:textId="77777777" w:rsidR="008361FD" w:rsidRPr="00C86AC6" w:rsidRDefault="008361FD" w:rsidP="00E81E54">
            <w:pPr>
              <w:pStyle w:val="ExhibitText"/>
              <w:jc w:val="center"/>
              <w:rPr>
                <w:b/>
                <w:lang w:val="en-GB" w:eastAsia="zh-CN"/>
              </w:rPr>
            </w:pPr>
            <w:r w:rsidRPr="00C86AC6">
              <w:rPr>
                <w:b/>
                <w:lang w:val="en-GB" w:eastAsia="zh-CN"/>
              </w:rPr>
              <w:t>Badge</w:t>
            </w:r>
          </w:p>
        </w:tc>
        <w:tc>
          <w:tcPr>
            <w:tcW w:w="2250" w:type="dxa"/>
          </w:tcPr>
          <w:p w14:paraId="1F356629" w14:textId="77777777" w:rsidR="008361FD" w:rsidRPr="00C86AC6" w:rsidRDefault="008361FD" w:rsidP="00E81E54">
            <w:pPr>
              <w:pStyle w:val="ExhibitText"/>
              <w:jc w:val="center"/>
              <w:rPr>
                <w:b/>
                <w:lang w:val="en-GB" w:eastAsia="zh-CN"/>
              </w:rPr>
            </w:pPr>
            <w:r w:rsidRPr="00C86AC6">
              <w:rPr>
                <w:b/>
                <w:lang w:val="en-GB" w:eastAsia="zh-CN"/>
              </w:rPr>
              <w:t>Category</w:t>
            </w:r>
          </w:p>
        </w:tc>
        <w:tc>
          <w:tcPr>
            <w:tcW w:w="5395" w:type="dxa"/>
          </w:tcPr>
          <w:p w14:paraId="5E9CFCD9" w14:textId="77777777" w:rsidR="008361FD" w:rsidRPr="00C86AC6" w:rsidRDefault="008361FD" w:rsidP="00E81E54">
            <w:pPr>
              <w:pStyle w:val="ExhibitText"/>
              <w:jc w:val="left"/>
              <w:rPr>
                <w:b/>
                <w:lang w:val="en-GB" w:eastAsia="zh-CN"/>
              </w:rPr>
            </w:pPr>
            <w:r w:rsidRPr="00C86AC6">
              <w:rPr>
                <w:b/>
                <w:lang w:val="en-GB" w:eastAsia="zh-CN"/>
              </w:rPr>
              <w:t>Comment</w:t>
            </w:r>
          </w:p>
        </w:tc>
      </w:tr>
      <w:tr w:rsidR="008361FD" w:rsidRPr="00C86AC6" w14:paraId="6A0CAF0D" w14:textId="77777777" w:rsidTr="0020052C">
        <w:trPr>
          <w:trHeight w:val="1808"/>
          <w:jc w:val="center"/>
        </w:trPr>
        <w:tc>
          <w:tcPr>
            <w:tcW w:w="985" w:type="dxa"/>
            <w:vAlign w:val="center"/>
          </w:tcPr>
          <w:p w14:paraId="6B7EA7A9" w14:textId="77777777" w:rsidR="008361FD" w:rsidRPr="00C86AC6" w:rsidRDefault="008361FD" w:rsidP="0020052C">
            <w:pPr>
              <w:pStyle w:val="ExhibitText"/>
              <w:jc w:val="center"/>
              <w:rPr>
                <w:b/>
                <w:lang w:val="en-GB" w:eastAsia="zh-CN"/>
              </w:rPr>
            </w:pPr>
            <w:r w:rsidRPr="00C86AC6">
              <w:rPr>
                <w:b/>
                <w:lang w:val="en-GB" w:eastAsia="zh-CN"/>
              </w:rPr>
              <w:t>E95</w:t>
            </w:r>
          </w:p>
        </w:tc>
        <w:tc>
          <w:tcPr>
            <w:tcW w:w="2250" w:type="dxa"/>
            <w:vAlign w:val="center"/>
          </w:tcPr>
          <w:p w14:paraId="74F2F048" w14:textId="77777777" w:rsidR="008361FD" w:rsidRPr="00C86AC6" w:rsidRDefault="008361FD" w:rsidP="0020052C">
            <w:pPr>
              <w:pStyle w:val="ExhibitText"/>
              <w:jc w:val="center"/>
              <w:rPr>
                <w:color w:val="000000"/>
                <w:lang w:val="en-GB" w:eastAsia="zh-CN"/>
              </w:rPr>
            </w:pPr>
            <w:r w:rsidRPr="00C86AC6">
              <w:rPr>
                <w:color w:val="000000"/>
                <w:lang w:val="en-GB"/>
              </w:rPr>
              <w:t>E31,</w:t>
            </w:r>
            <w:r>
              <w:rPr>
                <w:color w:val="000000"/>
                <w:lang w:val="en-GB"/>
              </w:rPr>
              <w:t xml:space="preserve"> </w:t>
            </w:r>
            <w:r w:rsidRPr="00C86AC6">
              <w:rPr>
                <w:color w:val="000000"/>
                <w:lang w:val="en-GB"/>
              </w:rPr>
              <w:t>E115</w:t>
            </w:r>
          </w:p>
          <w:p w14:paraId="26F8FDF5" w14:textId="77777777" w:rsidR="008361FD" w:rsidRPr="00C86AC6" w:rsidRDefault="008361FD" w:rsidP="0020052C">
            <w:pPr>
              <w:pStyle w:val="ExhibitText"/>
              <w:jc w:val="center"/>
              <w:rPr>
                <w:lang w:val="en-GB" w:eastAsia="zh-CN"/>
              </w:rPr>
            </w:pPr>
          </w:p>
        </w:tc>
        <w:tc>
          <w:tcPr>
            <w:tcW w:w="2070" w:type="dxa"/>
          </w:tcPr>
          <w:p w14:paraId="393366F6" w14:textId="4AC2AAAE" w:rsidR="008361FD" w:rsidRPr="00C86AC6" w:rsidRDefault="00841EE7" w:rsidP="00E81E54">
            <w:pPr>
              <w:pStyle w:val="ExhibitText"/>
              <w:jc w:val="center"/>
              <w:rPr>
                <w:lang w:val="en-GB" w:eastAsia="zh-CN"/>
              </w:rPr>
            </w:pPr>
            <w:r w:rsidRPr="00A50010">
              <w:rPr>
                <w:noProof/>
                <w:lang w:val="en-GB"/>
              </w:rPr>
              <w:object w:dxaOrig="2265" w:dyaOrig="2055" w14:anchorId="227E3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7pt;height:83.15pt;mso-width-percent:0;mso-height-percent:0;mso-width-percent:0;mso-height-percent:0" o:ole="">
                  <v:imagedata r:id="rId16" o:title="" grayscale="t"/>
                </v:shape>
                <o:OLEObject Type="Embed" ProgID="PBrush" ShapeID="_x0000_i1025" DrawAspect="Content" ObjectID="_1749370290" r:id="rId17"/>
              </w:object>
            </w:r>
          </w:p>
        </w:tc>
        <w:tc>
          <w:tcPr>
            <w:tcW w:w="2250" w:type="dxa"/>
            <w:vAlign w:val="center"/>
          </w:tcPr>
          <w:p w14:paraId="0401C5BC" w14:textId="77777777" w:rsidR="008361FD" w:rsidRPr="00C86AC6" w:rsidRDefault="008361FD" w:rsidP="0020052C">
            <w:pPr>
              <w:pStyle w:val="ExhibitText"/>
              <w:jc w:val="center"/>
              <w:rPr>
                <w:lang w:val="en-GB" w:eastAsia="zh-CN"/>
              </w:rPr>
            </w:pPr>
            <w:r w:rsidRPr="00C86AC6">
              <w:rPr>
                <w:lang w:val="en-GB" w:eastAsia="zh-CN"/>
              </w:rPr>
              <w:t>Recognition</w:t>
            </w:r>
          </w:p>
        </w:tc>
        <w:tc>
          <w:tcPr>
            <w:tcW w:w="5395" w:type="dxa"/>
          </w:tcPr>
          <w:p w14:paraId="794869B8" w14:textId="05AE460C" w:rsidR="008361FD" w:rsidRPr="00C86AC6" w:rsidRDefault="008361FD" w:rsidP="00841EE7">
            <w:pPr>
              <w:pStyle w:val="ExhibitText"/>
              <w:jc w:val="left"/>
              <w:rPr>
                <w:lang w:val="en-GB"/>
              </w:rPr>
            </w:pPr>
            <w:r w:rsidRPr="00C86AC6">
              <w:rPr>
                <w:lang w:val="en-GB"/>
              </w:rPr>
              <w:t>Thank you for taking care of the lot and keeping it in order for us!</w:t>
            </w:r>
          </w:p>
        </w:tc>
      </w:tr>
      <w:tr w:rsidR="008361FD" w:rsidRPr="00C86AC6" w14:paraId="3782ABC6" w14:textId="77777777" w:rsidTr="0020052C">
        <w:trPr>
          <w:trHeight w:val="2132"/>
          <w:jc w:val="center"/>
        </w:trPr>
        <w:tc>
          <w:tcPr>
            <w:tcW w:w="985" w:type="dxa"/>
            <w:vAlign w:val="center"/>
          </w:tcPr>
          <w:p w14:paraId="03A485A1" w14:textId="77777777" w:rsidR="008361FD" w:rsidRPr="00C86AC6" w:rsidRDefault="008361FD" w:rsidP="0020052C">
            <w:pPr>
              <w:pStyle w:val="ExhibitText"/>
              <w:jc w:val="center"/>
              <w:rPr>
                <w:b/>
                <w:lang w:val="en-GB" w:eastAsia="zh-CN"/>
              </w:rPr>
            </w:pPr>
            <w:r w:rsidRPr="00C86AC6">
              <w:rPr>
                <w:b/>
                <w:lang w:val="en-GB" w:eastAsia="zh-CN"/>
              </w:rPr>
              <w:t>S20</w:t>
            </w:r>
          </w:p>
        </w:tc>
        <w:tc>
          <w:tcPr>
            <w:tcW w:w="2250" w:type="dxa"/>
            <w:vAlign w:val="center"/>
          </w:tcPr>
          <w:p w14:paraId="59A72749" w14:textId="77777777" w:rsidR="008361FD" w:rsidRPr="00C86AC6" w:rsidRDefault="008361FD" w:rsidP="0020052C">
            <w:pPr>
              <w:pStyle w:val="ExhibitText"/>
              <w:jc w:val="center"/>
              <w:rPr>
                <w:lang w:val="en-GB" w:eastAsia="zh-CN"/>
              </w:rPr>
            </w:pPr>
            <w:r w:rsidRPr="00C86AC6">
              <w:rPr>
                <w:lang w:val="en-GB" w:eastAsia="zh-CN"/>
              </w:rPr>
              <w:t>E125</w:t>
            </w:r>
          </w:p>
        </w:tc>
        <w:tc>
          <w:tcPr>
            <w:tcW w:w="2070" w:type="dxa"/>
          </w:tcPr>
          <w:p w14:paraId="7C9B0564" w14:textId="78C46C63" w:rsidR="008361FD" w:rsidRPr="00C86AC6" w:rsidRDefault="00841EE7" w:rsidP="00E81E54">
            <w:pPr>
              <w:pStyle w:val="ExhibitText"/>
              <w:jc w:val="center"/>
              <w:rPr>
                <w:lang w:val="en-GB" w:eastAsia="zh-CN"/>
              </w:rPr>
            </w:pPr>
            <w:r w:rsidRPr="00A50010">
              <w:rPr>
                <w:noProof/>
                <w:lang w:val="en-GB"/>
              </w:rPr>
              <w:object w:dxaOrig="2025" w:dyaOrig="2160" w14:anchorId="5F5D494E">
                <v:shape id="_x0000_i1026" type="#_x0000_t75" alt="" style="width:86.55pt;height:91.3pt;mso-width-percent:0;mso-height-percent:0;mso-width-percent:0;mso-height-percent:0" o:ole="">
                  <v:imagedata r:id="rId18" o:title="" grayscale="t"/>
                </v:shape>
                <o:OLEObject Type="Embed" ProgID="PBrush" ShapeID="_x0000_i1026" DrawAspect="Content" ObjectID="_1749370291" r:id="rId19"/>
              </w:object>
            </w:r>
          </w:p>
        </w:tc>
        <w:tc>
          <w:tcPr>
            <w:tcW w:w="2250" w:type="dxa"/>
            <w:vAlign w:val="center"/>
          </w:tcPr>
          <w:p w14:paraId="622AC06B" w14:textId="77777777" w:rsidR="008361FD" w:rsidRPr="00C86AC6" w:rsidRDefault="008361FD" w:rsidP="0020052C">
            <w:pPr>
              <w:pStyle w:val="ExhibitText"/>
              <w:jc w:val="center"/>
              <w:rPr>
                <w:lang w:val="en-GB" w:eastAsia="zh-CN"/>
              </w:rPr>
            </w:pPr>
            <w:r w:rsidRPr="00C86AC6">
              <w:rPr>
                <w:lang w:val="en-GB" w:eastAsia="zh-CN"/>
              </w:rPr>
              <w:t>Motivational</w:t>
            </w:r>
          </w:p>
        </w:tc>
        <w:tc>
          <w:tcPr>
            <w:tcW w:w="5395" w:type="dxa"/>
          </w:tcPr>
          <w:p w14:paraId="2182F1CB" w14:textId="09C1F0FC" w:rsidR="008361FD" w:rsidRPr="00C86AC6" w:rsidRDefault="008361FD" w:rsidP="00841EE7">
            <w:pPr>
              <w:pStyle w:val="ExhibitText"/>
              <w:jc w:val="left"/>
              <w:rPr>
                <w:lang w:val="en-GB"/>
              </w:rPr>
            </w:pPr>
            <w:r w:rsidRPr="00C86AC6">
              <w:rPr>
                <w:lang w:val="en-GB"/>
              </w:rPr>
              <w:t>You are a</w:t>
            </w:r>
            <w:r>
              <w:rPr>
                <w:lang w:val="en-GB"/>
              </w:rPr>
              <w:t>n</w:t>
            </w:r>
            <w:r w:rsidRPr="00C86AC6">
              <w:rPr>
                <w:lang w:val="en-GB"/>
              </w:rPr>
              <w:t xml:space="preserve"> animal on the floor (with customers)</w:t>
            </w:r>
          </w:p>
        </w:tc>
      </w:tr>
      <w:tr w:rsidR="008361FD" w:rsidRPr="00C86AC6" w14:paraId="35EFD78B" w14:textId="77777777" w:rsidTr="0020052C">
        <w:trPr>
          <w:jc w:val="center"/>
        </w:trPr>
        <w:tc>
          <w:tcPr>
            <w:tcW w:w="985" w:type="dxa"/>
            <w:vAlign w:val="center"/>
          </w:tcPr>
          <w:p w14:paraId="2B049928" w14:textId="77777777" w:rsidR="008361FD" w:rsidRPr="00C86AC6" w:rsidRDefault="008361FD" w:rsidP="0020052C">
            <w:pPr>
              <w:pStyle w:val="ExhibitText"/>
              <w:jc w:val="center"/>
              <w:rPr>
                <w:b/>
                <w:lang w:val="en-GB" w:eastAsia="zh-CN"/>
              </w:rPr>
            </w:pPr>
            <w:r w:rsidRPr="00C86AC6">
              <w:rPr>
                <w:b/>
                <w:lang w:val="en-GB" w:eastAsia="zh-CN"/>
              </w:rPr>
              <w:t>E96</w:t>
            </w:r>
          </w:p>
        </w:tc>
        <w:tc>
          <w:tcPr>
            <w:tcW w:w="2250" w:type="dxa"/>
            <w:vAlign w:val="center"/>
          </w:tcPr>
          <w:p w14:paraId="6A745F48" w14:textId="77777777" w:rsidR="008361FD" w:rsidRPr="00C86AC6" w:rsidRDefault="008361FD" w:rsidP="0020052C">
            <w:pPr>
              <w:pStyle w:val="ExhibitText"/>
              <w:jc w:val="center"/>
              <w:rPr>
                <w:lang w:val="en-GB" w:eastAsia="zh-CN"/>
              </w:rPr>
            </w:pPr>
            <w:r w:rsidRPr="00C86AC6">
              <w:rPr>
                <w:lang w:val="en-GB" w:eastAsia="zh-CN"/>
              </w:rPr>
              <w:t>E60</w:t>
            </w:r>
          </w:p>
        </w:tc>
        <w:tc>
          <w:tcPr>
            <w:tcW w:w="2070" w:type="dxa"/>
          </w:tcPr>
          <w:p w14:paraId="0D783F80" w14:textId="76AB07B4" w:rsidR="008361FD" w:rsidRPr="00C86AC6" w:rsidRDefault="00841EE7" w:rsidP="00E81E54">
            <w:pPr>
              <w:pStyle w:val="ExhibitText"/>
              <w:jc w:val="center"/>
              <w:rPr>
                <w:lang w:val="en-GB"/>
              </w:rPr>
            </w:pPr>
            <w:r w:rsidRPr="00A50010">
              <w:rPr>
                <w:noProof/>
                <w:lang w:val="en-GB"/>
              </w:rPr>
              <w:object w:dxaOrig="2130" w:dyaOrig="2100" w14:anchorId="18D217CB">
                <v:shape id="_x0000_i1027" type="#_x0000_t75" alt="" style="width:91.3pt;height:89.55pt;mso-width-percent:0;mso-height-percent:0;mso-width-percent:0;mso-height-percent:0" o:ole="">
                  <v:imagedata r:id="rId20" o:title="" grayscale="t"/>
                </v:shape>
                <o:OLEObject Type="Embed" ProgID="PBrush" ShapeID="_x0000_i1027" DrawAspect="Content" ObjectID="_1749370292" r:id="rId21"/>
              </w:object>
            </w:r>
          </w:p>
        </w:tc>
        <w:tc>
          <w:tcPr>
            <w:tcW w:w="2250" w:type="dxa"/>
            <w:vAlign w:val="center"/>
          </w:tcPr>
          <w:p w14:paraId="5928CC05" w14:textId="77777777" w:rsidR="008361FD" w:rsidRPr="00C86AC6" w:rsidRDefault="008361FD" w:rsidP="0020052C">
            <w:pPr>
              <w:pStyle w:val="ExhibitText"/>
              <w:jc w:val="center"/>
              <w:rPr>
                <w:lang w:val="en-GB" w:eastAsia="zh-CN"/>
              </w:rPr>
            </w:pPr>
            <w:r w:rsidRPr="00C86AC6">
              <w:rPr>
                <w:lang w:val="en-GB" w:eastAsia="zh-CN"/>
              </w:rPr>
              <w:t>Fun</w:t>
            </w:r>
          </w:p>
        </w:tc>
        <w:tc>
          <w:tcPr>
            <w:tcW w:w="5395" w:type="dxa"/>
          </w:tcPr>
          <w:p w14:paraId="46A4A8E3" w14:textId="7046B6FB" w:rsidR="008361FD" w:rsidRPr="00C86AC6" w:rsidRDefault="008361FD" w:rsidP="00841EE7">
            <w:pPr>
              <w:pStyle w:val="ExhibitText"/>
              <w:jc w:val="left"/>
              <w:rPr>
                <w:lang w:val="en-GB"/>
              </w:rPr>
            </w:pPr>
            <w:r w:rsidRPr="00C86AC6">
              <w:rPr>
                <w:lang w:val="en-GB"/>
              </w:rPr>
              <w:t xml:space="preserve">Graham you are officially excluded from taco </w:t>
            </w:r>
            <w:r>
              <w:rPr>
                <w:lang w:val="en-GB"/>
              </w:rPr>
              <w:t>T</w:t>
            </w:r>
            <w:r w:rsidRPr="00C86AC6">
              <w:rPr>
                <w:lang w:val="en-GB"/>
              </w:rPr>
              <w:t>uesday for that last chubby comment you made. Any and all chocolate privileges have also been revoked. May you learn from this moving forward.</w:t>
            </w:r>
          </w:p>
        </w:tc>
      </w:tr>
      <w:tr w:rsidR="008361FD" w:rsidRPr="00C86AC6" w14:paraId="30A011F4" w14:textId="77777777" w:rsidTr="0020052C">
        <w:trPr>
          <w:jc w:val="center"/>
        </w:trPr>
        <w:tc>
          <w:tcPr>
            <w:tcW w:w="985" w:type="dxa"/>
            <w:vAlign w:val="center"/>
          </w:tcPr>
          <w:p w14:paraId="4D2CC97C" w14:textId="77777777" w:rsidR="008361FD" w:rsidRPr="00C86AC6" w:rsidRDefault="008361FD" w:rsidP="0020052C">
            <w:pPr>
              <w:pStyle w:val="ExhibitText"/>
              <w:jc w:val="center"/>
              <w:rPr>
                <w:b/>
                <w:lang w:val="en-GB" w:eastAsia="zh-CN"/>
              </w:rPr>
            </w:pPr>
            <w:r w:rsidRPr="00C86AC6">
              <w:rPr>
                <w:b/>
                <w:lang w:val="en-GB" w:eastAsia="zh-CN"/>
              </w:rPr>
              <w:t>S103</w:t>
            </w:r>
          </w:p>
        </w:tc>
        <w:tc>
          <w:tcPr>
            <w:tcW w:w="2250" w:type="dxa"/>
            <w:vAlign w:val="center"/>
          </w:tcPr>
          <w:p w14:paraId="4A3A79A8" w14:textId="77777777" w:rsidR="008361FD" w:rsidRPr="00C86AC6" w:rsidRDefault="008361FD" w:rsidP="0020052C">
            <w:pPr>
              <w:pStyle w:val="ExhibitText"/>
              <w:jc w:val="center"/>
              <w:rPr>
                <w:lang w:val="en-GB" w:eastAsia="zh-CN"/>
              </w:rPr>
            </w:pPr>
            <w:r w:rsidRPr="00C86AC6">
              <w:rPr>
                <w:lang w:val="en-GB" w:eastAsia="zh-CN"/>
              </w:rPr>
              <w:t>S20</w:t>
            </w:r>
          </w:p>
        </w:tc>
        <w:tc>
          <w:tcPr>
            <w:tcW w:w="2070" w:type="dxa"/>
          </w:tcPr>
          <w:p w14:paraId="4059F32E" w14:textId="223F5688" w:rsidR="008361FD" w:rsidRPr="00C86AC6" w:rsidRDefault="00841EE7" w:rsidP="00E81E54">
            <w:pPr>
              <w:pStyle w:val="ExhibitText"/>
              <w:jc w:val="center"/>
              <w:rPr>
                <w:lang w:val="en-GB" w:eastAsia="zh-CN"/>
              </w:rPr>
            </w:pPr>
            <w:r w:rsidRPr="00A50010">
              <w:rPr>
                <w:noProof/>
                <w:lang w:val="en-GB"/>
              </w:rPr>
              <w:object w:dxaOrig="2010" w:dyaOrig="1740" w14:anchorId="4EE79425">
                <v:shape id="_x0000_i1028" type="#_x0000_t75" alt="" style="width:87.45pt;height:76.3pt;mso-width-percent:0;mso-height-percent:0;mso-width-percent:0;mso-height-percent:0" o:ole="">
                  <v:imagedata r:id="rId22" o:title="" grayscale="t"/>
                </v:shape>
                <o:OLEObject Type="Embed" ProgID="PBrush" ShapeID="_x0000_i1028" DrawAspect="Content" ObjectID="_1749370293" r:id="rId23"/>
              </w:object>
            </w:r>
          </w:p>
        </w:tc>
        <w:tc>
          <w:tcPr>
            <w:tcW w:w="2250" w:type="dxa"/>
            <w:vAlign w:val="center"/>
          </w:tcPr>
          <w:p w14:paraId="55D2FAAF" w14:textId="77777777" w:rsidR="008361FD" w:rsidRPr="00C86AC6" w:rsidRDefault="008361FD" w:rsidP="0020052C">
            <w:pPr>
              <w:pStyle w:val="ExhibitText"/>
              <w:jc w:val="center"/>
              <w:rPr>
                <w:lang w:val="en-GB" w:eastAsia="zh-CN"/>
              </w:rPr>
            </w:pPr>
            <w:r w:rsidRPr="00C86AC6">
              <w:rPr>
                <w:lang w:val="en-GB" w:eastAsia="zh-CN"/>
              </w:rPr>
              <w:t>Special Occasion</w:t>
            </w:r>
          </w:p>
        </w:tc>
        <w:tc>
          <w:tcPr>
            <w:tcW w:w="5395" w:type="dxa"/>
          </w:tcPr>
          <w:p w14:paraId="72EE076F" w14:textId="63E6A74E" w:rsidR="008361FD" w:rsidRPr="00C86AC6" w:rsidRDefault="008361FD" w:rsidP="00841EE7">
            <w:pPr>
              <w:pStyle w:val="ExhibitText"/>
              <w:jc w:val="left"/>
              <w:rPr>
                <w:lang w:val="en-GB"/>
              </w:rPr>
            </w:pPr>
            <w:r>
              <w:rPr>
                <w:lang w:val="en-GB"/>
              </w:rPr>
              <w:t>Y</w:t>
            </w:r>
            <w:r w:rsidRPr="00C86AC6">
              <w:rPr>
                <w:lang w:val="en-GB"/>
              </w:rPr>
              <w:t>ou didn't think I forgot did you?? Happy birthday you old fart. question: what were the dinosaurs like??? just wondering</w:t>
            </w:r>
          </w:p>
        </w:tc>
      </w:tr>
    </w:tbl>
    <w:p w14:paraId="6A7EC9C6" w14:textId="77777777" w:rsidR="00841EE7" w:rsidRDefault="00841EE7" w:rsidP="008361FD">
      <w:pPr>
        <w:pStyle w:val="Footnote"/>
        <w:rPr>
          <w:lang w:val="en-GB"/>
        </w:rPr>
      </w:pPr>
    </w:p>
    <w:p w14:paraId="5AB89EFA" w14:textId="4752AD74" w:rsidR="008361FD" w:rsidRDefault="008361FD" w:rsidP="008361FD">
      <w:pPr>
        <w:pStyle w:val="Footnote"/>
        <w:rPr>
          <w:lang w:val="en-GB"/>
        </w:rPr>
      </w:pPr>
      <w:r>
        <w:rPr>
          <w:lang w:val="en-GB"/>
        </w:rPr>
        <w:t xml:space="preserve">Source: </w:t>
      </w:r>
      <w:r w:rsidR="00E80FFE">
        <w:rPr>
          <w:lang w:val="en-GB"/>
        </w:rPr>
        <w:t>Created by the case authors using data from c</w:t>
      </w:r>
      <w:r w:rsidR="000F2609">
        <w:rPr>
          <w:lang w:val="en-GB"/>
        </w:rPr>
        <w:t>ompany files.</w:t>
      </w:r>
    </w:p>
    <w:p w14:paraId="77B7B682" w14:textId="77777777" w:rsidR="008361FD" w:rsidRPr="00C86AC6" w:rsidRDefault="008361FD" w:rsidP="008361FD">
      <w:pPr>
        <w:pStyle w:val="Footnote"/>
        <w:rPr>
          <w:rFonts w:eastAsiaTheme="majorEastAsia"/>
          <w:lang w:val="en-GB"/>
        </w:rPr>
      </w:pPr>
      <w:r w:rsidRPr="00C86AC6">
        <w:rPr>
          <w:lang w:val="en-GB"/>
        </w:rPr>
        <w:br w:type="page"/>
      </w:r>
    </w:p>
    <w:p w14:paraId="5DE18353" w14:textId="77777777" w:rsidR="008361FD" w:rsidRPr="00C86AC6" w:rsidRDefault="008361FD" w:rsidP="008361FD">
      <w:pPr>
        <w:pStyle w:val="Casehead1"/>
        <w:jc w:val="center"/>
        <w:rPr>
          <w:lang w:val="en-GB"/>
        </w:rPr>
      </w:pPr>
      <w:r w:rsidRPr="00C86AC6">
        <w:rPr>
          <w:lang w:val="en-GB" w:eastAsia="zh-CN"/>
        </w:rPr>
        <w:lastRenderedPageBreak/>
        <w:t xml:space="preserve">Exhibit </w:t>
      </w:r>
      <w:r>
        <w:rPr>
          <w:lang w:val="en-GB" w:eastAsia="zh-CN"/>
        </w:rPr>
        <w:t>3</w:t>
      </w:r>
      <w:r w:rsidRPr="00C86AC6">
        <w:rPr>
          <w:lang w:val="en-GB" w:eastAsia="zh-CN"/>
        </w:rPr>
        <w:t xml:space="preserve">: </w:t>
      </w:r>
      <w:r w:rsidRPr="00C86AC6">
        <w:rPr>
          <w:lang w:val="en-GB"/>
        </w:rPr>
        <w:t>DigitalHR</w:t>
      </w:r>
      <w:r>
        <w:rPr>
          <w:lang w:val="en-GB"/>
        </w:rPr>
        <w:t>’s</w:t>
      </w:r>
      <w:r w:rsidRPr="00C86AC6">
        <w:rPr>
          <w:lang w:val="en-GB"/>
        </w:rPr>
        <w:t xml:space="preserve"> Badge Usage Statistics</w:t>
      </w:r>
    </w:p>
    <w:p w14:paraId="2F77E8C9" w14:textId="77777777" w:rsidR="008361FD" w:rsidRPr="00C86AC6" w:rsidRDefault="008361FD" w:rsidP="008361FD">
      <w:pPr>
        <w:pStyle w:val="BodyTextMain"/>
        <w:rPr>
          <w:lang w:val="en-GB"/>
        </w:rPr>
      </w:pPr>
    </w:p>
    <w:p w14:paraId="262A347F" w14:textId="77777777" w:rsidR="008361FD" w:rsidRPr="00C86AC6" w:rsidRDefault="008361FD" w:rsidP="008361FD">
      <w:pPr>
        <w:pStyle w:val="Casehead2"/>
        <w:rPr>
          <w:lang w:val="en-GB"/>
        </w:rPr>
      </w:pPr>
      <w:r w:rsidRPr="00C86AC6">
        <w:rPr>
          <w:lang w:val="en-GB"/>
        </w:rPr>
        <w:t>Panel A</w:t>
      </w:r>
      <w:r>
        <w:rPr>
          <w:lang w:val="en-GB"/>
        </w:rPr>
        <w:t xml:space="preserve">: </w:t>
      </w:r>
      <w:r w:rsidRPr="00C86AC6">
        <w:rPr>
          <w:lang w:val="en-GB"/>
        </w:rPr>
        <w:t xml:space="preserve">Frequency and Types of Badges </w:t>
      </w:r>
      <w:r>
        <w:rPr>
          <w:lang w:val="en-GB"/>
        </w:rPr>
        <w:t>S</w:t>
      </w:r>
      <w:r w:rsidRPr="00C86AC6">
        <w:rPr>
          <w:lang w:val="en-GB"/>
        </w:rPr>
        <w:t>ent</w:t>
      </w:r>
      <w:r>
        <w:rPr>
          <w:lang w:val="en-GB"/>
        </w:rPr>
        <w:t>, December 2015 to December 2017</w:t>
      </w:r>
    </w:p>
    <w:p w14:paraId="3C2CBEEF" w14:textId="77777777" w:rsidR="008361FD" w:rsidRPr="00303B78" w:rsidRDefault="008361FD" w:rsidP="008361FD">
      <w:pPr>
        <w:pStyle w:val="BodyTextMain"/>
        <w:rPr>
          <w:sz w:val="16"/>
          <w:szCs w:val="16"/>
          <w:lang w:val="en-GB"/>
        </w:rPr>
      </w:pPr>
    </w:p>
    <w:p w14:paraId="1BA5A5A7" w14:textId="77777777" w:rsidR="008361FD" w:rsidRPr="00C86AC6" w:rsidRDefault="008361FD" w:rsidP="008361FD">
      <w:pPr>
        <w:jc w:val="center"/>
        <w:rPr>
          <w:rStyle w:val="BodyTextMainChar"/>
          <w:lang w:val="en-GB"/>
        </w:rPr>
      </w:pPr>
      <w:r w:rsidRPr="00C86AC6">
        <w:rPr>
          <w:noProof/>
          <w:lang w:val="en-GB" w:eastAsia="en-GB"/>
        </w:rPr>
        <w:drawing>
          <wp:inline distT="0" distB="0" distL="0" distR="0" wp14:anchorId="40CB782D" wp14:editId="089BDDAE">
            <wp:extent cx="5083678" cy="2648309"/>
            <wp:effectExtent l="0" t="0" r="317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D0AE71" w14:textId="77777777" w:rsidR="008361FD" w:rsidRPr="00C86AC6" w:rsidRDefault="008361FD" w:rsidP="008361FD">
      <w:pPr>
        <w:pStyle w:val="BodyTextMain"/>
        <w:rPr>
          <w:lang w:val="en-GB"/>
        </w:rPr>
      </w:pPr>
    </w:p>
    <w:p w14:paraId="2CC0F66D" w14:textId="77777777" w:rsidR="008361FD" w:rsidRPr="00C86AC6" w:rsidRDefault="008361FD" w:rsidP="008361FD">
      <w:pPr>
        <w:pStyle w:val="BodyTextMain"/>
        <w:rPr>
          <w:lang w:val="en-GB"/>
        </w:rPr>
      </w:pPr>
    </w:p>
    <w:p w14:paraId="01BA711E" w14:textId="77777777" w:rsidR="008361FD" w:rsidRPr="00C86AC6" w:rsidRDefault="008361FD" w:rsidP="008361FD">
      <w:pPr>
        <w:pStyle w:val="Casehead2"/>
        <w:rPr>
          <w:lang w:val="en-GB"/>
        </w:rPr>
      </w:pPr>
      <w:r w:rsidRPr="00C86AC6">
        <w:rPr>
          <w:lang w:val="en-GB"/>
        </w:rPr>
        <w:t>Panel B</w:t>
      </w:r>
      <w:r>
        <w:rPr>
          <w:lang w:val="en-GB"/>
        </w:rPr>
        <w:t xml:space="preserve">: </w:t>
      </w:r>
      <w:r w:rsidRPr="00C86AC6">
        <w:rPr>
          <w:lang w:val="en-GB"/>
        </w:rPr>
        <w:t xml:space="preserve">Types of Badge </w:t>
      </w:r>
      <w:r>
        <w:rPr>
          <w:lang w:val="en-GB"/>
        </w:rPr>
        <w:t>S</w:t>
      </w:r>
      <w:r w:rsidRPr="00C86AC6">
        <w:rPr>
          <w:lang w:val="en-GB"/>
        </w:rPr>
        <w:t>ent</w:t>
      </w:r>
      <w:r>
        <w:rPr>
          <w:lang w:val="en-GB"/>
        </w:rPr>
        <w:t>,</w:t>
      </w:r>
      <w:r w:rsidRPr="00C86AC6">
        <w:rPr>
          <w:lang w:val="en-GB"/>
        </w:rPr>
        <w:t xml:space="preserve"> by </w:t>
      </w:r>
      <w:r>
        <w:rPr>
          <w:lang w:val="en-GB"/>
        </w:rPr>
        <w:t>U</w:t>
      </w:r>
      <w:r w:rsidRPr="00C86AC6">
        <w:rPr>
          <w:lang w:val="en-GB"/>
        </w:rPr>
        <w:t xml:space="preserve">ser </w:t>
      </w:r>
      <w:r>
        <w:rPr>
          <w:lang w:val="en-GB"/>
        </w:rPr>
        <w:t>T</w:t>
      </w:r>
      <w:r w:rsidRPr="00C86AC6">
        <w:rPr>
          <w:lang w:val="en-GB"/>
        </w:rPr>
        <w:t>ype</w:t>
      </w:r>
    </w:p>
    <w:p w14:paraId="6892443E" w14:textId="77777777" w:rsidR="008361FD" w:rsidRPr="00303B78" w:rsidRDefault="008361FD" w:rsidP="008361FD">
      <w:pPr>
        <w:pStyle w:val="BodyTextMain"/>
        <w:rPr>
          <w:sz w:val="16"/>
          <w:szCs w:val="16"/>
          <w:lang w:val="en-GB" w:eastAsia="zh-CN"/>
        </w:rPr>
      </w:pPr>
    </w:p>
    <w:p w14:paraId="4E50EF24" w14:textId="77777777" w:rsidR="008361FD" w:rsidRPr="00E37631" w:rsidRDefault="008361FD" w:rsidP="008361FD">
      <w:pPr>
        <w:jc w:val="center"/>
        <w:rPr>
          <w:rStyle w:val="BodyTextMainChar"/>
        </w:rPr>
      </w:pPr>
      <w:r w:rsidRPr="00E37631">
        <w:rPr>
          <w:noProof/>
          <w:sz w:val="16"/>
          <w:szCs w:val="16"/>
          <w:lang w:val="en-GB" w:eastAsia="en-GB"/>
        </w:rPr>
        <w:drawing>
          <wp:inline distT="0" distB="0" distL="0" distR="0" wp14:anchorId="79EA69CB" wp14:editId="44680EB2">
            <wp:extent cx="3922430" cy="2846717"/>
            <wp:effectExtent l="0" t="0" r="1905" b="107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1F32926" w14:textId="77777777" w:rsidR="008361FD" w:rsidRPr="00E37631" w:rsidRDefault="008361FD" w:rsidP="008361FD">
      <w:pPr>
        <w:pStyle w:val="BodyTextMain"/>
        <w:rPr>
          <w:sz w:val="16"/>
          <w:szCs w:val="16"/>
          <w:lang w:val="en-GB" w:eastAsia="zh-CN"/>
        </w:rPr>
      </w:pPr>
    </w:p>
    <w:tbl>
      <w:tblPr>
        <w:tblW w:w="8820" w:type="dxa"/>
        <w:jc w:val="center"/>
        <w:tblLayout w:type="fixed"/>
        <w:tblLook w:val="04A0" w:firstRow="1" w:lastRow="0" w:firstColumn="1" w:lastColumn="0" w:noHBand="0" w:noVBand="1"/>
      </w:tblPr>
      <w:tblGrid>
        <w:gridCol w:w="1728"/>
        <w:gridCol w:w="1327"/>
        <w:gridCol w:w="1260"/>
        <w:gridCol w:w="1440"/>
        <w:gridCol w:w="1535"/>
        <w:gridCol w:w="720"/>
        <w:gridCol w:w="810"/>
      </w:tblGrid>
      <w:tr w:rsidR="008361FD" w:rsidRPr="00E37631" w14:paraId="7F38A20B" w14:textId="77777777" w:rsidTr="00E81E54">
        <w:trPr>
          <w:trHeight w:val="675"/>
          <w:jc w:val="center"/>
        </w:trPr>
        <w:tc>
          <w:tcPr>
            <w:tcW w:w="1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E4DF4"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Employee Level</w:t>
            </w:r>
          </w:p>
        </w:tc>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1577D"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Registered Users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64C0C"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 of Total</w:t>
            </w:r>
          </w:p>
        </w:tc>
        <w:tc>
          <w:tcPr>
            <w:tcW w:w="1440" w:type="dxa"/>
            <w:tcBorders>
              <w:top w:val="single" w:sz="4" w:space="0" w:color="auto"/>
              <w:left w:val="single" w:sz="4" w:space="0" w:color="auto"/>
              <w:bottom w:val="single" w:sz="4" w:space="0" w:color="auto"/>
              <w:right w:val="single" w:sz="4" w:space="0" w:color="auto"/>
            </w:tcBorders>
            <w:vAlign w:val="center"/>
          </w:tcPr>
          <w:p w14:paraId="55A048F1"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Motivation + Recognition</w:t>
            </w:r>
          </w:p>
        </w:tc>
        <w:tc>
          <w:tcPr>
            <w:tcW w:w="1535" w:type="dxa"/>
            <w:tcBorders>
              <w:top w:val="single" w:sz="4" w:space="0" w:color="auto"/>
              <w:left w:val="single" w:sz="4" w:space="0" w:color="auto"/>
              <w:bottom w:val="single" w:sz="4" w:space="0" w:color="auto"/>
              <w:right w:val="single" w:sz="4" w:space="0" w:color="auto"/>
            </w:tcBorders>
            <w:vAlign w:val="center"/>
          </w:tcPr>
          <w:p w14:paraId="011B2490"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Fun + Special Occasion</w:t>
            </w:r>
          </w:p>
        </w:tc>
        <w:tc>
          <w:tcPr>
            <w:tcW w:w="720" w:type="dxa"/>
            <w:tcBorders>
              <w:top w:val="single" w:sz="4" w:space="0" w:color="auto"/>
              <w:left w:val="single" w:sz="4" w:space="0" w:color="auto"/>
              <w:bottom w:val="single" w:sz="4" w:space="0" w:color="auto"/>
              <w:right w:val="single" w:sz="4" w:space="0" w:color="auto"/>
            </w:tcBorders>
            <w:vAlign w:val="center"/>
          </w:tcPr>
          <w:p w14:paraId="09566815"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Total</w:t>
            </w:r>
          </w:p>
        </w:tc>
        <w:tc>
          <w:tcPr>
            <w:tcW w:w="810" w:type="dxa"/>
            <w:tcBorders>
              <w:top w:val="single" w:sz="4" w:space="0" w:color="auto"/>
              <w:left w:val="single" w:sz="4" w:space="0" w:color="auto"/>
              <w:bottom w:val="single" w:sz="4" w:space="0" w:color="auto"/>
              <w:right w:val="single" w:sz="4" w:space="0" w:color="auto"/>
            </w:tcBorders>
            <w:vAlign w:val="center"/>
          </w:tcPr>
          <w:p w14:paraId="52E390D8" w14:textId="77777777" w:rsidR="008361FD" w:rsidRPr="00E37631" w:rsidRDefault="008361FD" w:rsidP="00E81E54">
            <w:pPr>
              <w:pStyle w:val="ExhibitText"/>
              <w:jc w:val="center"/>
              <w:rPr>
                <w:b/>
                <w:sz w:val="18"/>
                <w:szCs w:val="18"/>
                <w:lang w:val="en-GB" w:eastAsia="zh-CN"/>
              </w:rPr>
            </w:pPr>
            <w:r w:rsidRPr="00E37631">
              <w:rPr>
                <w:b/>
                <w:sz w:val="18"/>
                <w:szCs w:val="18"/>
                <w:lang w:val="en-GB" w:eastAsia="zh-CN"/>
              </w:rPr>
              <w:t>% of Total</w:t>
            </w:r>
          </w:p>
        </w:tc>
      </w:tr>
      <w:tr w:rsidR="008361FD" w:rsidRPr="00E37631" w14:paraId="1FD30E38" w14:textId="77777777" w:rsidTr="00E37631">
        <w:trPr>
          <w:trHeight w:val="315"/>
          <w:jc w:val="center"/>
        </w:trPr>
        <w:tc>
          <w:tcPr>
            <w:tcW w:w="1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D73FC" w14:textId="77777777" w:rsidR="008361FD" w:rsidRPr="00E37631" w:rsidRDefault="008361FD" w:rsidP="00E81E54">
            <w:pPr>
              <w:pStyle w:val="ExhibitText"/>
              <w:jc w:val="left"/>
              <w:rPr>
                <w:b/>
                <w:sz w:val="18"/>
                <w:szCs w:val="18"/>
                <w:lang w:val="en-GB" w:eastAsia="zh-CN"/>
              </w:rPr>
            </w:pPr>
            <w:r w:rsidRPr="00E37631">
              <w:rPr>
                <w:b/>
                <w:sz w:val="18"/>
                <w:szCs w:val="18"/>
                <w:lang w:val="en-GB" w:eastAsia="zh-CN"/>
              </w:rPr>
              <w:t>Employee</w:t>
            </w:r>
          </w:p>
        </w:tc>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76B48" w14:textId="77777777" w:rsidR="008361FD" w:rsidRPr="00E37631" w:rsidRDefault="008361FD" w:rsidP="00E37631">
            <w:pPr>
              <w:pStyle w:val="ExhibitText"/>
              <w:tabs>
                <w:tab w:val="decimal" w:pos="630"/>
              </w:tabs>
              <w:jc w:val="left"/>
              <w:rPr>
                <w:sz w:val="18"/>
                <w:szCs w:val="18"/>
                <w:lang w:val="en-GB" w:eastAsia="zh-CN"/>
              </w:rPr>
            </w:pPr>
            <w:r w:rsidRPr="00E37631">
              <w:rPr>
                <w:sz w:val="18"/>
                <w:szCs w:val="18"/>
                <w:lang w:val="en-GB" w:eastAsia="zh-CN"/>
              </w:rPr>
              <w:t>43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B6FBC"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84.31%</w:t>
            </w:r>
          </w:p>
        </w:tc>
        <w:tc>
          <w:tcPr>
            <w:tcW w:w="1440" w:type="dxa"/>
            <w:tcBorders>
              <w:top w:val="single" w:sz="4" w:space="0" w:color="auto"/>
              <w:left w:val="single" w:sz="4" w:space="0" w:color="auto"/>
              <w:bottom w:val="single" w:sz="4" w:space="0" w:color="auto"/>
              <w:right w:val="single" w:sz="4" w:space="0" w:color="auto"/>
            </w:tcBorders>
            <w:vAlign w:val="center"/>
          </w:tcPr>
          <w:p w14:paraId="7C2A838B" w14:textId="77777777" w:rsidR="008361FD" w:rsidRPr="00E37631" w:rsidRDefault="008361FD" w:rsidP="00E37631">
            <w:pPr>
              <w:pStyle w:val="ExhibitText"/>
              <w:tabs>
                <w:tab w:val="decimal" w:pos="881"/>
              </w:tabs>
              <w:jc w:val="left"/>
              <w:rPr>
                <w:sz w:val="18"/>
                <w:szCs w:val="18"/>
                <w:lang w:val="en-GB" w:eastAsia="zh-CN"/>
              </w:rPr>
            </w:pPr>
            <w:r w:rsidRPr="00E37631">
              <w:rPr>
                <w:sz w:val="18"/>
                <w:szCs w:val="18"/>
                <w:lang w:val="en-GB" w:eastAsia="zh-CN"/>
              </w:rPr>
              <w:t>1,427</w:t>
            </w:r>
          </w:p>
        </w:tc>
        <w:tc>
          <w:tcPr>
            <w:tcW w:w="1535" w:type="dxa"/>
            <w:tcBorders>
              <w:top w:val="single" w:sz="4" w:space="0" w:color="auto"/>
              <w:left w:val="single" w:sz="4" w:space="0" w:color="auto"/>
              <w:bottom w:val="single" w:sz="4" w:space="0" w:color="auto"/>
              <w:right w:val="single" w:sz="4" w:space="0" w:color="auto"/>
            </w:tcBorders>
            <w:vAlign w:val="center"/>
          </w:tcPr>
          <w:p w14:paraId="06055C44"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769</w:t>
            </w:r>
          </w:p>
        </w:tc>
        <w:tc>
          <w:tcPr>
            <w:tcW w:w="720" w:type="dxa"/>
            <w:tcBorders>
              <w:top w:val="single" w:sz="4" w:space="0" w:color="auto"/>
              <w:left w:val="single" w:sz="4" w:space="0" w:color="auto"/>
              <w:bottom w:val="single" w:sz="4" w:space="0" w:color="auto"/>
              <w:right w:val="single" w:sz="4" w:space="0" w:color="auto"/>
            </w:tcBorders>
            <w:vAlign w:val="center"/>
          </w:tcPr>
          <w:p w14:paraId="16B15E6B"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2,196</w:t>
            </w:r>
          </w:p>
        </w:tc>
        <w:tc>
          <w:tcPr>
            <w:tcW w:w="810" w:type="dxa"/>
            <w:tcBorders>
              <w:top w:val="single" w:sz="4" w:space="0" w:color="auto"/>
              <w:left w:val="single" w:sz="4" w:space="0" w:color="auto"/>
              <w:bottom w:val="single" w:sz="4" w:space="0" w:color="auto"/>
              <w:right w:val="single" w:sz="4" w:space="0" w:color="auto"/>
            </w:tcBorders>
            <w:vAlign w:val="center"/>
          </w:tcPr>
          <w:p w14:paraId="2D7FEDD0"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67%</w:t>
            </w:r>
          </w:p>
        </w:tc>
      </w:tr>
      <w:tr w:rsidR="008361FD" w:rsidRPr="00E37631" w14:paraId="584B29C7" w14:textId="77777777" w:rsidTr="00E37631">
        <w:trPr>
          <w:trHeight w:val="315"/>
          <w:jc w:val="center"/>
        </w:trPr>
        <w:tc>
          <w:tcPr>
            <w:tcW w:w="17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54305" w14:textId="77777777" w:rsidR="008361FD" w:rsidRPr="00E37631" w:rsidRDefault="008361FD" w:rsidP="00E81E54">
            <w:pPr>
              <w:pStyle w:val="ExhibitText"/>
              <w:jc w:val="left"/>
              <w:rPr>
                <w:b/>
                <w:sz w:val="18"/>
                <w:szCs w:val="18"/>
                <w:lang w:val="en-GB" w:eastAsia="zh-CN"/>
              </w:rPr>
            </w:pPr>
            <w:r w:rsidRPr="00E37631">
              <w:rPr>
                <w:b/>
                <w:sz w:val="18"/>
                <w:szCs w:val="18"/>
                <w:lang w:val="en-GB" w:eastAsia="zh-CN"/>
              </w:rPr>
              <w:t>Supervisor</w:t>
            </w:r>
          </w:p>
        </w:tc>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91E5C" w14:textId="77777777" w:rsidR="008361FD" w:rsidRPr="00E37631" w:rsidRDefault="008361FD" w:rsidP="00E37631">
            <w:pPr>
              <w:pStyle w:val="ExhibitText"/>
              <w:tabs>
                <w:tab w:val="decimal" w:pos="630"/>
              </w:tabs>
              <w:jc w:val="left"/>
              <w:rPr>
                <w:sz w:val="18"/>
                <w:szCs w:val="18"/>
                <w:lang w:val="en-GB" w:eastAsia="zh-CN"/>
              </w:rPr>
            </w:pPr>
            <w:r w:rsidRPr="00E37631">
              <w:rPr>
                <w:sz w:val="18"/>
                <w:szCs w:val="18"/>
                <w:lang w:val="en-GB" w:eastAsia="zh-CN"/>
              </w:rPr>
              <w:t>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E9FE3"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15.69%</w:t>
            </w:r>
          </w:p>
        </w:tc>
        <w:tc>
          <w:tcPr>
            <w:tcW w:w="1440" w:type="dxa"/>
            <w:tcBorders>
              <w:top w:val="single" w:sz="4" w:space="0" w:color="auto"/>
              <w:left w:val="single" w:sz="4" w:space="0" w:color="auto"/>
              <w:bottom w:val="single" w:sz="4" w:space="0" w:color="auto"/>
              <w:right w:val="single" w:sz="4" w:space="0" w:color="auto"/>
            </w:tcBorders>
            <w:vAlign w:val="center"/>
          </w:tcPr>
          <w:p w14:paraId="1D98B9F5" w14:textId="77777777" w:rsidR="008361FD" w:rsidRPr="00E37631" w:rsidRDefault="008361FD" w:rsidP="00E37631">
            <w:pPr>
              <w:pStyle w:val="ExhibitText"/>
              <w:tabs>
                <w:tab w:val="decimal" w:pos="881"/>
              </w:tabs>
              <w:jc w:val="left"/>
              <w:rPr>
                <w:sz w:val="18"/>
                <w:szCs w:val="18"/>
                <w:lang w:val="en-GB" w:eastAsia="zh-CN"/>
              </w:rPr>
            </w:pPr>
            <w:r w:rsidRPr="00E37631">
              <w:rPr>
                <w:sz w:val="18"/>
                <w:szCs w:val="18"/>
                <w:lang w:val="en-GB" w:eastAsia="zh-CN"/>
              </w:rPr>
              <w:t>867</w:t>
            </w:r>
          </w:p>
        </w:tc>
        <w:tc>
          <w:tcPr>
            <w:tcW w:w="1535" w:type="dxa"/>
            <w:tcBorders>
              <w:top w:val="single" w:sz="4" w:space="0" w:color="auto"/>
              <w:left w:val="single" w:sz="4" w:space="0" w:color="auto"/>
              <w:bottom w:val="single" w:sz="4" w:space="0" w:color="auto"/>
              <w:right w:val="single" w:sz="4" w:space="0" w:color="auto"/>
            </w:tcBorders>
            <w:vAlign w:val="center"/>
          </w:tcPr>
          <w:p w14:paraId="0722B477"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222</w:t>
            </w:r>
          </w:p>
        </w:tc>
        <w:tc>
          <w:tcPr>
            <w:tcW w:w="720" w:type="dxa"/>
            <w:tcBorders>
              <w:top w:val="single" w:sz="4" w:space="0" w:color="auto"/>
              <w:left w:val="single" w:sz="4" w:space="0" w:color="auto"/>
              <w:bottom w:val="single" w:sz="4" w:space="0" w:color="auto"/>
              <w:right w:val="single" w:sz="4" w:space="0" w:color="auto"/>
            </w:tcBorders>
            <w:vAlign w:val="center"/>
          </w:tcPr>
          <w:p w14:paraId="5971DF25"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1,089</w:t>
            </w:r>
          </w:p>
        </w:tc>
        <w:tc>
          <w:tcPr>
            <w:tcW w:w="810" w:type="dxa"/>
            <w:tcBorders>
              <w:top w:val="single" w:sz="4" w:space="0" w:color="auto"/>
              <w:left w:val="single" w:sz="4" w:space="0" w:color="auto"/>
              <w:bottom w:val="single" w:sz="4" w:space="0" w:color="auto"/>
              <w:right w:val="single" w:sz="4" w:space="0" w:color="auto"/>
            </w:tcBorders>
            <w:vAlign w:val="center"/>
          </w:tcPr>
          <w:p w14:paraId="008A64D7" w14:textId="77777777" w:rsidR="008361FD" w:rsidRPr="00E37631" w:rsidRDefault="008361FD" w:rsidP="00E37631">
            <w:pPr>
              <w:pStyle w:val="ExhibitText"/>
              <w:jc w:val="center"/>
              <w:rPr>
                <w:sz w:val="18"/>
                <w:szCs w:val="18"/>
                <w:lang w:val="en-GB" w:eastAsia="zh-CN"/>
              </w:rPr>
            </w:pPr>
            <w:r w:rsidRPr="00E37631">
              <w:rPr>
                <w:sz w:val="18"/>
                <w:szCs w:val="18"/>
                <w:lang w:val="en-GB" w:eastAsia="zh-CN"/>
              </w:rPr>
              <w:t>33%</w:t>
            </w:r>
          </w:p>
        </w:tc>
      </w:tr>
    </w:tbl>
    <w:p w14:paraId="751FBC89" w14:textId="77777777" w:rsidR="00E37631" w:rsidRDefault="00E37631" w:rsidP="008361FD">
      <w:pPr>
        <w:pStyle w:val="FootnoteText1"/>
        <w:rPr>
          <w:lang w:val="en-GB"/>
        </w:rPr>
      </w:pPr>
    </w:p>
    <w:p w14:paraId="5E59D423" w14:textId="5205F5A6" w:rsidR="008361FD" w:rsidRDefault="008361FD" w:rsidP="00E37631">
      <w:pPr>
        <w:pStyle w:val="FootnoteText1"/>
      </w:pPr>
      <w:r>
        <w:rPr>
          <w:lang w:val="en-GB"/>
        </w:rPr>
        <w:t xml:space="preserve">Source: </w:t>
      </w:r>
      <w:r w:rsidR="00E80FFE">
        <w:rPr>
          <w:lang w:val="en-GB"/>
        </w:rPr>
        <w:t xml:space="preserve">Created by the case authors using data from </w:t>
      </w:r>
      <w:proofErr w:type="spellStart"/>
      <w:r>
        <w:rPr>
          <w:lang w:val="en-GB"/>
        </w:rPr>
        <w:t>DigitalHR</w:t>
      </w:r>
      <w:proofErr w:type="spellEnd"/>
      <w:r w:rsidR="00E80FFE">
        <w:rPr>
          <w:lang w:val="en-GB"/>
        </w:rPr>
        <w:t>.</w:t>
      </w:r>
    </w:p>
    <w:sectPr w:rsidR="008361FD" w:rsidSect="00751E0B">
      <w:headerReference w:type="default" r:id="rId2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7C66061F" w14:textId="77777777" w:rsidR="008361FD" w:rsidRPr="00270845" w:rsidRDefault="008361FD" w:rsidP="008361FD">
      <w:pPr>
        <w:pStyle w:val="Footnote"/>
        <w:rPr>
          <w:rFonts w:eastAsia="SimSun"/>
          <w:lang w:eastAsia="zh-CN"/>
        </w:rPr>
      </w:pPr>
      <w:r>
        <w:rPr>
          <w:rStyle w:val="FootnoteReference"/>
        </w:rPr>
        <w:footnoteRef/>
      </w:r>
      <w:r>
        <w:t xml:space="preserve"> </w:t>
      </w:r>
      <w:r w:rsidRPr="00270845">
        <w:rPr>
          <w:rFonts w:eastAsia="SimSun"/>
          <w:lang w:eastAsia="zh-CN"/>
        </w:rPr>
        <w:t>Jaguar and Land Rover w</w:t>
      </w:r>
      <w:r>
        <w:rPr>
          <w:rFonts w:eastAsia="SimSun"/>
          <w:lang w:eastAsia="zh-CN"/>
        </w:rPr>
        <w:t>ere</w:t>
      </w:r>
      <w:r w:rsidRPr="00270845">
        <w:rPr>
          <w:rFonts w:eastAsia="SimSun"/>
          <w:lang w:eastAsia="zh-CN"/>
        </w:rPr>
        <w:t xml:space="preserve"> added to the group in 2014, </w:t>
      </w:r>
      <w:r>
        <w:rPr>
          <w:rFonts w:eastAsia="SimSun"/>
          <w:lang w:eastAsia="zh-CN"/>
        </w:rPr>
        <w:t xml:space="preserve">and </w:t>
      </w:r>
      <w:r w:rsidRPr="00270845">
        <w:rPr>
          <w:rFonts w:eastAsia="SimSun"/>
          <w:lang w:eastAsia="zh-CN"/>
        </w:rPr>
        <w:t xml:space="preserve">Volvo </w:t>
      </w:r>
      <w:r>
        <w:rPr>
          <w:rFonts w:eastAsia="SimSun"/>
          <w:lang w:eastAsia="zh-CN"/>
        </w:rPr>
        <w:t xml:space="preserve">was added </w:t>
      </w:r>
      <w:r w:rsidRPr="00270845">
        <w:rPr>
          <w:rFonts w:eastAsia="SimSun"/>
          <w:lang w:eastAsia="zh-CN"/>
        </w:rPr>
        <w:t>in 2015</w:t>
      </w:r>
      <w:r>
        <w:rPr>
          <w:rFonts w:eastAsia="SimSun"/>
          <w:lang w:eastAsia="zh-CN"/>
        </w:rPr>
        <w:t>.</w:t>
      </w:r>
    </w:p>
  </w:footnote>
  <w:footnote w:id="2">
    <w:p w14:paraId="7105CF1E" w14:textId="4457E03C" w:rsidR="008361FD" w:rsidRPr="006178E7" w:rsidRDefault="008361FD" w:rsidP="008361FD">
      <w:pPr>
        <w:pStyle w:val="FootnoteText1"/>
      </w:pPr>
      <w:r>
        <w:rPr>
          <w:rStyle w:val="FootnoteReference"/>
        </w:rPr>
        <w:footnoteRef/>
      </w:r>
      <w:r>
        <w:t xml:space="preserve"> </w:t>
      </w:r>
      <w:r w:rsidRPr="007C4DD7">
        <w:rPr>
          <w:noProof/>
        </w:rPr>
        <w:t>“Road Motor Vehicle Registrations, by Type of Vehicle</w:t>
      </w:r>
      <w:r>
        <w:rPr>
          <w:noProof/>
        </w:rPr>
        <w:t>,</w:t>
      </w:r>
      <w:r w:rsidRPr="007C4DD7">
        <w:rPr>
          <w:noProof/>
        </w:rPr>
        <w:t>”</w:t>
      </w:r>
      <w:r>
        <w:rPr>
          <w:noProof/>
        </w:rPr>
        <w:t xml:space="preserve"> </w:t>
      </w:r>
      <w:r w:rsidRPr="007C4DD7">
        <w:rPr>
          <w:noProof/>
        </w:rPr>
        <w:t xml:space="preserve">Statistics </w:t>
      </w:r>
      <w:r w:rsidRPr="00EF2C80">
        <w:t>Canada</w:t>
      </w:r>
      <w:r>
        <w:rPr>
          <w:noProof/>
        </w:rPr>
        <w:t>,</w:t>
      </w:r>
      <w:r w:rsidRPr="007C4DD7">
        <w:rPr>
          <w:noProof/>
        </w:rPr>
        <w:t xml:space="preserve"> </w:t>
      </w:r>
      <w:r>
        <w:rPr>
          <w:noProof/>
        </w:rPr>
        <w:t xml:space="preserve">2018, accessed </w:t>
      </w:r>
      <w:r w:rsidRPr="005F5CFA">
        <w:rPr>
          <w:noProof/>
        </w:rPr>
        <w:t xml:space="preserve">July 5, </w:t>
      </w:r>
      <w:r>
        <w:rPr>
          <w:noProof/>
        </w:rPr>
        <w:t>2018,</w:t>
      </w:r>
      <w:r w:rsidRPr="007C4DD7">
        <w:rPr>
          <w:noProof/>
        </w:rPr>
        <w:t xml:space="preserve"> </w:t>
      </w:r>
      <w:r w:rsidRPr="00E27AC5">
        <w:rPr>
          <w:noProof/>
        </w:rPr>
        <w:t>www150.statcan.gc.ca/t1/tbl1/en/tv.action?pid=2310006701</w:t>
      </w:r>
      <w:r w:rsidR="006178E7">
        <w:rPr>
          <w:noProof/>
        </w:rPr>
        <w:t>.</w:t>
      </w:r>
    </w:p>
  </w:footnote>
  <w:footnote w:id="3">
    <w:p w14:paraId="06E7957B" w14:textId="77777777" w:rsidR="008361FD" w:rsidRPr="00186461" w:rsidRDefault="008361FD" w:rsidP="008361FD">
      <w:pPr>
        <w:pStyle w:val="FootnoteText1"/>
        <w:rPr>
          <w:lang w:val="en-GB"/>
        </w:rPr>
      </w:pPr>
      <w:r>
        <w:rPr>
          <w:rStyle w:val="FootnoteReference"/>
        </w:rPr>
        <w:footnoteRef/>
      </w:r>
      <w:r w:rsidRPr="00745F7E">
        <w:rPr>
          <w:lang w:val="en-GB"/>
        </w:rPr>
        <w:t xml:space="preserve"> </w:t>
      </w:r>
      <w:r>
        <w:rPr>
          <w:lang w:val="en-GB"/>
        </w:rPr>
        <w:t xml:space="preserve">Carlos </w:t>
      </w:r>
      <w:r w:rsidRPr="00745F7E">
        <w:rPr>
          <w:noProof/>
          <w:lang w:val="en-GB"/>
        </w:rPr>
        <w:t xml:space="preserve">Gomes, </w:t>
      </w:r>
      <w:r w:rsidRPr="00186461">
        <w:rPr>
          <w:noProof/>
          <w:lang w:val="en-GB"/>
        </w:rPr>
        <w:t>“Global</w:t>
      </w:r>
      <w:r>
        <w:rPr>
          <w:noProof/>
          <w:lang w:val="en-GB"/>
        </w:rPr>
        <w:t xml:space="preserve"> </w:t>
      </w:r>
      <w:r w:rsidRPr="00186461">
        <w:rPr>
          <w:noProof/>
          <w:lang w:val="en-GB"/>
        </w:rPr>
        <w:t>Auto Report</w:t>
      </w:r>
      <w:r>
        <w:rPr>
          <w:noProof/>
          <w:lang w:val="en-GB"/>
        </w:rPr>
        <w:t>: Canadian Auto Sales Expected to Total 2 Million Units in 2018,</w:t>
      </w:r>
      <w:r w:rsidRPr="00186461">
        <w:rPr>
          <w:noProof/>
          <w:lang w:val="en-GB"/>
        </w:rPr>
        <w:t xml:space="preserve">” Scotiabank, February 23, 2018, accessed </w:t>
      </w:r>
      <w:r w:rsidRPr="005F5CFA">
        <w:rPr>
          <w:noProof/>
          <w:lang w:val="en-GB"/>
        </w:rPr>
        <w:t xml:space="preserve">July 5, </w:t>
      </w:r>
      <w:r>
        <w:rPr>
          <w:noProof/>
          <w:lang w:val="en-GB"/>
        </w:rPr>
        <w:t>2018</w:t>
      </w:r>
      <w:r w:rsidRPr="00186461">
        <w:rPr>
          <w:noProof/>
          <w:lang w:val="en-GB"/>
        </w:rPr>
        <w:t>, www.gbm.scotiabank.com/scpt/gbm/scotiaeconomics63/GAR_2018-02-23.pdf.</w:t>
      </w:r>
    </w:p>
  </w:footnote>
  <w:footnote w:id="4">
    <w:p w14:paraId="7D5E5297" w14:textId="77777777" w:rsidR="008361FD" w:rsidRDefault="008361FD" w:rsidP="00076A81">
      <w:pPr>
        <w:pStyle w:val="FootnoteText1"/>
      </w:pPr>
      <w:r>
        <w:rPr>
          <w:rStyle w:val="FootnoteReference"/>
        </w:rPr>
        <w:footnoteRef/>
      </w:r>
      <w:r>
        <w:t xml:space="preserve"> </w:t>
      </w:r>
      <w:r w:rsidRPr="00186461">
        <w:rPr>
          <w:lang w:val="en-GB"/>
        </w:rPr>
        <w:t xml:space="preserve">Ibid. </w:t>
      </w:r>
    </w:p>
  </w:footnote>
  <w:footnote w:id="5">
    <w:p w14:paraId="269372ED" w14:textId="77777777" w:rsidR="008361FD" w:rsidRPr="00186461" w:rsidRDefault="008361FD" w:rsidP="00076A81">
      <w:pPr>
        <w:pStyle w:val="FootnoteText1"/>
        <w:rPr>
          <w:lang w:val="en-GB"/>
        </w:rPr>
      </w:pPr>
      <w:r>
        <w:rPr>
          <w:rStyle w:val="FootnoteReference"/>
        </w:rPr>
        <w:footnoteRef/>
      </w:r>
      <w:r w:rsidRPr="00186461">
        <w:rPr>
          <w:lang w:val="en-GB"/>
        </w:rPr>
        <w:t xml:space="preserve"> Ibid. </w:t>
      </w:r>
    </w:p>
  </w:footnote>
  <w:footnote w:id="6">
    <w:p w14:paraId="01ACC28C" w14:textId="0012DBA0" w:rsidR="008361FD" w:rsidRDefault="008361FD" w:rsidP="008361FD">
      <w:pPr>
        <w:pStyle w:val="FootnoteText1"/>
      </w:pPr>
      <w:r>
        <w:rPr>
          <w:rStyle w:val="FootnoteReference"/>
        </w:rPr>
        <w:footnoteRef/>
      </w:r>
      <w:r>
        <w:t xml:space="preserve"> Chris </w:t>
      </w:r>
      <w:r w:rsidRPr="007C4DD7">
        <w:rPr>
          <w:noProof/>
        </w:rPr>
        <w:t>Bateman, “How Many Cars Are on the Road in Toronto</w:t>
      </w:r>
      <w:r>
        <w:rPr>
          <w:noProof/>
        </w:rPr>
        <w:t>,</w:t>
      </w:r>
      <w:r w:rsidRPr="007C4DD7">
        <w:rPr>
          <w:noProof/>
        </w:rPr>
        <w:t xml:space="preserve">” </w:t>
      </w:r>
      <w:r w:rsidRPr="007C4DD7">
        <w:rPr>
          <w:i/>
          <w:noProof/>
        </w:rPr>
        <w:t>BlogTO</w:t>
      </w:r>
      <w:r w:rsidRPr="007C4DD7">
        <w:rPr>
          <w:noProof/>
        </w:rPr>
        <w:t>, July 30</w:t>
      </w:r>
      <w:r>
        <w:rPr>
          <w:noProof/>
        </w:rPr>
        <w:t>, 2014, accessed July 6, 2018,</w:t>
      </w:r>
      <w:r w:rsidRPr="007C4DD7">
        <w:rPr>
          <w:noProof/>
        </w:rPr>
        <w:t xml:space="preserve"> www.blogto.com/city/2014/07/how_many_cars_are_on_the_road_in_toronto/.</w:t>
      </w:r>
    </w:p>
  </w:footnote>
  <w:footnote w:id="7">
    <w:p w14:paraId="5BB01D2B" w14:textId="77777777" w:rsidR="008361FD" w:rsidRPr="00C73E99" w:rsidRDefault="008361FD" w:rsidP="008361FD">
      <w:pPr>
        <w:pStyle w:val="FootnoteText1"/>
        <w:rPr>
          <w:b/>
        </w:rPr>
      </w:pPr>
      <w:r>
        <w:rPr>
          <w:rStyle w:val="FootnoteReference"/>
        </w:rPr>
        <w:footnoteRef/>
      </w:r>
      <w:r>
        <w:t xml:space="preserve"> Iris </w:t>
      </w:r>
      <w:r w:rsidRPr="007C4DD7">
        <w:rPr>
          <w:noProof/>
        </w:rPr>
        <w:t xml:space="preserve">Peters, </w:t>
      </w:r>
      <w:r w:rsidRPr="00C73E99">
        <w:rPr>
          <w:i/>
          <w:noProof/>
        </w:rPr>
        <w:t>IBISWorld Industry Report 44111CA: New Car Dealers in Canada</w:t>
      </w:r>
      <w:r>
        <w:rPr>
          <w:noProof/>
        </w:rPr>
        <w:t>,</w:t>
      </w:r>
      <w:r w:rsidRPr="007C4DD7">
        <w:rPr>
          <w:noProof/>
        </w:rPr>
        <w:t xml:space="preserve"> </w:t>
      </w:r>
      <w:r w:rsidRPr="00E81E54">
        <w:rPr>
          <w:noProof/>
        </w:rPr>
        <w:t>IBISWorld</w:t>
      </w:r>
      <w:r>
        <w:rPr>
          <w:noProof/>
        </w:rPr>
        <w:t>, 2017,</w:t>
      </w:r>
      <w:r w:rsidRPr="004D1C12">
        <w:rPr>
          <w:noProof/>
        </w:rPr>
        <w:t xml:space="preserve"> </w:t>
      </w:r>
      <w:r>
        <w:rPr>
          <w:noProof/>
        </w:rPr>
        <w:t xml:space="preserve">accessed </w:t>
      </w:r>
      <w:r w:rsidRPr="005F5CFA">
        <w:rPr>
          <w:noProof/>
        </w:rPr>
        <w:t>July 6, 2</w:t>
      </w:r>
      <w:r>
        <w:rPr>
          <w:noProof/>
        </w:rPr>
        <w:t>018,</w:t>
      </w:r>
      <w:r w:rsidRPr="007C4DD7">
        <w:rPr>
          <w:noProof/>
        </w:rPr>
        <w:t xml:space="preserve"> </w:t>
      </w:r>
      <w:r w:rsidRPr="004D1C12">
        <w:rPr>
          <w:noProof/>
        </w:rPr>
        <w:t>http://clients1.ibisworld.ca/reports/ca/industry/default.aspx?entid=1003</w:t>
      </w:r>
      <w:r>
        <w:rPr>
          <w:noProof/>
        </w:rPr>
        <w:t>.</w:t>
      </w:r>
    </w:p>
  </w:footnote>
  <w:footnote w:id="8">
    <w:p w14:paraId="0E5BF030" w14:textId="77777777" w:rsidR="008361FD" w:rsidRPr="00186461" w:rsidRDefault="008361FD" w:rsidP="008361FD">
      <w:pPr>
        <w:pStyle w:val="FootnoteText1"/>
        <w:rPr>
          <w:lang w:val="en-GB"/>
        </w:rPr>
      </w:pPr>
      <w:r>
        <w:rPr>
          <w:rStyle w:val="FootnoteReference"/>
        </w:rPr>
        <w:footnoteRef/>
      </w:r>
      <w:r w:rsidRPr="00745F7E">
        <w:rPr>
          <w:lang w:val="en-GB"/>
        </w:rPr>
        <w:t xml:space="preserve"> </w:t>
      </w:r>
      <w:r>
        <w:rPr>
          <w:lang w:val="en-GB"/>
        </w:rPr>
        <w:t xml:space="preserve">Ibid.; Gomes, op. cit. </w:t>
      </w:r>
    </w:p>
  </w:footnote>
  <w:footnote w:id="9">
    <w:p w14:paraId="781A2BB0" w14:textId="77777777" w:rsidR="008361FD" w:rsidRDefault="008361FD" w:rsidP="008361FD">
      <w:pPr>
        <w:pStyle w:val="FootnoteText1"/>
      </w:pPr>
      <w:r>
        <w:rPr>
          <w:rStyle w:val="FootnoteReference"/>
        </w:rPr>
        <w:footnoteRef/>
      </w:r>
      <w:r>
        <w:t xml:space="preserve"> </w:t>
      </w:r>
      <w:r w:rsidRPr="007C4DD7">
        <w:rPr>
          <w:noProof/>
        </w:rPr>
        <w:t xml:space="preserve">Peters, </w:t>
      </w:r>
      <w:r>
        <w:rPr>
          <w:noProof/>
        </w:rPr>
        <w:t xml:space="preserve">op. cit. </w:t>
      </w:r>
    </w:p>
  </w:footnote>
  <w:footnote w:id="10">
    <w:p w14:paraId="7EB18213" w14:textId="24422330" w:rsidR="006C1FE1" w:rsidRDefault="006C1FE1" w:rsidP="006C1FE1">
      <w:pPr>
        <w:pStyle w:val="FootnoteText1"/>
      </w:pPr>
      <w:r>
        <w:rPr>
          <w:rStyle w:val="FootnoteReference"/>
        </w:rPr>
        <w:footnoteRef/>
      </w:r>
      <w:r>
        <w:t xml:space="preserve"> Peters, op. cit.</w:t>
      </w:r>
    </w:p>
  </w:footnote>
  <w:footnote w:id="11">
    <w:p w14:paraId="1F0AFF5E" w14:textId="381BC7C0" w:rsidR="008361FD" w:rsidRDefault="008361FD" w:rsidP="008361FD">
      <w:pPr>
        <w:pStyle w:val="FootnoteText1"/>
      </w:pPr>
      <w:r>
        <w:rPr>
          <w:rStyle w:val="FootnoteReference"/>
        </w:rPr>
        <w:footnoteRef/>
      </w:r>
      <w:r>
        <w:t xml:space="preserve"> Neil </w:t>
      </w:r>
      <w:r w:rsidRPr="007C4DD7">
        <w:rPr>
          <w:noProof/>
        </w:rPr>
        <w:t>Vorano, “How Car Dealerships Must Change to Stop Upsetting Customers</w:t>
      </w:r>
      <w:r>
        <w:rPr>
          <w:noProof/>
        </w:rPr>
        <w:t>,</w:t>
      </w:r>
      <w:r w:rsidRPr="007C4DD7">
        <w:rPr>
          <w:noProof/>
        </w:rPr>
        <w:t xml:space="preserve">” </w:t>
      </w:r>
      <w:r w:rsidRPr="007C4DD7">
        <w:rPr>
          <w:i/>
          <w:noProof/>
        </w:rPr>
        <w:t>Globe and Mail</w:t>
      </w:r>
      <w:r w:rsidRPr="007C4DD7">
        <w:rPr>
          <w:noProof/>
        </w:rPr>
        <w:t>, May 12</w:t>
      </w:r>
      <w:r>
        <w:rPr>
          <w:noProof/>
        </w:rPr>
        <w:t>, 2018, accessed August 8, 2018,</w:t>
      </w:r>
      <w:r w:rsidRPr="007C4DD7">
        <w:rPr>
          <w:noProof/>
        </w:rPr>
        <w:t xml:space="preserve"> www.theglobeandmail.com/globe-drive/news/industry-news/how-buyers-researching-cars-online-is-changing-the-industry/article21872344/.</w:t>
      </w:r>
    </w:p>
  </w:footnote>
  <w:footnote w:id="12">
    <w:p w14:paraId="03F37984" w14:textId="3654E253" w:rsidR="008361FD" w:rsidRPr="00076A81" w:rsidRDefault="008361FD" w:rsidP="008361FD">
      <w:pPr>
        <w:pStyle w:val="FootnoteText1"/>
        <w:rPr>
          <w:spacing w:val="-2"/>
        </w:rPr>
      </w:pPr>
      <w:r w:rsidRPr="00076A81">
        <w:rPr>
          <w:rStyle w:val="FootnoteReference"/>
          <w:spacing w:val="-2"/>
        </w:rPr>
        <w:footnoteRef/>
      </w:r>
      <w:r w:rsidRPr="00076A81">
        <w:rPr>
          <w:spacing w:val="-2"/>
        </w:rPr>
        <w:t xml:space="preserve"> Lin </w:t>
      </w:r>
      <w:r w:rsidRPr="00076A81">
        <w:rPr>
          <w:noProof/>
          <w:spacing w:val="-2"/>
        </w:rPr>
        <w:t xml:space="preserve">Grosman, “How E-Commerce Is Driving the Auto Industry,” </w:t>
      </w:r>
      <w:r w:rsidRPr="00076A81">
        <w:rPr>
          <w:i/>
          <w:noProof/>
          <w:spacing w:val="-2"/>
        </w:rPr>
        <w:t>Forbes</w:t>
      </w:r>
      <w:r w:rsidRPr="00076A81">
        <w:rPr>
          <w:noProof/>
          <w:spacing w:val="-2"/>
        </w:rPr>
        <w:t xml:space="preserve">, April 23, 2018, </w:t>
      </w:r>
      <w:r w:rsidRPr="00076A81">
        <w:rPr>
          <w:noProof/>
          <w:spacing w:val="-2"/>
          <w:lang w:val="en-GB"/>
        </w:rPr>
        <w:t xml:space="preserve">accessed August 8, 2018, </w:t>
      </w:r>
      <w:r w:rsidRPr="00076A81">
        <w:rPr>
          <w:noProof/>
          <w:spacing w:val="-2"/>
        </w:rPr>
        <w:t>www.forbes.com/sites/forbescommunicationscouncil/2018/04/23/how-e-commerce-is-driving-the-auto-industry/#57dd0bf77f76.</w:t>
      </w:r>
    </w:p>
  </w:footnote>
  <w:footnote w:id="13">
    <w:p w14:paraId="2E89718E" w14:textId="77777777" w:rsidR="008361FD" w:rsidRDefault="008361FD" w:rsidP="008361FD">
      <w:pPr>
        <w:pStyle w:val="FootnoteText1"/>
      </w:pPr>
      <w:r>
        <w:rPr>
          <w:rStyle w:val="FootnoteReference"/>
        </w:rPr>
        <w:footnoteRef/>
      </w:r>
      <w:r>
        <w:t xml:space="preserve"> Vorano, op. cit. </w:t>
      </w:r>
    </w:p>
  </w:footnote>
  <w:footnote w:id="14">
    <w:p w14:paraId="69D61BB1" w14:textId="77777777" w:rsidR="008361FD" w:rsidRDefault="008361FD" w:rsidP="008361FD">
      <w:pPr>
        <w:pStyle w:val="FootnoteText1"/>
      </w:pPr>
      <w:r>
        <w:rPr>
          <w:rStyle w:val="FootnoteReference"/>
        </w:rPr>
        <w:footnoteRef/>
      </w:r>
      <w:r>
        <w:t xml:space="preserve"> Amy </w:t>
      </w:r>
      <w:r w:rsidRPr="007C4DD7">
        <w:rPr>
          <w:noProof/>
        </w:rPr>
        <w:t>Wilson, “Employee Turnover Costs Dealers Billions</w:t>
      </w:r>
      <w:r>
        <w:rPr>
          <w:noProof/>
        </w:rPr>
        <w:t>,</w:t>
      </w:r>
      <w:r w:rsidRPr="007C4DD7">
        <w:rPr>
          <w:noProof/>
        </w:rPr>
        <w:t xml:space="preserve">” </w:t>
      </w:r>
      <w:r w:rsidRPr="007C4DD7">
        <w:rPr>
          <w:i/>
          <w:noProof/>
        </w:rPr>
        <w:t>Automotive News</w:t>
      </w:r>
      <w:r w:rsidRPr="007C4DD7">
        <w:rPr>
          <w:noProof/>
        </w:rPr>
        <w:t>, January 23</w:t>
      </w:r>
      <w:r>
        <w:rPr>
          <w:noProof/>
        </w:rPr>
        <w:t>, 2017,</w:t>
      </w:r>
      <w:r w:rsidRPr="007C4DD7">
        <w:rPr>
          <w:noProof/>
        </w:rPr>
        <w:t xml:space="preserve"> </w:t>
      </w:r>
      <w:r>
        <w:rPr>
          <w:noProof/>
        </w:rPr>
        <w:t>accessed August 8, 2018,</w:t>
      </w:r>
      <w:r w:rsidRPr="007C4DD7">
        <w:rPr>
          <w:noProof/>
        </w:rPr>
        <w:t xml:space="preserve"> www.autonews.com/article/20170123/RETAIL06/301239850/employee-turnover-costs-dealers-billions</w:t>
      </w:r>
      <w:r>
        <w:rPr>
          <w:noProof/>
        </w:rPr>
        <w:t>.</w:t>
      </w:r>
    </w:p>
  </w:footnote>
  <w:footnote w:id="15">
    <w:p w14:paraId="55F13D9A" w14:textId="77777777" w:rsidR="008361FD" w:rsidRDefault="008361FD" w:rsidP="008361FD">
      <w:pPr>
        <w:pStyle w:val="FootnoteText1"/>
      </w:pPr>
      <w:r>
        <w:rPr>
          <w:rStyle w:val="FootnoteReference"/>
        </w:rPr>
        <w:footnoteRef/>
      </w:r>
      <w:r>
        <w:t xml:space="preserve"> Ibid</w:t>
      </w:r>
      <w:r>
        <w:rPr>
          <w:noProo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196508D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8361FD">
      <w:rPr>
        <w:rFonts w:ascii="Arial" w:hAnsi="Arial"/>
        <w:b/>
      </w:rPr>
      <w:t>9B19C020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B004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DC7D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B4C5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7429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86A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24F0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0A6B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1C40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AA8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BE7F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607990">
    <w:abstractNumId w:val="20"/>
  </w:num>
  <w:num w:numId="2" w16cid:durableId="1882355649">
    <w:abstractNumId w:val="14"/>
  </w:num>
  <w:num w:numId="3" w16cid:durableId="1465461295">
    <w:abstractNumId w:val="12"/>
  </w:num>
  <w:num w:numId="4" w16cid:durableId="747769975">
    <w:abstractNumId w:val="19"/>
  </w:num>
  <w:num w:numId="5" w16cid:durableId="758599316">
    <w:abstractNumId w:val="13"/>
  </w:num>
  <w:num w:numId="6" w16cid:durableId="355473743">
    <w:abstractNumId w:val="17"/>
  </w:num>
  <w:num w:numId="7" w16cid:durableId="1980459120">
    <w:abstractNumId w:val="10"/>
  </w:num>
  <w:num w:numId="8" w16cid:durableId="1974673517">
    <w:abstractNumId w:val="21"/>
  </w:num>
  <w:num w:numId="9" w16cid:durableId="962886541">
    <w:abstractNumId w:val="18"/>
  </w:num>
  <w:num w:numId="10" w16cid:durableId="1011104494">
    <w:abstractNumId w:val="11"/>
  </w:num>
  <w:num w:numId="11" w16cid:durableId="1708022428">
    <w:abstractNumId w:val="15"/>
  </w:num>
  <w:num w:numId="12" w16cid:durableId="1124692932">
    <w:abstractNumId w:val="16"/>
  </w:num>
  <w:num w:numId="13" w16cid:durableId="1377241978">
    <w:abstractNumId w:val="9"/>
  </w:num>
  <w:num w:numId="14" w16cid:durableId="430977664">
    <w:abstractNumId w:val="7"/>
  </w:num>
  <w:num w:numId="15" w16cid:durableId="1851067598">
    <w:abstractNumId w:val="6"/>
  </w:num>
  <w:num w:numId="16" w16cid:durableId="1955285985">
    <w:abstractNumId w:val="5"/>
  </w:num>
  <w:num w:numId="17" w16cid:durableId="1338388055">
    <w:abstractNumId w:val="4"/>
  </w:num>
  <w:num w:numId="18" w16cid:durableId="418840598">
    <w:abstractNumId w:val="8"/>
  </w:num>
  <w:num w:numId="19" w16cid:durableId="1727096384">
    <w:abstractNumId w:val="3"/>
  </w:num>
  <w:num w:numId="20" w16cid:durableId="480120486">
    <w:abstractNumId w:val="2"/>
  </w:num>
  <w:num w:numId="21" w16cid:durableId="24409712">
    <w:abstractNumId w:val="1"/>
  </w:num>
  <w:num w:numId="22" w16cid:durableId="195909966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6A81"/>
    <w:rsid w:val="0008102D"/>
    <w:rsid w:val="00086B26"/>
    <w:rsid w:val="00094C0E"/>
    <w:rsid w:val="000A146D"/>
    <w:rsid w:val="000D2A2F"/>
    <w:rsid w:val="000D7091"/>
    <w:rsid w:val="000F0C22"/>
    <w:rsid w:val="000F2609"/>
    <w:rsid w:val="000F6B09"/>
    <w:rsid w:val="000F6FDC"/>
    <w:rsid w:val="00104567"/>
    <w:rsid w:val="00104916"/>
    <w:rsid w:val="00104AA7"/>
    <w:rsid w:val="0012732D"/>
    <w:rsid w:val="00143F25"/>
    <w:rsid w:val="00152682"/>
    <w:rsid w:val="00154FC9"/>
    <w:rsid w:val="00177165"/>
    <w:rsid w:val="001901C0"/>
    <w:rsid w:val="0019241A"/>
    <w:rsid w:val="00192A18"/>
    <w:rsid w:val="0019512E"/>
    <w:rsid w:val="001A22D1"/>
    <w:rsid w:val="001A752D"/>
    <w:rsid w:val="001A757E"/>
    <w:rsid w:val="001B5032"/>
    <w:rsid w:val="001C7777"/>
    <w:rsid w:val="001D344B"/>
    <w:rsid w:val="001E364F"/>
    <w:rsid w:val="001F4222"/>
    <w:rsid w:val="001F4E62"/>
    <w:rsid w:val="0020052C"/>
    <w:rsid w:val="00203AA1"/>
    <w:rsid w:val="00213E98"/>
    <w:rsid w:val="00230150"/>
    <w:rsid w:val="0023081A"/>
    <w:rsid w:val="00233111"/>
    <w:rsid w:val="00265FA8"/>
    <w:rsid w:val="002B40FF"/>
    <w:rsid w:val="002C4E29"/>
    <w:rsid w:val="002F460C"/>
    <w:rsid w:val="002F48D6"/>
    <w:rsid w:val="00303B78"/>
    <w:rsid w:val="00317391"/>
    <w:rsid w:val="00326216"/>
    <w:rsid w:val="00336580"/>
    <w:rsid w:val="003528D1"/>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5A40"/>
    <w:rsid w:val="00566771"/>
    <w:rsid w:val="00581E2E"/>
    <w:rsid w:val="00584F15"/>
    <w:rsid w:val="0059514B"/>
    <w:rsid w:val="005A1B0F"/>
    <w:rsid w:val="005B4CE6"/>
    <w:rsid w:val="005B5EFE"/>
    <w:rsid w:val="006163F7"/>
    <w:rsid w:val="006178E7"/>
    <w:rsid w:val="00627C63"/>
    <w:rsid w:val="0063350B"/>
    <w:rsid w:val="00652606"/>
    <w:rsid w:val="006946EE"/>
    <w:rsid w:val="006A58A9"/>
    <w:rsid w:val="006A606D"/>
    <w:rsid w:val="006C0371"/>
    <w:rsid w:val="006C08B6"/>
    <w:rsid w:val="006C0B1A"/>
    <w:rsid w:val="006C1FE1"/>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361FD"/>
    <w:rsid w:val="00841EE7"/>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B7B68"/>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7631"/>
    <w:rsid w:val="00E471A7"/>
    <w:rsid w:val="00E635CF"/>
    <w:rsid w:val="00E80FFE"/>
    <w:rsid w:val="00EB1E3B"/>
    <w:rsid w:val="00EC6E0A"/>
    <w:rsid w:val="00ED4E18"/>
    <w:rsid w:val="00ED7922"/>
    <w:rsid w:val="00EE02C4"/>
    <w:rsid w:val="00EE1F37"/>
    <w:rsid w:val="00F0159C"/>
    <w:rsid w:val="00F0500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D:\Dropbox\My%20research\Cases\Digital%20Recognition%20and%20Organizational%20Change\1%20Kun\Exhibits\Exhibit%203.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Dropbox\My%20research\Cases\Digital%20Recognition%20and%20Organizational%20Change\1%20Kun\Exhibits\Exhibit%203.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D:\Dropbox\My%20research\Cases\Digital%20Recognition%20and%20Organizational%20Change\1%20Kun\Exhibits\Exhibit%203.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D:\Dropbox\My%20research\Cases\Digital%20Recognition%20and%20Organizational%20Change\1%20Kun\Exhibits\Exhibit%203.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000">
                <a:latin typeface="Arial" panose="020B0604020202020204" pitchFamily="34" charset="0"/>
                <a:cs typeface="Arial" panose="020B0604020202020204" pitchFamily="34" charset="0"/>
              </a:rPr>
              <a:t>Frequencies of Badges Sent</a:t>
            </a:r>
            <a:r>
              <a:rPr lang="en-CA" sz="1000" baseline="0">
                <a:latin typeface="Arial" panose="020B0604020202020204" pitchFamily="34" charset="0"/>
                <a:cs typeface="Arial" panose="020B0604020202020204" pitchFamily="34" charset="0"/>
              </a:rPr>
              <a:t> from August 2015 to December 2017</a:t>
            </a:r>
            <a:endParaRPr lang="en-CA" sz="1000">
              <a:latin typeface="Arial" panose="020B0604020202020204" pitchFamily="34" charset="0"/>
              <a:cs typeface="Arial" panose="020B0604020202020204" pitchFamily="34" charset="0"/>
            </a:endParaRPr>
          </a:p>
        </c:rich>
      </c:tx>
      <c:overlay val="0"/>
      <c:spPr>
        <a:noFill/>
        <a:ln>
          <a:noFill/>
        </a:ln>
        <a:effectLst/>
      </c:spPr>
    </c:title>
    <c:autoTitleDeleted val="0"/>
    <c:plotArea>
      <c:layout/>
      <c:areaChart>
        <c:grouping val="standard"/>
        <c:varyColors val="0"/>
        <c:ser>
          <c:idx val="0"/>
          <c:order val="0"/>
          <c:tx>
            <c:strRef>
              <c:f>Sheet1!$C$1</c:f>
              <c:strCache>
                <c:ptCount val="1"/>
                <c:pt idx="0">
                  <c:v>Total</c:v>
                </c:pt>
              </c:strCache>
            </c:strRef>
          </c:tx>
          <c:spPr>
            <a:solidFill>
              <a:schemeClr val="dk1">
                <a:tint val="88500"/>
              </a:schemeClr>
            </a:solidFill>
            <a:ln>
              <a:noFill/>
            </a:ln>
            <a:effectLst/>
          </c:spPr>
          <c:cat>
            <c:multiLvlStrRef>
              <c:f>Sheet1!$A$19:$B$47</c:f>
              <c:multiLvlStrCache>
                <c:ptCount val="29"/>
                <c:lvl>
                  <c:pt idx="0">
                    <c:v>Aug.</c:v>
                  </c:pt>
                  <c:pt idx="1">
                    <c:v>Sep.</c:v>
                  </c:pt>
                  <c:pt idx="2">
                    <c:v>Oct.</c:v>
                  </c:pt>
                  <c:pt idx="3">
                    <c:v>Nov.</c:v>
                  </c:pt>
                  <c:pt idx="4">
                    <c:v>Dec.</c:v>
                  </c:pt>
                  <c:pt idx="5">
                    <c:v>Jan.</c:v>
                  </c:pt>
                  <c:pt idx="6">
                    <c:v>Feb.</c:v>
                  </c:pt>
                  <c:pt idx="7">
                    <c:v>Mar.</c:v>
                  </c:pt>
                  <c:pt idx="8">
                    <c:v>Apr.</c:v>
                  </c:pt>
                  <c:pt idx="9">
                    <c:v>May</c:v>
                  </c:pt>
                  <c:pt idx="10">
                    <c:v>Jun.</c:v>
                  </c:pt>
                  <c:pt idx="11">
                    <c:v>Jul.</c:v>
                  </c:pt>
                  <c:pt idx="12">
                    <c:v>Aug.</c:v>
                  </c:pt>
                  <c:pt idx="13">
                    <c:v>Sep.</c:v>
                  </c:pt>
                  <c:pt idx="14">
                    <c:v>Oct.</c:v>
                  </c:pt>
                  <c:pt idx="15">
                    <c:v>Nov.</c:v>
                  </c:pt>
                  <c:pt idx="16">
                    <c:v>Dec.</c:v>
                  </c:pt>
                  <c:pt idx="17">
                    <c:v>Jan.</c:v>
                  </c:pt>
                  <c:pt idx="18">
                    <c:v>Feb.</c:v>
                  </c:pt>
                  <c:pt idx="19">
                    <c:v>Mar.</c:v>
                  </c:pt>
                  <c:pt idx="20">
                    <c:v>Apr.</c:v>
                  </c:pt>
                  <c:pt idx="21">
                    <c:v>May</c:v>
                  </c:pt>
                  <c:pt idx="22">
                    <c:v>Jun.</c:v>
                  </c:pt>
                  <c:pt idx="23">
                    <c:v>Jul.</c:v>
                  </c:pt>
                  <c:pt idx="24">
                    <c:v>Aug.</c:v>
                  </c:pt>
                  <c:pt idx="25">
                    <c:v>Sep.</c:v>
                  </c:pt>
                  <c:pt idx="26">
                    <c:v>Oct.</c:v>
                  </c:pt>
                  <c:pt idx="27">
                    <c:v>Nov.</c:v>
                  </c:pt>
                  <c:pt idx="28">
                    <c:v>Dec.</c:v>
                  </c:pt>
                </c:lvl>
                <c:lvl>
                  <c:pt idx="5">
                    <c:v>2016</c:v>
                  </c:pt>
                  <c:pt idx="17">
                    <c:v>2017</c:v>
                  </c:pt>
                </c:lvl>
              </c:multiLvlStrCache>
            </c:multiLvlStrRef>
          </c:cat>
          <c:val>
            <c:numRef>
              <c:f>Sheet1!$C$19:$C$47</c:f>
              <c:numCache>
                <c:formatCode>General</c:formatCode>
                <c:ptCount val="29"/>
                <c:pt idx="0">
                  <c:v>19</c:v>
                </c:pt>
                <c:pt idx="1">
                  <c:v>18</c:v>
                </c:pt>
                <c:pt idx="2">
                  <c:v>27</c:v>
                </c:pt>
                <c:pt idx="3">
                  <c:v>28</c:v>
                </c:pt>
                <c:pt idx="4">
                  <c:v>32</c:v>
                </c:pt>
                <c:pt idx="5">
                  <c:v>18</c:v>
                </c:pt>
                <c:pt idx="6">
                  <c:v>14</c:v>
                </c:pt>
                <c:pt idx="7">
                  <c:v>11</c:v>
                </c:pt>
                <c:pt idx="8">
                  <c:v>13</c:v>
                </c:pt>
                <c:pt idx="9">
                  <c:v>10</c:v>
                </c:pt>
                <c:pt idx="10">
                  <c:v>19</c:v>
                </c:pt>
                <c:pt idx="11">
                  <c:v>124</c:v>
                </c:pt>
                <c:pt idx="12">
                  <c:v>67</c:v>
                </c:pt>
                <c:pt idx="13">
                  <c:v>60</c:v>
                </c:pt>
                <c:pt idx="14">
                  <c:v>89</c:v>
                </c:pt>
                <c:pt idx="15">
                  <c:v>182</c:v>
                </c:pt>
                <c:pt idx="16">
                  <c:v>77</c:v>
                </c:pt>
                <c:pt idx="17">
                  <c:v>107</c:v>
                </c:pt>
                <c:pt idx="18">
                  <c:v>235</c:v>
                </c:pt>
                <c:pt idx="19">
                  <c:v>200</c:v>
                </c:pt>
                <c:pt idx="20">
                  <c:v>107</c:v>
                </c:pt>
                <c:pt idx="21">
                  <c:v>106</c:v>
                </c:pt>
                <c:pt idx="22">
                  <c:v>240</c:v>
                </c:pt>
                <c:pt idx="23">
                  <c:v>238</c:v>
                </c:pt>
                <c:pt idx="24">
                  <c:v>170</c:v>
                </c:pt>
                <c:pt idx="25">
                  <c:v>196</c:v>
                </c:pt>
                <c:pt idx="26">
                  <c:v>116</c:v>
                </c:pt>
                <c:pt idx="27">
                  <c:v>259</c:v>
                </c:pt>
                <c:pt idx="28">
                  <c:v>189</c:v>
                </c:pt>
              </c:numCache>
            </c:numRef>
          </c:val>
          <c:extLst>
            <c:ext xmlns:c16="http://schemas.microsoft.com/office/drawing/2014/chart" uri="{C3380CC4-5D6E-409C-BE32-E72D297353CC}">
              <c16:uniqueId val="{00000000-5D3A-4E0A-BFC1-11F111050DFD}"/>
            </c:ext>
          </c:extLst>
        </c:ser>
        <c:ser>
          <c:idx val="1"/>
          <c:order val="1"/>
          <c:tx>
            <c:strRef>
              <c:f>Sheet1!$D$1</c:f>
              <c:strCache>
                <c:ptCount val="1"/>
                <c:pt idx="0">
                  <c:v>Motivation + Recognition</c:v>
                </c:pt>
              </c:strCache>
            </c:strRef>
          </c:tx>
          <c:spPr>
            <a:solidFill>
              <a:schemeClr val="dk1">
                <a:tint val="55000"/>
              </a:schemeClr>
            </a:solidFill>
            <a:ln>
              <a:noFill/>
            </a:ln>
            <a:effectLst/>
          </c:spPr>
          <c:cat>
            <c:multiLvlStrRef>
              <c:f>Sheet1!$A$19:$B$47</c:f>
              <c:multiLvlStrCache>
                <c:ptCount val="29"/>
                <c:lvl>
                  <c:pt idx="0">
                    <c:v>Aug.</c:v>
                  </c:pt>
                  <c:pt idx="1">
                    <c:v>Sep.</c:v>
                  </c:pt>
                  <c:pt idx="2">
                    <c:v>Oct.</c:v>
                  </c:pt>
                  <c:pt idx="3">
                    <c:v>Nov.</c:v>
                  </c:pt>
                  <c:pt idx="4">
                    <c:v>Dec.</c:v>
                  </c:pt>
                  <c:pt idx="5">
                    <c:v>Jan.</c:v>
                  </c:pt>
                  <c:pt idx="6">
                    <c:v>Feb.</c:v>
                  </c:pt>
                  <c:pt idx="7">
                    <c:v>Mar.</c:v>
                  </c:pt>
                  <c:pt idx="8">
                    <c:v>Apr.</c:v>
                  </c:pt>
                  <c:pt idx="9">
                    <c:v>May</c:v>
                  </c:pt>
                  <c:pt idx="10">
                    <c:v>Jun.</c:v>
                  </c:pt>
                  <c:pt idx="11">
                    <c:v>Jul.</c:v>
                  </c:pt>
                  <c:pt idx="12">
                    <c:v>Aug.</c:v>
                  </c:pt>
                  <c:pt idx="13">
                    <c:v>Sep.</c:v>
                  </c:pt>
                  <c:pt idx="14">
                    <c:v>Oct.</c:v>
                  </c:pt>
                  <c:pt idx="15">
                    <c:v>Nov.</c:v>
                  </c:pt>
                  <c:pt idx="16">
                    <c:v>Dec.</c:v>
                  </c:pt>
                  <c:pt idx="17">
                    <c:v>Jan.</c:v>
                  </c:pt>
                  <c:pt idx="18">
                    <c:v>Feb.</c:v>
                  </c:pt>
                  <c:pt idx="19">
                    <c:v>Mar.</c:v>
                  </c:pt>
                  <c:pt idx="20">
                    <c:v>Apr.</c:v>
                  </c:pt>
                  <c:pt idx="21">
                    <c:v>May</c:v>
                  </c:pt>
                  <c:pt idx="22">
                    <c:v>Jun.</c:v>
                  </c:pt>
                  <c:pt idx="23">
                    <c:v>Jul.</c:v>
                  </c:pt>
                  <c:pt idx="24">
                    <c:v>Aug.</c:v>
                  </c:pt>
                  <c:pt idx="25">
                    <c:v>Sep.</c:v>
                  </c:pt>
                  <c:pt idx="26">
                    <c:v>Oct.</c:v>
                  </c:pt>
                  <c:pt idx="27">
                    <c:v>Nov.</c:v>
                  </c:pt>
                  <c:pt idx="28">
                    <c:v>Dec.</c:v>
                  </c:pt>
                </c:lvl>
                <c:lvl>
                  <c:pt idx="5">
                    <c:v>2016</c:v>
                  </c:pt>
                  <c:pt idx="17">
                    <c:v>2017</c:v>
                  </c:pt>
                </c:lvl>
              </c:multiLvlStrCache>
            </c:multiLvlStrRef>
          </c:cat>
          <c:val>
            <c:numRef>
              <c:f>Sheet1!$D$19:$D$47</c:f>
              <c:numCache>
                <c:formatCode>General</c:formatCode>
                <c:ptCount val="29"/>
                <c:pt idx="0">
                  <c:v>15</c:v>
                </c:pt>
                <c:pt idx="1">
                  <c:v>14</c:v>
                </c:pt>
                <c:pt idx="2">
                  <c:v>23</c:v>
                </c:pt>
                <c:pt idx="3">
                  <c:v>22</c:v>
                </c:pt>
                <c:pt idx="4">
                  <c:v>25</c:v>
                </c:pt>
                <c:pt idx="5">
                  <c:v>13</c:v>
                </c:pt>
                <c:pt idx="6">
                  <c:v>10</c:v>
                </c:pt>
                <c:pt idx="7">
                  <c:v>7</c:v>
                </c:pt>
                <c:pt idx="8">
                  <c:v>11</c:v>
                </c:pt>
                <c:pt idx="9">
                  <c:v>7</c:v>
                </c:pt>
                <c:pt idx="10">
                  <c:v>17</c:v>
                </c:pt>
                <c:pt idx="11">
                  <c:v>96</c:v>
                </c:pt>
                <c:pt idx="12">
                  <c:v>52</c:v>
                </c:pt>
                <c:pt idx="13">
                  <c:v>52</c:v>
                </c:pt>
                <c:pt idx="14">
                  <c:v>54</c:v>
                </c:pt>
                <c:pt idx="15">
                  <c:v>125</c:v>
                </c:pt>
                <c:pt idx="16">
                  <c:v>65</c:v>
                </c:pt>
                <c:pt idx="17">
                  <c:v>92</c:v>
                </c:pt>
                <c:pt idx="18">
                  <c:v>213</c:v>
                </c:pt>
                <c:pt idx="19">
                  <c:v>131</c:v>
                </c:pt>
                <c:pt idx="20">
                  <c:v>76</c:v>
                </c:pt>
                <c:pt idx="21">
                  <c:v>70</c:v>
                </c:pt>
                <c:pt idx="22">
                  <c:v>189</c:v>
                </c:pt>
                <c:pt idx="23">
                  <c:v>197</c:v>
                </c:pt>
                <c:pt idx="24">
                  <c:v>137</c:v>
                </c:pt>
                <c:pt idx="25">
                  <c:v>164</c:v>
                </c:pt>
                <c:pt idx="26">
                  <c:v>96</c:v>
                </c:pt>
                <c:pt idx="27">
                  <c:v>190</c:v>
                </c:pt>
                <c:pt idx="28">
                  <c:v>129</c:v>
                </c:pt>
              </c:numCache>
            </c:numRef>
          </c:val>
          <c:extLst>
            <c:ext xmlns:c16="http://schemas.microsoft.com/office/drawing/2014/chart" uri="{C3380CC4-5D6E-409C-BE32-E72D297353CC}">
              <c16:uniqueId val="{00000001-5D3A-4E0A-BFC1-11F111050DFD}"/>
            </c:ext>
          </c:extLst>
        </c:ser>
        <c:ser>
          <c:idx val="2"/>
          <c:order val="2"/>
          <c:tx>
            <c:strRef>
              <c:f>Sheet1!$E$1</c:f>
              <c:strCache>
                <c:ptCount val="1"/>
                <c:pt idx="0">
                  <c:v>Fun + Special Occasion</c:v>
                </c:pt>
              </c:strCache>
            </c:strRef>
          </c:tx>
          <c:spPr>
            <a:solidFill>
              <a:schemeClr val="dk1">
                <a:tint val="75000"/>
              </a:schemeClr>
            </a:solidFill>
            <a:ln>
              <a:noFill/>
            </a:ln>
            <a:effectLst/>
          </c:spPr>
          <c:cat>
            <c:multiLvlStrRef>
              <c:f>Sheet1!$A$19:$B$47</c:f>
              <c:multiLvlStrCache>
                <c:ptCount val="29"/>
                <c:lvl>
                  <c:pt idx="0">
                    <c:v>Aug.</c:v>
                  </c:pt>
                  <c:pt idx="1">
                    <c:v>Sep.</c:v>
                  </c:pt>
                  <c:pt idx="2">
                    <c:v>Oct.</c:v>
                  </c:pt>
                  <c:pt idx="3">
                    <c:v>Nov.</c:v>
                  </c:pt>
                  <c:pt idx="4">
                    <c:v>Dec.</c:v>
                  </c:pt>
                  <c:pt idx="5">
                    <c:v>Jan.</c:v>
                  </c:pt>
                  <c:pt idx="6">
                    <c:v>Feb.</c:v>
                  </c:pt>
                  <c:pt idx="7">
                    <c:v>Mar.</c:v>
                  </c:pt>
                  <c:pt idx="8">
                    <c:v>Apr.</c:v>
                  </c:pt>
                  <c:pt idx="9">
                    <c:v>May</c:v>
                  </c:pt>
                  <c:pt idx="10">
                    <c:v>Jun.</c:v>
                  </c:pt>
                  <c:pt idx="11">
                    <c:v>Jul.</c:v>
                  </c:pt>
                  <c:pt idx="12">
                    <c:v>Aug.</c:v>
                  </c:pt>
                  <c:pt idx="13">
                    <c:v>Sep.</c:v>
                  </c:pt>
                  <c:pt idx="14">
                    <c:v>Oct.</c:v>
                  </c:pt>
                  <c:pt idx="15">
                    <c:v>Nov.</c:v>
                  </c:pt>
                  <c:pt idx="16">
                    <c:v>Dec.</c:v>
                  </c:pt>
                  <c:pt idx="17">
                    <c:v>Jan.</c:v>
                  </c:pt>
                  <c:pt idx="18">
                    <c:v>Feb.</c:v>
                  </c:pt>
                  <c:pt idx="19">
                    <c:v>Mar.</c:v>
                  </c:pt>
                  <c:pt idx="20">
                    <c:v>Apr.</c:v>
                  </c:pt>
                  <c:pt idx="21">
                    <c:v>May</c:v>
                  </c:pt>
                  <c:pt idx="22">
                    <c:v>Jun.</c:v>
                  </c:pt>
                  <c:pt idx="23">
                    <c:v>Jul.</c:v>
                  </c:pt>
                  <c:pt idx="24">
                    <c:v>Aug.</c:v>
                  </c:pt>
                  <c:pt idx="25">
                    <c:v>Sep.</c:v>
                  </c:pt>
                  <c:pt idx="26">
                    <c:v>Oct.</c:v>
                  </c:pt>
                  <c:pt idx="27">
                    <c:v>Nov.</c:v>
                  </c:pt>
                  <c:pt idx="28">
                    <c:v>Dec.</c:v>
                  </c:pt>
                </c:lvl>
                <c:lvl>
                  <c:pt idx="5">
                    <c:v>2016</c:v>
                  </c:pt>
                  <c:pt idx="17">
                    <c:v>2017</c:v>
                  </c:pt>
                </c:lvl>
              </c:multiLvlStrCache>
            </c:multiLvlStrRef>
          </c:cat>
          <c:val>
            <c:numRef>
              <c:f>Sheet1!$E$19:$E$47</c:f>
              <c:numCache>
                <c:formatCode>General</c:formatCode>
                <c:ptCount val="29"/>
                <c:pt idx="0">
                  <c:v>4</c:v>
                </c:pt>
                <c:pt idx="1">
                  <c:v>4</c:v>
                </c:pt>
                <c:pt idx="2">
                  <c:v>4</c:v>
                </c:pt>
                <c:pt idx="3">
                  <c:v>6</c:v>
                </c:pt>
                <c:pt idx="4">
                  <c:v>7</c:v>
                </c:pt>
                <c:pt idx="5">
                  <c:v>5</c:v>
                </c:pt>
                <c:pt idx="6">
                  <c:v>4</c:v>
                </c:pt>
                <c:pt idx="7">
                  <c:v>4</c:v>
                </c:pt>
                <c:pt idx="8">
                  <c:v>2</c:v>
                </c:pt>
                <c:pt idx="9">
                  <c:v>3</c:v>
                </c:pt>
                <c:pt idx="10">
                  <c:v>2</c:v>
                </c:pt>
                <c:pt idx="11">
                  <c:v>28</c:v>
                </c:pt>
                <c:pt idx="12">
                  <c:v>15</c:v>
                </c:pt>
                <c:pt idx="13">
                  <c:v>6</c:v>
                </c:pt>
                <c:pt idx="14">
                  <c:v>35</c:v>
                </c:pt>
                <c:pt idx="15">
                  <c:v>57</c:v>
                </c:pt>
                <c:pt idx="16">
                  <c:v>12</c:v>
                </c:pt>
                <c:pt idx="17">
                  <c:v>15</c:v>
                </c:pt>
                <c:pt idx="18">
                  <c:v>122</c:v>
                </c:pt>
                <c:pt idx="19">
                  <c:v>69</c:v>
                </c:pt>
                <c:pt idx="20">
                  <c:v>31</c:v>
                </c:pt>
                <c:pt idx="21">
                  <c:v>36</c:v>
                </c:pt>
                <c:pt idx="22">
                  <c:v>51</c:v>
                </c:pt>
                <c:pt idx="23">
                  <c:v>41</c:v>
                </c:pt>
                <c:pt idx="24">
                  <c:v>33</c:v>
                </c:pt>
                <c:pt idx="25">
                  <c:v>32</c:v>
                </c:pt>
                <c:pt idx="26">
                  <c:v>20</c:v>
                </c:pt>
                <c:pt idx="27">
                  <c:v>69</c:v>
                </c:pt>
                <c:pt idx="28">
                  <c:v>60</c:v>
                </c:pt>
              </c:numCache>
            </c:numRef>
          </c:val>
          <c:extLst>
            <c:ext xmlns:c16="http://schemas.microsoft.com/office/drawing/2014/chart" uri="{C3380CC4-5D6E-409C-BE32-E72D297353CC}">
              <c16:uniqueId val="{00000002-5D3A-4E0A-BFC1-11F111050DFD}"/>
            </c:ext>
          </c:extLst>
        </c:ser>
        <c:dLbls>
          <c:showLegendKey val="0"/>
          <c:showVal val="0"/>
          <c:showCatName val="0"/>
          <c:showSerName val="0"/>
          <c:showPercent val="0"/>
          <c:showBubbleSize val="0"/>
        </c:dLbls>
        <c:axId val="354101248"/>
        <c:axId val="325262080"/>
      </c:areaChart>
      <c:catAx>
        <c:axId val="354101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25262080"/>
        <c:crosses val="autoZero"/>
        <c:auto val="1"/>
        <c:lblAlgn val="ctr"/>
        <c:lblOffset val="100"/>
        <c:noMultiLvlLbl val="0"/>
      </c:catAx>
      <c:valAx>
        <c:axId val="3252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800">
                    <a:latin typeface="Arial" panose="020B0604020202020204" pitchFamily="34" charset="0"/>
                    <a:cs typeface="Arial" panose="020B0604020202020204" pitchFamily="34" charset="0"/>
                  </a:rPr>
                  <a:t>Number of </a:t>
                </a:r>
                <a:r>
                  <a:rPr lang="en-CA" sz="800" b="0" i="0" u="none" strike="noStrike" kern="1200" baseline="0">
                    <a:solidFill>
                      <a:sysClr val="windowText" lastClr="000000">
                        <a:lumMod val="65000"/>
                        <a:lumOff val="35000"/>
                      </a:sysClr>
                    </a:solidFill>
                    <a:latin typeface="Arial" panose="020B0604020202020204" pitchFamily="34" charset="0"/>
                    <a:ea typeface="+mn-ea"/>
                    <a:cs typeface="Arial" panose="020B0604020202020204" pitchFamily="34" charset="0"/>
                  </a:rPr>
                  <a:t>Thumbs Up</a:t>
                </a:r>
                <a:r>
                  <a:rPr lang="en-CA" sz="800">
                    <a:latin typeface="Arial" panose="020B0604020202020204" pitchFamily="34" charset="0"/>
                    <a:cs typeface="Arial" panose="020B0604020202020204" pitchFamily="34" charset="0"/>
                  </a:rPr>
                  <a:t>s sent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54101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00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rPr>
              <a:t>Thumbs Up</a:t>
            </a:r>
            <a:r>
              <a:rPr lang="en-CA" sz="1000">
                <a:latin typeface="Arial" panose="020B0604020202020204" pitchFamily="34" charset="0"/>
                <a:cs typeface="Arial" panose="020B0604020202020204" pitchFamily="34" charset="0"/>
              </a:rPr>
              <a:t>s by Sender</a:t>
            </a:r>
          </a:p>
        </c:rich>
      </c:tx>
      <c:overlay val="0"/>
      <c:spPr>
        <a:noFill/>
        <a:ln>
          <a:noFill/>
        </a:ln>
        <a:effectLst/>
      </c:spPr>
    </c:title>
    <c:autoTitleDeleted val="0"/>
    <c:plotArea>
      <c:layout/>
      <c:barChart>
        <c:barDir val="col"/>
        <c:grouping val="clustered"/>
        <c:varyColors val="0"/>
        <c:ser>
          <c:idx val="0"/>
          <c:order val="0"/>
          <c:tx>
            <c:strRef>
              <c:f>Sheet2!$A$2</c:f>
              <c:strCache>
                <c:ptCount val="1"/>
                <c:pt idx="0">
                  <c:v>Employee</c:v>
                </c:pt>
              </c:strCache>
            </c:strRef>
          </c:tx>
          <c:spPr>
            <a:solidFill>
              <a:schemeClr val="dk1">
                <a:tint val="88500"/>
              </a:schemeClr>
            </a:solidFill>
            <a:ln>
              <a:noFill/>
            </a:ln>
            <a:effectLst/>
          </c:spPr>
          <c:invertIfNegative val="0"/>
          <c:cat>
            <c:strRef>
              <c:f>Sheet2!$B$1:$D$1</c:f>
              <c:strCache>
                <c:ptCount val="3"/>
                <c:pt idx="0">
                  <c:v>Motivation + Recognition</c:v>
                </c:pt>
                <c:pt idx="1">
                  <c:v>Fun + Special Occasion</c:v>
                </c:pt>
                <c:pt idx="2">
                  <c:v>Total</c:v>
                </c:pt>
              </c:strCache>
            </c:strRef>
          </c:cat>
          <c:val>
            <c:numRef>
              <c:f>Sheet2!$B$2:$D$2</c:f>
              <c:numCache>
                <c:formatCode>General</c:formatCode>
                <c:ptCount val="3"/>
                <c:pt idx="0">
                  <c:v>1026</c:v>
                </c:pt>
                <c:pt idx="1">
                  <c:v>461</c:v>
                </c:pt>
                <c:pt idx="2">
                  <c:v>1487</c:v>
                </c:pt>
              </c:numCache>
            </c:numRef>
          </c:val>
          <c:extLst>
            <c:ext xmlns:c16="http://schemas.microsoft.com/office/drawing/2014/chart" uri="{C3380CC4-5D6E-409C-BE32-E72D297353CC}">
              <c16:uniqueId val="{00000000-E47A-408D-8CEA-0EEBAFEDA545}"/>
            </c:ext>
          </c:extLst>
        </c:ser>
        <c:ser>
          <c:idx val="1"/>
          <c:order val="1"/>
          <c:tx>
            <c:strRef>
              <c:f>Sheet2!$A$3</c:f>
              <c:strCache>
                <c:ptCount val="1"/>
                <c:pt idx="0">
                  <c:v>Supervisor</c:v>
                </c:pt>
              </c:strCache>
            </c:strRef>
          </c:tx>
          <c:spPr>
            <a:solidFill>
              <a:schemeClr val="dk1">
                <a:tint val="55000"/>
              </a:schemeClr>
            </a:solidFill>
            <a:ln>
              <a:noFill/>
            </a:ln>
            <a:effectLst/>
          </c:spPr>
          <c:invertIfNegative val="0"/>
          <c:cat>
            <c:strRef>
              <c:f>Sheet2!$B$1:$D$1</c:f>
              <c:strCache>
                <c:ptCount val="3"/>
                <c:pt idx="0">
                  <c:v>Motivation + Recognition</c:v>
                </c:pt>
                <c:pt idx="1">
                  <c:v>Fun + Special Occasion</c:v>
                </c:pt>
                <c:pt idx="2">
                  <c:v>Total</c:v>
                </c:pt>
              </c:strCache>
            </c:strRef>
          </c:cat>
          <c:val>
            <c:numRef>
              <c:f>Sheet2!$B$3:$D$3</c:f>
              <c:numCache>
                <c:formatCode>General</c:formatCode>
                <c:ptCount val="3"/>
                <c:pt idx="0">
                  <c:v>1990</c:v>
                </c:pt>
                <c:pt idx="1">
                  <c:v>405</c:v>
                </c:pt>
                <c:pt idx="2">
                  <c:v>2395</c:v>
                </c:pt>
              </c:numCache>
            </c:numRef>
          </c:val>
          <c:extLst>
            <c:ext xmlns:c16="http://schemas.microsoft.com/office/drawing/2014/chart" uri="{C3380CC4-5D6E-409C-BE32-E72D297353CC}">
              <c16:uniqueId val="{00000001-E47A-408D-8CEA-0EEBAFEDA545}"/>
            </c:ext>
          </c:extLst>
        </c:ser>
        <c:dLbls>
          <c:showLegendKey val="0"/>
          <c:showVal val="0"/>
          <c:showCatName val="0"/>
          <c:showSerName val="0"/>
          <c:showPercent val="0"/>
          <c:showBubbleSize val="0"/>
        </c:dLbls>
        <c:gapWidth val="219"/>
        <c:overlap val="-27"/>
        <c:axId val="354102272"/>
        <c:axId val="325717952"/>
      </c:barChart>
      <c:catAx>
        <c:axId val="35410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25717952"/>
        <c:crosses val="autoZero"/>
        <c:auto val="1"/>
        <c:lblAlgn val="ctr"/>
        <c:lblOffset val="100"/>
        <c:noMultiLvlLbl val="0"/>
      </c:catAx>
      <c:valAx>
        <c:axId val="32571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5410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000">
                <a:latin typeface="Arial" panose="020B0604020202020204" pitchFamily="34" charset="0"/>
                <a:cs typeface="Arial" panose="020B0604020202020204" pitchFamily="34" charset="0"/>
              </a:rPr>
              <a:t>Frequencies of Badges sent from Dec. 2015 to December 2017</a:t>
            </a:r>
          </a:p>
        </c:rich>
      </c:tx>
      <c:overlay val="0"/>
      <c:spPr>
        <a:noFill/>
        <a:ln>
          <a:noFill/>
        </a:ln>
        <a:effectLst/>
      </c:spPr>
    </c:title>
    <c:autoTitleDeleted val="0"/>
    <c:plotArea>
      <c:layout/>
      <c:areaChart>
        <c:grouping val="standard"/>
        <c:varyColors val="0"/>
        <c:ser>
          <c:idx val="0"/>
          <c:order val="0"/>
          <c:tx>
            <c:strRef>
              <c:f>Sheet3!$C$1</c:f>
              <c:strCache>
                <c:ptCount val="1"/>
                <c:pt idx="0">
                  <c:v>Total</c:v>
                </c:pt>
              </c:strCache>
            </c:strRef>
          </c:tx>
          <c:spPr>
            <a:solidFill>
              <a:schemeClr val="dk1">
                <a:tint val="88500"/>
              </a:schemeClr>
            </a:solidFill>
            <a:ln>
              <a:noFill/>
            </a:ln>
            <a:effectLst/>
          </c:spPr>
          <c:cat>
            <c:multiLvlStrRef>
              <c:f>Sheet3!$A$2:$B$26</c:f>
              <c:multiLvlStrCache>
                <c:ptCount val="25"/>
                <c:lvl>
                  <c:pt idx="0">
                    <c:v>Dec.</c:v>
                  </c:pt>
                  <c:pt idx="1">
                    <c:v>Jan.</c:v>
                  </c:pt>
                  <c:pt idx="2">
                    <c:v>Feb.</c:v>
                  </c:pt>
                  <c:pt idx="3">
                    <c:v>Mar.</c:v>
                  </c:pt>
                  <c:pt idx="4">
                    <c:v>Apr.</c:v>
                  </c:pt>
                  <c:pt idx="5">
                    <c:v>May</c:v>
                  </c:pt>
                  <c:pt idx="6">
                    <c:v>Jun.</c:v>
                  </c:pt>
                  <c:pt idx="7">
                    <c:v>Jul.</c:v>
                  </c:pt>
                  <c:pt idx="8">
                    <c:v>Aug.</c:v>
                  </c:pt>
                  <c:pt idx="9">
                    <c:v>Sep.</c:v>
                  </c:pt>
                  <c:pt idx="10">
                    <c:v>Oct.</c:v>
                  </c:pt>
                  <c:pt idx="11">
                    <c:v>Nov.</c:v>
                  </c:pt>
                  <c:pt idx="12">
                    <c:v>Dec.</c:v>
                  </c:pt>
                  <c:pt idx="13">
                    <c:v>Jan.</c:v>
                  </c:pt>
                  <c:pt idx="14">
                    <c:v>Feb.</c:v>
                  </c:pt>
                  <c:pt idx="15">
                    <c:v>Mar.</c:v>
                  </c:pt>
                  <c:pt idx="16">
                    <c:v>Apr.</c:v>
                  </c:pt>
                  <c:pt idx="17">
                    <c:v>May</c:v>
                  </c:pt>
                  <c:pt idx="18">
                    <c:v>Jun.</c:v>
                  </c:pt>
                  <c:pt idx="19">
                    <c:v>Jul.</c:v>
                  </c:pt>
                  <c:pt idx="20">
                    <c:v>Aug.</c:v>
                  </c:pt>
                  <c:pt idx="21">
                    <c:v>Sep.</c:v>
                  </c:pt>
                  <c:pt idx="22">
                    <c:v>Oct.</c:v>
                  </c:pt>
                  <c:pt idx="23">
                    <c:v>Nov.</c:v>
                  </c:pt>
                  <c:pt idx="24">
                    <c:v>Dec.</c:v>
                  </c:pt>
                </c:lvl>
                <c:lvl>
                  <c:pt idx="0">
                    <c:v>2015</c:v>
                  </c:pt>
                  <c:pt idx="1">
                    <c:v>2016</c:v>
                  </c:pt>
                  <c:pt idx="13">
                    <c:v>2017</c:v>
                  </c:pt>
                </c:lvl>
              </c:multiLvlStrCache>
            </c:multiLvlStrRef>
          </c:cat>
          <c:val>
            <c:numRef>
              <c:f>Sheet3!$C$2:$C$26</c:f>
              <c:numCache>
                <c:formatCode>General</c:formatCode>
                <c:ptCount val="25"/>
                <c:pt idx="0">
                  <c:v>65</c:v>
                </c:pt>
                <c:pt idx="1">
                  <c:v>43</c:v>
                </c:pt>
                <c:pt idx="2">
                  <c:v>38</c:v>
                </c:pt>
                <c:pt idx="3">
                  <c:v>138</c:v>
                </c:pt>
                <c:pt idx="4">
                  <c:v>94</c:v>
                </c:pt>
                <c:pt idx="5">
                  <c:v>122</c:v>
                </c:pt>
                <c:pt idx="6">
                  <c:v>370</c:v>
                </c:pt>
                <c:pt idx="7">
                  <c:v>258</c:v>
                </c:pt>
                <c:pt idx="8">
                  <c:v>60</c:v>
                </c:pt>
                <c:pt idx="9">
                  <c:v>310</c:v>
                </c:pt>
                <c:pt idx="10">
                  <c:v>142</c:v>
                </c:pt>
                <c:pt idx="11">
                  <c:v>114</c:v>
                </c:pt>
                <c:pt idx="12">
                  <c:v>81</c:v>
                </c:pt>
                <c:pt idx="13">
                  <c:v>98</c:v>
                </c:pt>
                <c:pt idx="14">
                  <c:v>125</c:v>
                </c:pt>
                <c:pt idx="15">
                  <c:v>572</c:v>
                </c:pt>
                <c:pt idx="16">
                  <c:v>214</c:v>
                </c:pt>
                <c:pt idx="17">
                  <c:v>48</c:v>
                </c:pt>
                <c:pt idx="18">
                  <c:v>93</c:v>
                </c:pt>
                <c:pt idx="19">
                  <c:v>33</c:v>
                </c:pt>
                <c:pt idx="20">
                  <c:v>44</c:v>
                </c:pt>
                <c:pt idx="21">
                  <c:v>44</c:v>
                </c:pt>
                <c:pt idx="22">
                  <c:v>45</c:v>
                </c:pt>
                <c:pt idx="23">
                  <c:v>142</c:v>
                </c:pt>
                <c:pt idx="24">
                  <c:v>79</c:v>
                </c:pt>
              </c:numCache>
            </c:numRef>
          </c:val>
          <c:extLst>
            <c:ext xmlns:c16="http://schemas.microsoft.com/office/drawing/2014/chart" uri="{C3380CC4-5D6E-409C-BE32-E72D297353CC}">
              <c16:uniqueId val="{00000000-DFDF-455C-B7D6-79A299E9FB6B}"/>
            </c:ext>
          </c:extLst>
        </c:ser>
        <c:ser>
          <c:idx val="1"/>
          <c:order val="1"/>
          <c:tx>
            <c:strRef>
              <c:f>Sheet3!$D$1</c:f>
              <c:strCache>
                <c:ptCount val="1"/>
                <c:pt idx="0">
                  <c:v>Motivation + Recognition</c:v>
                </c:pt>
              </c:strCache>
            </c:strRef>
          </c:tx>
          <c:spPr>
            <a:solidFill>
              <a:schemeClr val="dk1">
                <a:tint val="55000"/>
              </a:schemeClr>
            </a:solidFill>
            <a:ln>
              <a:noFill/>
            </a:ln>
            <a:effectLst/>
          </c:spPr>
          <c:cat>
            <c:multiLvlStrRef>
              <c:f>Sheet3!$A$2:$B$26</c:f>
              <c:multiLvlStrCache>
                <c:ptCount val="25"/>
                <c:lvl>
                  <c:pt idx="0">
                    <c:v>Dec.</c:v>
                  </c:pt>
                  <c:pt idx="1">
                    <c:v>Jan.</c:v>
                  </c:pt>
                  <c:pt idx="2">
                    <c:v>Feb.</c:v>
                  </c:pt>
                  <c:pt idx="3">
                    <c:v>Mar.</c:v>
                  </c:pt>
                  <c:pt idx="4">
                    <c:v>Apr.</c:v>
                  </c:pt>
                  <c:pt idx="5">
                    <c:v>May</c:v>
                  </c:pt>
                  <c:pt idx="6">
                    <c:v>Jun.</c:v>
                  </c:pt>
                  <c:pt idx="7">
                    <c:v>Jul.</c:v>
                  </c:pt>
                  <c:pt idx="8">
                    <c:v>Aug.</c:v>
                  </c:pt>
                  <c:pt idx="9">
                    <c:v>Sep.</c:v>
                  </c:pt>
                  <c:pt idx="10">
                    <c:v>Oct.</c:v>
                  </c:pt>
                  <c:pt idx="11">
                    <c:v>Nov.</c:v>
                  </c:pt>
                  <c:pt idx="12">
                    <c:v>Dec.</c:v>
                  </c:pt>
                  <c:pt idx="13">
                    <c:v>Jan.</c:v>
                  </c:pt>
                  <c:pt idx="14">
                    <c:v>Feb.</c:v>
                  </c:pt>
                  <c:pt idx="15">
                    <c:v>Mar.</c:v>
                  </c:pt>
                  <c:pt idx="16">
                    <c:v>Apr.</c:v>
                  </c:pt>
                  <c:pt idx="17">
                    <c:v>May</c:v>
                  </c:pt>
                  <c:pt idx="18">
                    <c:v>Jun.</c:v>
                  </c:pt>
                  <c:pt idx="19">
                    <c:v>Jul.</c:v>
                  </c:pt>
                  <c:pt idx="20">
                    <c:v>Aug.</c:v>
                  </c:pt>
                  <c:pt idx="21">
                    <c:v>Sep.</c:v>
                  </c:pt>
                  <c:pt idx="22">
                    <c:v>Oct.</c:v>
                  </c:pt>
                  <c:pt idx="23">
                    <c:v>Nov.</c:v>
                  </c:pt>
                  <c:pt idx="24">
                    <c:v>Dec.</c:v>
                  </c:pt>
                </c:lvl>
                <c:lvl>
                  <c:pt idx="0">
                    <c:v>2015</c:v>
                  </c:pt>
                  <c:pt idx="1">
                    <c:v>2016</c:v>
                  </c:pt>
                  <c:pt idx="13">
                    <c:v>2017</c:v>
                  </c:pt>
                </c:lvl>
              </c:multiLvlStrCache>
            </c:multiLvlStrRef>
          </c:cat>
          <c:val>
            <c:numRef>
              <c:f>Sheet3!$D$2:$D$26</c:f>
              <c:numCache>
                <c:formatCode>General</c:formatCode>
                <c:ptCount val="25"/>
                <c:pt idx="0">
                  <c:v>52</c:v>
                </c:pt>
                <c:pt idx="1">
                  <c:v>32</c:v>
                </c:pt>
                <c:pt idx="2">
                  <c:v>33</c:v>
                </c:pt>
                <c:pt idx="3">
                  <c:v>122</c:v>
                </c:pt>
                <c:pt idx="4">
                  <c:v>82</c:v>
                </c:pt>
                <c:pt idx="5">
                  <c:v>118</c:v>
                </c:pt>
                <c:pt idx="6">
                  <c:v>241</c:v>
                </c:pt>
                <c:pt idx="7">
                  <c:v>181</c:v>
                </c:pt>
                <c:pt idx="8">
                  <c:v>36</c:v>
                </c:pt>
                <c:pt idx="9">
                  <c:v>193</c:v>
                </c:pt>
                <c:pt idx="10">
                  <c:v>104</c:v>
                </c:pt>
                <c:pt idx="11">
                  <c:v>77</c:v>
                </c:pt>
                <c:pt idx="12">
                  <c:v>51</c:v>
                </c:pt>
                <c:pt idx="13">
                  <c:v>72</c:v>
                </c:pt>
                <c:pt idx="14">
                  <c:v>84</c:v>
                </c:pt>
                <c:pt idx="15">
                  <c:v>362</c:v>
                </c:pt>
                <c:pt idx="16">
                  <c:v>170</c:v>
                </c:pt>
                <c:pt idx="17">
                  <c:v>36</c:v>
                </c:pt>
                <c:pt idx="18">
                  <c:v>61</c:v>
                </c:pt>
                <c:pt idx="19">
                  <c:v>34</c:v>
                </c:pt>
                <c:pt idx="20">
                  <c:v>25</c:v>
                </c:pt>
                <c:pt idx="21">
                  <c:v>39</c:v>
                </c:pt>
                <c:pt idx="22">
                  <c:v>30</c:v>
                </c:pt>
                <c:pt idx="23">
                  <c:v>77</c:v>
                </c:pt>
                <c:pt idx="24">
                  <c:v>24</c:v>
                </c:pt>
              </c:numCache>
            </c:numRef>
          </c:val>
          <c:extLst>
            <c:ext xmlns:c16="http://schemas.microsoft.com/office/drawing/2014/chart" uri="{C3380CC4-5D6E-409C-BE32-E72D297353CC}">
              <c16:uniqueId val="{00000001-DFDF-455C-B7D6-79A299E9FB6B}"/>
            </c:ext>
          </c:extLst>
        </c:ser>
        <c:ser>
          <c:idx val="2"/>
          <c:order val="2"/>
          <c:tx>
            <c:strRef>
              <c:f>Sheet3!$E$1</c:f>
              <c:strCache>
                <c:ptCount val="1"/>
                <c:pt idx="0">
                  <c:v>Fun + Special Occasion</c:v>
                </c:pt>
              </c:strCache>
            </c:strRef>
          </c:tx>
          <c:spPr>
            <a:solidFill>
              <a:schemeClr val="dk1">
                <a:tint val="75000"/>
              </a:schemeClr>
            </a:solidFill>
            <a:ln>
              <a:noFill/>
            </a:ln>
            <a:effectLst/>
          </c:spPr>
          <c:cat>
            <c:multiLvlStrRef>
              <c:f>Sheet3!$A$2:$B$26</c:f>
              <c:multiLvlStrCache>
                <c:ptCount val="25"/>
                <c:lvl>
                  <c:pt idx="0">
                    <c:v>Dec.</c:v>
                  </c:pt>
                  <c:pt idx="1">
                    <c:v>Jan.</c:v>
                  </c:pt>
                  <c:pt idx="2">
                    <c:v>Feb.</c:v>
                  </c:pt>
                  <c:pt idx="3">
                    <c:v>Mar.</c:v>
                  </c:pt>
                  <c:pt idx="4">
                    <c:v>Apr.</c:v>
                  </c:pt>
                  <c:pt idx="5">
                    <c:v>May</c:v>
                  </c:pt>
                  <c:pt idx="6">
                    <c:v>Jun.</c:v>
                  </c:pt>
                  <c:pt idx="7">
                    <c:v>Jul.</c:v>
                  </c:pt>
                  <c:pt idx="8">
                    <c:v>Aug.</c:v>
                  </c:pt>
                  <c:pt idx="9">
                    <c:v>Sep.</c:v>
                  </c:pt>
                  <c:pt idx="10">
                    <c:v>Oct.</c:v>
                  </c:pt>
                  <c:pt idx="11">
                    <c:v>Nov.</c:v>
                  </c:pt>
                  <c:pt idx="12">
                    <c:v>Dec.</c:v>
                  </c:pt>
                  <c:pt idx="13">
                    <c:v>Jan.</c:v>
                  </c:pt>
                  <c:pt idx="14">
                    <c:v>Feb.</c:v>
                  </c:pt>
                  <c:pt idx="15">
                    <c:v>Mar.</c:v>
                  </c:pt>
                  <c:pt idx="16">
                    <c:v>Apr.</c:v>
                  </c:pt>
                  <c:pt idx="17">
                    <c:v>May</c:v>
                  </c:pt>
                  <c:pt idx="18">
                    <c:v>Jun.</c:v>
                  </c:pt>
                  <c:pt idx="19">
                    <c:v>Jul.</c:v>
                  </c:pt>
                  <c:pt idx="20">
                    <c:v>Aug.</c:v>
                  </c:pt>
                  <c:pt idx="21">
                    <c:v>Sep.</c:v>
                  </c:pt>
                  <c:pt idx="22">
                    <c:v>Oct.</c:v>
                  </c:pt>
                  <c:pt idx="23">
                    <c:v>Nov.</c:v>
                  </c:pt>
                  <c:pt idx="24">
                    <c:v>Dec.</c:v>
                  </c:pt>
                </c:lvl>
                <c:lvl>
                  <c:pt idx="0">
                    <c:v>2015</c:v>
                  </c:pt>
                  <c:pt idx="1">
                    <c:v>2016</c:v>
                  </c:pt>
                  <c:pt idx="13">
                    <c:v>2017</c:v>
                  </c:pt>
                </c:lvl>
              </c:multiLvlStrCache>
            </c:multiLvlStrRef>
          </c:cat>
          <c:val>
            <c:numRef>
              <c:f>Sheet3!$E$2:$E$26</c:f>
              <c:numCache>
                <c:formatCode>General</c:formatCode>
                <c:ptCount val="25"/>
                <c:pt idx="0">
                  <c:v>13</c:v>
                </c:pt>
                <c:pt idx="1">
                  <c:v>11</c:v>
                </c:pt>
                <c:pt idx="2">
                  <c:v>5</c:v>
                </c:pt>
                <c:pt idx="3">
                  <c:v>16</c:v>
                </c:pt>
                <c:pt idx="4">
                  <c:v>12</c:v>
                </c:pt>
                <c:pt idx="5">
                  <c:v>4</c:v>
                </c:pt>
                <c:pt idx="6">
                  <c:v>129</c:v>
                </c:pt>
                <c:pt idx="7">
                  <c:v>77</c:v>
                </c:pt>
                <c:pt idx="8">
                  <c:v>24</c:v>
                </c:pt>
                <c:pt idx="9">
                  <c:v>117</c:v>
                </c:pt>
                <c:pt idx="10">
                  <c:v>38</c:v>
                </c:pt>
                <c:pt idx="11">
                  <c:v>37</c:v>
                </c:pt>
                <c:pt idx="12">
                  <c:v>30</c:v>
                </c:pt>
                <c:pt idx="13">
                  <c:v>26</c:v>
                </c:pt>
                <c:pt idx="14">
                  <c:v>41</c:v>
                </c:pt>
                <c:pt idx="15">
                  <c:v>210</c:v>
                </c:pt>
                <c:pt idx="16">
                  <c:v>44</c:v>
                </c:pt>
                <c:pt idx="17">
                  <c:v>12</c:v>
                </c:pt>
                <c:pt idx="18">
                  <c:v>32</c:v>
                </c:pt>
                <c:pt idx="19">
                  <c:v>10</c:v>
                </c:pt>
                <c:pt idx="20">
                  <c:v>8</c:v>
                </c:pt>
                <c:pt idx="21">
                  <c:v>5</c:v>
                </c:pt>
                <c:pt idx="22">
                  <c:v>15</c:v>
                </c:pt>
                <c:pt idx="23">
                  <c:v>65</c:v>
                </c:pt>
                <c:pt idx="24">
                  <c:v>55</c:v>
                </c:pt>
              </c:numCache>
            </c:numRef>
          </c:val>
          <c:extLst>
            <c:ext xmlns:c16="http://schemas.microsoft.com/office/drawing/2014/chart" uri="{C3380CC4-5D6E-409C-BE32-E72D297353CC}">
              <c16:uniqueId val="{00000002-DFDF-455C-B7D6-79A299E9FB6B}"/>
            </c:ext>
          </c:extLst>
        </c:ser>
        <c:dLbls>
          <c:showLegendKey val="0"/>
          <c:showVal val="0"/>
          <c:showCatName val="0"/>
          <c:showSerName val="0"/>
          <c:showPercent val="0"/>
          <c:showBubbleSize val="0"/>
        </c:dLbls>
        <c:axId val="354102784"/>
        <c:axId val="325721408"/>
      </c:areaChart>
      <c:catAx>
        <c:axId val="354102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25721408"/>
        <c:crosses val="autoZero"/>
        <c:auto val="1"/>
        <c:lblAlgn val="ctr"/>
        <c:lblOffset val="100"/>
        <c:noMultiLvlLbl val="0"/>
      </c:catAx>
      <c:valAx>
        <c:axId val="32572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900">
                    <a:latin typeface="Arial" panose="020B0604020202020204" pitchFamily="34" charset="0"/>
                    <a:cs typeface="Arial" panose="020B0604020202020204" pitchFamily="34" charset="0"/>
                  </a:rPr>
                  <a:t>Number of Badges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10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000">
                <a:latin typeface="Arial" panose="020B0604020202020204" pitchFamily="34" charset="0"/>
                <a:cs typeface="Arial" panose="020B0604020202020204" pitchFamily="34" charset="0"/>
              </a:rPr>
              <a:t>Type</a:t>
            </a:r>
            <a:r>
              <a:rPr lang="en-CA" sz="1000" baseline="0">
                <a:latin typeface="Arial" panose="020B0604020202020204" pitchFamily="34" charset="0"/>
                <a:cs typeface="Arial" panose="020B0604020202020204" pitchFamily="34" charset="0"/>
              </a:rPr>
              <a:t> of Badges by User Type</a:t>
            </a:r>
            <a:endParaRPr lang="en-CA" sz="1000">
              <a:latin typeface="Arial" panose="020B0604020202020204" pitchFamily="34" charset="0"/>
              <a:cs typeface="Arial" panose="020B0604020202020204" pitchFamily="34" charset="0"/>
            </a:endParaRPr>
          </a:p>
        </c:rich>
      </c:tx>
      <c:overlay val="0"/>
      <c:spPr>
        <a:noFill/>
        <a:ln>
          <a:noFill/>
        </a:ln>
        <a:effectLst/>
      </c:spPr>
    </c:title>
    <c:autoTitleDeleted val="0"/>
    <c:plotArea>
      <c:layout/>
      <c:barChart>
        <c:barDir val="col"/>
        <c:grouping val="clustered"/>
        <c:varyColors val="0"/>
        <c:ser>
          <c:idx val="0"/>
          <c:order val="0"/>
          <c:tx>
            <c:strRef>
              <c:f>Sheet4!$A$2</c:f>
              <c:strCache>
                <c:ptCount val="1"/>
                <c:pt idx="0">
                  <c:v>Employee</c:v>
                </c:pt>
              </c:strCache>
            </c:strRef>
          </c:tx>
          <c:spPr>
            <a:solidFill>
              <a:schemeClr val="dk1">
                <a:tint val="88500"/>
              </a:schemeClr>
            </a:solidFill>
            <a:ln>
              <a:noFill/>
            </a:ln>
            <a:effectLst/>
          </c:spPr>
          <c:invertIfNegative val="0"/>
          <c:cat>
            <c:strRef>
              <c:f>Sheet4!$B$1:$D$1</c:f>
              <c:strCache>
                <c:ptCount val="3"/>
                <c:pt idx="0">
                  <c:v>Motivation + Recognition</c:v>
                </c:pt>
                <c:pt idx="1">
                  <c:v>Fun + Special Occasion</c:v>
                </c:pt>
                <c:pt idx="2">
                  <c:v>Total</c:v>
                </c:pt>
              </c:strCache>
            </c:strRef>
          </c:cat>
          <c:val>
            <c:numRef>
              <c:f>Sheet4!$B$2:$D$2</c:f>
              <c:numCache>
                <c:formatCode>General</c:formatCode>
                <c:ptCount val="3"/>
                <c:pt idx="0">
                  <c:v>1427</c:v>
                </c:pt>
                <c:pt idx="1">
                  <c:v>769</c:v>
                </c:pt>
                <c:pt idx="2">
                  <c:v>2196</c:v>
                </c:pt>
              </c:numCache>
            </c:numRef>
          </c:val>
          <c:extLst>
            <c:ext xmlns:c16="http://schemas.microsoft.com/office/drawing/2014/chart" uri="{C3380CC4-5D6E-409C-BE32-E72D297353CC}">
              <c16:uniqueId val="{00000000-A8E5-43C6-8B08-54EA7E70CD94}"/>
            </c:ext>
          </c:extLst>
        </c:ser>
        <c:ser>
          <c:idx val="1"/>
          <c:order val="1"/>
          <c:tx>
            <c:strRef>
              <c:f>Sheet4!$A$3</c:f>
              <c:strCache>
                <c:ptCount val="1"/>
                <c:pt idx="0">
                  <c:v>Supervisor</c:v>
                </c:pt>
              </c:strCache>
            </c:strRef>
          </c:tx>
          <c:spPr>
            <a:solidFill>
              <a:schemeClr val="dk1">
                <a:tint val="55000"/>
              </a:schemeClr>
            </a:solidFill>
            <a:ln>
              <a:noFill/>
            </a:ln>
            <a:effectLst/>
          </c:spPr>
          <c:invertIfNegative val="0"/>
          <c:cat>
            <c:strRef>
              <c:f>Sheet4!$B$1:$D$1</c:f>
              <c:strCache>
                <c:ptCount val="3"/>
                <c:pt idx="0">
                  <c:v>Motivation + Recognition</c:v>
                </c:pt>
                <c:pt idx="1">
                  <c:v>Fun + Special Occasion</c:v>
                </c:pt>
                <c:pt idx="2">
                  <c:v>Total</c:v>
                </c:pt>
              </c:strCache>
            </c:strRef>
          </c:cat>
          <c:val>
            <c:numRef>
              <c:f>Sheet4!$B$3:$D$3</c:f>
              <c:numCache>
                <c:formatCode>General</c:formatCode>
                <c:ptCount val="3"/>
                <c:pt idx="0">
                  <c:v>867</c:v>
                </c:pt>
                <c:pt idx="1">
                  <c:v>222</c:v>
                </c:pt>
                <c:pt idx="2">
                  <c:v>1089</c:v>
                </c:pt>
              </c:numCache>
            </c:numRef>
          </c:val>
          <c:extLst>
            <c:ext xmlns:c16="http://schemas.microsoft.com/office/drawing/2014/chart" uri="{C3380CC4-5D6E-409C-BE32-E72D297353CC}">
              <c16:uniqueId val="{00000001-A8E5-43C6-8B08-54EA7E70CD94}"/>
            </c:ext>
          </c:extLst>
        </c:ser>
        <c:dLbls>
          <c:showLegendKey val="0"/>
          <c:showVal val="0"/>
          <c:showCatName val="0"/>
          <c:showSerName val="0"/>
          <c:showPercent val="0"/>
          <c:showBubbleSize val="0"/>
        </c:dLbls>
        <c:gapWidth val="219"/>
        <c:overlap val="-27"/>
        <c:axId val="354356736"/>
        <c:axId val="326764224"/>
      </c:barChart>
      <c:catAx>
        <c:axId val="35435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26764224"/>
        <c:crosses val="autoZero"/>
        <c:auto val="1"/>
        <c:lblAlgn val="ctr"/>
        <c:lblOffset val="100"/>
        <c:noMultiLvlLbl val="0"/>
      </c:catAx>
      <c:valAx>
        <c:axId val="32676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5435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9D3DB-9FD7-4D88-AF4C-53E367EB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4520</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Assistant</cp:lastModifiedBy>
  <cp:revision>13</cp:revision>
  <cp:lastPrinted>2015-03-04T20:34:00Z</cp:lastPrinted>
  <dcterms:created xsi:type="dcterms:W3CDTF">2019-07-17T15:41:00Z</dcterms:created>
  <dcterms:modified xsi:type="dcterms:W3CDTF">2023-06-27T15:25:00Z</dcterms:modified>
</cp:coreProperties>
</file>