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220E98D" w:rsidR="00C02410" w:rsidRDefault="00845280" w:rsidP="00C02410">
      <w:pPr>
        <w:pStyle w:val="ProductNumber"/>
      </w:pPr>
      <w:r>
        <w:t>9B19D005</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3E032F2" w:rsidR="00013360" w:rsidRDefault="00845280" w:rsidP="00013360">
      <w:pPr>
        <w:pStyle w:val="CaseTitle"/>
        <w:spacing w:after="0" w:line="240" w:lineRule="auto"/>
        <w:rPr>
          <w:sz w:val="20"/>
          <w:szCs w:val="20"/>
        </w:rPr>
      </w:pPr>
      <w:r>
        <w:rPr>
          <w:lang w:val="en-GB"/>
        </w:rPr>
        <w:t>project destiny</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4D122E9" w:rsidR="00086B26" w:rsidRPr="00287D6F" w:rsidRDefault="00845280" w:rsidP="00086B26">
      <w:pPr>
        <w:pStyle w:val="StyleCopyrightStatementAfter0ptBottomSinglesolidline1"/>
        <w:rPr>
          <w:lang w:val="en-GB"/>
        </w:rPr>
      </w:pPr>
      <w:r>
        <w:t>Ken Mark</w:t>
      </w:r>
      <w:r w:rsidR="00ED7922" w:rsidRPr="00FD7E52">
        <w:rPr>
          <w:rFonts w:cs="Arial"/>
          <w:szCs w:val="16"/>
          <w:lang w:val="en-CA"/>
        </w:rPr>
        <w:t xml:space="preserve"> </w:t>
      </w:r>
      <w:r>
        <w:rPr>
          <w:lang w:val="en-GB"/>
        </w:rPr>
        <w:t>wrote this case under the supervision of Professor P. Fraser Johnson s</w:t>
      </w:r>
      <w:r w:rsidR="00086B26" w:rsidRPr="00287D6F">
        <w:rPr>
          <w:lang w:val="en-GB"/>
        </w:rPr>
        <w:t>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DFC6A09"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845280">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845280">
        <w:rPr>
          <w:rFonts w:cs="Arial"/>
          <w:iCs w:val="0"/>
          <w:color w:val="auto"/>
          <w:szCs w:val="16"/>
        </w:rPr>
        <w:t>19</w:t>
      </w:r>
      <w:r w:rsidRPr="00A323B0">
        <w:rPr>
          <w:rFonts w:cs="Arial"/>
          <w:iCs w:val="0"/>
          <w:color w:val="auto"/>
          <w:szCs w:val="16"/>
        </w:rPr>
        <w:t>-</w:t>
      </w:r>
      <w:r w:rsidR="00845280">
        <w:rPr>
          <w:rFonts w:cs="Arial"/>
          <w:iCs w:val="0"/>
          <w:color w:val="auto"/>
          <w:szCs w:val="16"/>
        </w:rPr>
        <w:t>04</w:t>
      </w:r>
      <w:r w:rsidRPr="00A323B0">
        <w:rPr>
          <w:rFonts w:cs="Arial"/>
          <w:iCs w:val="0"/>
          <w:color w:val="auto"/>
          <w:szCs w:val="16"/>
        </w:rPr>
        <w:t>-</w:t>
      </w:r>
      <w:r w:rsidR="00845280">
        <w:rPr>
          <w:rFonts w:cs="Arial"/>
          <w:iCs w:val="0"/>
          <w:color w:val="auto"/>
          <w:szCs w:val="16"/>
        </w:rPr>
        <w:t>1</w:t>
      </w:r>
      <w:r w:rsidR="001C6689">
        <w:rPr>
          <w:rFonts w:cs="Arial"/>
          <w:iCs w:val="0"/>
          <w:color w:val="auto"/>
          <w:szCs w:val="16"/>
        </w:rPr>
        <w:t>2</w:t>
      </w:r>
      <w:bookmarkStart w:id="0" w:name="_GoBack"/>
      <w:bookmarkEnd w:id="0"/>
    </w:p>
    <w:p w14:paraId="0A2A54E4" w14:textId="77777777" w:rsidR="00751E0B" w:rsidRDefault="00751E0B" w:rsidP="00751E0B">
      <w:pPr>
        <w:pStyle w:val="StyleCopyrightStatementAfter0ptBottomSinglesolidline1"/>
        <w:rPr>
          <w:rFonts w:ascii="Times New Roman" w:hAnsi="Times New Roman"/>
          <w:sz w:val="20"/>
        </w:rPr>
      </w:pPr>
    </w:p>
    <w:p w14:paraId="5915A8D8" w14:textId="77777777" w:rsidR="008A0A21" w:rsidRPr="00602920" w:rsidRDefault="008A0A21" w:rsidP="008A0A21">
      <w:pPr>
        <w:pStyle w:val="BodyTextMain"/>
        <w:rPr>
          <w:lang w:val="en-GB"/>
        </w:rPr>
      </w:pPr>
      <w:r w:rsidRPr="00602920">
        <w:rPr>
          <w:lang w:val="en-GB"/>
        </w:rPr>
        <w:t xml:space="preserve">Brent </w:t>
      </w:r>
      <w:proofErr w:type="spellStart"/>
      <w:r w:rsidRPr="00602920">
        <w:rPr>
          <w:lang w:val="en-GB"/>
        </w:rPr>
        <w:t>Collver</w:t>
      </w:r>
      <w:proofErr w:type="spellEnd"/>
      <w:r w:rsidRPr="00602920">
        <w:rPr>
          <w:lang w:val="en-GB"/>
        </w:rPr>
        <w:t xml:space="preserve">, president and </w:t>
      </w:r>
      <w:r>
        <w:rPr>
          <w:lang w:val="en-GB"/>
        </w:rPr>
        <w:t>chief executive officer</w:t>
      </w:r>
      <w:r w:rsidRPr="00602920">
        <w:rPr>
          <w:lang w:val="en-GB"/>
        </w:rPr>
        <w:t xml:space="preserve"> of </w:t>
      </w:r>
      <w:proofErr w:type="spellStart"/>
      <w:r w:rsidRPr="00602920">
        <w:rPr>
          <w:lang w:val="en-GB"/>
        </w:rPr>
        <w:t>Romet</w:t>
      </w:r>
      <w:proofErr w:type="spellEnd"/>
      <w:r w:rsidRPr="00602920">
        <w:rPr>
          <w:lang w:val="en-GB"/>
        </w:rPr>
        <w:t xml:space="preserve"> Limited (</w:t>
      </w:r>
      <w:proofErr w:type="spellStart"/>
      <w:r w:rsidRPr="00602920">
        <w:rPr>
          <w:lang w:val="en-GB"/>
        </w:rPr>
        <w:t>Romet</w:t>
      </w:r>
      <w:proofErr w:type="spellEnd"/>
      <w:r w:rsidRPr="00602920">
        <w:rPr>
          <w:lang w:val="en-GB"/>
        </w:rPr>
        <w:t>), sat at his desk in his Mississauga, Ontario office on the morning of Friday April 27, 2018, preparing for the Project Destiny team meeting that would start at 1:00 p.m. that afternoon. Brent had just finalized the architectural design and layout for the company’s new plant and was reviewing the activities required to complete the move. He described the situation:</w:t>
      </w:r>
    </w:p>
    <w:p w14:paraId="2EFB58F2" w14:textId="77777777" w:rsidR="008A0A21" w:rsidRPr="00602920" w:rsidRDefault="008A0A21" w:rsidP="008A0A21">
      <w:pPr>
        <w:pStyle w:val="BodyTextMain"/>
        <w:rPr>
          <w:lang w:val="en-GB"/>
        </w:rPr>
      </w:pPr>
    </w:p>
    <w:p w14:paraId="7B9013E0" w14:textId="77777777" w:rsidR="008A0A21" w:rsidRPr="00602920" w:rsidRDefault="008A0A21" w:rsidP="008A0A21">
      <w:pPr>
        <w:pStyle w:val="BodyTextMain"/>
        <w:ind w:left="720"/>
        <w:rPr>
          <w:lang w:val="en-GB"/>
        </w:rPr>
      </w:pPr>
      <w:r w:rsidRPr="00602920">
        <w:rPr>
          <w:lang w:val="en-GB"/>
        </w:rPr>
        <w:t xml:space="preserve">We are continuing to grow the company and need a larger facility. We have leased a 75,000 square-foot plant on </w:t>
      </w:r>
      <w:proofErr w:type="spellStart"/>
      <w:r w:rsidRPr="00602920">
        <w:rPr>
          <w:lang w:val="en-GB"/>
        </w:rPr>
        <w:t>Timberlea</w:t>
      </w:r>
      <w:proofErr w:type="spellEnd"/>
      <w:r w:rsidRPr="00602920">
        <w:rPr>
          <w:lang w:val="en-GB"/>
        </w:rPr>
        <w:t xml:space="preserve"> Boulevard, about two blocks from our current location on Matheson Boulevard. The new building will give us an additional 20,000 square feet, and the layout will provide for improved material flow. Our lease for the current building expires on December 31. I would like to have the move completed before the Christmas shutdown, which starts on December 21.</w:t>
      </w:r>
    </w:p>
    <w:p w14:paraId="61578204" w14:textId="77777777" w:rsidR="008A0A21" w:rsidRPr="00602920" w:rsidRDefault="008A0A21" w:rsidP="008A0A21">
      <w:pPr>
        <w:pStyle w:val="BodyTextMain"/>
        <w:ind w:left="720"/>
        <w:rPr>
          <w:lang w:val="en-GB"/>
        </w:rPr>
      </w:pPr>
    </w:p>
    <w:p w14:paraId="7523C737" w14:textId="77777777" w:rsidR="008A0A21" w:rsidRPr="00602920" w:rsidRDefault="008A0A21" w:rsidP="008A0A21">
      <w:pPr>
        <w:pStyle w:val="BodyTextMain"/>
        <w:ind w:left="720"/>
        <w:rPr>
          <w:lang w:val="en-GB"/>
        </w:rPr>
      </w:pPr>
      <w:r w:rsidRPr="00602920">
        <w:rPr>
          <w:lang w:val="en-GB"/>
        </w:rPr>
        <w:t xml:space="preserve">We face the challenge of having to ship product </w:t>
      </w:r>
      <w:r w:rsidRPr="00602920">
        <w:rPr>
          <w:i/>
          <w:lang w:val="en-GB"/>
        </w:rPr>
        <w:t>and</w:t>
      </w:r>
      <w:r w:rsidRPr="00602920">
        <w:rPr>
          <w:lang w:val="en-GB"/>
        </w:rPr>
        <w:t xml:space="preserve"> move the plant at the same time. Unfortunately, I cannot discontinue operations as we move the plant. It will be a tricky balancing act, and will require careful planning and execution.</w:t>
      </w:r>
    </w:p>
    <w:p w14:paraId="789E7B2B" w14:textId="77777777" w:rsidR="008A0A21" w:rsidRPr="00602920" w:rsidRDefault="008A0A21" w:rsidP="008A0A21">
      <w:pPr>
        <w:pStyle w:val="BodyTextMain"/>
        <w:rPr>
          <w:lang w:val="en-GB"/>
        </w:rPr>
      </w:pPr>
    </w:p>
    <w:p w14:paraId="72E819ED" w14:textId="77777777" w:rsidR="008A0A21" w:rsidRPr="00602920" w:rsidRDefault="008A0A21" w:rsidP="008A0A21">
      <w:pPr>
        <w:pStyle w:val="BodyTextMain"/>
        <w:rPr>
          <w:lang w:val="en-GB"/>
        </w:rPr>
      </w:pPr>
    </w:p>
    <w:p w14:paraId="4D379C4C" w14:textId="77777777" w:rsidR="008A0A21" w:rsidRPr="00602920" w:rsidRDefault="008A0A21" w:rsidP="008A0A21">
      <w:pPr>
        <w:pStyle w:val="Casehead1"/>
        <w:rPr>
          <w:lang w:val="en-GB"/>
        </w:rPr>
      </w:pPr>
      <w:r w:rsidRPr="00602920">
        <w:rPr>
          <w:lang w:val="en-GB"/>
        </w:rPr>
        <w:t>ROMET</w:t>
      </w:r>
    </w:p>
    <w:p w14:paraId="6973EB8B" w14:textId="77777777" w:rsidR="008A0A21" w:rsidRPr="00602920" w:rsidRDefault="008A0A21" w:rsidP="008A0A21">
      <w:pPr>
        <w:pStyle w:val="BodyTextMain"/>
        <w:rPr>
          <w:lang w:val="en-GB"/>
        </w:rPr>
      </w:pPr>
    </w:p>
    <w:p w14:paraId="1F202ED5" w14:textId="174438B0" w:rsidR="008A0A21" w:rsidRPr="00602920" w:rsidRDefault="008A0A21" w:rsidP="008A0A21">
      <w:pPr>
        <w:pStyle w:val="BodyTextMain"/>
        <w:rPr>
          <w:lang w:val="en-GB"/>
        </w:rPr>
      </w:pPr>
      <w:r w:rsidRPr="00602920">
        <w:rPr>
          <w:lang w:val="en-GB"/>
        </w:rPr>
        <w:t>Transportation systems for natural gas consisted of a complex network of pipelines, designed to efficiently move natural gas from its origin to where it was needed. Utilities and pipeline companies used metering systems to measure and regulate the amount of natural gas entering, flowing through, and exiting their pipeline systems. Metering requirements differed based on the diameter, pressure, and volume of the pipeline. Natural gas meter capacity was measured in standard cubic feet per hour (SCFH).</w:t>
      </w:r>
    </w:p>
    <w:p w14:paraId="30B1541B" w14:textId="77777777" w:rsidR="008A0A21" w:rsidRPr="00602920" w:rsidRDefault="008A0A21" w:rsidP="008A0A21">
      <w:pPr>
        <w:pStyle w:val="BodyTextMain"/>
        <w:rPr>
          <w:lang w:val="en-GB"/>
        </w:rPr>
      </w:pPr>
    </w:p>
    <w:p w14:paraId="1DF46887" w14:textId="77777777" w:rsidR="008A0A21" w:rsidRPr="00602920" w:rsidRDefault="008A0A21" w:rsidP="008A0A21">
      <w:pPr>
        <w:pStyle w:val="BodyTextMain"/>
        <w:rPr>
          <w:lang w:val="en-GB"/>
        </w:rPr>
      </w:pPr>
      <w:r w:rsidRPr="00602920">
        <w:rPr>
          <w:lang w:val="en-GB"/>
        </w:rPr>
        <w:t xml:space="preserve">Founded in 1972, </w:t>
      </w:r>
      <w:proofErr w:type="spellStart"/>
      <w:r w:rsidRPr="00602920">
        <w:rPr>
          <w:lang w:val="en-GB"/>
        </w:rPr>
        <w:t>Romet</w:t>
      </w:r>
      <w:proofErr w:type="spellEnd"/>
      <w:r w:rsidRPr="00602920">
        <w:rPr>
          <w:lang w:val="en-GB"/>
        </w:rPr>
        <w:t xml:space="preserve"> designed and manufactured rotary natural gas meters and electric instruments to customers around the world. Its meters ranged in size from 600 SCFH to 56,000 SCFH, and were sold mostly to gas utility companies. Although the company offered 14 standard product sizes (e.g., 600 SCFH, 1,000 SCFH, 1,500 SCFH, 2,000 SCFH, and so on), orders were also customized to customer specifications. Order sizes varied significantly, ranging from five to 2,000 units, and lead times were six to eight weeks, compared to 12 to 16 weeks for </w:t>
      </w:r>
      <w:proofErr w:type="spellStart"/>
      <w:r w:rsidRPr="00602920">
        <w:rPr>
          <w:lang w:val="en-GB"/>
        </w:rPr>
        <w:t>Romet’s</w:t>
      </w:r>
      <w:proofErr w:type="spellEnd"/>
      <w:r w:rsidRPr="00602920">
        <w:rPr>
          <w:lang w:val="en-GB"/>
        </w:rPr>
        <w:t xml:space="preserve"> competitors. Prices ranged from $600 to $5,000 per meter, with an average selling price of approximately $1,500 per meter.</w:t>
      </w:r>
    </w:p>
    <w:p w14:paraId="445AB8EB" w14:textId="77777777" w:rsidR="008A0A21" w:rsidRPr="00602920" w:rsidRDefault="008A0A21" w:rsidP="008A0A21">
      <w:pPr>
        <w:pStyle w:val="BodyTextMain"/>
        <w:rPr>
          <w:lang w:val="en-GB"/>
        </w:rPr>
      </w:pPr>
      <w:proofErr w:type="spellStart"/>
      <w:r w:rsidRPr="00602920">
        <w:rPr>
          <w:lang w:val="en-GB"/>
        </w:rPr>
        <w:lastRenderedPageBreak/>
        <w:t>Romet</w:t>
      </w:r>
      <w:proofErr w:type="spellEnd"/>
      <w:r w:rsidRPr="00602920">
        <w:rPr>
          <w:lang w:val="en-GB"/>
        </w:rPr>
        <w:t xml:space="preserve"> had approximately 25 office staff and another 90 people working in four departments in the plant</w:t>
      </w:r>
      <w:r w:rsidRPr="00602920">
        <w:rPr>
          <w:rFonts w:ascii="Arial" w:eastAsia="Calibri" w:hAnsi="Arial" w:cs="Arial"/>
          <w:lang w:val="en-GB"/>
        </w:rPr>
        <w:t>—</w:t>
      </w:r>
      <w:r w:rsidRPr="00602920">
        <w:rPr>
          <w:lang w:val="en-GB"/>
        </w:rPr>
        <w:t>machining, anodizing, assembly</w:t>
      </w:r>
      <w:r>
        <w:rPr>
          <w:lang w:val="en-GB"/>
        </w:rPr>
        <w:t>,</w:t>
      </w:r>
      <w:r w:rsidRPr="00602920">
        <w:rPr>
          <w:lang w:val="en-GB"/>
        </w:rPr>
        <w:t xml:space="preserve"> and proving.</w:t>
      </w:r>
      <w:r w:rsidRPr="00602920">
        <w:rPr>
          <w:rStyle w:val="FootnoteReference"/>
          <w:lang w:val="en-GB"/>
        </w:rPr>
        <w:footnoteReference w:id="1"/>
      </w:r>
      <w:r w:rsidRPr="00602920">
        <w:rPr>
          <w:lang w:val="en-GB"/>
        </w:rPr>
        <w:t xml:space="preserve"> The company’s strategy was to machine in-house critical components, such as impellers, pressure body housings, and head plates. The machining department used 27 machines, including 5-axis milling machines, horizontal milling machines, lathes, and grinders. All were computer numeric controlled (CNC) equipment. </w:t>
      </w:r>
      <w:proofErr w:type="spellStart"/>
      <w:r w:rsidRPr="00602920">
        <w:rPr>
          <w:lang w:val="en-GB"/>
        </w:rPr>
        <w:t>Romet</w:t>
      </w:r>
      <w:proofErr w:type="spellEnd"/>
      <w:r w:rsidRPr="00602920">
        <w:rPr>
          <w:lang w:val="en-GB"/>
        </w:rPr>
        <w:t xml:space="preserve"> was acquired by Signal Hill Equity Partners (Signal Hill), a Toronto-based private equity firm, in 2013.</w:t>
      </w:r>
    </w:p>
    <w:p w14:paraId="6774D9D9" w14:textId="77777777" w:rsidR="008A0A21" w:rsidRPr="00602920" w:rsidRDefault="008A0A21" w:rsidP="008A0A21">
      <w:pPr>
        <w:pStyle w:val="BodyTextMain"/>
        <w:rPr>
          <w:lang w:val="en-GB"/>
        </w:rPr>
      </w:pPr>
    </w:p>
    <w:p w14:paraId="08D648CE" w14:textId="77777777" w:rsidR="008A0A21" w:rsidRPr="00602920" w:rsidRDefault="008A0A21" w:rsidP="008A0A21">
      <w:pPr>
        <w:pStyle w:val="BodyTextMain"/>
        <w:rPr>
          <w:lang w:val="en-GB"/>
        </w:rPr>
      </w:pPr>
    </w:p>
    <w:p w14:paraId="1FB3BAB0" w14:textId="77777777" w:rsidR="008A0A21" w:rsidRPr="00602920" w:rsidRDefault="008A0A21" w:rsidP="008A0A21">
      <w:pPr>
        <w:pStyle w:val="Casehead1"/>
        <w:rPr>
          <w:lang w:val="en-GB"/>
        </w:rPr>
      </w:pPr>
      <w:r w:rsidRPr="00602920">
        <w:rPr>
          <w:lang w:val="en-GB"/>
        </w:rPr>
        <w:t>PROJECT DESTINY</w:t>
      </w:r>
    </w:p>
    <w:p w14:paraId="4D0DC016" w14:textId="77777777" w:rsidR="008A0A21" w:rsidRPr="00602920" w:rsidRDefault="008A0A21" w:rsidP="008A0A21">
      <w:pPr>
        <w:pStyle w:val="BodyTextMain"/>
        <w:rPr>
          <w:lang w:val="en-GB"/>
        </w:rPr>
      </w:pPr>
    </w:p>
    <w:p w14:paraId="238EF724" w14:textId="77777777" w:rsidR="008A0A21" w:rsidRPr="00602920" w:rsidRDefault="008A0A21" w:rsidP="008A0A21">
      <w:pPr>
        <w:pStyle w:val="BodyTextMain"/>
        <w:rPr>
          <w:lang w:val="en-GB"/>
        </w:rPr>
      </w:pPr>
      <w:r w:rsidRPr="00602920">
        <w:rPr>
          <w:lang w:val="en-GB"/>
        </w:rPr>
        <w:t xml:space="preserve">The plant relocation project was named “Project Destiny.” Brent had identified 14 activities required to complete the project (see Exhibit 1). The tasks were organized based on the constraints </w:t>
      </w:r>
      <w:proofErr w:type="spellStart"/>
      <w:r w:rsidRPr="00602920">
        <w:rPr>
          <w:lang w:val="en-GB"/>
        </w:rPr>
        <w:t>Romet</w:t>
      </w:r>
      <w:proofErr w:type="spellEnd"/>
      <w:r w:rsidRPr="00602920">
        <w:rPr>
          <w:lang w:val="en-GB"/>
        </w:rPr>
        <w:t xml:space="preserve"> faced, as Brent explained:</w:t>
      </w:r>
    </w:p>
    <w:p w14:paraId="3EABF02D" w14:textId="77777777" w:rsidR="008A0A21" w:rsidRPr="00602920" w:rsidRDefault="008A0A21" w:rsidP="008A0A21">
      <w:pPr>
        <w:pStyle w:val="BodyTextMain"/>
        <w:rPr>
          <w:lang w:val="en-GB"/>
        </w:rPr>
      </w:pPr>
    </w:p>
    <w:p w14:paraId="6529CEDA" w14:textId="77777777" w:rsidR="008A0A21" w:rsidRPr="00602920" w:rsidRDefault="008A0A21" w:rsidP="008A0A21">
      <w:pPr>
        <w:pStyle w:val="BodyTextMain"/>
        <w:ind w:left="720"/>
        <w:rPr>
          <w:lang w:val="en-GB"/>
        </w:rPr>
      </w:pPr>
      <w:r w:rsidRPr="00602920">
        <w:rPr>
          <w:lang w:val="en-GB"/>
        </w:rPr>
        <w:t xml:space="preserve">We have a preliminary agreement with the owners of the </w:t>
      </w:r>
      <w:proofErr w:type="spellStart"/>
      <w:r w:rsidRPr="00602920">
        <w:rPr>
          <w:lang w:val="en-GB"/>
        </w:rPr>
        <w:t>Timberlea</w:t>
      </w:r>
      <w:proofErr w:type="spellEnd"/>
      <w:r w:rsidRPr="00602920">
        <w:rPr>
          <w:lang w:val="en-GB"/>
        </w:rPr>
        <w:t xml:space="preserve"> building, and it will take about four weeks for the lawyers to finalize the details of the lease. After we get the permitting and zoning approvals, I want to move the plant in sequence, starting with the machine shop, followed by assembly, paint line, and auxiliary equipment. We will need to build inventory to support customer deliveries while we move the plant. For example, we will build enough machined parts to keep the assembly department running before we shut it down for relocation. Similarly, an inventory of assembled parts will also need to be built before we move that department. </w:t>
      </w:r>
    </w:p>
    <w:p w14:paraId="0FF17F9A" w14:textId="77777777" w:rsidR="008A0A21" w:rsidRPr="00602920" w:rsidRDefault="008A0A21" w:rsidP="008A0A21">
      <w:pPr>
        <w:pStyle w:val="BodyTextMain"/>
        <w:ind w:left="720"/>
        <w:rPr>
          <w:lang w:val="en-GB"/>
        </w:rPr>
      </w:pPr>
    </w:p>
    <w:p w14:paraId="3EB8FAD5" w14:textId="77777777" w:rsidR="008A0A21" w:rsidRPr="00602920" w:rsidRDefault="008A0A21" w:rsidP="008A0A21">
      <w:pPr>
        <w:pStyle w:val="BodyTextMain"/>
        <w:ind w:left="720"/>
        <w:rPr>
          <w:lang w:val="en-GB"/>
        </w:rPr>
      </w:pPr>
      <w:r w:rsidRPr="00602920">
        <w:rPr>
          <w:lang w:val="en-GB"/>
        </w:rPr>
        <w:t xml:space="preserve">Right now the </w:t>
      </w:r>
      <w:proofErr w:type="spellStart"/>
      <w:r w:rsidRPr="00602920">
        <w:rPr>
          <w:lang w:val="en-GB"/>
        </w:rPr>
        <w:t>Timberlea</w:t>
      </w:r>
      <w:proofErr w:type="spellEnd"/>
      <w:r w:rsidRPr="00602920">
        <w:rPr>
          <w:lang w:val="en-GB"/>
        </w:rPr>
        <w:t xml:space="preserve"> building is a vacant shell, without an office, so we need to build a proving room and an office pod for the quality department and supervisors. Our contractor will be responsible for plant construction and equipment installation, and they will need to prioritize resources. Electrical and pneumatic construction will need to be completed before any equipment can be installed. Moving the proving room will require coordination with Measurement Canada, who will need to certify the testing equipment after it is relocated to the new building. We still need to select a contractor for the office construction.</w:t>
      </w:r>
    </w:p>
    <w:p w14:paraId="597B8695" w14:textId="77777777" w:rsidR="008A0A21" w:rsidRPr="00602920" w:rsidRDefault="008A0A21" w:rsidP="008A0A21">
      <w:pPr>
        <w:pStyle w:val="BodyTextMain"/>
        <w:rPr>
          <w:lang w:val="en-GB"/>
        </w:rPr>
      </w:pPr>
    </w:p>
    <w:p w14:paraId="72E6EDB9" w14:textId="77777777" w:rsidR="008A0A21" w:rsidRPr="00602920" w:rsidRDefault="008A0A21" w:rsidP="008A0A21">
      <w:pPr>
        <w:pStyle w:val="BodyTextMain"/>
        <w:rPr>
          <w:lang w:val="en-GB"/>
        </w:rPr>
      </w:pPr>
      <w:r w:rsidRPr="00602920">
        <w:rPr>
          <w:lang w:val="en-GB"/>
        </w:rPr>
        <w:t xml:space="preserve">Attending the 1:00 p.m. meeting with Brent would be </w:t>
      </w:r>
      <w:proofErr w:type="spellStart"/>
      <w:r w:rsidRPr="00602920">
        <w:rPr>
          <w:lang w:val="en-GB"/>
        </w:rPr>
        <w:t>Romet’s</w:t>
      </w:r>
      <w:proofErr w:type="spellEnd"/>
      <w:r w:rsidRPr="00602920">
        <w:rPr>
          <w:lang w:val="en-GB"/>
        </w:rPr>
        <w:t xml:space="preserve"> director of operations, its chief financial officer, and the company’s lawyer. Also joining the meeting would be the architect and the contractor responsible for plant construction and equipment installation. Brent recognized that extending the completion of the project beyond the end of the lease was impossible, and he was concerned about completing the schedule without increasing the budget:</w:t>
      </w:r>
    </w:p>
    <w:p w14:paraId="203ACC1E" w14:textId="77777777" w:rsidR="008A0A21" w:rsidRPr="00602920" w:rsidRDefault="008A0A21" w:rsidP="008A0A21">
      <w:pPr>
        <w:pStyle w:val="BodyTextMain"/>
        <w:rPr>
          <w:lang w:val="en-GB"/>
        </w:rPr>
      </w:pPr>
    </w:p>
    <w:p w14:paraId="0AB562C2" w14:textId="77777777" w:rsidR="008A0A21" w:rsidRPr="00602920" w:rsidRDefault="008A0A21" w:rsidP="008A0A21">
      <w:pPr>
        <w:pStyle w:val="BodyTextMain"/>
        <w:ind w:left="720"/>
        <w:rPr>
          <w:lang w:val="en-GB"/>
        </w:rPr>
      </w:pPr>
      <w:r w:rsidRPr="00602920">
        <w:rPr>
          <w:lang w:val="en-GB"/>
        </w:rPr>
        <w:t>Before I go into the meeting this afternoon, I need to understand the expected completion date for the project based on the current schedule. If it is going to run past December 21, I want to be prepared to discuss alternatives and possible changes. Meanwhile, I need to complete the project on-budget, which has been set based on the current schedule. It will be difficult to get approval to cover expenses for additional resources.</w:t>
      </w:r>
    </w:p>
    <w:p w14:paraId="6B9A675E" w14:textId="77777777" w:rsidR="008A0A21" w:rsidRPr="00602920" w:rsidRDefault="008A0A21" w:rsidP="008A0A21">
      <w:pPr>
        <w:pStyle w:val="BodyTextMain"/>
        <w:rPr>
          <w:lang w:val="en-GB"/>
        </w:rPr>
      </w:pPr>
    </w:p>
    <w:p w14:paraId="1D7C7883" w14:textId="77777777" w:rsidR="008A0A21" w:rsidRPr="00602920" w:rsidRDefault="008A0A21" w:rsidP="008A0A21">
      <w:pPr>
        <w:pStyle w:val="BodyTextMain"/>
        <w:rPr>
          <w:lang w:val="en-GB"/>
        </w:rPr>
      </w:pPr>
    </w:p>
    <w:p w14:paraId="4B27FAB4" w14:textId="77777777" w:rsidR="008A0A21" w:rsidRPr="00602920" w:rsidRDefault="008A0A21" w:rsidP="008A0A21">
      <w:pPr>
        <w:pStyle w:val="BodyTextMain"/>
        <w:rPr>
          <w:lang w:val="en-GB"/>
        </w:rPr>
      </w:pPr>
    </w:p>
    <w:p w14:paraId="57C99F4F" w14:textId="77777777" w:rsidR="008A0A21" w:rsidRPr="00602920" w:rsidRDefault="008A0A21" w:rsidP="008A0A21">
      <w:pPr>
        <w:pStyle w:val="BodyTextMain"/>
        <w:rPr>
          <w:lang w:val="en-GB"/>
        </w:rPr>
      </w:pPr>
    </w:p>
    <w:p w14:paraId="6CF18452" w14:textId="77777777" w:rsidR="008A0A21" w:rsidRPr="00602920" w:rsidRDefault="008A0A21" w:rsidP="008A0A21">
      <w:pPr>
        <w:pStyle w:val="ExhibitHeading"/>
        <w:rPr>
          <w:lang w:val="en-GB"/>
        </w:rPr>
      </w:pPr>
      <w:r w:rsidRPr="00602920">
        <w:rPr>
          <w:sz w:val="22"/>
          <w:szCs w:val="22"/>
          <w:lang w:val="en-GB"/>
        </w:rPr>
        <w:br w:type="page"/>
      </w:r>
      <w:r w:rsidRPr="00602920">
        <w:rPr>
          <w:lang w:val="en-GB"/>
        </w:rPr>
        <w:lastRenderedPageBreak/>
        <w:t>Exhibit 1: Activities to Complete Plant Relocation—After Architectural Design and Plant Layout Completed</w:t>
      </w:r>
    </w:p>
    <w:p w14:paraId="086E29D7" w14:textId="77777777" w:rsidR="008A0A21" w:rsidRPr="00602920" w:rsidRDefault="008A0A21" w:rsidP="008A0A21">
      <w:pPr>
        <w:pStyle w:val="BodyTextMain"/>
        <w:rPr>
          <w:rFonts w:eastAsia="Calibri"/>
          <w:lang w:val="en-GB"/>
        </w:rPr>
      </w:pPr>
    </w:p>
    <w:tbl>
      <w:tblPr>
        <w:tblStyle w:val="TableGrid1"/>
        <w:tblW w:w="9242" w:type="dxa"/>
        <w:jc w:val="center"/>
        <w:tblLook w:val="04A0" w:firstRow="1" w:lastRow="0" w:firstColumn="1" w:lastColumn="0" w:noHBand="0" w:noVBand="1"/>
      </w:tblPr>
      <w:tblGrid>
        <w:gridCol w:w="1017"/>
        <w:gridCol w:w="4910"/>
        <w:gridCol w:w="1443"/>
        <w:gridCol w:w="1872"/>
      </w:tblGrid>
      <w:tr w:rsidR="008A0A21" w:rsidRPr="00602920" w14:paraId="5DA6D0CC" w14:textId="77777777" w:rsidTr="00531868">
        <w:trPr>
          <w:jc w:val="center"/>
        </w:trPr>
        <w:tc>
          <w:tcPr>
            <w:tcW w:w="1017" w:type="dxa"/>
            <w:vAlign w:val="center"/>
          </w:tcPr>
          <w:p w14:paraId="0547CDBD" w14:textId="77777777" w:rsidR="008A0A21" w:rsidRPr="00602920" w:rsidRDefault="008A0A21" w:rsidP="00531868">
            <w:pPr>
              <w:spacing w:before="60" w:after="60"/>
              <w:jc w:val="center"/>
              <w:rPr>
                <w:rFonts w:ascii="Arial" w:eastAsia="Calibri" w:hAnsi="Arial" w:cs="Arial"/>
                <w:b/>
                <w:lang w:val="en-GB"/>
              </w:rPr>
            </w:pPr>
            <w:r w:rsidRPr="00602920">
              <w:rPr>
                <w:rFonts w:ascii="Arial" w:eastAsia="Calibri" w:hAnsi="Arial" w:cs="Arial"/>
                <w:b/>
                <w:lang w:val="en-GB"/>
              </w:rPr>
              <w:t>Activity</w:t>
            </w:r>
          </w:p>
        </w:tc>
        <w:tc>
          <w:tcPr>
            <w:tcW w:w="4910" w:type="dxa"/>
            <w:vAlign w:val="center"/>
          </w:tcPr>
          <w:p w14:paraId="2EAC7AB7" w14:textId="77777777" w:rsidR="008A0A21" w:rsidRPr="00602920" w:rsidRDefault="008A0A21" w:rsidP="00531868">
            <w:pPr>
              <w:spacing w:before="60" w:after="60"/>
              <w:jc w:val="center"/>
              <w:rPr>
                <w:rFonts w:ascii="Arial" w:eastAsia="Calibri" w:hAnsi="Arial" w:cs="Arial"/>
                <w:b/>
                <w:lang w:val="en-GB"/>
              </w:rPr>
            </w:pPr>
            <w:r w:rsidRPr="00602920">
              <w:rPr>
                <w:rFonts w:ascii="Arial" w:eastAsia="Calibri" w:hAnsi="Arial" w:cs="Arial"/>
                <w:b/>
                <w:lang w:val="en-GB"/>
              </w:rPr>
              <w:t>Description</w:t>
            </w:r>
          </w:p>
        </w:tc>
        <w:tc>
          <w:tcPr>
            <w:tcW w:w="1443" w:type="dxa"/>
            <w:vAlign w:val="center"/>
          </w:tcPr>
          <w:p w14:paraId="29EC9B05" w14:textId="77777777" w:rsidR="008A0A21" w:rsidRPr="00602920" w:rsidRDefault="008A0A21" w:rsidP="00531868">
            <w:pPr>
              <w:spacing w:before="60" w:after="60"/>
              <w:jc w:val="center"/>
              <w:rPr>
                <w:rFonts w:ascii="Arial" w:eastAsia="Calibri" w:hAnsi="Arial" w:cs="Arial"/>
                <w:b/>
                <w:lang w:val="en-GB"/>
              </w:rPr>
            </w:pPr>
            <w:r w:rsidRPr="00602920">
              <w:rPr>
                <w:rFonts w:ascii="Arial" w:eastAsia="Calibri" w:hAnsi="Arial" w:cs="Arial"/>
                <w:b/>
                <w:lang w:val="en-GB"/>
              </w:rPr>
              <w:t>Immediate</w:t>
            </w:r>
          </w:p>
          <w:p w14:paraId="7503CECD" w14:textId="77777777" w:rsidR="008A0A21" w:rsidRPr="00602920" w:rsidRDefault="008A0A21" w:rsidP="00531868">
            <w:pPr>
              <w:spacing w:before="60" w:after="60"/>
              <w:jc w:val="center"/>
              <w:rPr>
                <w:rFonts w:ascii="Arial" w:eastAsia="Calibri" w:hAnsi="Arial" w:cs="Arial"/>
                <w:b/>
                <w:lang w:val="en-GB"/>
              </w:rPr>
            </w:pPr>
            <w:r w:rsidRPr="00602920">
              <w:rPr>
                <w:rFonts w:ascii="Arial" w:eastAsia="Calibri" w:hAnsi="Arial" w:cs="Arial"/>
                <w:b/>
                <w:lang w:val="en-GB"/>
              </w:rPr>
              <w:t>Predecessor</w:t>
            </w:r>
          </w:p>
        </w:tc>
        <w:tc>
          <w:tcPr>
            <w:tcW w:w="1872" w:type="dxa"/>
            <w:vAlign w:val="center"/>
          </w:tcPr>
          <w:p w14:paraId="2E219352" w14:textId="77777777" w:rsidR="008A0A21" w:rsidRPr="00602920" w:rsidRDefault="008A0A21" w:rsidP="00531868">
            <w:pPr>
              <w:spacing w:before="60" w:after="60"/>
              <w:jc w:val="center"/>
              <w:rPr>
                <w:rFonts w:ascii="Arial" w:eastAsia="Calibri" w:hAnsi="Arial" w:cs="Arial"/>
                <w:b/>
                <w:lang w:val="en-GB"/>
              </w:rPr>
            </w:pPr>
            <w:r w:rsidRPr="00602920">
              <w:rPr>
                <w:rFonts w:ascii="Arial" w:eastAsia="Calibri" w:hAnsi="Arial" w:cs="Arial"/>
                <w:b/>
                <w:lang w:val="en-GB"/>
              </w:rPr>
              <w:t>Estimated Time</w:t>
            </w:r>
          </w:p>
          <w:p w14:paraId="591D8C93" w14:textId="77777777" w:rsidR="008A0A21" w:rsidRPr="00602920" w:rsidRDefault="008A0A21" w:rsidP="00531868">
            <w:pPr>
              <w:spacing w:before="60" w:after="60"/>
              <w:jc w:val="center"/>
              <w:rPr>
                <w:rFonts w:ascii="Arial" w:eastAsia="Calibri" w:hAnsi="Arial" w:cs="Arial"/>
                <w:b/>
                <w:lang w:val="en-GB"/>
              </w:rPr>
            </w:pPr>
            <w:r w:rsidRPr="00602920">
              <w:rPr>
                <w:rFonts w:ascii="Arial" w:eastAsia="Calibri" w:hAnsi="Arial" w:cs="Arial"/>
                <w:b/>
                <w:lang w:val="en-GB"/>
              </w:rPr>
              <w:t>(</w:t>
            </w:r>
            <w:r>
              <w:rPr>
                <w:rFonts w:ascii="Arial" w:eastAsia="Calibri" w:hAnsi="Arial" w:cs="Arial"/>
                <w:b/>
                <w:lang w:val="en-GB"/>
              </w:rPr>
              <w:t>W</w:t>
            </w:r>
            <w:r w:rsidRPr="00602920">
              <w:rPr>
                <w:rFonts w:ascii="Arial" w:eastAsia="Calibri" w:hAnsi="Arial" w:cs="Arial"/>
                <w:b/>
                <w:lang w:val="en-GB"/>
              </w:rPr>
              <w:t>eeks)</w:t>
            </w:r>
          </w:p>
        </w:tc>
      </w:tr>
      <w:tr w:rsidR="008A0A21" w:rsidRPr="00602920" w14:paraId="3218E5FC" w14:textId="77777777" w:rsidTr="00531868">
        <w:trPr>
          <w:jc w:val="center"/>
        </w:trPr>
        <w:tc>
          <w:tcPr>
            <w:tcW w:w="1017" w:type="dxa"/>
          </w:tcPr>
          <w:p w14:paraId="63A50370"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A</w:t>
            </w:r>
          </w:p>
        </w:tc>
        <w:tc>
          <w:tcPr>
            <w:tcW w:w="4910" w:type="dxa"/>
          </w:tcPr>
          <w:p w14:paraId="4C81DE04"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Finalize lease</w:t>
            </w:r>
          </w:p>
        </w:tc>
        <w:tc>
          <w:tcPr>
            <w:tcW w:w="1443" w:type="dxa"/>
          </w:tcPr>
          <w:p w14:paraId="2D2F22BC"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w:t>
            </w:r>
          </w:p>
        </w:tc>
        <w:tc>
          <w:tcPr>
            <w:tcW w:w="1872" w:type="dxa"/>
          </w:tcPr>
          <w:p w14:paraId="045453A0"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4</w:t>
            </w:r>
          </w:p>
        </w:tc>
      </w:tr>
      <w:tr w:rsidR="008A0A21" w:rsidRPr="00602920" w14:paraId="33F9B117" w14:textId="77777777" w:rsidTr="00531868">
        <w:trPr>
          <w:jc w:val="center"/>
        </w:trPr>
        <w:tc>
          <w:tcPr>
            <w:tcW w:w="1017" w:type="dxa"/>
          </w:tcPr>
          <w:p w14:paraId="003BCB9E"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B</w:t>
            </w:r>
          </w:p>
        </w:tc>
        <w:tc>
          <w:tcPr>
            <w:tcW w:w="4910" w:type="dxa"/>
          </w:tcPr>
          <w:p w14:paraId="10FF226D"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Obtain permits</w:t>
            </w:r>
          </w:p>
        </w:tc>
        <w:tc>
          <w:tcPr>
            <w:tcW w:w="1443" w:type="dxa"/>
          </w:tcPr>
          <w:p w14:paraId="26D861A7"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A</w:t>
            </w:r>
          </w:p>
        </w:tc>
        <w:tc>
          <w:tcPr>
            <w:tcW w:w="1872" w:type="dxa"/>
          </w:tcPr>
          <w:p w14:paraId="56271266"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10</w:t>
            </w:r>
          </w:p>
        </w:tc>
      </w:tr>
      <w:tr w:rsidR="008A0A21" w:rsidRPr="00602920" w14:paraId="557DD3C5" w14:textId="77777777" w:rsidTr="00531868">
        <w:trPr>
          <w:jc w:val="center"/>
        </w:trPr>
        <w:tc>
          <w:tcPr>
            <w:tcW w:w="1017" w:type="dxa"/>
          </w:tcPr>
          <w:p w14:paraId="0D0B97A0"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C</w:t>
            </w:r>
          </w:p>
        </w:tc>
        <w:tc>
          <w:tcPr>
            <w:tcW w:w="4910" w:type="dxa"/>
          </w:tcPr>
          <w:p w14:paraId="10C4878E"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Zoning approval</w:t>
            </w:r>
          </w:p>
        </w:tc>
        <w:tc>
          <w:tcPr>
            <w:tcW w:w="1443" w:type="dxa"/>
          </w:tcPr>
          <w:p w14:paraId="5E910F6D"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A</w:t>
            </w:r>
          </w:p>
        </w:tc>
        <w:tc>
          <w:tcPr>
            <w:tcW w:w="1872" w:type="dxa"/>
          </w:tcPr>
          <w:p w14:paraId="7E09B551"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8</w:t>
            </w:r>
          </w:p>
        </w:tc>
      </w:tr>
      <w:tr w:rsidR="008A0A21" w:rsidRPr="00602920" w14:paraId="1B5C0C1C" w14:textId="77777777" w:rsidTr="00531868">
        <w:trPr>
          <w:jc w:val="center"/>
        </w:trPr>
        <w:tc>
          <w:tcPr>
            <w:tcW w:w="1017" w:type="dxa"/>
          </w:tcPr>
          <w:p w14:paraId="57320342"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D</w:t>
            </w:r>
          </w:p>
        </w:tc>
        <w:tc>
          <w:tcPr>
            <w:tcW w:w="4910" w:type="dxa"/>
          </w:tcPr>
          <w:p w14:paraId="34B3DAE3"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Electrical and pneumatic construction</w:t>
            </w:r>
          </w:p>
        </w:tc>
        <w:tc>
          <w:tcPr>
            <w:tcW w:w="1443" w:type="dxa"/>
          </w:tcPr>
          <w:p w14:paraId="72E0FD1F"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B, C</w:t>
            </w:r>
          </w:p>
        </w:tc>
        <w:tc>
          <w:tcPr>
            <w:tcW w:w="1872" w:type="dxa"/>
          </w:tcPr>
          <w:p w14:paraId="3C5B731E"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16</w:t>
            </w:r>
          </w:p>
        </w:tc>
      </w:tr>
      <w:tr w:rsidR="008A0A21" w:rsidRPr="00602920" w14:paraId="4FC1A990" w14:textId="77777777" w:rsidTr="00531868">
        <w:trPr>
          <w:jc w:val="center"/>
        </w:trPr>
        <w:tc>
          <w:tcPr>
            <w:tcW w:w="1017" w:type="dxa"/>
          </w:tcPr>
          <w:p w14:paraId="35494937"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E</w:t>
            </w:r>
          </w:p>
        </w:tc>
        <w:tc>
          <w:tcPr>
            <w:tcW w:w="4910" w:type="dxa"/>
          </w:tcPr>
          <w:p w14:paraId="578AA1EA"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Quality/</w:t>
            </w:r>
            <w:r>
              <w:rPr>
                <w:rFonts w:ascii="Arial" w:eastAsia="Calibri" w:hAnsi="Arial" w:cs="Arial"/>
                <w:lang w:val="en-GB"/>
              </w:rPr>
              <w:t>s</w:t>
            </w:r>
            <w:r w:rsidRPr="00602920">
              <w:rPr>
                <w:rFonts w:ascii="Arial" w:eastAsia="Calibri" w:hAnsi="Arial" w:cs="Arial"/>
                <w:lang w:val="en-GB"/>
              </w:rPr>
              <w:t>upervisor pod construction</w:t>
            </w:r>
          </w:p>
        </w:tc>
        <w:tc>
          <w:tcPr>
            <w:tcW w:w="1443" w:type="dxa"/>
          </w:tcPr>
          <w:p w14:paraId="7C726D2A"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B, C</w:t>
            </w:r>
          </w:p>
        </w:tc>
        <w:tc>
          <w:tcPr>
            <w:tcW w:w="1872" w:type="dxa"/>
          </w:tcPr>
          <w:p w14:paraId="4CD2D852"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16</w:t>
            </w:r>
          </w:p>
        </w:tc>
      </w:tr>
      <w:tr w:rsidR="008A0A21" w:rsidRPr="00602920" w14:paraId="249DE1A8" w14:textId="77777777" w:rsidTr="00531868">
        <w:trPr>
          <w:jc w:val="center"/>
        </w:trPr>
        <w:tc>
          <w:tcPr>
            <w:tcW w:w="1017" w:type="dxa"/>
          </w:tcPr>
          <w:p w14:paraId="5392E91B"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F</w:t>
            </w:r>
          </w:p>
        </w:tc>
        <w:tc>
          <w:tcPr>
            <w:tcW w:w="4910" w:type="dxa"/>
          </w:tcPr>
          <w:p w14:paraId="46058AF3"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Anodizing line installation</w:t>
            </w:r>
          </w:p>
        </w:tc>
        <w:tc>
          <w:tcPr>
            <w:tcW w:w="1443" w:type="dxa"/>
          </w:tcPr>
          <w:p w14:paraId="5DB05375"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B, C</w:t>
            </w:r>
          </w:p>
        </w:tc>
        <w:tc>
          <w:tcPr>
            <w:tcW w:w="1872" w:type="dxa"/>
          </w:tcPr>
          <w:p w14:paraId="507E9EC6"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14</w:t>
            </w:r>
          </w:p>
        </w:tc>
      </w:tr>
      <w:tr w:rsidR="008A0A21" w:rsidRPr="00602920" w14:paraId="53AC9E03" w14:textId="77777777" w:rsidTr="00531868">
        <w:trPr>
          <w:jc w:val="center"/>
        </w:trPr>
        <w:tc>
          <w:tcPr>
            <w:tcW w:w="1017" w:type="dxa"/>
          </w:tcPr>
          <w:p w14:paraId="57E6A7B2"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G</w:t>
            </w:r>
          </w:p>
        </w:tc>
        <w:tc>
          <w:tcPr>
            <w:tcW w:w="4910" w:type="dxa"/>
          </w:tcPr>
          <w:p w14:paraId="46BC444F"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Machine shop equipment removal and reinstallation</w:t>
            </w:r>
          </w:p>
        </w:tc>
        <w:tc>
          <w:tcPr>
            <w:tcW w:w="1443" w:type="dxa"/>
          </w:tcPr>
          <w:p w14:paraId="3F957313"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D, F</w:t>
            </w:r>
          </w:p>
        </w:tc>
        <w:tc>
          <w:tcPr>
            <w:tcW w:w="1872" w:type="dxa"/>
          </w:tcPr>
          <w:p w14:paraId="636C7AB7"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2</w:t>
            </w:r>
          </w:p>
        </w:tc>
      </w:tr>
      <w:tr w:rsidR="008A0A21" w:rsidRPr="00602920" w14:paraId="6C190DCE" w14:textId="77777777" w:rsidTr="00531868">
        <w:trPr>
          <w:jc w:val="center"/>
        </w:trPr>
        <w:tc>
          <w:tcPr>
            <w:tcW w:w="1017" w:type="dxa"/>
          </w:tcPr>
          <w:p w14:paraId="2036C9A2"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H</w:t>
            </w:r>
          </w:p>
        </w:tc>
        <w:tc>
          <w:tcPr>
            <w:tcW w:w="4910" w:type="dxa"/>
          </w:tcPr>
          <w:p w14:paraId="70E21EF2"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Climate controlled proving room construction</w:t>
            </w:r>
          </w:p>
        </w:tc>
        <w:tc>
          <w:tcPr>
            <w:tcW w:w="1443" w:type="dxa"/>
          </w:tcPr>
          <w:p w14:paraId="2DCA149D"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E</w:t>
            </w:r>
          </w:p>
        </w:tc>
        <w:tc>
          <w:tcPr>
            <w:tcW w:w="1872" w:type="dxa"/>
          </w:tcPr>
          <w:p w14:paraId="3C8597B0"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4</w:t>
            </w:r>
          </w:p>
        </w:tc>
      </w:tr>
      <w:tr w:rsidR="008A0A21" w:rsidRPr="00602920" w14:paraId="383E5724" w14:textId="77777777" w:rsidTr="00531868">
        <w:trPr>
          <w:jc w:val="center"/>
        </w:trPr>
        <w:tc>
          <w:tcPr>
            <w:tcW w:w="1017" w:type="dxa"/>
          </w:tcPr>
          <w:p w14:paraId="183393FF"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I</w:t>
            </w:r>
          </w:p>
        </w:tc>
        <w:tc>
          <w:tcPr>
            <w:tcW w:w="4910" w:type="dxa"/>
          </w:tcPr>
          <w:p w14:paraId="0DC1505E"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 xml:space="preserve">Assembly relocation </w:t>
            </w:r>
          </w:p>
        </w:tc>
        <w:tc>
          <w:tcPr>
            <w:tcW w:w="1443" w:type="dxa"/>
          </w:tcPr>
          <w:p w14:paraId="4C34D880"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G</w:t>
            </w:r>
          </w:p>
        </w:tc>
        <w:tc>
          <w:tcPr>
            <w:tcW w:w="1872" w:type="dxa"/>
          </w:tcPr>
          <w:p w14:paraId="226282BD"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1</w:t>
            </w:r>
          </w:p>
        </w:tc>
      </w:tr>
      <w:tr w:rsidR="008A0A21" w:rsidRPr="00602920" w14:paraId="738345AE" w14:textId="77777777" w:rsidTr="00531868">
        <w:trPr>
          <w:jc w:val="center"/>
        </w:trPr>
        <w:tc>
          <w:tcPr>
            <w:tcW w:w="1017" w:type="dxa"/>
          </w:tcPr>
          <w:p w14:paraId="4AA1C8AF"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J</w:t>
            </w:r>
          </w:p>
        </w:tc>
        <w:tc>
          <w:tcPr>
            <w:tcW w:w="4910" w:type="dxa"/>
          </w:tcPr>
          <w:p w14:paraId="3B9CBBCA"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Paint line relocation</w:t>
            </w:r>
          </w:p>
        </w:tc>
        <w:tc>
          <w:tcPr>
            <w:tcW w:w="1443" w:type="dxa"/>
          </w:tcPr>
          <w:p w14:paraId="06DD0289"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I</w:t>
            </w:r>
          </w:p>
        </w:tc>
        <w:tc>
          <w:tcPr>
            <w:tcW w:w="1872" w:type="dxa"/>
          </w:tcPr>
          <w:p w14:paraId="67B7068D"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6</w:t>
            </w:r>
          </w:p>
        </w:tc>
      </w:tr>
      <w:tr w:rsidR="008A0A21" w:rsidRPr="00602920" w14:paraId="21688F14" w14:textId="77777777" w:rsidTr="00531868">
        <w:trPr>
          <w:jc w:val="center"/>
        </w:trPr>
        <w:tc>
          <w:tcPr>
            <w:tcW w:w="1017" w:type="dxa"/>
          </w:tcPr>
          <w:p w14:paraId="0E152B16"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K</w:t>
            </w:r>
          </w:p>
        </w:tc>
        <w:tc>
          <w:tcPr>
            <w:tcW w:w="4910" w:type="dxa"/>
          </w:tcPr>
          <w:p w14:paraId="5D229CAB"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Auxiliary equipment</w:t>
            </w:r>
          </w:p>
        </w:tc>
        <w:tc>
          <w:tcPr>
            <w:tcW w:w="1443" w:type="dxa"/>
          </w:tcPr>
          <w:p w14:paraId="13E1365F"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J</w:t>
            </w:r>
          </w:p>
        </w:tc>
        <w:tc>
          <w:tcPr>
            <w:tcW w:w="1872" w:type="dxa"/>
          </w:tcPr>
          <w:p w14:paraId="41EFA3B8"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1</w:t>
            </w:r>
          </w:p>
        </w:tc>
      </w:tr>
      <w:tr w:rsidR="008A0A21" w:rsidRPr="00602920" w14:paraId="0D8822C0" w14:textId="77777777" w:rsidTr="00531868">
        <w:trPr>
          <w:jc w:val="center"/>
        </w:trPr>
        <w:tc>
          <w:tcPr>
            <w:tcW w:w="1017" w:type="dxa"/>
          </w:tcPr>
          <w:p w14:paraId="4345C5D0"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L</w:t>
            </w:r>
          </w:p>
        </w:tc>
        <w:tc>
          <w:tcPr>
            <w:tcW w:w="4910" w:type="dxa"/>
          </w:tcPr>
          <w:p w14:paraId="66C28457"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Office construction</w:t>
            </w:r>
          </w:p>
        </w:tc>
        <w:tc>
          <w:tcPr>
            <w:tcW w:w="1443" w:type="dxa"/>
          </w:tcPr>
          <w:p w14:paraId="4F5BFE42"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E</w:t>
            </w:r>
          </w:p>
        </w:tc>
        <w:tc>
          <w:tcPr>
            <w:tcW w:w="1872" w:type="dxa"/>
          </w:tcPr>
          <w:p w14:paraId="1735FF19"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12</w:t>
            </w:r>
          </w:p>
        </w:tc>
      </w:tr>
      <w:tr w:rsidR="008A0A21" w:rsidRPr="00602920" w14:paraId="10ACEDEE" w14:textId="77777777" w:rsidTr="00531868">
        <w:trPr>
          <w:jc w:val="center"/>
        </w:trPr>
        <w:tc>
          <w:tcPr>
            <w:tcW w:w="1017" w:type="dxa"/>
          </w:tcPr>
          <w:p w14:paraId="3AA9C9DC"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M</w:t>
            </w:r>
          </w:p>
        </w:tc>
        <w:tc>
          <w:tcPr>
            <w:tcW w:w="4910" w:type="dxa"/>
          </w:tcPr>
          <w:p w14:paraId="1EB1D9E9"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I</w:t>
            </w:r>
            <w:r>
              <w:rPr>
                <w:rFonts w:ascii="Arial" w:eastAsia="Calibri" w:hAnsi="Arial" w:cs="Arial"/>
                <w:lang w:val="en-GB"/>
              </w:rPr>
              <w:t>nformation technology</w:t>
            </w:r>
            <w:r w:rsidRPr="00602920">
              <w:rPr>
                <w:rFonts w:ascii="Arial" w:eastAsia="Calibri" w:hAnsi="Arial" w:cs="Arial"/>
                <w:lang w:val="en-GB"/>
              </w:rPr>
              <w:t xml:space="preserve"> services</w:t>
            </w:r>
          </w:p>
        </w:tc>
        <w:tc>
          <w:tcPr>
            <w:tcW w:w="1443" w:type="dxa"/>
          </w:tcPr>
          <w:p w14:paraId="28018315"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E</w:t>
            </w:r>
          </w:p>
        </w:tc>
        <w:tc>
          <w:tcPr>
            <w:tcW w:w="1872" w:type="dxa"/>
          </w:tcPr>
          <w:p w14:paraId="5D0E8263"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12</w:t>
            </w:r>
          </w:p>
        </w:tc>
      </w:tr>
      <w:tr w:rsidR="008A0A21" w:rsidRPr="00602920" w14:paraId="0F201093" w14:textId="77777777" w:rsidTr="00531868">
        <w:trPr>
          <w:jc w:val="center"/>
        </w:trPr>
        <w:tc>
          <w:tcPr>
            <w:tcW w:w="1017" w:type="dxa"/>
          </w:tcPr>
          <w:p w14:paraId="55306E65"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N</w:t>
            </w:r>
          </w:p>
        </w:tc>
        <w:tc>
          <w:tcPr>
            <w:tcW w:w="4910" w:type="dxa"/>
          </w:tcPr>
          <w:p w14:paraId="3E07F59A"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Office move</w:t>
            </w:r>
          </w:p>
        </w:tc>
        <w:tc>
          <w:tcPr>
            <w:tcW w:w="1443" w:type="dxa"/>
          </w:tcPr>
          <w:p w14:paraId="5265F7C6"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L, M</w:t>
            </w:r>
          </w:p>
        </w:tc>
        <w:tc>
          <w:tcPr>
            <w:tcW w:w="1872" w:type="dxa"/>
          </w:tcPr>
          <w:p w14:paraId="2CDF572C"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1</w:t>
            </w:r>
          </w:p>
        </w:tc>
      </w:tr>
      <w:tr w:rsidR="008A0A21" w:rsidRPr="00602920" w14:paraId="55D5D9AA" w14:textId="77777777" w:rsidTr="00531868">
        <w:trPr>
          <w:jc w:val="center"/>
        </w:trPr>
        <w:tc>
          <w:tcPr>
            <w:tcW w:w="1017" w:type="dxa"/>
          </w:tcPr>
          <w:p w14:paraId="5C2885DB"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O</w:t>
            </w:r>
          </w:p>
        </w:tc>
        <w:tc>
          <w:tcPr>
            <w:tcW w:w="4910" w:type="dxa"/>
          </w:tcPr>
          <w:p w14:paraId="19A41414" w14:textId="77777777" w:rsidR="008A0A21" w:rsidRPr="00602920" w:rsidRDefault="008A0A21" w:rsidP="00531868">
            <w:pPr>
              <w:rPr>
                <w:rFonts w:ascii="Arial" w:eastAsia="Calibri" w:hAnsi="Arial" w:cs="Arial"/>
                <w:lang w:val="en-GB"/>
              </w:rPr>
            </w:pPr>
            <w:r w:rsidRPr="00602920">
              <w:rPr>
                <w:rFonts w:ascii="Arial" w:eastAsia="Calibri" w:hAnsi="Arial" w:cs="Arial"/>
                <w:lang w:val="en-GB"/>
              </w:rPr>
              <w:t>Project end</w:t>
            </w:r>
          </w:p>
        </w:tc>
        <w:tc>
          <w:tcPr>
            <w:tcW w:w="1443" w:type="dxa"/>
          </w:tcPr>
          <w:p w14:paraId="46A2FDDC"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H, K, N</w:t>
            </w:r>
          </w:p>
        </w:tc>
        <w:tc>
          <w:tcPr>
            <w:tcW w:w="1872" w:type="dxa"/>
          </w:tcPr>
          <w:p w14:paraId="75F1BC68" w14:textId="77777777" w:rsidR="008A0A21" w:rsidRPr="00602920" w:rsidRDefault="008A0A21" w:rsidP="00531868">
            <w:pPr>
              <w:jc w:val="center"/>
              <w:rPr>
                <w:rFonts w:ascii="Arial" w:eastAsia="Calibri" w:hAnsi="Arial" w:cs="Arial"/>
                <w:lang w:val="en-GB"/>
              </w:rPr>
            </w:pPr>
            <w:r w:rsidRPr="00602920">
              <w:rPr>
                <w:rFonts w:ascii="Arial" w:eastAsia="Calibri" w:hAnsi="Arial" w:cs="Arial"/>
                <w:lang w:val="en-GB"/>
              </w:rPr>
              <w:t>—</w:t>
            </w:r>
          </w:p>
        </w:tc>
      </w:tr>
    </w:tbl>
    <w:p w14:paraId="080C4094" w14:textId="77777777" w:rsidR="008A0A21" w:rsidRPr="00602920" w:rsidRDefault="008A0A21" w:rsidP="008A0A21">
      <w:pPr>
        <w:pStyle w:val="FootnoteText1"/>
        <w:rPr>
          <w:lang w:val="en-GB"/>
        </w:rPr>
      </w:pPr>
    </w:p>
    <w:p w14:paraId="59161DDE" w14:textId="77777777" w:rsidR="008A0A21" w:rsidRPr="00602920" w:rsidRDefault="008A0A21" w:rsidP="008A0A21">
      <w:pPr>
        <w:pStyle w:val="FootnoteText1"/>
        <w:rPr>
          <w:lang w:val="en-GB"/>
        </w:rPr>
      </w:pPr>
      <w:r w:rsidRPr="00602920">
        <w:rPr>
          <w:lang w:val="en-GB"/>
        </w:rPr>
        <w:t>Source: Company files</w:t>
      </w:r>
      <w:r>
        <w:rPr>
          <w:lang w:val="en-GB"/>
        </w:rPr>
        <w:t>.</w:t>
      </w:r>
    </w:p>
    <w:p w14:paraId="4084BF04" w14:textId="77777777" w:rsidR="008A0A21" w:rsidRPr="00602920" w:rsidRDefault="008A0A21" w:rsidP="008A0A21">
      <w:pPr>
        <w:pStyle w:val="BodyTextMain"/>
        <w:rPr>
          <w:lang w:val="en-GB"/>
        </w:rPr>
      </w:pPr>
    </w:p>
    <w:p w14:paraId="457D9D70" w14:textId="77777777" w:rsidR="00845280" w:rsidRDefault="00845280" w:rsidP="008A0A21">
      <w:pPr>
        <w:pStyle w:val="BodyTextMain"/>
      </w:pPr>
    </w:p>
    <w:sectPr w:rsidR="00845280"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3FA0CF79" w14:textId="77777777" w:rsidR="008A0A21" w:rsidRDefault="008A0A21" w:rsidP="008A0A21">
      <w:pPr>
        <w:pStyle w:val="FootnoteText1"/>
      </w:pPr>
      <w:r>
        <w:rPr>
          <w:rStyle w:val="FootnoteReference"/>
        </w:rPr>
        <w:footnoteRef/>
      </w:r>
      <w:r>
        <w:t xml:space="preserve"> Meters were tested in t</w:t>
      </w:r>
      <w:r w:rsidRPr="00005270">
        <w:t xml:space="preserve">he proving department </w:t>
      </w:r>
      <w:r>
        <w:t>prior to shipping</w:t>
      </w:r>
      <w:r w:rsidRPr="00005270">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7654D90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C6689">
      <w:rPr>
        <w:rFonts w:ascii="Arial" w:hAnsi="Arial"/>
        <w:b/>
        <w:noProof/>
      </w:rPr>
      <w:t>3</w:t>
    </w:r>
    <w:r>
      <w:rPr>
        <w:rFonts w:ascii="Arial" w:hAnsi="Arial"/>
        <w:b/>
      </w:rPr>
      <w:fldChar w:fldCharType="end"/>
    </w:r>
    <w:r>
      <w:rPr>
        <w:rFonts w:ascii="Arial" w:hAnsi="Arial"/>
        <w:b/>
      </w:rPr>
      <w:tab/>
    </w:r>
    <w:r w:rsidR="00845280">
      <w:rPr>
        <w:rFonts w:ascii="Arial" w:hAnsi="Arial"/>
        <w:b/>
      </w:rPr>
      <w:t>9B19D005</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6689"/>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4430D"/>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5280"/>
    <w:rsid w:val="008467D5"/>
    <w:rsid w:val="008A0A21"/>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0DB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845280"/>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845280"/>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7EDDA-7B73-42B6-BAE8-56596D03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5</cp:revision>
  <cp:lastPrinted>2015-03-04T20:34:00Z</cp:lastPrinted>
  <dcterms:created xsi:type="dcterms:W3CDTF">2019-04-11T13:44:00Z</dcterms:created>
  <dcterms:modified xsi:type="dcterms:W3CDTF">2019-04-12T14:55:00Z</dcterms:modified>
</cp:coreProperties>
</file>