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B7216" w14:textId="6094B7A3" w:rsidR="009130CD" w:rsidRPr="00F35168" w:rsidRDefault="001F6564"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4455CB6C" wp14:editId="2A69B49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FE6F97C" w:rsidR="00C02410" w:rsidRPr="00F35168" w:rsidRDefault="004B69FA" w:rsidP="00C02410">
      <w:pPr>
        <w:pStyle w:val="ProductNumber"/>
        <w:rPr>
          <w:lang w:val="en-GB"/>
        </w:rPr>
      </w:pPr>
      <w:r>
        <w:rPr>
          <w:lang w:val="en-GB"/>
        </w:rPr>
        <w:t>9B19D016</w:t>
      </w:r>
    </w:p>
    <w:p w14:paraId="4E057522" w14:textId="7A113CB1" w:rsidR="00D75295" w:rsidRPr="00F35168" w:rsidRDefault="00D75295" w:rsidP="00D75295">
      <w:pPr>
        <w:jc w:val="right"/>
        <w:rPr>
          <w:rFonts w:ascii="Arial" w:hAnsi="Arial"/>
          <w:b/>
        </w:rPr>
      </w:pPr>
    </w:p>
    <w:p w14:paraId="02524312" w14:textId="77777777" w:rsidR="001901C0" w:rsidRPr="00F35168" w:rsidRDefault="001901C0" w:rsidP="00D75295">
      <w:pPr>
        <w:jc w:val="right"/>
        <w:rPr>
          <w:rFonts w:ascii="Arial" w:hAnsi="Arial"/>
          <w:b/>
        </w:rPr>
      </w:pPr>
    </w:p>
    <w:p w14:paraId="2F03D26A" w14:textId="78EF1228" w:rsidR="00013360" w:rsidRPr="00F35168" w:rsidRDefault="009130CD" w:rsidP="00013360">
      <w:pPr>
        <w:pStyle w:val="CaseTitle"/>
        <w:spacing w:after="0" w:line="240" w:lineRule="auto"/>
        <w:rPr>
          <w:sz w:val="20"/>
          <w:szCs w:val="20"/>
          <w:lang w:val="en-GB"/>
        </w:rPr>
      </w:pPr>
      <w:r w:rsidRPr="00F35168">
        <w:rPr>
          <w:lang w:val="en-GB"/>
        </w:rPr>
        <w:t>GATI: ACHIEVING QUALITY EXCELLENCE IN SHIPMENT DELIVERY</w:t>
      </w:r>
    </w:p>
    <w:p w14:paraId="40ABF6FD" w14:textId="77777777" w:rsidR="00CA3976" w:rsidRPr="00F35168" w:rsidRDefault="00CA3976" w:rsidP="00013360">
      <w:pPr>
        <w:pStyle w:val="CaseTitle"/>
        <w:spacing w:after="0" w:line="240" w:lineRule="auto"/>
        <w:rPr>
          <w:sz w:val="20"/>
          <w:szCs w:val="20"/>
          <w:lang w:val="en-GB"/>
        </w:rPr>
      </w:pPr>
    </w:p>
    <w:p w14:paraId="202F1085" w14:textId="77777777" w:rsidR="00013360" w:rsidRPr="00F35168" w:rsidRDefault="00013360" w:rsidP="00013360">
      <w:pPr>
        <w:pStyle w:val="CaseTitle"/>
        <w:spacing w:after="0" w:line="240" w:lineRule="auto"/>
        <w:rPr>
          <w:sz w:val="20"/>
          <w:szCs w:val="20"/>
          <w:lang w:val="en-GB"/>
        </w:rPr>
      </w:pPr>
    </w:p>
    <w:p w14:paraId="58B0C73F" w14:textId="6586AB8D" w:rsidR="00086B26" w:rsidRPr="00F35168" w:rsidRDefault="00F20659" w:rsidP="00086B26">
      <w:pPr>
        <w:pStyle w:val="StyleCopyrightStatementAfter0ptBottomSinglesolidline1"/>
      </w:pPr>
      <w:r w:rsidRPr="00F35168">
        <w:t>Soumyajyoti Datta and Rohit Kapoor</w:t>
      </w:r>
      <w:r w:rsidR="00ED7922" w:rsidRPr="00F35168">
        <w:rPr>
          <w:rFonts w:cs="Arial"/>
          <w:szCs w:val="16"/>
        </w:rPr>
        <w:t xml:space="preserve"> </w:t>
      </w:r>
      <w:r w:rsidR="00086B26" w:rsidRPr="00F35168">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F35168" w:rsidRDefault="00086B26" w:rsidP="00086B26">
      <w:pPr>
        <w:pStyle w:val="StyleCopyrightStatementAfter0ptBottomSinglesolidline1"/>
      </w:pPr>
    </w:p>
    <w:p w14:paraId="1F7E7E8A" w14:textId="77777777" w:rsidR="001F6564" w:rsidRPr="00A323B0" w:rsidRDefault="001F6564" w:rsidP="001F6564">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52C9377E" w14:textId="77777777" w:rsidR="001F6564" w:rsidRPr="00A323B0" w:rsidRDefault="001F6564" w:rsidP="001F6564">
      <w:pPr>
        <w:pStyle w:val="StyleStyleCopyrightStatementAfter0ptBottomSinglesolid"/>
        <w:rPr>
          <w:rFonts w:cs="Arial"/>
          <w:szCs w:val="16"/>
        </w:rPr>
      </w:pPr>
    </w:p>
    <w:p w14:paraId="3922E14F" w14:textId="339BEC0F" w:rsidR="00751E0B" w:rsidRPr="00F35168" w:rsidRDefault="001F6564" w:rsidP="001F6564">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F35168">
        <w:rPr>
          <w:rFonts w:cs="Arial"/>
          <w:iCs w:val="0"/>
          <w:color w:val="auto"/>
          <w:szCs w:val="16"/>
        </w:rPr>
        <w:tab/>
        <w:t xml:space="preserve">Version: </w:t>
      </w:r>
      <w:r w:rsidR="009130CD" w:rsidRPr="00F35168">
        <w:rPr>
          <w:rFonts w:cs="Arial"/>
          <w:iCs w:val="0"/>
          <w:color w:val="auto"/>
          <w:szCs w:val="16"/>
        </w:rPr>
        <w:t>2019-</w:t>
      </w:r>
      <w:r w:rsidR="00043776">
        <w:rPr>
          <w:rFonts w:cs="Arial"/>
          <w:iCs w:val="0"/>
          <w:color w:val="auto"/>
          <w:szCs w:val="16"/>
        </w:rPr>
        <w:t>08</w:t>
      </w:r>
      <w:r w:rsidR="00697114">
        <w:rPr>
          <w:rFonts w:cs="Arial"/>
          <w:iCs w:val="0"/>
          <w:color w:val="auto"/>
          <w:szCs w:val="16"/>
        </w:rPr>
        <w:t>-</w:t>
      </w:r>
      <w:r w:rsidR="00433F68">
        <w:rPr>
          <w:rFonts w:cs="Arial"/>
          <w:iCs w:val="0"/>
          <w:color w:val="auto"/>
          <w:szCs w:val="16"/>
        </w:rPr>
        <w:t>22</w:t>
      </w:r>
    </w:p>
    <w:p w14:paraId="0A2A54E4" w14:textId="77777777" w:rsidR="00751E0B" w:rsidRPr="00F35168" w:rsidRDefault="00751E0B" w:rsidP="00751E0B">
      <w:pPr>
        <w:pStyle w:val="StyleCopyrightStatementAfter0ptBottomSinglesolidline1"/>
        <w:rPr>
          <w:rFonts w:ascii="Times New Roman" w:hAnsi="Times New Roman"/>
          <w:sz w:val="20"/>
        </w:rPr>
      </w:pPr>
    </w:p>
    <w:p w14:paraId="7D67F2F8" w14:textId="77777777" w:rsidR="00547C11" w:rsidRPr="00F35168" w:rsidRDefault="00547C11" w:rsidP="00751E0B">
      <w:pPr>
        <w:pStyle w:val="StyleCopyrightStatementAfter0ptBottomSinglesolidline1"/>
        <w:rPr>
          <w:rFonts w:ascii="Times New Roman" w:hAnsi="Times New Roman"/>
          <w:sz w:val="20"/>
        </w:rPr>
      </w:pPr>
    </w:p>
    <w:p w14:paraId="29DA94EF" w14:textId="5EDEA6B4" w:rsidR="009130CD" w:rsidRPr="00F35168" w:rsidRDefault="009437E2" w:rsidP="009130CD">
      <w:pPr>
        <w:pStyle w:val="BodyTextMain"/>
        <w:rPr>
          <w:rFonts w:eastAsia="Calibri"/>
          <w:lang w:val="en-GB"/>
        </w:rPr>
      </w:pPr>
      <w:r w:rsidRPr="00F35168">
        <w:rPr>
          <w:rFonts w:eastAsia="Calibri"/>
          <w:lang w:val="en-GB"/>
        </w:rPr>
        <w:t>O</w:t>
      </w:r>
      <w:r w:rsidR="009130CD" w:rsidRPr="00F35168">
        <w:rPr>
          <w:rFonts w:eastAsia="Calibri"/>
          <w:lang w:val="en-GB"/>
        </w:rPr>
        <w:t>n July 6, 2017</w:t>
      </w:r>
      <w:r w:rsidRPr="00F35168">
        <w:rPr>
          <w:rFonts w:eastAsia="Calibri"/>
          <w:lang w:val="en-GB"/>
        </w:rPr>
        <w:t>,</w:t>
      </w:r>
      <w:r w:rsidR="009130CD" w:rsidRPr="00F35168">
        <w:rPr>
          <w:rFonts w:eastAsia="Calibri"/>
          <w:lang w:val="en-GB"/>
        </w:rPr>
        <w:t xml:space="preserve"> Sudhir </w:t>
      </w:r>
      <w:proofErr w:type="spellStart"/>
      <w:r w:rsidR="009130CD" w:rsidRPr="00F35168">
        <w:rPr>
          <w:rFonts w:eastAsia="Calibri"/>
          <w:lang w:val="en-GB"/>
        </w:rPr>
        <w:t>Murarka</w:t>
      </w:r>
      <w:proofErr w:type="spellEnd"/>
      <w:r w:rsidR="009130CD" w:rsidRPr="00F35168">
        <w:rPr>
          <w:rFonts w:eastAsia="Calibri"/>
          <w:lang w:val="en-GB"/>
        </w:rPr>
        <w:t xml:space="preserve">, </w:t>
      </w:r>
      <w:r w:rsidRPr="00F35168">
        <w:rPr>
          <w:rFonts w:eastAsia="Calibri"/>
          <w:lang w:val="en-GB"/>
        </w:rPr>
        <w:t>g</w:t>
      </w:r>
      <w:r w:rsidR="009130CD" w:rsidRPr="00F35168">
        <w:rPr>
          <w:rFonts w:eastAsia="Calibri"/>
          <w:lang w:val="en-GB"/>
        </w:rPr>
        <w:t xml:space="preserve">eneral </w:t>
      </w:r>
      <w:r w:rsidRPr="00F35168">
        <w:rPr>
          <w:rFonts w:eastAsia="Calibri"/>
          <w:lang w:val="en-GB"/>
        </w:rPr>
        <w:t>m</w:t>
      </w:r>
      <w:r w:rsidR="009130CD" w:rsidRPr="00F35168">
        <w:rPr>
          <w:rFonts w:eastAsia="Calibri"/>
          <w:lang w:val="en-GB"/>
        </w:rPr>
        <w:t>anager</w:t>
      </w:r>
      <w:r w:rsidRPr="00F35168">
        <w:rPr>
          <w:rFonts w:eastAsia="Calibri"/>
          <w:lang w:val="en-GB"/>
        </w:rPr>
        <w:t xml:space="preserve">, </w:t>
      </w:r>
      <w:r w:rsidR="009130CD" w:rsidRPr="00F35168">
        <w:rPr>
          <w:rFonts w:eastAsia="Calibri"/>
          <w:lang w:val="en-GB"/>
        </w:rPr>
        <w:t xml:space="preserve">Process and Quality at </w:t>
      </w:r>
      <w:proofErr w:type="spellStart"/>
      <w:r w:rsidR="009130CD" w:rsidRPr="00F35168">
        <w:rPr>
          <w:rFonts w:eastAsia="Calibri"/>
          <w:lang w:val="en-GB"/>
        </w:rPr>
        <w:t>Gati</w:t>
      </w:r>
      <w:proofErr w:type="spellEnd"/>
      <w:r w:rsidR="00CE5D58">
        <w:rPr>
          <w:rFonts w:eastAsia="Calibri"/>
          <w:lang w:val="en-GB"/>
        </w:rPr>
        <w:t>,</w:t>
      </w:r>
      <w:r w:rsidR="009130CD" w:rsidRPr="00F35168">
        <w:rPr>
          <w:rFonts w:eastAsia="Calibri"/>
          <w:lang w:val="en-GB"/>
        </w:rPr>
        <w:t xml:space="preserve"> received a call from the </w:t>
      </w:r>
      <w:r w:rsidRPr="00F35168">
        <w:rPr>
          <w:rFonts w:eastAsia="Calibri"/>
          <w:lang w:val="en-GB"/>
        </w:rPr>
        <w:t>s</w:t>
      </w:r>
      <w:r w:rsidR="009130CD" w:rsidRPr="00F35168">
        <w:rPr>
          <w:rFonts w:eastAsia="Calibri"/>
          <w:lang w:val="en-GB"/>
        </w:rPr>
        <w:t xml:space="preserve">enior </w:t>
      </w:r>
      <w:r w:rsidRPr="00F35168">
        <w:rPr>
          <w:rFonts w:eastAsia="Calibri"/>
          <w:lang w:val="en-GB"/>
        </w:rPr>
        <w:t>m</w:t>
      </w:r>
      <w:r w:rsidR="009130CD" w:rsidRPr="00F35168">
        <w:rPr>
          <w:rFonts w:eastAsia="Calibri"/>
          <w:lang w:val="en-GB"/>
        </w:rPr>
        <w:t>anager</w:t>
      </w:r>
      <w:r w:rsidR="00E04ECA">
        <w:rPr>
          <w:rFonts w:eastAsia="Calibri"/>
          <w:lang w:val="en-GB"/>
        </w:rPr>
        <w:t xml:space="preserve"> of</w:t>
      </w:r>
      <w:r w:rsidR="008B6006">
        <w:rPr>
          <w:rFonts w:eastAsia="Calibri"/>
          <w:lang w:val="en-GB"/>
        </w:rPr>
        <w:t xml:space="preserve"> C</w:t>
      </w:r>
      <w:r w:rsidR="009130CD" w:rsidRPr="00F35168">
        <w:rPr>
          <w:rFonts w:eastAsia="Calibri"/>
          <w:lang w:val="en-GB"/>
        </w:rPr>
        <w:t xml:space="preserve">ustomer </w:t>
      </w:r>
      <w:r w:rsidR="008B6006">
        <w:rPr>
          <w:rFonts w:eastAsia="Calibri"/>
          <w:lang w:val="en-GB"/>
        </w:rPr>
        <w:t>C</w:t>
      </w:r>
      <w:r w:rsidR="009130CD" w:rsidRPr="00F35168">
        <w:rPr>
          <w:rFonts w:eastAsia="Calibri"/>
          <w:lang w:val="en-GB"/>
        </w:rPr>
        <w:t>are</w:t>
      </w:r>
      <w:r w:rsidRPr="00F35168">
        <w:rPr>
          <w:rFonts w:eastAsia="Calibri"/>
          <w:lang w:val="en-GB"/>
        </w:rPr>
        <w:t>,</w:t>
      </w:r>
      <w:r w:rsidR="009130CD" w:rsidRPr="00F35168">
        <w:rPr>
          <w:rFonts w:eastAsia="Calibri"/>
          <w:lang w:val="en-GB"/>
        </w:rPr>
        <w:t xml:space="preserve"> who expressed his concerns </w:t>
      </w:r>
      <w:r w:rsidR="00E04ECA">
        <w:rPr>
          <w:rFonts w:eastAsia="Calibri"/>
          <w:lang w:val="en-GB"/>
        </w:rPr>
        <w:t>regarding</w:t>
      </w:r>
      <w:r w:rsidR="009130CD" w:rsidRPr="00F35168">
        <w:rPr>
          <w:rFonts w:eastAsia="Calibri"/>
          <w:lang w:val="en-GB"/>
        </w:rPr>
        <w:t xml:space="preserve"> the 231 complaints </w:t>
      </w:r>
      <w:r w:rsidRPr="00F35168">
        <w:rPr>
          <w:rFonts w:eastAsia="Calibri"/>
          <w:lang w:val="en-GB"/>
        </w:rPr>
        <w:t>about</w:t>
      </w:r>
      <w:r w:rsidR="009130CD" w:rsidRPr="00F35168">
        <w:rPr>
          <w:rFonts w:eastAsia="Calibri"/>
          <w:lang w:val="en-GB"/>
        </w:rPr>
        <w:t xml:space="preserve"> the delay in the delivery of the shipments booked under the recently launched</w:t>
      </w:r>
      <w:r w:rsidR="004572CB">
        <w:rPr>
          <w:rFonts w:eastAsia="Calibri"/>
          <w:lang w:val="en-GB"/>
        </w:rPr>
        <w:t xml:space="preserve"> </w:t>
      </w:r>
      <w:r w:rsidRPr="00F35168">
        <w:rPr>
          <w:rFonts w:eastAsia="Calibri"/>
          <w:lang w:val="en-GB"/>
        </w:rPr>
        <w:t>p</w:t>
      </w:r>
      <w:r w:rsidR="009130CD" w:rsidRPr="00F35168">
        <w:rPr>
          <w:rFonts w:eastAsia="Calibri"/>
          <w:lang w:val="en-GB"/>
        </w:rPr>
        <w:t xml:space="preserve">remium </w:t>
      </w:r>
      <w:r w:rsidRPr="00F35168">
        <w:rPr>
          <w:rFonts w:eastAsia="Calibri"/>
          <w:lang w:val="en-GB"/>
        </w:rPr>
        <w:t>e</w:t>
      </w:r>
      <w:r w:rsidR="009130CD" w:rsidRPr="00F35168">
        <w:rPr>
          <w:rFonts w:eastAsia="Calibri"/>
          <w:lang w:val="en-GB"/>
        </w:rPr>
        <w:t xml:space="preserve">xpress scheme. He also wondered if the system was under control and </w:t>
      </w:r>
      <w:r w:rsidRPr="00F35168">
        <w:rPr>
          <w:rFonts w:eastAsia="Calibri"/>
          <w:lang w:val="en-GB"/>
        </w:rPr>
        <w:t xml:space="preserve">if </w:t>
      </w:r>
      <w:r w:rsidR="009130CD" w:rsidRPr="00F35168">
        <w:rPr>
          <w:rFonts w:eastAsia="Calibri"/>
          <w:lang w:val="en-GB"/>
        </w:rPr>
        <w:t xml:space="preserve">the defect percentage was within the tolerable limits. Headquartered in Hyderabad, Gati was a popular logistics service and supply chain solutions provider in India. The company had built its reputation on the timely shipment of goods without damage across India and </w:t>
      </w:r>
      <w:r w:rsidRPr="00F35168">
        <w:rPr>
          <w:rFonts w:eastAsia="Calibri"/>
          <w:lang w:val="en-GB"/>
        </w:rPr>
        <w:t xml:space="preserve">to </w:t>
      </w:r>
      <w:r w:rsidR="009130CD" w:rsidRPr="00F35168">
        <w:rPr>
          <w:rFonts w:eastAsia="Calibri"/>
          <w:lang w:val="en-GB"/>
        </w:rPr>
        <w:t xml:space="preserve">some of the world’s leading hubs. Just five months </w:t>
      </w:r>
      <w:r w:rsidR="00F20659" w:rsidRPr="00F35168">
        <w:rPr>
          <w:rFonts w:eastAsia="Calibri"/>
          <w:lang w:val="en-GB"/>
        </w:rPr>
        <w:t>ago,</w:t>
      </w:r>
      <w:r w:rsidR="009130CD" w:rsidRPr="00F35168">
        <w:rPr>
          <w:rFonts w:eastAsia="Calibri"/>
          <w:lang w:val="en-GB"/>
        </w:rPr>
        <w:t xml:space="preserve"> the company had launched a special scheme based on market research applicable to places in central and no</w:t>
      </w:r>
      <w:r w:rsidR="00F20659" w:rsidRPr="00F35168">
        <w:rPr>
          <w:rFonts w:eastAsia="Calibri"/>
          <w:lang w:val="en-GB"/>
        </w:rPr>
        <w:t>rth</w:t>
      </w:r>
      <w:r w:rsidR="009130CD" w:rsidRPr="00F35168">
        <w:rPr>
          <w:rFonts w:eastAsia="Calibri"/>
          <w:lang w:val="en-GB"/>
        </w:rPr>
        <w:t xml:space="preserve">western parts of the country. </w:t>
      </w:r>
      <w:r w:rsidR="005A2A66">
        <w:rPr>
          <w:rFonts w:eastAsia="Calibri"/>
          <w:lang w:val="en-GB"/>
        </w:rPr>
        <w:t>For an increased price,</w:t>
      </w:r>
      <w:r w:rsidR="009130CD" w:rsidRPr="00F35168">
        <w:rPr>
          <w:rFonts w:eastAsia="Calibri"/>
          <w:lang w:val="en-GB"/>
        </w:rPr>
        <w:t xml:space="preserve"> the company, guaranteed the shipment of goods within 72 hours of order picking.</w:t>
      </w:r>
    </w:p>
    <w:p w14:paraId="41905FD4" w14:textId="77777777" w:rsidR="009130CD" w:rsidRPr="00F35168" w:rsidRDefault="009130CD" w:rsidP="009130CD">
      <w:pPr>
        <w:pStyle w:val="BodyTextMain"/>
        <w:rPr>
          <w:rFonts w:eastAsia="Calibri"/>
          <w:lang w:val="en-GB"/>
        </w:rPr>
      </w:pPr>
    </w:p>
    <w:p w14:paraId="5AB91B09" w14:textId="2C715E79" w:rsidR="009130CD" w:rsidRPr="00F35168" w:rsidRDefault="00E04ECA" w:rsidP="009130CD">
      <w:pPr>
        <w:pStyle w:val="BodyTextMain"/>
        <w:rPr>
          <w:rFonts w:eastAsia="Calibri"/>
          <w:lang w:val="en-GB"/>
        </w:rPr>
      </w:pPr>
      <w:r>
        <w:rPr>
          <w:rFonts w:eastAsia="Calibri"/>
          <w:lang w:val="en-GB"/>
        </w:rPr>
        <w:t xml:space="preserve">The message </w:t>
      </w:r>
      <w:proofErr w:type="spellStart"/>
      <w:r w:rsidR="009130CD" w:rsidRPr="00F35168">
        <w:rPr>
          <w:rFonts w:eastAsia="Calibri"/>
          <w:lang w:val="en-GB"/>
        </w:rPr>
        <w:t>Murarka</w:t>
      </w:r>
      <w:proofErr w:type="spellEnd"/>
      <w:r w:rsidR="009437E2" w:rsidRPr="00F35168">
        <w:rPr>
          <w:rFonts w:eastAsia="Calibri"/>
          <w:lang w:val="en-GB"/>
        </w:rPr>
        <w:t xml:space="preserve"> had just received from </w:t>
      </w:r>
      <w:r w:rsidR="009130CD" w:rsidRPr="00F35168">
        <w:rPr>
          <w:rFonts w:eastAsia="Calibri"/>
          <w:lang w:val="en-GB"/>
        </w:rPr>
        <w:t xml:space="preserve">the Customer Care </w:t>
      </w:r>
      <w:r w:rsidR="007F4CEA">
        <w:rPr>
          <w:rFonts w:eastAsia="Calibri"/>
          <w:lang w:val="en-GB"/>
        </w:rPr>
        <w:t>d</w:t>
      </w:r>
      <w:r w:rsidR="009130CD" w:rsidRPr="00F35168">
        <w:rPr>
          <w:rFonts w:eastAsia="Calibri"/>
          <w:lang w:val="en-GB"/>
        </w:rPr>
        <w:t>epartment detail</w:t>
      </w:r>
      <w:r>
        <w:rPr>
          <w:rFonts w:eastAsia="Calibri"/>
          <w:lang w:val="en-GB"/>
        </w:rPr>
        <w:t>ed</w:t>
      </w:r>
      <w:r w:rsidR="009130CD" w:rsidRPr="00F35168">
        <w:rPr>
          <w:rFonts w:eastAsia="Calibri"/>
          <w:lang w:val="en-GB"/>
        </w:rPr>
        <w:t xml:space="preserve"> the weekly count of the complaints received (see Exhibit 1). He wanted to figure out the loopholes in the scheme that were leading to these complaints and wondered if the delivery process was under statistical control. He was completely engrossed in finding a solution to streamline the delivery process and </w:t>
      </w:r>
      <w:r w:rsidR="001F6564">
        <w:rPr>
          <w:rFonts w:eastAsia="Calibri"/>
          <w:lang w:val="en-GB"/>
        </w:rPr>
        <w:t xml:space="preserve">wondered if they had </w:t>
      </w:r>
      <w:r w:rsidR="009130CD" w:rsidRPr="00F35168">
        <w:rPr>
          <w:rFonts w:eastAsia="Calibri"/>
          <w:lang w:val="en-GB"/>
        </w:rPr>
        <w:t>achiev</w:t>
      </w:r>
      <w:r w:rsidR="00937EE4" w:rsidRPr="00F35168">
        <w:rPr>
          <w:rFonts w:eastAsia="Calibri"/>
          <w:lang w:val="en-GB"/>
        </w:rPr>
        <w:t>e</w:t>
      </w:r>
      <w:r w:rsidR="001F6564">
        <w:rPr>
          <w:rFonts w:eastAsia="Calibri"/>
          <w:lang w:val="en-GB"/>
        </w:rPr>
        <w:t>d</w:t>
      </w:r>
      <w:r w:rsidR="009130CD" w:rsidRPr="00F35168">
        <w:rPr>
          <w:rFonts w:eastAsia="Calibri"/>
          <w:lang w:val="en-GB"/>
        </w:rPr>
        <w:t xml:space="preserve"> a target defect</w:t>
      </w:r>
      <w:r w:rsidR="001F6564">
        <w:rPr>
          <w:rFonts w:eastAsia="Calibri"/>
          <w:lang w:val="en-GB"/>
        </w:rPr>
        <w:t xml:space="preserve"> proportion</w:t>
      </w:r>
      <w:r w:rsidR="009130CD" w:rsidRPr="00F35168">
        <w:rPr>
          <w:rFonts w:eastAsia="Calibri"/>
          <w:lang w:val="en-GB"/>
        </w:rPr>
        <w:t xml:space="preserve"> of 0.0005</w:t>
      </w:r>
      <w:r w:rsidR="0070473A">
        <w:rPr>
          <w:rFonts w:eastAsia="Calibri"/>
          <w:lang w:val="en-GB"/>
        </w:rPr>
        <w:t xml:space="preserve"> per cent</w:t>
      </w:r>
      <w:r w:rsidR="009130CD" w:rsidRPr="00F35168">
        <w:rPr>
          <w:rFonts w:eastAsia="Calibri"/>
          <w:lang w:val="en-GB"/>
        </w:rPr>
        <w:t>.</w:t>
      </w:r>
    </w:p>
    <w:p w14:paraId="0A4F0C01" w14:textId="77777777" w:rsidR="009130CD" w:rsidRPr="00F35168" w:rsidRDefault="009130CD" w:rsidP="009130CD">
      <w:pPr>
        <w:pStyle w:val="BodyTextMain"/>
        <w:rPr>
          <w:rFonts w:eastAsia="Calibri"/>
          <w:lang w:val="en-GB"/>
        </w:rPr>
      </w:pPr>
    </w:p>
    <w:p w14:paraId="158C2CC7" w14:textId="77777777" w:rsidR="009130CD" w:rsidRPr="00F35168" w:rsidRDefault="009130CD" w:rsidP="009130CD">
      <w:pPr>
        <w:pStyle w:val="BodyTextMain"/>
        <w:rPr>
          <w:rFonts w:eastAsia="Calibri"/>
          <w:lang w:val="en-GB"/>
        </w:rPr>
      </w:pPr>
    </w:p>
    <w:p w14:paraId="3D9E7A6D" w14:textId="77777777" w:rsidR="009130CD" w:rsidRPr="00F35168" w:rsidRDefault="009130CD" w:rsidP="009130CD">
      <w:pPr>
        <w:pStyle w:val="Casehead1"/>
        <w:rPr>
          <w:rFonts w:eastAsia="Calibri"/>
          <w:lang w:val="en-GB"/>
        </w:rPr>
      </w:pPr>
      <w:r w:rsidRPr="00F35168">
        <w:rPr>
          <w:rFonts w:eastAsia="Calibri"/>
          <w:lang w:val="en-GB"/>
        </w:rPr>
        <w:t>LOGISTICS SECTOR IN INDIA</w:t>
      </w:r>
    </w:p>
    <w:p w14:paraId="03CB80EB" w14:textId="77777777" w:rsidR="009130CD" w:rsidRPr="00F35168" w:rsidRDefault="009130CD" w:rsidP="009130CD">
      <w:pPr>
        <w:pStyle w:val="BodyTextMain"/>
        <w:rPr>
          <w:rFonts w:eastAsia="Calibri"/>
          <w:lang w:val="en-GB"/>
        </w:rPr>
      </w:pPr>
    </w:p>
    <w:p w14:paraId="311D5844" w14:textId="18D65570" w:rsidR="009130CD" w:rsidRDefault="009130CD" w:rsidP="009130CD">
      <w:pPr>
        <w:pStyle w:val="BodyTextMain"/>
        <w:rPr>
          <w:rFonts w:eastAsia="Calibri"/>
          <w:lang w:val="en-GB"/>
        </w:rPr>
      </w:pPr>
      <w:r w:rsidRPr="00F35168">
        <w:rPr>
          <w:rFonts w:eastAsia="Calibri"/>
          <w:lang w:val="en-GB"/>
        </w:rPr>
        <w:t>The logistics industry in India was a US</w:t>
      </w:r>
      <w:r w:rsidR="00937EE4" w:rsidRPr="00F35168">
        <w:rPr>
          <w:rFonts w:eastAsia="Calibri"/>
          <w:lang w:val="en-GB"/>
        </w:rPr>
        <w:t>$</w:t>
      </w:r>
      <w:r w:rsidRPr="00F35168">
        <w:rPr>
          <w:rFonts w:eastAsia="Calibri"/>
          <w:lang w:val="en-GB"/>
        </w:rPr>
        <w:t>16 billion</w:t>
      </w:r>
      <w:r w:rsidR="005A2A66" w:rsidRPr="00F35168">
        <w:rPr>
          <w:rFonts w:eastAsia="Calibri"/>
          <w:vertAlign w:val="superscript"/>
          <w:lang w:val="en-GB"/>
        </w:rPr>
        <w:footnoteReference w:id="1"/>
      </w:r>
      <w:r w:rsidRPr="00F35168">
        <w:rPr>
          <w:rFonts w:eastAsia="Calibri"/>
          <w:lang w:val="en-GB"/>
        </w:rPr>
        <w:t xml:space="preserve"> industry, employing about 22 million people and contributing significantly to the country’s growth.</w:t>
      </w:r>
      <w:r w:rsidRPr="00F35168">
        <w:rPr>
          <w:rFonts w:eastAsia="Calibri"/>
          <w:vertAlign w:val="superscript"/>
          <w:lang w:val="en-GB"/>
        </w:rPr>
        <w:footnoteReference w:id="2"/>
      </w:r>
      <w:r w:rsidRPr="00F35168">
        <w:rPr>
          <w:rFonts w:eastAsia="Calibri"/>
          <w:lang w:val="en-GB"/>
        </w:rPr>
        <w:t xml:space="preserve"> The industry ensured an efficient flow of goods and materials across all domestic and commercial sectors. It had witnessed rapid growth, driven by a</w:t>
      </w:r>
      <w:r w:rsidR="005A2A66">
        <w:rPr>
          <w:rFonts w:eastAsia="Calibri"/>
          <w:lang w:val="en-GB"/>
        </w:rPr>
        <w:t>n increase</w:t>
      </w:r>
      <w:r w:rsidRPr="00F35168">
        <w:rPr>
          <w:rFonts w:eastAsia="Calibri"/>
          <w:lang w:val="en-GB"/>
        </w:rPr>
        <w:t xml:space="preserve"> in infrastructure, technology, and demand requirements of both customers and service providers. The key challenge for the industry in 2017 was to provide cost-efficient and effective services to other commercial sectors and individual customers. The Indian logistics sector </w:t>
      </w:r>
      <w:r w:rsidR="008B6006">
        <w:rPr>
          <w:rFonts w:eastAsia="Calibri"/>
          <w:lang w:val="en-GB"/>
        </w:rPr>
        <w:t xml:space="preserve">was </w:t>
      </w:r>
      <w:r w:rsidRPr="00F35168">
        <w:rPr>
          <w:rFonts w:eastAsia="Calibri"/>
          <w:lang w:val="en-GB"/>
        </w:rPr>
        <w:t>comprised of inbound and outb</w:t>
      </w:r>
      <w:r w:rsidR="008B6006">
        <w:rPr>
          <w:rFonts w:eastAsia="Calibri"/>
          <w:lang w:val="en-GB"/>
        </w:rPr>
        <w:t>o</w:t>
      </w:r>
      <w:r w:rsidRPr="00F35168">
        <w:rPr>
          <w:rFonts w:eastAsia="Calibri"/>
          <w:lang w:val="en-GB"/>
        </w:rPr>
        <w:t xml:space="preserve">und portions of the manufacturing and service supply chains. According to a recent study by Deloitte, the Indian </w:t>
      </w:r>
      <w:r w:rsidRPr="00F35168">
        <w:rPr>
          <w:rFonts w:eastAsia="Calibri"/>
          <w:lang w:val="en-GB"/>
        </w:rPr>
        <w:lastRenderedPageBreak/>
        <w:t>express industry, supported by the logistics sector, would witness a compounded</w:t>
      </w:r>
      <w:r w:rsidR="008B6006">
        <w:rPr>
          <w:rFonts w:eastAsia="Calibri"/>
          <w:lang w:val="en-GB"/>
        </w:rPr>
        <w:t xml:space="preserve"> </w:t>
      </w:r>
      <w:r w:rsidRPr="00F35168">
        <w:rPr>
          <w:rFonts w:eastAsia="Calibri"/>
          <w:lang w:val="en-GB"/>
        </w:rPr>
        <w:t>annual growth rate of 17</w:t>
      </w:r>
      <w:r w:rsidR="00937EE4" w:rsidRPr="00F35168">
        <w:rPr>
          <w:rFonts w:eastAsia="Calibri"/>
          <w:lang w:val="en-GB"/>
        </w:rPr>
        <w:t xml:space="preserve"> per cent</w:t>
      </w:r>
      <w:r w:rsidRPr="00F35168">
        <w:rPr>
          <w:rFonts w:eastAsia="Calibri"/>
          <w:lang w:val="en-GB"/>
        </w:rPr>
        <w:t xml:space="preserve"> to reach US</w:t>
      </w:r>
      <w:r w:rsidR="00937EE4" w:rsidRPr="00F35168">
        <w:rPr>
          <w:rFonts w:eastAsia="Calibri"/>
          <w:lang w:val="en-GB"/>
        </w:rPr>
        <w:t>$</w:t>
      </w:r>
      <w:r w:rsidRPr="00F35168">
        <w:rPr>
          <w:rFonts w:eastAsia="Calibri"/>
          <w:lang w:val="en-GB"/>
        </w:rPr>
        <w:t>7,680 million by 2023</w:t>
      </w:r>
      <w:r w:rsidR="00937EE4" w:rsidRPr="00F35168">
        <w:rPr>
          <w:rFonts w:eastAsia="Calibri"/>
          <w:lang w:val="en-GB"/>
        </w:rPr>
        <w:t>.</w:t>
      </w:r>
      <w:r w:rsidRPr="00F35168">
        <w:rPr>
          <w:rFonts w:eastAsia="Calibri"/>
          <w:vertAlign w:val="superscript"/>
          <w:lang w:val="en-GB"/>
        </w:rPr>
        <w:footnoteReference w:id="3"/>
      </w:r>
    </w:p>
    <w:p w14:paraId="12CD0003" w14:textId="77777777" w:rsidR="001F6564" w:rsidRPr="00F35168" w:rsidRDefault="001F6564" w:rsidP="009130CD">
      <w:pPr>
        <w:pStyle w:val="BodyTextMain"/>
        <w:rPr>
          <w:rFonts w:eastAsia="Calibri"/>
          <w:lang w:val="en-GB"/>
        </w:rPr>
      </w:pPr>
    </w:p>
    <w:p w14:paraId="4DCFF893" w14:textId="67FFAF7C" w:rsidR="009130CD" w:rsidRPr="00F35168" w:rsidRDefault="009130CD" w:rsidP="009130CD">
      <w:pPr>
        <w:pStyle w:val="BodyTextMain"/>
        <w:rPr>
          <w:rFonts w:eastAsia="Calibri"/>
          <w:lang w:val="en-GB"/>
        </w:rPr>
      </w:pPr>
      <w:r w:rsidRPr="00F35168">
        <w:rPr>
          <w:rFonts w:eastAsia="Calibri"/>
          <w:lang w:val="en-GB"/>
        </w:rPr>
        <w:t>India, being an emerging economy, was focused on upgrading its infrastructure and service levels to ensure more efficient and cost-effective delivery of goods at reduced risk. According to the World Bank, India</w:t>
      </w:r>
      <w:r w:rsidR="00517CB7" w:rsidRPr="00F35168">
        <w:rPr>
          <w:rFonts w:eastAsia="Calibri"/>
          <w:lang w:val="en-GB"/>
        </w:rPr>
        <w:t xml:space="preserve"> </w:t>
      </w:r>
      <w:r w:rsidRPr="00F35168">
        <w:rPr>
          <w:rFonts w:eastAsia="Calibri"/>
          <w:lang w:val="en-GB"/>
        </w:rPr>
        <w:t>placed 39</w:t>
      </w:r>
      <w:r w:rsidR="00517CB7" w:rsidRPr="00F35168">
        <w:rPr>
          <w:rFonts w:eastAsia="Calibri"/>
          <w:lang w:val="en-GB"/>
        </w:rPr>
        <w:t>th</w:t>
      </w:r>
      <w:r w:rsidRPr="00F35168">
        <w:rPr>
          <w:rFonts w:eastAsia="Calibri"/>
          <w:lang w:val="en-GB"/>
        </w:rPr>
        <w:t xml:space="preserve"> in </w:t>
      </w:r>
      <w:r w:rsidR="00C95614">
        <w:rPr>
          <w:rFonts w:eastAsia="Calibri"/>
          <w:lang w:val="en-GB"/>
        </w:rPr>
        <w:t xml:space="preserve">the </w:t>
      </w:r>
      <w:r w:rsidRPr="00F35168">
        <w:rPr>
          <w:rFonts w:eastAsia="Calibri"/>
          <w:lang w:val="en-GB"/>
        </w:rPr>
        <w:t xml:space="preserve">logistic performance index among 150 countries in the world. The industry faced a number of challenges in the lack of proper integration in transportation networks, inadequate storage infrastructure, lack of information technology, differences in regulations at different stages as well as from different </w:t>
      </w:r>
      <w:r w:rsidR="005A2A66">
        <w:rPr>
          <w:rFonts w:eastAsia="Calibri"/>
          <w:lang w:val="en-GB"/>
        </w:rPr>
        <w:t xml:space="preserve">government </w:t>
      </w:r>
      <w:r w:rsidRPr="00F35168">
        <w:rPr>
          <w:rFonts w:eastAsia="Calibri"/>
          <w:lang w:val="en-GB"/>
        </w:rPr>
        <w:t>bodies, dependence on semi-skilled labo</w:t>
      </w:r>
      <w:r w:rsidR="00517CB7" w:rsidRPr="00F35168">
        <w:rPr>
          <w:rFonts w:eastAsia="Calibri"/>
          <w:lang w:val="en-GB"/>
        </w:rPr>
        <w:t>u</w:t>
      </w:r>
      <w:r w:rsidRPr="00F35168">
        <w:rPr>
          <w:rFonts w:eastAsia="Calibri"/>
          <w:lang w:val="en-GB"/>
        </w:rPr>
        <w:t>r, and a dearth of institutions to impart professional training. In addition, other issues such as lack of proper warehousing and distribution facilities</w:t>
      </w:r>
      <w:r w:rsidR="00334E43" w:rsidRPr="00F35168">
        <w:rPr>
          <w:rFonts w:eastAsia="Calibri"/>
          <w:lang w:val="en-GB"/>
        </w:rPr>
        <w:t xml:space="preserve"> were</w:t>
      </w:r>
      <w:r w:rsidRPr="00F35168">
        <w:rPr>
          <w:rFonts w:eastAsia="Calibri"/>
          <w:lang w:val="en-GB"/>
        </w:rPr>
        <w:t xml:space="preserve"> particularly detrimental for transporting perishable and fragile items.</w:t>
      </w:r>
      <w:r w:rsidRPr="00F35168">
        <w:rPr>
          <w:rFonts w:eastAsia="Calibri"/>
          <w:vertAlign w:val="superscript"/>
          <w:lang w:val="en-GB"/>
        </w:rPr>
        <w:footnoteReference w:id="4"/>
      </w:r>
      <w:r w:rsidRPr="00F35168">
        <w:rPr>
          <w:rFonts w:eastAsia="Calibri"/>
          <w:lang w:val="en-GB"/>
        </w:rPr>
        <w:t xml:space="preserve"> The investment opportunity in port and shipping logistics, including initiatives like </w:t>
      </w:r>
      <w:r w:rsidR="00C95614">
        <w:rPr>
          <w:rFonts w:eastAsia="Calibri"/>
          <w:lang w:val="en-GB"/>
        </w:rPr>
        <w:t xml:space="preserve">the </w:t>
      </w:r>
      <w:proofErr w:type="spellStart"/>
      <w:r w:rsidRPr="00F35168">
        <w:rPr>
          <w:rFonts w:eastAsia="Calibri"/>
          <w:lang w:val="en-GB"/>
        </w:rPr>
        <w:t>Sagar</w:t>
      </w:r>
      <w:r w:rsidR="001011ED">
        <w:rPr>
          <w:rFonts w:eastAsia="Calibri"/>
          <w:lang w:val="en-GB"/>
        </w:rPr>
        <w:t>m</w:t>
      </w:r>
      <w:r w:rsidRPr="00F35168">
        <w:rPr>
          <w:rFonts w:eastAsia="Calibri"/>
          <w:lang w:val="en-GB"/>
        </w:rPr>
        <w:t>ala</w:t>
      </w:r>
      <w:proofErr w:type="spellEnd"/>
      <w:r w:rsidRPr="00F35168">
        <w:rPr>
          <w:rFonts w:eastAsia="Calibri"/>
          <w:lang w:val="en-GB"/>
        </w:rPr>
        <w:t xml:space="preserve"> Project</w:t>
      </w:r>
      <w:r w:rsidRPr="00F35168">
        <w:rPr>
          <w:rFonts w:eastAsia="Calibri"/>
          <w:vertAlign w:val="superscript"/>
          <w:lang w:val="en-GB"/>
        </w:rPr>
        <w:footnoteReference w:id="5"/>
      </w:r>
      <w:r w:rsidRPr="00F35168">
        <w:rPr>
          <w:rFonts w:eastAsia="Calibri"/>
          <w:lang w:val="en-GB"/>
        </w:rPr>
        <w:t xml:space="preserve"> amount</w:t>
      </w:r>
      <w:r w:rsidR="00334E43" w:rsidRPr="00F35168">
        <w:rPr>
          <w:rFonts w:eastAsia="Calibri"/>
          <w:lang w:val="en-GB"/>
        </w:rPr>
        <w:t>ed</w:t>
      </w:r>
      <w:r w:rsidRPr="00F35168">
        <w:rPr>
          <w:rFonts w:eastAsia="Calibri"/>
          <w:lang w:val="en-GB"/>
        </w:rPr>
        <w:t xml:space="preserve"> to </w:t>
      </w:r>
      <w:r w:rsidR="00334E43" w:rsidRPr="00F35168">
        <w:rPr>
          <w:rFonts w:eastAsia="Calibri"/>
          <w:lang w:val="en-GB"/>
        </w:rPr>
        <w:t>$</w:t>
      </w:r>
      <w:r w:rsidRPr="00F35168">
        <w:rPr>
          <w:rFonts w:eastAsia="Calibri"/>
          <w:lang w:val="en-GB"/>
        </w:rPr>
        <w:t>23.2 billion.</w:t>
      </w:r>
      <w:r w:rsidRPr="00F35168">
        <w:rPr>
          <w:rFonts w:eastAsia="Calibri"/>
          <w:vertAlign w:val="superscript"/>
          <w:lang w:val="en-GB"/>
        </w:rPr>
        <w:footnoteReference w:id="6"/>
      </w:r>
    </w:p>
    <w:p w14:paraId="3E80115E" w14:textId="77777777" w:rsidR="009130CD" w:rsidRPr="00F35168" w:rsidRDefault="009130CD" w:rsidP="009130CD">
      <w:pPr>
        <w:pStyle w:val="BodyTextMain"/>
        <w:rPr>
          <w:rFonts w:eastAsia="Calibri"/>
          <w:lang w:val="en-GB"/>
        </w:rPr>
      </w:pPr>
    </w:p>
    <w:p w14:paraId="5227278D" w14:textId="57B3C179" w:rsidR="009130CD" w:rsidRPr="00433F68" w:rsidRDefault="009130CD" w:rsidP="009130CD">
      <w:pPr>
        <w:pStyle w:val="BodyTextMain"/>
        <w:rPr>
          <w:rFonts w:eastAsia="Calibri"/>
          <w:spacing w:val="-4"/>
          <w:lang w:val="en-GB"/>
        </w:rPr>
      </w:pPr>
      <w:r w:rsidRPr="00433F68">
        <w:rPr>
          <w:rFonts w:eastAsia="Calibri"/>
          <w:spacing w:val="-4"/>
          <w:lang w:val="en-GB"/>
        </w:rPr>
        <w:t>Relying on a good logistic</w:t>
      </w:r>
      <w:r w:rsidR="00C95614" w:rsidRPr="00433F68">
        <w:rPr>
          <w:rFonts w:eastAsia="Calibri"/>
          <w:spacing w:val="-4"/>
          <w:lang w:val="en-GB"/>
        </w:rPr>
        <w:t xml:space="preserve">s </w:t>
      </w:r>
      <w:r w:rsidRPr="00433F68">
        <w:rPr>
          <w:rFonts w:eastAsia="Calibri"/>
          <w:spacing w:val="-4"/>
          <w:lang w:val="en-GB"/>
        </w:rPr>
        <w:t xml:space="preserve">network and infrastructure, the supply chain sector had been heading for a revolution due to the introduction of </w:t>
      </w:r>
      <w:r w:rsidR="003E28B5" w:rsidRPr="00433F68">
        <w:rPr>
          <w:rFonts w:eastAsia="Calibri"/>
          <w:spacing w:val="-4"/>
          <w:lang w:val="en-GB"/>
        </w:rPr>
        <w:t xml:space="preserve">a </w:t>
      </w:r>
      <w:r w:rsidRPr="00433F68">
        <w:rPr>
          <w:rFonts w:eastAsia="Calibri"/>
          <w:spacing w:val="-4"/>
          <w:lang w:val="en-GB"/>
        </w:rPr>
        <w:t xml:space="preserve">goods and services tax (GST), changes in </w:t>
      </w:r>
      <w:r w:rsidR="003E28B5" w:rsidRPr="00433F68">
        <w:rPr>
          <w:rFonts w:eastAsia="Calibri"/>
          <w:spacing w:val="-4"/>
          <w:lang w:val="en-GB"/>
        </w:rPr>
        <w:t>foreign direct investment (</w:t>
      </w:r>
      <w:r w:rsidRPr="00433F68">
        <w:rPr>
          <w:rFonts w:eastAsia="Calibri"/>
          <w:spacing w:val="-4"/>
          <w:lang w:val="en-GB"/>
        </w:rPr>
        <w:t>FDI</w:t>
      </w:r>
      <w:r w:rsidR="003E28B5" w:rsidRPr="00433F68">
        <w:rPr>
          <w:rFonts w:eastAsia="Calibri"/>
          <w:spacing w:val="-4"/>
          <w:lang w:val="en-GB"/>
        </w:rPr>
        <w:t>)</w:t>
      </w:r>
      <w:r w:rsidRPr="00433F68">
        <w:rPr>
          <w:rFonts w:eastAsia="Calibri"/>
          <w:spacing w:val="-4"/>
          <w:lang w:val="en-GB"/>
        </w:rPr>
        <w:t xml:space="preserve"> and government spending policies, logistic services</w:t>
      </w:r>
      <w:r w:rsidR="000D2D40" w:rsidRPr="00433F68">
        <w:rPr>
          <w:rFonts w:eastAsia="Calibri"/>
          <w:spacing w:val="-4"/>
          <w:lang w:val="en-GB"/>
        </w:rPr>
        <w:t>,</w:t>
      </w:r>
      <w:r w:rsidRPr="00433F68">
        <w:rPr>
          <w:rFonts w:eastAsia="Calibri"/>
          <w:spacing w:val="-4"/>
          <w:lang w:val="en-GB"/>
        </w:rPr>
        <w:t xml:space="preserve"> and government campaigns such as Make In India</w:t>
      </w:r>
      <w:r w:rsidR="000D2D40" w:rsidRPr="00433F68">
        <w:rPr>
          <w:rFonts w:eastAsia="Calibri"/>
          <w:spacing w:val="-4"/>
          <w:lang w:val="en-GB"/>
        </w:rPr>
        <w:t>.</w:t>
      </w:r>
      <w:r w:rsidRPr="00433F68">
        <w:rPr>
          <w:rFonts w:eastAsia="Calibri"/>
          <w:spacing w:val="-4"/>
          <w:vertAlign w:val="superscript"/>
          <w:lang w:val="en-GB"/>
        </w:rPr>
        <w:footnoteReference w:id="7"/>
      </w:r>
      <w:r w:rsidRPr="00433F68">
        <w:rPr>
          <w:rFonts w:eastAsia="Calibri"/>
          <w:spacing w:val="-4"/>
          <w:lang w:val="en-GB"/>
        </w:rPr>
        <w:t xml:space="preserve"> The growth in the industry, along with the booming logistics services, had a cascading effect on all the areas of trade.</w:t>
      </w:r>
      <w:r w:rsidRPr="00433F68">
        <w:rPr>
          <w:rFonts w:eastAsia="Calibri"/>
          <w:spacing w:val="-4"/>
          <w:vertAlign w:val="superscript"/>
          <w:lang w:val="en-GB"/>
        </w:rPr>
        <w:footnoteReference w:id="8"/>
      </w:r>
      <w:r w:rsidRPr="00433F68">
        <w:rPr>
          <w:rFonts w:eastAsia="Calibri"/>
          <w:spacing w:val="-4"/>
          <w:lang w:val="en-GB"/>
        </w:rPr>
        <w:t xml:space="preserve"> Firms like Future Supply Chain Solutions </w:t>
      </w:r>
      <w:r w:rsidR="000D2D40" w:rsidRPr="00433F68">
        <w:rPr>
          <w:rFonts w:eastAsia="Calibri"/>
          <w:spacing w:val="-4"/>
          <w:lang w:val="en-GB"/>
        </w:rPr>
        <w:t xml:space="preserve">had </w:t>
      </w:r>
      <w:r w:rsidRPr="00433F68">
        <w:rPr>
          <w:rFonts w:eastAsia="Calibri"/>
          <w:spacing w:val="-4"/>
          <w:lang w:val="en-GB"/>
        </w:rPr>
        <w:t xml:space="preserve">procured almost </w:t>
      </w:r>
      <w:r w:rsidR="000D2D40" w:rsidRPr="00433F68">
        <w:rPr>
          <w:rFonts w:eastAsia="Calibri"/>
          <w:spacing w:val="-4"/>
          <w:lang w:val="en-GB"/>
        </w:rPr>
        <w:t>$</w:t>
      </w:r>
      <w:r w:rsidRPr="00433F68">
        <w:rPr>
          <w:rFonts w:eastAsia="Calibri"/>
          <w:spacing w:val="-4"/>
          <w:lang w:val="en-GB"/>
        </w:rPr>
        <w:t>2 billion from local and foreign investments.</w:t>
      </w:r>
      <w:r w:rsidR="00D60955" w:rsidRPr="00433F68">
        <w:rPr>
          <w:rStyle w:val="FootnoteReference"/>
          <w:rFonts w:eastAsia="Calibri"/>
          <w:spacing w:val="-4"/>
          <w:lang w:val="en-GB"/>
        </w:rPr>
        <w:footnoteReference w:id="9"/>
      </w:r>
      <w:r w:rsidRPr="00433F68">
        <w:rPr>
          <w:rFonts w:eastAsia="Calibri"/>
          <w:spacing w:val="-4"/>
          <w:lang w:val="en-GB"/>
        </w:rPr>
        <w:t xml:space="preserve"> Last mile cargo solutions through multi-modal transport and free trade warehousing zones (FTWZ) provided ample benefits for storage and distribution. Maharashtra, Gujrat</w:t>
      </w:r>
      <w:r w:rsidR="00E66CBC" w:rsidRPr="00433F68">
        <w:rPr>
          <w:rFonts w:eastAsia="Calibri"/>
          <w:spacing w:val="-4"/>
          <w:lang w:val="en-GB"/>
        </w:rPr>
        <w:t>,</w:t>
      </w:r>
      <w:r w:rsidRPr="00433F68">
        <w:rPr>
          <w:rFonts w:eastAsia="Calibri"/>
          <w:spacing w:val="-4"/>
          <w:lang w:val="en-GB"/>
        </w:rPr>
        <w:t xml:space="preserve"> and the National Capital Region (NCR)</w:t>
      </w:r>
      <w:r w:rsidRPr="00433F68">
        <w:rPr>
          <w:rFonts w:eastAsia="Calibri"/>
          <w:spacing w:val="-4"/>
          <w:vertAlign w:val="superscript"/>
          <w:lang w:val="en-GB"/>
        </w:rPr>
        <w:footnoteReference w:id="10"/>
      </w:r>
      <w:r w:rsidR="000D2D40" w:rsidRPr="00433F68">
        <w:rPr>
          <w:rFonts w:eastAsia="Calibri"/>
          <w:spacing w:val="-4"/>
          <w:lang w:val="en-GB"/>
        </w:rPr>
        <w:t xml:space="preserve"> </w:t>
      </w:r>
      <w:r w:rsidRPr="00433F68">
        <w:rPr>
          <w:rFonts w:eastAsia="Calibri"/>
          <w:spacing w:val="-4"/>
          <w:lang w:val="en-GB"/>
        </w:rPr>
        <w:t>were fast emerging as the major hubs facilitating end-to-end logistics and supply chain solutions.</w:t>
      </w:r>
    </w:p>
    <w:p w14:paraId="43253559" w14:textId="77777777" w:rsidR="009130CD" w:rsidRPr="00F35168" w:rsidRDefault="009130CD" w:rsidP="009130CD">
      <w:pPr>
        <w:pStyle w:val="BodyTextMain"/>
        <w:rPr>
          <w:rFonts w:eastAsia="Calibri"/>
          <w:lang w:val="en-GB"/>
        </w:rPr>
      </w:pPr>
    </w:p>
    <w:p w14:paraId="057C6B1B" w14:textId="77777777" w:rsidR="009130CD" w:rsidRPr="00F35168" w:rsidRDefault="009130CD" w:rsidP="009130CD">
      <w:pPr>
        <w:pStyle w:val="BodyTextMain"/>
        <w:rPr>
          <w:rFonts w:eastAsia="Calibri"/>
          <w:lang w:val="en-GB"/>
        </w:rPr>
      </w:pPr>
    </w:p>
    <w:p w14:paraId="1125A123" w14:textId="3F4DCF0B" w:rsidR="009130CD" w:rsidRPr="00F35168" w:rsidRDefault="009130CD" w:rsidP="009130CD">
      <w:pPr>
        <w:pStyle w:val="Casehead1"/>
        <w:rPr>
          <w:rFonts w:eastAsia="Calibri"/>
          <w:lang w:val="en-GB"/>
        </w:rPr>
      </w:pPr>
      <w:r w:rsidRPr="00F35168">
        <w:rPr>
          <w:rFonts w:eastAsia="Calibri"/>
          <w:lang w:val="en-GB"/>
        </w:rPr>
        <w:t>GATI</w:t>
      </w:r>
      <w:r w:rsidR="008B62BD" w:rsidRPr="00F35168">
        <w:rPr>
          <w:rFonts w:eastAsia="Calibri"/>
          <w:lang w:val="en-GB"/>
        </w:rPr>
        <w:t>—</w:t>
      </w:r>
      <w:r w:rsidRPr="00F35168">
        <w:rPr>
          <w:rFonts w:eastAsia="Calibri"/>
          <w:lang w:val="en-GB"/>
        </w:rPr>
        <w:t>the JOURNEY SO FAR</w:t>
      </w:r>
    </w:p>
    <w:p w14:paraId="6BA36346" w14:textId="77777777" w:rsidR="009130CD" w:rsidRPr="00F35168" w:rsidRDefault="009130CD" w:rsidP="009130CD">
      <w:pPr>
        <w:pStyle w:val="BodyTextMain"/>
        <w:rPr>
          <w:rFonts w:eastAsia="Calibri"/>
          <w:lang w:val="en-GB"/>
        </w:rPr>
      </w:pPr>
    </w:p>
    <w:p w14:paraId="76247108" w14:textId="282E56E8" w:rsidR="009130CD" w:rsidRDefault="009130CD" w:rsidP="003E28B5">
      <w:pPr>
        <w:pStyle w:val="BodyTextMain"/>
        <w:jc w:val="right"/>
        <w:rPr>
          <w:rFonts w:eastAsia="Calibri"/>
          <w:lang w:val="en-GB"/>
        </w:rPr>
      </w:pPr>
      <w:r w:rsidRPr="00F35168">
        <w:rPr>
          <w:rFonts w:eastAsia="Calibri"/>
          <w:lang w:val="en-GB"/>
        </w:rPr>
        <w:t>Our values are the key driving forces that help us align our organization towards customer sensitivity and deliver beyond customer</w:t>
      </w:r>
      <w:r w:rsidR="008B62BD" w:rsidRPr="00F35168">
        <w:rPr>
          <w:rFonts w:eastAsia="Calibri"/>
          <w:lang w:val="en-GB"/>
        </w:rPr>
        <w:t>s</w:t>
      </w:r>
      <w:r w:rsidRPr="00F35168">
        <w:rPr>
          <w:rFonts w:eastAsia="Calibri"/>
          <w:lang w:val="en-GB"/>
        </w:rPr>
        <w:t>’ expectations. They encompass our attitude, behaviour, action</w:t>
      </w:r>
      <w:r w:rsidR="008B62BD" w:rsidRPr="00F35168">
        <w:rPr>
          <w:rFonts w:eastAsia="Calibri"/>
          <w:lang w:val="en-GB"/>
        </w:rPr>
        <w:t>,</w:t>
      </w:r>
      <w:r w:rsidRPr="00F35168">
        <w:rPr>
          <w:rFonts w:eastAsia="Calibri"/>
          <w:lang w:val="en-GB"/>
        </w:rPr>
        <w:t xml:space="preserve"> and delivery promise</w:t>
      </w:r>
      <w:r w:rsidR="008B62BD" w:rsidRPr="00F35168">
        <w:rPr>
          <w:rFonts w:eastAsia="Calibri"/>
          <w:lang w:val="en-GB"/>
        </w:rPr>
        <w:t>.</w:t>
      </w:r>
      <w:r w:rsidRPr="00F35168">
        <w:rPr>
          <w:rFonts w:eastAsia="Calibri"/>
          <w:vertAlign w:val="superscript"/>
          <w:lang w:val="en-GB"/>
        </w:rPr>
        <w:footnoteReference w:id="11"/>
      </w:r>
    </w:p>
    <w:p w14:paraId="14C8D17C" w14:textId="7719354B" w:rsidR="003E28B5" w:rsidRDefault="003E28B5" w:rsidP="003E28B5">
      <w:pPr>
        <w:pStyle w:val="BodyTextMain"/>
        <w:jc w:val="right"/>
        <w:rPr>
          <w:rFonts w:eastAsia="Calibri"/>
          <w:lang w:val="en-GB"/>
        </w:rPr>
      </w:pPr>
    </w:p>
    <w:p w14:paraId="1D1E87BE" w14:textId="164D9185" w:rsidR="003E28B5" w:rsidRPr="00F35168" w:rsidRDefault="003E28B5" w:rsidP="003E28B5">
      <w:pPr>
        <w:pStyle w:val="BodyTextMain"/>
        <w:jc w:val="right"/>
        <w:rPr>
          <w:rFonts w:eastAsia="Calibri"/>
          <w:lang w:val="en-GB"/>
        </w:rPr>
      </w:pPr>
      <w:proofErr w:type="spellStart"/>
      <w:r w:rsidRPr="00F35168">
        <w:rPr>
          <w:rFonts w:eastAsia="Calibri"/>
          <w:lang w:val="en-GB"/>
        </w:rPr>
        <w:t>Mahendra</w:t>
      </w:r>
      <w:proofErr w:type="spellEnd"/>
      <w:r w:rsidRPr="00F35168">
        <w:rPr>
          <w:rFonts w:eastAsia="Calibri"/>
          <w:lang w:val="en-GB"/>
        </w:rPr>
        <w:t xml:space="preserve"> Agarwal, founder and chief executive officer (CEO) of</w:t>
      </w:r>
      <w:r>
        <w:rPr>
          <w:rFonts w:eastAsia="Calibri"/>
          <w:lang w:val="en-GB"/>
        </w:rPr>
        <w:t xml:space="preserve"> </w:t>
      </w:r>
      <w:proofErr w:type="spellStart"/>
      <w:r>
        <w:rPr>
          <w:rFonts w:eastAsia="Calibri"/>
          <w:lang w:val="en-GB"/>
        </w:rPr>
        <w:t>Gati</w:t>
      </w:r>
      <w:proofErr w:type="spellEnd"/>
    </w:p>
    <w:p w14:paraId="6F1142CE" w14:textId="77777777" w:rsidR="009130CD" w:rsidRPr="00F35168" w:rsidRDefault="009130CD" w:rsidP="009130CD">
      <w:pPr>
        <w:pStyle w:val="BodyTextMain"/>
        <w:rPr>
          <w:rFonts w:eastAsia="Calibri"/>
          <w:lang w:val="en-GB"/>
        </w:rPr>
      </w:pPr>
    </w:p>
    <w:p w14:paraId="043CBF44" w14:textId="515C475C" w:rsidR="009130CD" w:rsidRPr="00F35168" w:rsidRDefault="009130CD" w:rsidP="009130CD">
      <w:pPr>
        <w:pStyle w:val="BodyTextMain"/>
        <w:rPr>
          <w:rFonts w:eastAsia="Calibri"/>
          <w:lang w:val="en-GB"/>
        </w:rPr>
      </w:pPr>
      <w:r w:rsidRPr="00F35168">
        <w:rPr>
          <w:rFonts w:eastAsia="Calibri"/>
          <w:lang w:val="en-GB"/>
        </w:rPr>
        <w:t xml:space="preserve">Since inception in 1989, </w:t>
      </w:r>
      <w:proofErr w:type="spellStart"/>
      <w:r w:rsidRPr="00F35168">
        <w:rPr>
          <w:rFonts w:eastAsia="Calibri"/>
          <w:lang w:val="en-GB"/>
        </w:rPr>
        <w:t>Gati</w:t>
      </w:r>
      <w:proofErr w:type="spellEnd"/>
      <w:r w:rsidRPr="00F35168">
        <w:rPr>
          <w:rFonts w:eastAsia="Calibri"/>
          <w:lang w:val="en-GB"/>
        </w:rPr>
        <w:t xml:space="preserve"> had been driving its growth on the logistics excellence it provided to its clients. After several rounds of deliberation, the company had arrived at the name “</w:t>
      </w:r>
      <w:proofErr w:type="spellStart"/>
      <w:r w:rsidRPr="00F35168">
        <w:rPr>
          <w:rFonts w:eastAsia="Calibri"/>
          <w:lang w:val="en-GB"/>
        </w:rPr>
        <w:t>Gati</w:t>
      </w:r>
      <w:proofErr w:type="spellEnd"/>
      <w:r w:rsidRPr="00F35168">
        <w:rPr>
          <w:rFonts w:eastAsia="Calibri"/>
          <w:lang w:val="en-GB"/>
        </w:rPr>
        <w:t>” which traced its roots to a Sanskrit word</w:t>
      </w:r>
      <w:r w:rsidR="00E66CBC" w:rsidRPr="00F35168">
        <w:rPr>
          <w:rFonts w:eastAsia="Calibri"/>
          <w:lang w:val="en-GB"/>
        </w:rPr>
        <w:t xml:space="preserve"> meaning</w:t>
      </w:r>
      <w:r w:rsidRPr="00F35168">
        <w:rPr>
          <w:rFonts w:eastAsia="Calibri"/>
          <w:lang w:val="en-GB"/>
        </w:rPr>
        <w:t xml:space="preserve"> speed and direction. The firm was currently one </w:t>
      </w:r>
      <w:r w:rsidR="003A4EBD" w:rsidRPr="00F35168">
        <w:rPr>
          <w:rFonts w:eastAsia="Calibri"/>
          <w:lang w:val="en-GB"/>
        </w:rPr>
        <w:t xml:space="preserve">of </w:t>
      </w:r>
      <w:r w:rsidRPr="00F35168">
        <w:rPr>
          <w:rFonts w:eastAsia="Calibri"/>
          <w:lang w:val="en-GB"/>
        </w:rPr>
        <w:t>the market and knowledge leaders in the logistics and supply chain services sector in India. The company provided third-</w:t>
      </w:r>
      <w:r w:rsidRPr="00F35168">
        <w:rPr>
          <w:rFonts w:eastAsia="Calibri"/>
          <w:lang w:val="en-GB"/>
        </w:rPr>
        <w:lastRenderedPageBreak/>
        <w:t>party logistics consulting as well as supply chain services including express distribution. Gati primarily served nine distinct industry verticals including e-commerce, healthcare, engineering and electrical hardware, fast moving consumer goods, electronics, apparel and lifestyle goods, high technology, publishing, and automotive goods. The</w:t>
      </w:r>
      <w:r w:rsidR="006107F7">
        <w:rPr>
          <w:rFonts w:eastAsia="Calibri"/>
          <w:lang w:val="en-GB"/>
        </w:rPr>
        <w:t>ir innovative</w:t>
      </w:r>
      <w:r w:rsidRPr="00F35168">
        <w:rPr>
          <w:rFonts w:eastAsia="Calibri"/>
          <w:lang w:val="en-GB"/>
        </w:rPr>
        <w:t xml:space="preserve"> service </w:t>
      </w:r>
      <w:r w:rsidR="006107F7">
        <w:rPr>
          <w:rFonts w:eastAsia="Calibri"/>
          <w:lang w:val="en-GB"/>
        </w:rPr>
        <w:t>included</w:t>
      </w:r>
      <w:r w:rsidRPr="00F35168">
        <w:rPr>
          <w:rFonts w:eastAsia="Calibri"/>
          <w:lang w:val="en-GB"/>
        </w:rPr>
        <w:t xml:space="preserve"> express distribution and supply chain solutions. A substantial amount of the business came from the logistic services </w:t>
      </w:r>
      <w:r w:rsidR="006107F7">
        <w:rPr>
          <w:rFonts w:eastAsia="Calibri"/>
          <w:lang w:val="en-GB"/>
        </w:rPr>
        <w:t>it provided to customers. Focusing on their logistic services and core competencies drove the company’s growth</w:t>
      </w:r>
      <w:r w:rsidRPr="00F35168">
        <w:rPr>
          <w:rFonts w:eastAsia="Calibri"/>
          <w:lang w:val="en-GB"/>
        </w:rPr>
        <w:t>. Gati provided a wide range of logistics support</w:t>
      </w:r>
      <w:r w:rsidR="008555B1">
        <w:rPr>
          <w:rFonts w:eastAsia="Calibri"/>
          <w:lang w:val="en-GB"/>
        </w:rPr>
        <w:t>,</w:t>
      </w:r>
      <w:r w:rsidRPr="00F35168">
        <w:rPr>
          <w:rFonts w:eastAsia="Calibri"/>
          <w:lang w:val="en-GB"/>
        </w:rPr>
        <w:t xml:space="preserve"> </w:t>
      </w:r>
      <w:r w:rsidR="00981920">
        <w:rPr>
          <w:rFonts w:eastAsia="Calibri"/>
          <w:lang w:val="en-GB"/>
        </w:rPr>
        <w:t>including</w:t>
      </w:r>
      <w:r w:rsidRPr="00F35168">
        <w:rPr>
          <w:rFonts w:eastAsia="Calibri"/>
          <w:lang w:val="en-GB"/>
        </w:rPr>
        <w:t xml:space="preserve"> excellent warehouse support</w:t>
      </w:r>
      <w:r w:rsidR="008555B1">
        <w:rPr>
          <w:rFonts w:eastAsia="Calibri"/>
          <w:lang w:val="en-GB"/>
        </w:rPr>
        <w:t>,</w:t>
      </w:r>
      <w:r w:rsidRPr="00F35168">
        <w:rPr>
          <w:rFonts w:eastAsia="Calibri"/>
          <w:lang w:val="en-GB"/>
        </w:rPr>
        <w:t xml:space="preserve"> to ensure timely delivery of goods in most parts of India. The company was one of the pioneers in introducing the practice of printing the delivery date on the docket and guaranteeing money back in case of late delivery.</w:t>
      </w:r>
    </w:p>
    <w:p w14:paraId="298252DF" w14:textId="77777777" w:rsidR="009130CD" w:rsidRPr="00F35168" w:rsidRDefault="009130CD" w:rsidP="009130CD">
      <w:pPr>
        <w:pStyle w:val="BodyTextMain"/>
        <w:rPr>
          <w:rFonts w:eastAsia="Calibri"/>
          <w:lang w:val="en-GB"/>
        </w:rPr>
      </w:pPr>
    </w:p>
    <w:p w14:paraId="07B1ED36" w14:textId="608D4F76" w:rsidR="009130CD" w:rsidRPr="00F35168" w:rsidRDefault="009130CD" w:rsidP="009130CD">
      <w:pPr>
        <w:pStyle w:val="BodyTextMain"/>
        <w:rPr>
          <w:rFonts w:eastAsia="Calibri"/>
          <w:lang w:val="en-GB"/>
        </w:rPr>
      </w:pPr>
      <w:r w:rsidRPr="00F35168">
        <w:rPr>
          <w:rFonts w:eastAsia="Calibri"/>
          <w:lang w:val="en-GB"/>
        </w:rPr>
        <w:t xml:space="preserve">In a recent press meeting, </w:t>
      </w:r>
      <w:proofErr w:type="spellStart"/>
      <w:r w:rsidRPr="00F35168">
        <w:rPr>
          <w:rFonts w:eastAsia="Calibri"/>
          <w:lang w:val="en-GB"/>
        </w:rPr>
        <w:t>Mahendra</w:t>
      </w:r>
      <w:proofErr w:type="spellEnd"/>
      <w:r w:rsidRPr="00F35168">
        <w:rPr>
          <w:rFonts w:eastAsia="Calibri"/>
          <w:lang w:val="en-GB"/>
        </w:rPr>
        <w:t xml:space="preserve"> Agarwal had said, “The </w:t>
      </w:r>
      <w:r w:rsidR="003A4EBD" w:rsidRPr="00F35168">
        <w:rPr>
          <w:rFonts w:eastAsia="Calibri"/>
          <w:lang w:val="en-GB"/>
        </w:rPr>
        <w:t>c</w:t>
      </w:r>
      <w:r w:rsidRPr="00F35168">
        <w:rPr>
          <w:rFonts w:eastAsia="Calibri"/>
          <w:lang w:val="en-GB"/>
        </w:rPr>
        <w:t>ompany has</w:t>
      </w:r>
      <w:r w:rsidR="003A4EBD" w:rsidRPr="00F35168">
        <w:rPr>
          <w:rFonts w:eastAsia="Calibri"/>
          <w:lang w:val="en-GB"/>
        </w:rPr>
        <w:t xml:space="preserve"> set</w:t>
      </w:r>
      <w:r w:rsidRPr="00F35168">
        <w:rPr>
          <w:rFonts w:eastAsia="Calibri"/>
          <w:lang w:val="en-GB"/>
        </w:rPr>
        <w:t xml:space="preserve"> itself an ambitious 2020 target of delivering </w:t>
      </w:r>
      <w:r w:rsidR="003A4EBD" w:rsidRPr="00F35168">
        <w:rPr>
          <w:rFonts w:eastAsia="Calibri"/>
          <w:lang w:val="en-GB"/>
        </w:rPr>
        <w:t>one</w:t>
      </w:r>
      <w:r w:rsidRPr="00F35168">
        <w:rPr>
          <w:rFonts w:eastAsia="Calibri"/>
          <w:lang w:val="en-GB"/>
        </w:rPr>
        <w:t xml:space="preserve"> million packages every</w:t>
      </w:r>
      <w:r w:rsidR="00981920">
        <w:rPr>
          <w:rFonts w:eastAsia="Calibri"/>
          <w:lang w:val="en-GB"/>
        </w:rPr>
        <w:t xml:space="preserve"> </w:t>
      </w:r>
      <w:r w:rsidRPr="00F35168">
        <w:rPr>
          <w:rFonts w:eastAsia="Calibri"/>
          <w:lang w:val="en-GB"/>
        </w:rPr>
        <w:t>day</w:t>
      </w:r>
      <w:r w:rsidR="003A4EBD" w:rsidRPr="00F35168">
        <w:rPr>
          <w:rFonts w:eastAsia="Calibri"/>
          <w:lang w:val="en-GB"/>
        </w:rPr>
        <w:t>,</w:t>
      </w:r>
      <w:r w:rsidRPr="00F35168">
        <w:rPr>
          <w:rFonts w:eastAsia="Calibri"/>
          <w:lang w:val="en-GB"/>
        </w:rPr>
        <w:t xml:space="preserve"> while ensuring zero delays and zero damages.”</w:t>
      </w:r>
      <w:r w:rsidRPr="00F35168">
        <w:rPr>
          <w:rFonts w:eastAsia="Calibri"/>
          <w:vertAlign w:val="superscript"/>
          <w:lang w:val="en-GB"/>
        </w:rPr>
        <w:footnoteReference w:id="12"/>
      </w:r>
    </w:p>
    <w:p w14:paraId="4FE5ECEF" w14:textId="77777777" w:rsidR="009130CD" w:rsidRPr="00F35168" w:rsidRDefault="009130CD" w:rsidP="009130CD">
      <w:pPr>
        <w:pStyle w:val="BodyTextMain"/>
        <w:rPr>
          <w:rFonts w:eastAsia="Calibri"/>
          <w:lang w:val="en-GB"/>
        </w:rPr>
      </w:pPr>
    </w:p>
    <w:p w14:paraId="42BF6F21" w14:textId="0351D83E" w:rsidR="009130CD" w:rsidRPr="00F35168" w:rsidRDefault="009130CD" w:rsidP="009130CD">
      <w:pPr>
        <w:pStyle w:val="BodyTextMain"/>
        <w:rPr>
          <w:rFonts w:eastAsia="Calibri"/>
          <w:lang w:val="en-GB"/>
        </w:rPr>
      </w:pPr>
      <w:r w:rsidRPr="00F35168">
        <w:rPr>
          <w:rFonts w:eastAsia="Calibri"/>
          <w:lang w:val="en-GB"/>
        </w:rPr>
        <w:t xml:space="preserve">Gati also had a dedicated wing to accomplish social and environmental goals with particular focus on </w:t>
      </w:r>
      <w:r w:rsidR="00781389" w:rsidRPr="00F35168">
        <w:rPr>
          <w:rFonts w:eastAsia="Calibri"/>
          <w:lang w:val="en-GB"/>
        </w:rPr>
        <w:t>improving</w:t>
      </w:r>
      <w:r w:rsidRPr="00F35168">
        <w:rPr>
          <w:rFonts w:eastAsia="Calibri"/>
          <w:lang w:val="en-GB"/>
        </w:rPr>
        <w:t xml:space="preserve"> education, healthcare, skill development, community development</w:t>
      </w:r>
      <w:r w:rsidR="00781389" w:rsidRPr="00F35168">
        <w:rPr>
          <w:rFonts w:eastAsia="Calibri"/>
          <w:lang w:val="en-GB"/>
        </w:rPr>
        <w:t>,</w:t>
      </w:r>
      <w:r w:rsidRPr="00F35168">
        <w:rPr>
          <w:rFonts w:eastAsia="Calibri"/>
          <w:lang w:val="en-GB"/>
        </w:rPr>
        <w:t xml:space="preserve"> and disaster management.</w:t>
      </w:r>
    </w:p>
    <w:p w14:paraId="45172AD1" w14:textId="77777777" w:rsidR="009130CD" w:rsidRPr="00F35168" w:rsidRDefault="009130CD" w:rsidP="009130CD">
      <w:pPr>
        <w:pStyle w:val="BodyTextMain"/>
        <w:rPr>
          <w:rFonts w:eastAsia="Calibri"/>
          <w:lang w:val="en-GB"/>
        </w:rPr>
      </w:pPr>
    </w:p>
    <w:p w14:paraId="24D267FF" w14:textId="3D93BF22" w:rsidR="009130CD" w:rsidRPr="00F35168" w:rsidRDefault="009130CD" w:rsidP="009130CD">
      <w:pPr>
        <w:pStyle w:val="BodyTextMain"/>
        <w:rPr>
          <w:rFonts w:eastAsia="Calibri"/>
          <w:lang w:val="en-GB"/>
        </w:rPr>
      </w:pPr>
      <w:r w:rsidRPr="00F35168">
        <w:rPr>
          <w:rFonts w:eastAsia="Calibri"/>
          <w:lang w:val="en-GB"/>
        </w:rPr>
        <w:t>The company believed in providing innovative services. For the apparels and lifestyle industry, Gati had formulated a comprehensive “stock2shelf” service, which involved predicting the need at the retail store, computing the stock needed at the feeder warehouse</w:t>
      </w:r>
      <w:r w:rsidR="00781389" w:rsidRPr="00F35168">
        <w:rPr>
          <w:rFonts w:eastAsia="Calibri"/>
          <w:lang w:val="en-GB"/>
        </w:rPr>
        <w:t>,</w:t>
      </w:r>
      <w:r w:rsidRPr="00F35168">
        <w:rPr>
          <w:rFonts w:eastAsia="Calibri"/>
          <w:lang w:val="en-GB"/>
        </w:rPr>
        <w:t xml:space="preserve"> and eventually supplying the desired stock within the given timelines. This service proved particularly beneficial to the retail outlets at mega shopping malls. For the automobile industry, the supply chain was quite mature and provide</w:t>
      </w:r>
      <w:r w:rsidR="00781389" w:rsidRPr="00F35168">
        <w:rPr>
          <w:rFonts w:eastAsia="Calibri"/>
          <w:lang w:val="en-GB"/>
        </w:rPr>
        <w:t>d</w:t>
      </w:r>
      <w:r w:rsidRPr="00F35168">
        <w:rPr>
          <w:rFonts w:eastAsia="Calibri"/>
          <w:lang w:val="en-GB"/>
        </w:rPr>
        <w:t xml:space="preserve"> customized VMI</w:t>
      </w:r>
      <w:r w:rsidRPr="00F35168">
        <w:rPr>
          <w:rFonts w:eastAsia="Calibri"/>
          <w:vertAlign w:val="superscript"/>
          <w:lang w:val="en-GB"/>
        </w:rPr>
        <w:footnoteReference w:id="13"/>
      </w:r>
      <w:r w:rsidRPr="00F35168">
        <w:rPr>
          <w:rFonts w:eastAsia="Calibri"/>
          <w:lang w:val="en-GB"/>
        </w:rPr>
        <w:t xml:space="preserve"> solutions. For the books and periodicals section, it</w:t>
      </w:r>
      <w:r w:rsidR="00781389" w:rsidRPr="00F35168">
        <w:rPr>
          <w:rFonts w:eastAsia="Calibri"/>
          <w:lang w:val="en-GB"/>
        </w:rPr>
        <w:t>s</w:t>
      </w:r>
      <w:r w:rsidRPr="00F35168">
        <w:rPr>
          <w:rFonts w:eastAsia="Calibri"/>
          <w:lang w:val="en-GB"/>
        </w:rPr>
        <w:t xml:space="preserve"> services</w:t>
      </w:r>
      <w:r w:rsidR="00781389" w:rsidRPr="00F35168">
        <w:rPr>
          <w:rFonts w:eastAsia="Calibri"/>
          <w:lang w:val="en-GB"/>
        </w:rPr>
        <w:t xml:space="preserve"> </w:t>
      </w:r>
      <w:r w:rsidRPr="00F35168">
        <w:rPr>
          <w:rFonts w:eastAsia="Calibri"/>
          <w:lang w:val="en-GB"/>
        </w:rPr>
        <w:t>ensure</w:t>
      </w:r>
      <w:r w:rsidR="00781389" w:rsidRPr="00F35168">
        <w:rPr>
          <w:rFonts w:eastAsia="Calibri"/>
          <w:lang w:val="en-GB"/>
        </w:rPr>
        <w:t>d</w:t>
      </w:r>
      <w:r w:rsidRPr="00F35168">
        <w:rPr>
          <w:rFonts w:eastAsia="Calibri"/>
          <w:lang w:val="en-GB"/>
        </w:rPr>
        <w:t xml:space="preserve"> confidentiality of the documents and prevent</w:t>
      </w:r>
      <w:r w:rsidR="00781389" w:rsidRPr="00F35168">
        <w:rPr>
          <w:rFonts w:eastAsia="Calibri"/>
          <w:lang w:val="en-GB"/>
        </w:rPr>
        <w:t>ed</w:t>
      </w:r>
      <w:r w:rsidRPr="00F35168">
        <w:rPr>
          <w:rFonts w:eastAsia="Calibri"/>
          <w:lang w:val="en-GB"/>
        </w:rPr>
        <w:t xml:space="preserve"> piracy and disposal of sensitive information. It had also launched reverse logistics schemes for the electronic goods industry. The e</w:t>
      </w:r>
      <w:r w:rsidR="00781389" w:rsidRPr="00F35168">
        <w:rPr>
          <w:rFonts w:eastAsia="Calibri"/>
          <w:lang w:val="en-GB"/>
        </w:rPr>
        <w:t>-</w:t>
      </w:r>
      <w:r w:rsidRPr="00F35168">
        <w:rPr>
          <w:rFonts w:eastAsia="Calibri"/>
          <w:lang w:val="en-GB"/>
        </w:rPr>
        <w:t>commerce industry</w:t>
      </w:r>
      <w:r w:rsidR="006107F7">
        <w:rPr>
          <w:rFonts w:eastAsia="Calibri"/>
          <w:lang w:val="en-GB"/>
        </w:rPr>
        <w:t xml:space="preserve"> also</w:t>
      </w:r>
      <w:r w:rsidRPr="00F35168">
        <w:rPr>
          <w:rFonts w:eastAsia="Calibri"/>
          <w:lang w:val="en-GB"/>
        </w:rPr>
        <w:t xml:space="preserve"> contributed a significant amount to its revenue. </w:t>
      </w:r>
    </w:p>
    <w:p w14:paraId="36EC73D5" w14:textId="77777777" w:rsidR="009130CD" w:rsidRPr="00F35168" w:rsidRDefault="009130CD" w:rsidP="009130CD">
      <w:pPr>
        <w:pStyle w:val="BodyTextMain"/>
        <w:rPr>
          <w:rFonts w:eastAsia="Calibri"/>
          <w:lang w:val="en-GB"/>
        </w:rPr>
      </w:pPr>
    </w:p>
    <w:p w14:paraId="2824962F" w14:textId="6CB5AF30" w:rsidR="009130CD" w:rsidRPr="00F35168" w:rsidRDefault="009130CD" w:rsidP="009130CD">
      <w:pPr>
        <w:pStyle w:val="BodyTextMain"/>
        <w:rPr>
          <w:rFonts w:eastAsia="Calibri"/>
          <w:lang w:val="en-GB"/>
        </w:rPr>
      </w:pPr>
      <w:r w:rsidRPr="00F35168">
        <w:rPr>
          <w:rFonts w:eastAsia="Calibri"/>
          <w:lang w:val="en-GB"/>
        </w:rPr>
        <w:t>Focused on becoming the market leader, Gati was one of the main driving force</w:t>
      </w:r>
      <w:r w:rsidR="00781389" w:rsidRPr="00F35168">
        <w:rPr>
          <w:rFonts w:eastAsia="Calibri"/>
          <w:lang w:val="en-GB"/>
        </w:rPr>
        <w:t>s that</w:t>
      </w:r>
      <w:r w:rsidRPr="00F35168">
        <w:rPr>
          <w:rFonts w:eastAsia="Calibri"/>
          <w:lang w:val="en-GB"/>
        </w:rPr>
        <w:t xml:space="preserve"> revolutioniz</w:t>
      </w:r>
      <w:r w:rsidR="00781389" w:rsidRPr="00F35168">
        <w:rPr>
          <w:rFonts w:eastAsia="Calibri"/>
          <w:lang w:val="en-GB"/>
        </w:rPr>
        <w:t>ed</w:t>
      </w:r>
      <w:r w:rsidRPr="00F35168">
        <w:rPr>
          <w:rFonts w:eastAsia="Calibri"/>
          <w:lang w:val="en-GB"/>
        </w:rPr>
        <w:t xml:space="preserve"> warehousing in India. The company had developed 32 modern warehouses</w:t>
      </w:r>
      <w:r w:rsidRPr="00F35168">
        <w:rPr>
          <w:rFonts w:eastAsia="Calibri"/>
          <w:vertAlign w:val="superscript"/>
          <w:lang w:val="en-GB"/>
        </w:rPr>
        <w:footnoteReference w:id="14"/>
      </w:r>
      <w:r w:rsidRPr="00F35168">
        <w:rPr>
          <w:rFonts w:eastAsia="Calibri"/>
          <w:lang w:val="en-GB"/>
        </w:rPr>
        <w:t xml:space="preserve"> with a space of over 13 million square feet across the country, delivering almost 80 million packages every year. It</w:t>
      </w:r>
      <w:r w:rsidR="00781389" w:rsidRPr="00F35168">
        <w:rPr>
          <w:rFonts w:eastAsia="Calibri"/>
          <w:lang w:val="en-GB"/>
        </w:rPr>
        <w:t xml:space="preserve">s </w:t>
      </w:r>
      <w:r w:rsidRPr="00F35168">
        <w:rPr>
          <w:rFonts w:eastAsia="Calibri"/>
          <w:lang w:val="en-GB"/>
        </w:rPr>
        <w:t xml:space="preserve">large modernized and secure logistics parks operated 24 hours </w:t>
      </w:r>
      <w:r w:rsidR="00781389" w:rsidRPr="00F35168">
        <w:rPr>
          <w:rFonts w:eastAsia="Calibri"/>
          <w:lang w:val="en-GB"/>
        </w:rPr>
        <w:t>a</w:t>
      </w:r>
      <w:r w:rsidRPr="00F35168">
        <w:rPr>
          <w:rFonts w:eastAsia="Calibri"/>
          <w:lang w:val="en-GB"/>
        </w:rPr>
        <w:t xml:space="preserve"> day</w:t>
      </w:r>
      <w:r w:rsidR="00781389" w:rsidRPr="00F35168">
        <w:rPr>
          <w:rFonts w:eastAsia="Calibri"/>
          <w:lang w:val="en-GB"/>
        </w:rPr>
        <w:t>,</w:t>
      </w:r>
      <w:r w:rsidRPr="00F35168">
        <w:rPr>
          <w:rFonts w:eastAsia="Calibri"/>
          <w:lang w:val="en-GB"/>
        </w:rPr>
        <w:t xml:space="preserve"> 365 days </w:t>
      </w:r>
      <w:r w:rsidR="00781389" w:rsidRPr="00F35168">
        <w:rPr>
          <w:rFonts w:eastAsia="Calibri"/>
          <w:lang w:val="en-GB"/>
        </w:rPr>
        <w:t>a</w:t>
      </w:r>
      <w:r w:rsidRPr="00F35168">
        <w:rPr>
          <w:rFonts w:eastAsia="Calibri"/>
          <w:lang w:val="en-GB"/>
        </w:rPr>
        <w:t xml:space="preserve"> year. These parks encompassed a 60- to 80-foot concrete docking area and had standard truck height loading platforms for easy material-handling. In addition, they also included high-quality heavy-duty floors; well-designed crossdocking platforms supported with efficient ergonomics; 24x7 power supply; a 16-foot cantilevered shed and an industrial shed to enable loading and unloading in all atmospheric conditions; onsite staff residences and rest rooms for drivers; and surveillance for fire and safety. Gati also maintained an optimal fleet size of 6</w:t>
      </w:r>
      <w:r w:rsidR="00194F5E">
        <w:rPr>
          <w:rFonts w:eastAsia="Calibri"/>
          <w:lang w:val="en-GB"/>
        </w:rPr>
        <w:t>,</w:t>
      </w:r>
      <w:r w:rsidRPr="00F35168">
        <w:rPr>
          <w:rFonts w:eastAsia="Calibri"/>
          <w:lang w:val="en-GB"/>
        </w:rPr>
        <w:t xml:space="preserve">132 ISO-certified vehicles to manage pickups, </w:t>
      </w:r>
      <w:proofErr w:type="spellStart"/>
      <w:r w:rsidRPr="00F35168">
        <w:rPr>
          <w:rFonts w:eastAsia="Calibri"/>
          <w:lang w:val="en-GB"/>
        </w:rPr>
        <w:t>transshipment</w:t>
      </w:r>
      <w:proofErr w:type="spellEnd"/>
      <w:r w:rsidR="00781389" w:rsidRPr="00F35168">
        <w:rPr>
          <w:rFonts w:eastAsia="Calibri"/>
          <w:lang w:val="en-GB"/>
        </w:rPr>
        <w:t>,</w:t>
      </w:r>
      <w:r w:rsidRPr="00F35168">
        <w:rPr>
          <w:rFonts w:eastAsia="Calibri"/>
          <w:lang w:val="en-GB"/>
        </w:rPr>
        <w:t xml:space="preserve"> and delivery of cargo ranging from </w:t>
      </w:r>
      <w:r w:rsidR="00194F5E">
        <w:rPr>
          <w:rFonts w:eastAsia="Calibri"/>
          <w:lang w:val="en-GB"/>
        </w:rPr>
        <w:t>one</w:t>
      </w:r>
      <w:r w:rsidRPr="00F35168">
        <w:rPr>
          <w:rFonts w:eastAsia="Calibri"/>
          <w:lang w:val="en-GB"/>
        </w:rPr>
        <w:t xml:space="preserve"> metric ton (MT) to 15 MT. These vehicles were weather-protected</w:t>
      </w:r>
      <w:r w:rsidR="00781389" w:rsidRPr="00F35168">
        <w:rPr>
          <w:rFonts w:eastAsia="Calibri"/>
          <w:lang w:val="en-GB"/>
        </w:rPr>
        <w:t xml:space="preserve"> and</w:t>
      </w:r>
      <w:r w:rsidRPr="00F35168">
        <w:rPr>
          <w:rFonts w:eastAsia="Calibri"/>
          <w:lang w:val="en-GB"/>
        </w:rPr>
        <w:t xml:space="preserve"> GPS-enabled, had low carbon emissions</w:t>
      </w:r>
      <w:r w:rsidR="00781389" w:rsidRPr="00F35168">
        <w:rPr>
          <w:rFonts w:eastAsia="Calibri"/>
          <w:lang w:val="en-GB"/>
        </w:rPr>
        <w:t>,</w:t>
      </w:r>
      <w:r w:rsidRPr="00F35168">
        <w:rPr>
          <w:rFonts w:eastAsia="Calibri"/>
          <w:lang w:val="en-GB"/>
        </w:rPr>
        <w:t xml:space="preserve"> and were technology-efficient. On average, the fleet traversed 600,000 kilomet</w:t>
      </w:r>
      <w:r w:rsidR="006D7493">
        <w:rPr>
          <w:rFonts w:eastAsia="Calibri"/>
          <w:lang w:val="en-GB"/>
        </w:rPr>
        <w:t>r</w:t>
      </w:r>
      <w:r w:rsidRPr="00F35168">
        <w:rPr>
          <w:rFonts w:eastAsia="Calibri"/>
          <w:lang w:val="en-GB"/>
        </w:rPr>
        <w:t>es per day across 1,100 dedicated routes with 48 hubs or mega hubs. Through 391 delivery gateways, 622 scheduled destinations</w:t>
      </w:r>
      <w:r w:rsidR="00230531" w:rsidRPr="00F35168">
        <w:rPr>
          <w:rFonts w:eastAsia="Calibri"/>
          <w:lang w:val="en-GB"/>
        </w:rPr>
        <w:t>,</w:t>
      </w:r>
      <w:r w:rsidRPr="00F35168">
        <w:rPr>
          <w:rFonts w:eastAsia="Calibri"/>
          <w:lang w:val="en-GB"/>
        </w:rPr>
        <w:t xml:space="preserve"> and an effective network, the company connected almost every part of the country. Gati had also been actively focused on route optimization, hub selection</w:t>
      </w:r>
      <w:r w:rsidR="008C6135" w:rsidRPr="00F35168">
        <w:rPr>
          <w:rFonts w:eastAsia="Calibri"/>
          <w:lang w:val="en-GB"/>
        </w:rPr>
        <w:t>,</w:t>
      </w:r>
      <w:r w:rsidRPr="00F35168">
        <w:rPr>
          <w:rFonts w:eastAsia="Calibri"/>
          <w:lang w:val="en-GB"/>
        </w:rPr>
        <w:t xml:space="preserve"> and process improvement activities</w:t>
      </w:r>
      <w:r w:rsidR="008C6135" w:rsidRPr="00F35168">
        <w:rPr>
          <w:rFonts w:eastAsia="Calibri"/>
          <w:lang w:val="en-GB"/>
        </w:rPr>
        <w:t>—</w:t>
      </w:r>
      <w:r w:rsidRPr="00F35168">
        <w:rPr>
          <w:rFonts w:eastAsia="Calibri"/>
          <w:lang w:val="en-GB"/>
        </w:rPr>
        <w:t xml:space="preserve">to improve its service quality and strengthen its hub-and-spoke model. </w:t>
      </w:r>
      <w:r w:rsidR="008C6135" w:rsidRPr="00F35168">
        <w:rPr>
          <w:rFonts w:eastAsia="Calibri"/>
          <w:lang w:val="en-GB"/>
        </w:rPr>
        <w:t>The company</w:t>
      </w:r>
      <w:r w:rsidRPr="00F35168">
        <w:rPr>
          <w:rFonts w:eastAsia="Calibri"/>
          <w:lang w:val="en-GB"/>
        </w:rPr>
        <w:t xml:space="preserve"> provided multi-modal shipment service</w:t>
      </w:r>
      <w:r w:rsidR="008555B1">
        <w:rPr>
          <w:rFonts w:eastAsia="Calibri"/>
          <w:lang w:val="en-GB"/>
        </w:rPr>
        <w:t>s</w:t>
      </w:r>
      <w:r w:rsidRPr="00F35168">
        <w:rPr>
          <w:rFonts w:eastAsia="Calibri"/>
          <w:lang w:val="en-GB"/>
        </w:rPr>
        <w:t>, including air service at</w:t>
      </w:r>
      <w:r w:rsidR="008C6135" w:rsidRPr="00F35168">
        <w:rPr>
          <w:rFonts w:eastAsia="Calibri"/>
          <w:lang w:val="en-GB"/>
        </w:rPr>
        <w:t xml:space="preserve"> a</w:t>
      </w:r>
      <w:r w:rsidRPr="00F35168">
        <w:rPr>
          <w:rFonts w:eastAsia="Calibri"/>
          <w:lang w:val="en-GB"/>
        </w:rPr>
        <w:t xml:space="preserve"> reasonable price and shorter time for valuable air-worthy cargo through 54 state-of-the-art air hubs </w:t>
      </w:r>
      <w:r w:rsidR="006107F7">
        <w:rPr>
          <w:rFonts w:eastAsia="Calibri"/>
          <w:lang w:val="en-GB"/>
        </w:rPr>
        <w:t>across</w:t>
      </w:r>
      <w:r w:rsidRPr="00F35168">
        <w:rPr>
          <w:rFonts w:eastAsia="Calibri"/>
          <w:lang w:val="en-GB"/>
        </w:rPr>
        <w:t xml:space="preserve"> the country. The company had also launched Gati Art Express, Gati Café</w:t>
      </w:r>
      <w:r w:rsidR="008C6135" w:rsidRPr="00F35168">
        <w:rPr>
          <w:rFonts w:eastAsia="Calibri"/>
          <w:lang w:val="en-GB"/>
        </w:rPr>
        <w:t>,</w:t>
      </w:r>
      <w:r w:rsidRPr="00F35168">
        <w:rPr>
          <w:rFonts w:eastAsia="Calibri"/>
          <w:lang w:val="en-GB"/>
        </w:rPr>
        <w:t xml:space="preserve"> and Gati Academy to improve its service spread and delivery quality.</w:t>
      </w:r>
    </w:p>
    <w:p w14:paraId="1EA260D1" w14:textId="77777777" w:rsidR="009130CD" w:rsidRPr="00F35168" w:rsidRDefault="009130CD" w:rsidP="009130CD">
      <w:pPr>
        <w:pStyle w:val="BodyTextMain"/>
        <w:rPr>
          <w:rFonts w:eastAsia="Calibri"/>
          <w:lang w:val="en-GB"/>
        </w:rPr>
      </w:pPr>
    </w:p>
    <w:p w14:paraId="153D63AA" w14:textId="6A2BE383" w:rsidR="009130CD" w:rsidRPr="00F35168" w:rsidRDefault="009130CD" w:rsidP="009130CD">
      <w:pPr>
        <w:pStyle w:val="Casehead1"/>
        <w:keepNext/>
        <w:rPr>
          <w:rFonts w:eastAsia="Calibri"/>
          <w:szCs w:val="22"/>
          <w:lang w:val="en-GB"/>
        </w:rPr>
      </w:pPr>
      <w:r w:rsidRPr="00F35168">
        <w:rPr>
          <w:rFonts w:eastAsia="Calibri"/>
          <w:szCs w:val="22"/>
          <w:lang w:val="en-GB"/>
        </w:rPr>
        <w:lastRenderedPageBreak/>
        <w:t>PREMIUM EXPRESS DELIVERY OPERATIONS</w:t>
      </w:r>
    </w:p>
    <w:p w14:paraId="6F25347E" w14:textId="77777777" w:rsidR="009130CD" w:rsidRPr="00F35168" w:rsidRDefault="009130CD" w:rsidP="009130CD">
      <w:pPr>
        <w:pStyle w:val="BodyTextMain"/>
        <w:keepNext/>
        <w:rPr>
          <w:rFonts w:eastAsia="Calibri"/>
          <w:lang w:val="en-GB"/>
        </w:rPr>
      </w:pPr>
    </w:p>
    <w:p w14:paraId="015BA769" w14:textId="64151376" w:rsidR="009130CD" w:rsidRPr="00F35168" w:rsidRDefault="00013114" w:rsidP="009130CD">
      <w:pPr>
        <w:pStyle w:val="BodyTextMain"/>
        <w:keepNext/>
        <w:rPr>
          <w:rFonts w:eastAsia="Calibri"/>
          <w:lang w:val="en-GB"/>
        </w:rPr>
      </w:pPr>
      <w:r w:rsidRPr="00F35168">
        <w:rPr>
          <w:rFonts w:eastAsia="Calibri"/>
          <w:lang w:val="en-GB"/>
        </w:rPr>
        <w:t>On short notice, t</w:t>
      </w:r>
      <w:r w:rsidR="009130CD" w:rsidRPr="00F35168">
        <w:rPr>
          <w:rFonts w:eastAsia="Calibri"/>
          <w:lang w:val="en-GB"/>
        </w:rPr>
        <w:t xml:space="preserve">he pilot version of the </w:t>
      </w:r>
      <w:r w:rsidRPr="00F35168">
        <w:rPr>
          <w:rFonts w:eastAsia="Calibri"/>
          <w:lang w:val="en-GB"/>
        </w:rPr>
        <w:t>p</w:t>
      </w:r>
      <w:r w:rsidR="009130CD" w:rsidRPr="00F35168">
        <w:rPr>
          <w:rFonts w:eastAsia="Calibri"/>
          <w:lang w:val="en-GB"/>
        </w:rPr>
        <w:t xml:space="preserve">remium </w:t>
      </w:r>
      <w:r w:rsidRPr="00F35168">
        <w:rPr>
          <w:rFonts w:eastAsia="Calibri"/>
          <w:lang w:val="en-GB"/>
        </w:rPr>
        <w:t>e</w:t>
      </w:r>
      <w:r w:rsidR="009130CD" w:rsidRPr="00F35168">
        <w:rPr>
          <w:rFonts w:eastAsia="Calibri"/>
          <w:lang w:val="en-GB"/>
        </w:rPr>
        <w:t>xpress scheme was launched on February 5, 2017. The company had plans to take it to the national level if the pilot was successful</w:t>
      </w:r>
      <w:r w:rsidRPr="00F35168">
        <w:rPr>
          <w:rFonts w:eastAsia="Calibri"/>
          <w:lang w:val="en-GB"/>
        </w:rPr>
        <w:t xml:space="preserve"> and </w:t>
      </w:r>
      <w:r w:rsidR="009130CD" w:rsidRPr="00F35168">
        <w:rPr>
          <w:rFonts w:eastAsia="Calibri"/>
          <w:lang w:val="en-GB"/>
        </w:rPr>
        <w:t>had also made a small</w:t>
      </w:r>
      <w:r w:rsidR="006107F7">
        <w:rPr>
          <w:rFonts w:eastAsia="Calibri"/>
          <w:lang w:val="en-GB"/>
        </w:rPr>
        <w:t xml:space="preserve"> </w:t>
      </w:r>
      <w:r w:rsidR="009130CD" w:rsidRPr="00F35168">
        <w:rPr>
          <w:rFonts w:eastAsia="Calibri"/>
          <w:lang w:val="en-GB"/>
        </w:rPr>
        <w:t>investment to upgrade its existing infrastructure to give shape to this scheme. However, it did not recruit new employees to improve the quality of service. To benefit from</w:t>
      </w:r>
      <w:r w:rsidRPr="00F35168">
        <w:rPr>
          <w:rFonts w:eastAsia="Calibri"/>
          <w:lang w:val="en-GB"/>
        </w:rPr>
        <w:t xml:space="preserve"> p</w:t>
      </w:r>
      <w:r w:rsidR="009130CD" w:rsidRPr="00F35168">
        <w:rPr>
          <w:rFonts w:eastAsia="Calibri"/>
          <w:lang w:val="en-GB"/>
        </w:rPr>
        <w:t xml:space="preserve">remium </w:t>
      </w:r>
      <w:r w:rsidRPr="00F35168">
        <w:rPr>
          <w:rFonts w:eastAsia="Calibri"/>
          <w:lang w:val="en-GB"/>
        </w:rPr>
        <w:t>e</w:t>
      </w:r>
      <w:r w:rsidR="009130CD" w:rsidRPr="00F35168">
        <w:rPr>
          <w:rFonts w:eastAsia="Calibri"/>
          <w:lang w:val="en-GB"/>
        </w:rPr>
        <w:t>xpress</w:t>
      </w:r>
      <w:r w:rsidRPr="00F35168">
        <w:rPr>
          <w:rFonts w:eastAsia="Calibri"/>
          <w:lang w:val="en-GB"/>
        </w:rPr>
        <w:t>,</w:t>
      </w:r>
      <w:r w:rsidR="009130CD" w:rsidRPr="00F35168">
        <w:rPr>
          <w:rFonts w:eastAsia="Calibri"/>
          <w:lang w:val="en-GB"/>
        </w:rPr>
        <w:t xml:space="preserve"> the customer had to</w:t>
      </w:r>
      <w:r w:rsidRPr="00F35168">
        <w:rPr>
          <w:rFonts w:eastAsia="Calibri"/>
          <w:lang w:val="en-GB"/>
        </w:rPr>
        <w:t xml:space="preserve"> either</w:t>
      </w:r>
      <w:r w:rsidR="009130CD" w:rsidRPr="00F35168">
        <w:rPr>
          <w:rFonts w:eastAsia="Calibri"/>
          <w:lang w:val="en-GB"/>
        </w:rPr>
        <w:t xml:space="preserve"> call or e-mail </w:t>
      </w:r>
      <w:proofErr w:type="spellStart"/>
      <w:r w:rsidR="009130CD" w:rsidRPr="00F35168">
        <w:rPr>
          <w:rFonts w:eastAsia="Calibri"/>
          <w:lang w:val="en-GB"/>
        </w:rPr>
        <w:t>Gati</w:t>
      </w:r>
      <w:proofErr w:type="spellEnd"/>
      <w:r w:rsidR="009130CD" w:rsidRPr="00F35168">
        <w:rPr>
          <w:rFonts w:eastAsia="Calibri"/>
          <w:lang w:val="en-GB"/>
        </w:rPr>
        <w:t xml:space="preserve"> and </w:t>
      </w:r>
      <w:r w:rsidR="006107F7">
        <w:rPr>
          <w:rFonts w:eastAsia="Calibri"/>
          <w:lang w:val="en-GB"/>
        </w:rPr>
        <w:t xml:space="preserve">make </w:t>
      </w:r>
      <w:r w:rsidR="009130CD" w:rsidRPr="00F35168">
        <w:rPr>
          <w:rFonts w:eastAsia="Calibri"/>
          <w:lang w:val="en-GB"/>
        </w:rPr>
        <w:t xml:space="preserve">a request stating the delivery location, weight and type of goods, </w:t>
      </w:r>
      <w:r w:rsidR="00DB711E" w:rsidRPr="00F35168">
        <w:rPr>
          <w:rFonts w:eastAsia="Calibri"/>
          <w:lang w:val="en-GB"/>
        </w:rPr>
        <w:t xml:space="preserve">need for </w:t>
      </w:r>
      <w:r w:rsidR="009130CD" w:rsidRPr="00F35168">
        <w:rPr>
          <w:rFonts w:eastAsia="Calibri"/>
          <w:lang w:val="en-GB"/>
        </w:rPr>
        <w:t>packaging help</w:t>
      </w:r>
      <w:r w:rsidR="00DB711E" w:rsidRPr="00F35168">
        <w:rPr>
          <w:rFonts w:eastAsia="Calibri"/>
          <w:lang w:val="en-GB"/>
        </w:rPr>
        <w:t xml:space="preserve"> or not,</w:t>
      </w:r>
      <w:r w:rsidR="009130CD" w:rsidRPr="00F35168">
        <w:rPr>
          <w:rFonts w:eastAsia="Calibri"/>
          <w:lang w:val="en-GB"/>
        </w:rPr>
        <w:t xml:space="preserve"> and contact details. </w:t>
      </w:r>
      <w:r w:rsidR="006107F7">
        <w:rPr>
          <w:rFonts w:eastAsia="Calibri"/>
          <w:lang w:val="en-GB"/>
        </w:rPr>
        <w:t>Under the express scheme</w:t>
      </w:r>
      <w:r w:rsidR="009130CD" w:rsidRPr="00F35168">
        <w:rPr>
          <w:rFonts w:eastAsia="Calibri"/>
          <w:lang w:val="en-GB"/>
        </w:rPr>
        <w:t>, the call was always received by a manager who immediately registered</w:t>
      </w:r>
      <w:r w:rsidR="00EC4448" w:rsidRPr="00F35168">
        <w:rPr>
          <w:rFonts w:eastAsia="Calibri"/>
          <w:lang w:val="en-GB"/>
        </w:rPr>
        <w:t xml:space="preserve"> a</w:t>
      </w:r>
      <w:r w:rsidR="009130CD" w:rsidRPr="00F35168">
        <w:rPr>
          <w:rFonts w:eastAsia="Calibri"/>
          <w:lang w:val="en-GB"/>
        </w:rPr>
        <w:t xml:space="preserve"> request ID and a</w:t>
      </w:r>
      <w:r w:rsidR="00EC4448" w:rsidRPr="00F35168">
        <w:rPr>
          <w:rFonts w:eastAsia="Calibri"/>
          <w:lang w:val="en-GB"/>
        </w:rPr>
        <w:t xml:space="preserve">ssigned </w:t>
      </w:r>
      <w:r w:rsidR="009130CD" w:rsidRPr="00F35168">
        <w:rPr>
          <w:rFonts w:eastAsia="Calibri"/>
          <w:lang w:val="en-GB"/>
        </w:rPr>
        <w:t xml:space="preserve">a </w:t>
      </w:r>
      <w:r w:rsidR="00EC4448" w:rsidRPr="00F35168">
        <w:rPr>
          <w:rFonts w:eastAsia="Calibri"/>
          <w:lang w:val="en-GB"/>
        </w:rPr>
        <w:t>b</w:t>
      </w:r>
      <w:r w:rsidR="009130CD" w:rsidRPr="00F35168">
        <w:rPr>
          <w:rFonts w:eastAsia="Calibri"/>
          <w:lang w:val="en-GB"/>
        </w:rPr>
        <w:t xml:space="preserve">ooking </w:t>
      </w:r>
      <w:r w:rsidR="00EC4448" w:rsidRPr="00F35168">
        <w:rPr>
          <w:rFonts w:eastAsia="Calibri"/>
          <w:lang w:val="en-GB"/>
        </w:rPr>
        <w:t>a</w:t>
      </w:r>
      <w:r w:rsidR="009130CD" w:rsidRPr="00F35168">
        <w:rPr>
          <w:rFonts w:eastAsia="Calibri"/>
          <w:lang w:val="en-GB"/>
        </w:rPr>
        <w:t xml:space="preserve">ssociate to the pickup point. Once </w:t>
      </w:r>
      <w:r w:rsidR="00EC4448" w:rsidRPr="00F35168">
        <w:rPr>
          <w:rFonts w:eastAsia="Calibri"/>
          <w:lang w:val="en-GB"/>
        </w:rPr>
        <w:t xml:space="preserve">at </w:t>
      </w:r>
      <w:r w:rsidR="009130CD" w:rsidRPr="00F35168">
        <w:rPr>
          <w:rFonts w:eastAsia="Calibri"/>
          <w:lang w:val="en-GB"/>
        </w:rPr>
        <w:t>the customer</w:t>
      </w:r>
      <w:r w:rsidR="00EC4448" w:rsidRPr="00F35168">
        <w:rPr>
          <w:rFonts w:eastAsia="Calibri"/>
          <w:lang w:val="en-GB"/>
        </w:rPr>
        <w:t>’s</w:t>
      </w:r>
      <w:r w:rsidR="009130CD" w:rsidRPr="00F35168">
        <w:rPr>
          <w:rFonts w:eastAsia="Calibri"/>
          <w:lang w:val="en-GB"/>
        </w:rPr>
        <w:t xml:space="preserve"> location, </w:t>
      </w:r>
      <w:r w:rsidR="00EC4448" w:rsidRPr="00F35168">
        <w:rPr>
          <w:rFonts w:eastAsia="Calibri"/>
          <w:lang w:val="en-GB"/>
        </w:rPr>
        <w:t>the booking associate</w:t>
      </w:r>
      <w:r w:rsidR="009130CD" w:rsidRPr="00F35168">
        <w:rPr>
          <w:rFonts w:eastAsia="Calibri"/>
          <w:lang w:val="en-GB"/>
        </w:rPr>
        <w:t xml:space="preserve"> received the goods, checked the details</w:t>
      </w:r>
      <w:r w:rsidR="00EC4448" w:rsidRPr="00F35168">
        <w:rPr>
          <w:rFonts w:eastAsia="Calibri"/>
          <w:lang w:val="en-GB"/>
        </w:rPr>
        <w:t>,</w:t>
      </w:r>
      <w:r w:rsidR="009130CD" w:rsidRPr="00F35168">
        <w:rPr>
          <w:rFonts w:eastAsia="Calibri"/>
          <w:lang w:val="en-GB"/>
        </w:rPr>
        <w:t xml:space="preserve"> and completed </w:t>
      </w:r>
      <w:r w:rsidR="00EC4448" w:rsidRPr="00F35168">
        <w:rPr>
          <w:rFonts w:eastAsia="Calibri"/>
          <w:lang w:val="en-GB"/>
        </w:rPr>
        <w:t xml:space="preserve">a </w:t>
      </w:r>
      <w:r w:rsidR="009130CD" w:rsidRPr="00F35168">
        <w:rPr>
          <w:rFonts w:eastAsia="Calibri"/>
          <w:lang w:val="en-GB"/>
        </w:rPr>
        <w:t xml:space="preserve">docket against the request ID. Packing was done by </w:t>
      </w:r>
      <w:r w:rsidR="00EC4448" w:rsidRPr="00F35168">
        <w:rPr>
          <w:rFonts w:eastAsia="Calibri"/>
          <w:lang w:val="en-GB"/>
        </w:rPr>
        <w:t xml:space="preserve">either </w:t>
      </w:r>
      <w:r w:rsidR="009130CD" w:rsidRPr="00F35168">
        <w:rPr>
          <w:rFonts w:eastAsia="Calibri"/>
          <w:lang w:val="en-GB"/>
        </w:rPr>
        <w:t xml:space="preserve">the customer or the </w:t>
      </w:r>
      <w:r w:rsidR="00EC4448" w:rsidRPr="00F35168">
        <w:rPr>
          <w:rFonts w:eastAsia="Calibri"/>
          <w:lang w:val="en-GB"/>
        </w:rPr>
        <w:t>b</w:t>
      </w:r>
      <w:r w:rsidR="009130CD" w:rsidRPr="00F35168">
        <w:rPr>
          <w:rFonts w:eastAsia="Calibri"/>
          <w:lang w:val="en-GB"/>
        </w:rPr>
        <w:t xml:space="preserve">ooking </w:t>
      </w:r>
      <w:r w:rsidR="00EC4448" w:rsidRPr="00F35168">
        <w:rPr>
          <w:rFonts w:eastAsia="Calibri"/>
          <w:lang w:val="en-GB"/>
        </w:rPr>
        <w:t>a</w:t>
      </w:r>
      <w:r w:rsidR="009130CD" w:rsidRPr="00F35168">
        <w:rPr>
          <w:rFonts w:eastAsia="Calibri"/>
          <w:lang w:val="en-GB"/>
        </w:rPr>
        <w:t>ssociate a</w:t>
      </w:r>
      <w:r w:rsidR="00EC4448" w:rsidRPr="00F35168">
        <w:rPr>
          <w:rFonts w:eastAsia="Calibri"/>
          <w:lang w:val="en-GB"/>
        </w:rPr>
        <w:t xml:space="preserve">ccording to the </w:t>
      </w:r>
      <w:r w:rsidR="009130CD" w:rsidRPr="00F35168">
        <w:rPr>
          <w:rFonts w:eastAsia="Calibri"/>
          <w:lang w:val="en-GB"/>
        </w:rPr>
        <w:t xml:space="preserve">premium </w:t>
      </w:r>
      <w:r w:rsidR="00EC4448" w:rsidRPr="00F35168">
        <w:rPr>
          <w:rFonts w:eastAsia="Calibri"/>
          <w:lang w:val="en-GB"/>
        </w:rPr>
        <w:t xml:space="preserve">details </w:t>
      </w:r>
      <w:r w:rsidR="009130CD" w:rsidRPr="00F35168">
        <w:rPr>
          <w:rFonts w:eastAsia="Calibri"/>
          <w:lang w:val="en-GB"/>
        </w:rPr>
        <w:t xml:space="preserve">reported at the time of raising the request. This process was different from the general scheme where the customer could make the decision after the </w:t>
      </w:r>
      <w:r w:rsidR="00EC4448" w:rsidRPr="00F35168">
        <w:rPr>
          <w:rFonts w:eastAsia="Calibri"/>
          <w:lang w:val="en-GB"/>
        </w:rPr>
        <w:t>b</w:t>
      </w:r>
      <w:r w:rsidR="009130CD" w:rsidRPr="00F35168">
        <w:rPr>
          <w:rFonts w:eastAsia="Calibri"/>
          <w:lang w:val="en-GB"/>
        </w:rPr>
        <w:t xml:space="preserve">ooking </w:t>
      </w:r>
      <w:r w:rsidR="00EC4448" w:rsidRPr="00F35168">
        <w:rPr>
          <w:rFonts w:eastAsia="Calibri"/>
          <w:lang w:val="en-GB"/>
        </w:rPr>
        <w:t>a</w:t>
      </w:r>
      <w:r w:rsidR="009130CD" w:rsidRPr="00F35168">
        <w:rPr>
          <w:rFonts w:eastAsia="Calibri"/>
          <w:lang w:val="en-GB"/>
        </w:rPr>
        <w:t xml:space="preserve">ssociate arrived. The </w:t>
      </w:r>
      <w:r w:rsidR="00EC4448" w:rsidRPr="00F35168">
        <w:rPr>
          <w:rFonts w:eastAsia="Calibri"/>
          <w:lang w:val="en-GB"/>
        </w:rPr>
        <w:t>b</w:t>
      </w:r>
      <w:r w:rsidR="009130CD" w:rsidRPr="00F35168">
        <w:rPr>
          <w:rFonts w:eastAsia="Calibri"/>
          <w:lang w:val="en-GB"/>
        </w:rPr>
        <w:t xml:space="preserve">ooking </w:t>
      </w:r>
      <w:r w:rsidR="00EC4448" w:rsidRPr="00F35168">
        <w:rPr>
          <w:rFonts w:eastAsia="Calibri"/>
          <w:lang w:val="en-GB"/>
        </w:rPr>
        <w:t>a</w:t>
      </w:r>
      <w:r w:rsidR="009130CD" w:rsidRPr="00F35168">
        <w:rPr>
          <w:rFonts w:eastAsia="Calibri"/>
          <w:lang w:val="en-GB"/>
        </w:rPr>
        <w:t>ssociate received the payment from the customers through credit</w:t>
      </w:r>
      <w:r w:rsidR="00EC4448" w:rsidRPr="00F35168">
        <w:rPr>
          <w:rFonts w:eastAsia="Calibri"/>
          <w:lang w:val="en-GB"/>
        </w:rPr>
        <w:t xml:space="preserve"> or </w:t>
      </w:r>
      <w:r w:rsidR="009130CD" w:rsidRPr="00F35168">
        <w:rPr>
          <w:rFonts w:eastAsia="Calibri"/>
          <w:lang w:val="en-GB"/>
        </w:rPr>
        <w:t>debit cards or in cash</w:t>
      </w:r>
      <w:r w:rsidR="00EC4448" w:rsidRPr="00F35168">
        <w:rPr>
          <w:rFonts w:eastAsia="Calibri"/>
          <w:lang w:val="en-GB"/>
        </w:rPr>
        <w:t>,</w:t>
      </w:r>
      <w:r w:rsidR="009130CD" w:rsidRPr="00F35168">
        <w:rPr>
          <w:rFonts w:eastAsia="Calibri"/>
          <w:lang w:val="en-GB"/>
        </w:rPr>
        <w:t xml:space="preserve"> and issued a receipt against the docket. The </w:t>
      </w:r>
      <w:r w:rsidR="00EC4448" w:rsidRPr="00F35168">
        <w:rPr>
          <w:rFonts w:eastAsia="Calibri"/>
          <w:lang w:val="en-GB"/>
        </w:rPr>
        <w:t>b</w:t>
      </w:r>
      <w:r w:rsidR="009130CD" w:rsidRPr="00F35168">
        <w:rPr>
          <w:rFonts w:eastAsia="Calibri"/>
          <w:lang w:val="en-GB"/>
        </w:rPr>
        <w:t xml:space="preserve">ooking </w:t>
      </w:r>
      <w:r w:rsidR="00EC4448" w:rsidRPr="00F35168">
        <w:rPr>
          <w:rFonts w:eastAsia="Calibri"/>
          <w:lang w:val="en-GB"/>
        </w:rPr>
        <w:t>a</w:t>
      </w:r>
      <w:r w:rsidR="009130CD" w:rsidRPr="00F35168">
        <w:rPr>
          <w:rFonts w:eastAsia="Calibri"/>
          <w:lang w:val="en-GB"/>
        </w:rPr>
        <w:t>ssociate then carried the shipment to the nearest hub for dispatch. The company had invested</w:t>
      </w:r>
      <w:r w:rsidR="006107F7">
        <w:rPr>
          <w:rFonts w:eastAsia="Calibri"/>
          <w:lang w:val="en-GB"/>
        </w:rPr>
        <w:t xml:space="preserve"> in</w:t>
      </w:r>
      <w:r w:rsidR="009130CD" w:rsidRPr="00F35168">
        <w:rPr>
          <w:rFonts w:eastAsia="Calibri"/>
          <w:lang w:val="en-GB"/>
        </w:rPr>
        <w:t xml:space="preserve"> a smart algorithm-based decision support system to guide the </w:t>
      </w:r>
      <w:r w:rsidR="00EC4448" w:rsidRPr="00F35168">
        <w:rPr>
          <w:rFonts w:eastAsia="Calibri"/>
          <w:lang w:val="en-GB"/>
        </w:rPr>
        <w:t>b</w:t>
      </w:r>
      <w:r w:rsidR="009130CD" w:rsidRPr="00F35168">
        <w:rPr>
          <w:rFonts w:eastAsia="Calibri"/>
          <w:lang w:val="en-GB"/>
        </w:rPr>
        <w:t xml:space="preserve">ooking </w:t>
      </w:r>
      <w:r w:rsidR="00EC4448" w:rsidRPr="00F35168">
        <w:rPr>
          <w:rFonts w:eastAsia="Calibri"/>
          <w:lang w:val="en-GB"/>
        </w:rPr>
        <w:t>a</w:t>
      </w:r>
      <w:r w:rsidR="009130CD" w:rsidRPr="00F35168">
        <w:rPr>
          <w:rFonts w:eastAsia="Calibri"/>
          <w:lang w:val="en-GB"/>
        </w:rPr>
        <w:t xml:space="preserve">ssociate toward the nearest hub based on multiple criteria, such as proximity to the pickup point, available capacity </w:t>
      </w:r>
      <w:r w:rsidR="001D1845" w:rsidRPr="00F35168">
        <w:rPr>
          <w:rFonts w:eastAsia="Calibri"/>
          <w:lang w:val="en-GB"/>
        </w:rPr>
        <w:t xml:space="preserve">in </w:t>
      </w:r>
      <w:r w:rsidR="009130CD" w:rsidRPr="00F35168">
        <w:rPr>
          <w:rFonts w:eastAsia="Calibri"/>
          <w:lang w:val="en-GB"/>
        </w:rPr>
        <w:t xml:space="preserve">vehicles </w:t>
      </w:r>
      <w:proofErr w:type="spellStart"/>
      <w:r w:rsidR="001E7823" w:rsidRPr="00F35168">
        <w:rPr>
          <w:rFonts w:eastAsia="Calibri"/>
          <w:lang w:val="en-GB"/>
        </w:rPr>
        <w:t>e</w:t>
      </w:r>
      <w:r w:rsidR="001D1845" w:rsidRPr="00F35168">
        <w:rPr>
          <w:rFonts w:eastAsia="Calibri"/>
          <w:lang w:val="en-GB"/>
        </w:rPr>
        <w:t>n</w:t>
      </w:r>
      <w:proofErr w:type="spellEnd"/>
      <w:r w:rsidR="001D1845" w:rsidRPr="00F35168">
        <w:rPr>
          <w:rFonts w:eastAsia="Calibri"/>
          <w:lang w:val="en-GB"/>
        </w:rPr>
        <w:t xml:space="preserve"> </w:t>
      </w:r>
      <w:r w:rsidR="009130CD" w:rsidRPr="00F35168">
        <w:rPr>
          <w:rFonts w:eastAsia="Calibri"/>
          <w:lang w:val="en-GB"/>
        </w:rPr>
        <w:t>route to</w:t>
      </w:r>
      <w:r w:rsidR="001D1845" w:rsidRPr="00F35168">
        <w:rPr>
          <w:rFonts w:eastAsia="Calibri"/>
          <w:lang w:val="en-GB"/>
        </w:rPr>
        <w:t xml:space="preserve"> </w:t>
      </w:r>
      <w:r w:rsidR="009130CD" w:rsidRPr="00F35168">
        <w:rPr>
          <w:rFonts w:eastAsia="Calibri"/>
          <w:lang w:val="en-GB"/>
        </w:rPr>
        <w:t xml:space="preserve">the destination, and </w:t>
      </w:r>
      <w:r w:rsidR="001D1845" w:rsidRPr="00F35168">
        <w:rPr>
          <w:rFonts w:eastAsia="Calibri"/>
          <w:lang w:val="en-GB"/>
        </w:rPr>
        <w:t xml:space="preserve">the </w:t>
      </w:r>
      <w:r w:rsidR="009130CD" w:rsidRPr="00F35168">
        <w:rPr>
          <w:rFonts w:eastAsia="Calibri"/>
          <w:lang w:val="en-GB"/>
        </w:rPr>
        <w:t>schedule of vehicles going toward the destination</w:t>
      </w:r>
      <w:r w:rsidR="001D1845" w:rsidRPr="00F35168">
        <w:rPr>
          <w:rFonts w:eastAsia="Calibri"/>
          <w:lang w:val="en-GB"/>
        </w:rPr>
        <w:t>.</w:t>
      </w:r>
    </w:p>
    <w:p w14:paraId="34320E55" w14:textId="77777777" w:rsidR="009130CD" w:rsidRPr="00F35168" w:rsidRDefault="009130CD" w:rsidP="009130CD">
      <w:pPr>
        <w:pStyle w:val="BodyTextMain"/>
        <w:rPr>
          <w:rFonts w:eastAsia="Calibri"/>
          <w:lang w:val="en-GB"/>
        </w:rPr>
      </w:pPr>
    </w:p>
    <w:p w14:paraId="7F5CACA4" w14:textId="0A7475DD" w:rsidR="009130CD" w:rsidRPr="00F35168" w:rsidRDefault="009130CD" w:rsidP="009130CD">
      <w:pPr>
        <w:pStyle w:val="BodyTextMain"/>
        <w:rPr>
          <w:rFonts w:eastAsia="Calibri"/>
          <w:lang w:val="en-GB"/>
        </w:rPr>
      </w:pPr>
      <w:r w:rsidRPr="00F35168">
        <w:rPr>
          <w:rFonts w:eastAsia="Calibri"/>
          <w:lang w:val="en-GB"/>
        </w:rPr>
        <w:t xml:space="preserve">Once the dispatch hub received the shipment, the shipment details were entered into the system and an alert with a unique alert </w:t>
      </w:r>
      <w:r w:rsidR="00610B70" w:rsidRPr="00F35168">
        <w:rPr>
          <w:rFonts w:eastAsia="Calibri"/>
          <w:lang w:val="en-GB"/>
        </w:rPr>
        <w:t>ID</w:t>
      </w:r>
      <w:r w:rsidRPr="00F35168">
        <w:rPr>
          <w:rFonts w:eastAsia="Calibri"/>
          <w:lang w:val="en-GB"/>
        </w:rPr>
        <w:t xml:space="preserve"> was generated. The</w:t>
      </w:r>
      <w:r w:rsidR="00610B70" w:rsidRPr="00F35168">
        <w:rPr>
          <w:rFonts w:eastAsia="Calibri"/>
          <w:lang w:val="en-GB"/>
        </w:rPr>
        <w:t xml:space="preserve">n the </w:t>
      </w:r>
      <w:r w:rsidRPr="00F35168">
        <w:rPr>
          <w:rFonts w:eastAsia="Calibri"/>
          <w:lang w:val="en-GB"/>
        </w:rPr>
        <w:t>shipment was sent over</w:t>
      </w:r>
      <w:r w:rsidR="00996A2B" w:rsidRPr="00F35168">
        <w:rPr>
          <w:rFonts w:eastAsia="Calibri"/>
          <w:lang w:val="en-GB"/>
        </w:rPr>
        <w:t>land</w:t>
      </w:r>
      <w:r w:rsidR="00610B70" w:rsidRPr="00F35168">
        <w:rPr>
          <w:rFonts w:eastAsia="Calibri"/>
          <w:lang w:val="en-GB"/>
        </w:rPr>
        <w:t xml:space="preserve"> o</w:t>
      </w:r>
      <w:r w:rsidRPr="00F35168">
        <w:rPr>
          <w:rFonts w:eastAsia="Calibri"/>
          <w:lang w:val="en-GB"/>
        </w:rPr>
        <w:t xml:space="preserve">n the appropriate route or to the cargo department of the closest airport. The shipment was then received at the </w:t>
      </w:r>
      <w:proofErr w:type="spellStart"/>
      <w:r w:rsidRPr="00F35168">
        <w:rPr>
          <w:rFonts w:eastAsia="Calibri"/>
          <w:lang w:val="en-GB"/>
        </w:rPr>
        <w:t>transshipment</w:t>
      </w:r>
      <w:proofErr w:type="spellEnd"/>
      <w:r w:rsidRPr="00F35168">
        <w:rPr>
          <w:rFonts w:eastAsia="Calibri"/>
          <w:lang w:val="en-GB"/>
        </w:rPr>
        <w:t xml:space="preserve"> cent</w:t>
      </w:r>
      <w:r w:rsidR="004F09AC" w:rsidRPr="00F35168">
        <w:rPr>
          <w:rFonts w:eastAsia="Calibri"/>
          <w:lang w:val="en-GB"/>
        </w:rPr>
        <w:t>re</w:t>
      </w:r>
      <w:r w:rsidRPr="00F35168">
        <w:rPr>
          <w:rFonts w:eastAsia="Calibri"/>
          <w:lang w:val="en-GB"/>
        </w:rPr>
        <w:t xml:space="preserve"> nearest the destination. </w:t>
      </w:r>
      <w:r w:rsidR="004F09AC" w:rsidRPr="00F35168">
        <w:rPr>
          <w:rFonts w:eastAsia="Calibri"/>
          <w:lang w:val="en-GB"/>
        </w:rPr>
        <w:t xml:space="preserve">From there, </w:t>
      </w:r>
      <w:r w:rsidRPr="00F35168">
        <w:rPr>
          <w:rFonts w:eastAsia="Calibri"/>
          <w:lang w:val="en-GB"/>
        </w:rPr>
        <w:t>the shipment w</w:t>
      </w:r>
      <w:r w:rsidR="004F09AC" w:rsidRPr="00F35168">
        <w:rPr>
          <w:rFonts w:eastAsia="Calibri"/>
          <w:lang w:val="en-GB"/>
        </w:rPr>
        <w:t>ent</w:t>
      </w:r>
      <w:r w:rsidRPr="00F35168">
        <w:rPr>
          <w:rFonts w:eastAsia="Calibri"/>
          <w:lang w:val="en-GB"/>
        </w:rPr>
        <w:t xml:space="preserve"> to the appropriate hub and</w:t>
      </w:r>
      <w:r w:rsidR="004F09AC" w:rsidRPr="00F35168">
        <w:rPr>
          <w:rFonts w:eastAsia="Calibri"/>
          <w:lang w:val="en-GB"/>
        </w:rPr>
        <w:t xml:space="preserve"> </w:t>
      </w:r>
      <w:r w:rsidRPr="00F35168">
        <w:rPr>
          <w:rFonts w:eastAsia="Calibri"/>
          <w:lang w:val="en-GB"/>
        </w:rPr>
        <w:t xml:space="preserve">was </w:t>
      </w:r>
      <w:r w:rsidR="006107F7">
        <w:rPr>
          <w:rFonts w:eastAsia="Calibri"/>
          <w:lang w:val="en-GB"/>
        </w:rPr>
        <w:t xml:space="preserve">subsequently </w:t>
      </w:r>
      <w:r w:rsidRPr="00F35168">
        <w:rPr>
          <w:rFonts w:eastAsia="Calibri"/>
          <w:lang w:val="en-GB"/>
        </w:rPr>
        <w:t>delivered to the given address using the vehicles of the local vendors</w:t>
      </w:r>
      <w:r w:rsidR="004F09AC" w:rsidRPr="00F35168">
        <w:rPr>
          <w:rFonts w:eastAsia="Calibri"/>
          <w:lang w:val="en-GB"/>
        </w:rPr>
        <w:t>—t</w:t>
      </w:r>
      <w:r w:rsidRPr="00F35168">
        <w:rPr>
          <w:rFonts w:eastAsia="Calibri"/>
          <w:lang w:val="en-GB"/>
        </w:rPr>
        <w:t xml:space="preserve">he company had collaborated with local vendors </w:t>
      </w:r>
      <w:r w:rsidR="004F09AC" w:rsidRPr="00F35168">
        <w:rPr>
          <w:rFonts w:eastAsia="Calibri"/>
          <w:lang w:val="en-GB"/>
        </w:rPr>
        <w:t xml:space="preserve">to </w:t>
      </w:r>
      <w:r w:rsidRPr="00F35168">
        <w:rPr>
          <w:rFonts w:eastAsia="Calibri"/>
          <w:lang w:val="en-GB"/>
        </w:rPr>
        <w:t xml:space="preserve">carry the shipment from the hub to the delivery address. </w:t>
      </w:r>
      <w:r w:rsidR="00A37A9D" w:rsidRPr="00F35168">
        <w:rPr>
          <w:rFonts w:eastAsia="Calibri"/>
          <w:lang w:val="en-GB"/>
        </w:rPr>
        <w:t>M</w:t>
      </w:r>
      <w:r w:rsidRPr="00F35168">
        <w:rPr>
          <w:rFonts w:eastAsia="Calibri"/>
          <w:lang w:val="en-GB"/>
        </w:rPr>
        <w:t>anagement expected sufficient demand under this scheme to outsource the last mile delivery rather than invest in capacity expansion of the existing fleet. Once the shipment was received at the precise delivery address mention</w:t>
      </w:r>
      <w:r w:rsidR="003B1453" w:rsidRPr="00F35168">
        <w:rPr>
          <w:rFonts w:eastAsia="Calibri"/>
          <w:lang w:val="en-GB"/>
        </w:rPr>
        <w:t>ed</w:t>
      </w:r>
      <w:r w:rsidRPr="00F35168">
        <w:rPr>
          <w:rFonts w:eastAsia="Calibri"/>
          <w:lang w:val="en-GB"/>
        </w:rPr>
        <w:t xml:space="preserve"> in the alert, the delivery person issued a proof of delivery (POD) countersigned by the recipient party and submitted it to the </w:t>
      </w:r>
      <w:proofErr w:type="spellStart"/>
      <w:r w:rsidRPr="00F35168">
        <w:rPr>
          <w:rFonts w:eastAsia="Calibri"/>
          <w:lang w:val="en-GB"/>
        </w:rPr>
        <w:t>transshipment</w:t>
      </w:r>
      <w:proofErr w:type="spellEnd"/>
      <w:r w:rsidRPr="00F35168">
        <w:rPr>
          <w:rFonts w:eastAsia="Calibri"/>
          <w:lang w:val="en-GB"/>
        </w:rPr>
        <w:t xml:space="preserve"> </w:t>
      </w:r>
      <w:r w:rsidR="00216960" w:rsidRPr="00F35168">
        <w:rPr>
          <w:rFonts w:eastAsia="Calibri"/>
          <w:lang w:val="en-GB"/>
        </w:rPr>
        <w:t>c</w:t>
      </w:r>
      <w:r w:rsidRPr="00F35168">
        <w:rPr>
          <w:rFonts w:eastAsia="Calibri"/>
          <w:lang w:val="en-GB"/>
        </w:rPr>
        <w:t xml:space="preserve">entre </w:t>
      </w:r>
      <w:r w:rsidR="003B1453" w:rsidRPr="00F35168">
        <w:rPr>
          <w:rFonts w:eastAsia="Calibri"/>
          <w:lang w:val="en-GB"/>
        </w:rPr>
        <w:t xml:space="preserve">via the </w:t>
      </w:r>
      <w:r w:rsidRPr="00F35168">
        <w:rPr>
          <w:rFonts w:eastAsia="Calibri"/>
          <w:lang w:val="en-GB"/>
        </w:rPr>
        <w:t>hub. The staff at the transshipment centre manually entered the details about the date and time of delivery</w:t>
      </w:r>
      <w:r w:rsidR="003B1453" w:rsidRPr="00F35168">
        <w:rPr>
          <w:rFonts w:eastAsia="Calibri"/>
          <w:lang w:val="en-GB"/>
        </w:rPr>
        <w:t xml:space="preserve">, the </w:t>
      </w:r>
      <w:r w:rsidRPr="00F35168">
        <w:rPr>
          <w:rFonts w:eastAsia="Calibri"/>
          <w:lang w:val="en-GB"/>
        </w:rPr>
        <w:t xml:space="preserve">person who received it, </w:t>
      </w:r>
      <w:r w:rsidR="003B1453" w:rsidRPr="00F35168">
        <w:rPr>
          <w:rFonts w:eastAsia="Calibri"/>
          <w:lang w:val="en-GB"/>
        </w:rPr>
        <w:t xml:space="preserve">and similar details to </w:t>
      </w:r>
      <w:r w:rsidR="00A720B3" w:rsidRPr="00F35168">
        <w:rPr>
          <w:rFonts w:eastAsia="Calibri"/>
          <w:lang w:val="en-GB"/>
        </w:rPr>
        <w:t xml:space="preserve">track the shipment </w:t>
      </w:r>
      <w:r w:rsidRPr="00F35168">
        <w:rPr>
          <w:rFonts w:eastAsia="Calibri"/>
          <w:lang w:val="en-GB"/>
        </w:rPr>
        <w:t>in the system. Then, the electronic version of the POD was sent to the corporate office</w:t>
      </w:r>
      <w:r w:rsidR="00A720B3" w:rsidRPr="00F35168">
        <w:rPr>
          <w:rFonts w:eastAsia="Calibri"/>
          <w:lang w:val="en-GB"/>
        </w:rPr>
        <w:t>,</w:t>
      </w:r>
      <w:r w:rsidRPr="00F35168">
        <w:rPr>
          <w:rFonts w:eastAsia="Calibri"/>
          <w:lang w:val="en-GB"/>
        </w:rPr>
        <w:t xml:space="preserve"> and the transaction was closed.</w:t>
      </w:r>
    </w:p>
    <w:p w14:paraId="21580C26" w14:textId="77777777" w:rsidR="009130CD" w:rsidRPr="00F35168" w:rsidRDefault="009130CD" w:rsidP="009130CD">
      <w:pPr>
        <w:pStyle w:val="BodyTextMain"/>
        <w:rPr>
          <w:rFonts w:eastAsia="Calibri"/>
          <w:lang w:val="en-GB"/>
        </w:rPr>
      </w:pPr>
    </w:p>
    <w:p w14:paraId="4797EEE8" w14:textId="1A986190" w:rsidR="005C712E" w:rsidRDefault="009130CD" w:rsidP="009130CD">
      <w:pPr>
        <w:pStyle w:val="BodyTextMain"/>
        <w:rPr>
          <w:rFonts w:eastAsia="Calibri"/>
          <w:lang w:val="en-GB"/>
        </w:rPr>
      </w:pPr>
      <w:r w:rsidRPr="00F35168">
        <w:rPr>
          <w:rFonts w:eastAsia="Calibri"/>
          <w:lang w:val="en-GB"/>
        </w:rPr>
        <w:t>At the launching ceremony, Agarwal, the</w:t>
      </w:r>
      <w:r w:rsidR="00A720B3" w:rsidRPr="00F35168">
        <w:rPr>
          <w:rFonts w:eastAsia="Calibri"/>
          <w:lang w:val="en-GB"/>
        </w:rPr>
        <w:t xml:space="preserve"> CEO</w:t>
      </w:r>
      <w:r w:rsidRPr="00F35168">
        <w:rPr>
          <w:rFonts w:eastAsia="Calibri"/>
          <w:lang w:val="en-GB"/>
        </w:rPr>
        <w:t xml:space="preserve">, had said to the media, </w:t>
      </w:r>
    </w:p>
    <w:p w14:paraId="021C208E" w14:textId="77777777" w:rsidR="005C712E" w:rsidRDefault="005C712E" w:rsidP="009130CD">
      <w:pPr>
        <w:pStyle w:val="BodyTextMain"/>
        <w:rPr>
          <w:rFonts w:eastAsia="Calibri"/>
          <w:lang w:val="en-GB"/>
        </w:rPr>
      </w:pPr>
    </w:p>
    <w:p w14:paraId="49D6D3B6" w14:textId="4A56845C" w:rsidR="009130CD" w:rsidRPr="00F35168" w:rsidRDefault="009130CD" w:rsidP="00F35168">
      <w:pPr>
        <w:pStyle w:val="BodyTextMain"/>
        <w:ind w:left="720"/>
        <w:rPr>
          <w:rFonts w:eastAsia="Calibri"/>
          <w:lang w:val="en-GB"/>
        </w:rPr>
      </w:pPr>
      <w:r w:rsidRPr="00F35168">
        <w:rPr>
          <w:rFonts w:eastAsia="Calibri"/>
          <w:lang w:val="en-GB"/>
        </w:rPr>
        <w:t>We continue our endeavo</w:t>
      </w:r>
      <w:r w:rsidR="00523861" w:rsidRPr="00F35168">
        <w:rPr>
          <w:rFonts w:eastAsia="Calibri"/>
          <w:lang w:val="en-GB"/>
        </w:rPr>
        <w:t>u</w:t>
      </w:r>
      <w:r w:rsidRPr="00F35168">
        <w:rPr>
          <w:rFonts w:eastAsia="Calibri"/>
          <w:lang w:val="en-GB"/>
        </w:rPr>
        <w:t xml:space="preserve">rs to serve the nation with higher quality. The </w:t>
      </w:r>
      <w:r w:rsidR="00523861" w:rsidRPr="00F35168">
        <w:rPr>
          <w:rFonts w:eastAsia="Calibri"/>
          <w:lang w:val="en-GB"/>
        </w:rPr>
        <w:t>p</w:t>
      </w:r>
      <w:r w:rsidRPr="00F35168">
        <w:rPr>
          <w:rFonts w:eastAsia="Calibri"/>
          <w:lang w:val="en-GB"/>
        </w:rPr>
        <w:t xml:space="preserve">remium </w:t>
      </w:r>
      <w:r w:rsidR="00523861" w:rsidRPr="00F35168">
        <w:rPr>
          <w:rFonts w:eastAsia="Calibri"/>
          <w:lang w:val="en-GB"/>
        </w:rPr>
        <w:t>e</w:t>
      </w:r>
      <w:r w:rsidRPr="00F35168">
        <w:rPr>
          <w:rFonts w:eastAsia="Calibri"/>
          <w:lang w:val="en-GB"/>
        </w:rPr>
        <w:t>xpress service will surely contribute towards the economic boom in this part of the country. We have checked our processes and system. The shipments would reach the destination at an average timespan of 33.5 hours post pickup</w:t>
      </w:r>
      <w:r w:rsidR="001F6564">
        <w:rPr>
          <w:rFonts w:eastAsia="Calibri"/>
          <w:lang w:val="en-GB"/>
        </w:rPr>
        <w:t>,</w:t>
      </w:r>
      <w:r w:rsidRPr="00F35168">
        <w:rPr>
          <w:rFonts w:eastAsia="Calibri"/>
          <w:lang w:val="en-GB"/>
        </w:rPr>
        <w:t xml:space="preserve"> </w:t>
      </w:r>
      <w:r w:rsidR="00B315CF" w:rsidRPr="00F35168">
        <w:rPr>
          <w:rFonts w:eastAsia="Calibri"/>
          <w:lang w:val="en-GB"/>
        </w:rPr>
        <w:t>not including</w:t>
      </w:r>
      <w:r w:rsidRPr="00F35168">
        <w:rPr>
          <w:rFonts w:eastAsia="Calibri"/>
          <w:lang w:val="en-GB"/>
        </w:rPr>
        <w:t xml:space="preserve"> the extreme cases.</w:t>
      </w:r>
    </w:p>
    <w:p w14:paraId="5184D903" w14:textId="77777777" w:rsidR="009130CD" w:rsidRPr="00F35168" w:rsidRDefault="009130CD" w:rsidP="009130CD">
      <w:pPr>
        <w:pStyle w:val="BodyTextMain"/>
        <w:rPr>
          <w:rFonts w:eastAsia="Calibri"/>
          <w:lang w:val="en-GB"/>
        </w:rPr>
      </w:pPr>
    </w:p>
    <w:p w14:paraId="70863781" w14:textId="77777777" w:rsidR="009130CD" w:rsidRPr="00F35168" w:rsidRDefault="009130CD" w:rsidP="009130CD">
      <w:pPr>
        <w:pStyle w:val="BodyTextMain"/>
        <w:rPr>
          <w:rFonts w:eastAsia="Calibri"/>
          <w:lang w:val="en-GB"/>
        </w:rPr>
      </w:pPr>
    </w:p>
    <w:p w14:paraId="680C53E3" w14:textId="77777777" w:rsidR="009130CD" w:rsidRPr="00F35168" w:rsidRDefault="009130CD" w:rsidP="009130CD">
      <w:pPr>
        <w:pStyle w:val="Casehead1"/>
        <w:keepNext/>
        <w:rPr>
          <w:rFonts w:eastAsia="Calibri"/>
          <w:szCs w:val="22"/>
          <w:lang w:val="en-GB"/>
        </w:rPr>
      </w:pPr>
      <w:r w:rsidRPr="00F35168">
        <w:rPr>
          <w:rFonts w:eastAsia="Calibri"/>
          <w:szCs w:val="22"/>
          <w:lang w:val="en-GB"/>
        </w:rPr>
        <w:t>CONCERNS FOR GATI</w:t>
      </w:r>
    </w:p>
    <w:p w14:paraId="3BFB0767" w14:textId="77777777" w:rsidR="009130CD" w:rsidRPr="00F35168" w:rsidRDefault="009130CD" w:rsidP="009130CD">
      <w:pPr>
        <w:pStyle w:val="Casehead1"/>
        <w:keepNext/>
        <w:rPr>
          <w:rFonts w:eastAsia="Calibri"/>
          <w:sz w:val="22"/>
          <w:szCs w:val="22"/>
          <w:lang w:val="en-GB"/>
        </w:rPr>
      </w:pPr>
    </w:p>
    <w:p w14:paraId="2857CF63" w14:textId="31CFF22F" w:rsidR="009130CD" w:rsidRPr="00F35168" w:rsidRDefault="006107F7" w:rsidP="009130CD">
      <w:pPr>
        <w:pStyle w:val="BodyTextMain"/>
        <w:keepNext/>
        <w:rPr>
          <w:rFonts w:eastAsia="Calibri"/>
          <w:b/>
          <w:bCs/>
          <w:lang w:val="en-GB"/>
        </w:rPr>
      </w:pPr>
      <w:r>
        <w:rPr>
          <w:rFonts w:eastAsia="Calibri"/>
          <w:lang w:val="en-GB"/>
        </w:rPr>
        <w:t>T</w:t>
      </w:r>
      <w:r w:rsidR="005D403C" w:rsidRPr="00827DE8">
        <w:rPr>
          <w:rFonts w:eastAsia="Calibri"/>
          <w:lang w:val="en-GB"/>
        </w:rPr>
        <w:t>he co</w:t>
      </w:r>
      <w:r w:rsidR="005D403C">
        <w:rPr>
          <w:rFonts w:eastAsia="Calibri"/>
          <w:lang w:val="en-GB"/>
        </w:rPr>
        <w:t>m</w:t>
      </w:r>
      <w:r w:rsidR="00CB298C" w:rsidRPr="00F35168">
        <w:rPr>
          <w:rFonts w:eastAsia="Calibri"/>
          <w:lang w:val="en-GB"/>
        </w:rPr>
        <w:t>pany</w:t>
      </w:r>
      <w:r w:rsidR="009130CD" w:rsidRPr="00F35168">
        <w:rPr>
          <w:rFonts w:eastAsia="Calibri"/>
          <w:lang w:val="en-GB"/>
        </w:rPr>
        <w:t xml:space="preserve"> </w:t>
      </w:r>
      <w:r w:rsidR="00CB298C" w:rsidRPr="00F35168">
        <w:rPr>
          <w:rFonts w:eastAsia="Calibri"/>
          <w:lang w:val="en-GB"/>
        </w:rPr>
        <w:t>aspired to</w:t>
      </w:r>
      <w:r w:rsidR="009130CD" w:rsidRPr="00F35168">
        <w:rPr>
          <w:rFonts w:eastAsia="Calibri"/>
          <w:lang w:val="en-GB"/>
        </w:rPr>
        <w:t xml:space="preserve"> further growth but faced key challenges such as occasional random interventions </w:t>
      </w:r>
      <w:r w:rsidR="00CB298C" w:rsidRPr="00F35168">
        <w:rPr>
          <w:rFonts w:eastAsia="Calibri"/>
          <w:lang w:val="en-GB"/>
        </w:rPr>
        <w:t>like</w:t>
      </w:r>
      <w:r w:rsidR="009130CD" w:rsidRPr="00F35168">
        <w:rPr>
          <w:rFonts w:eastAsia="Calibri"/>
          <w:lang w:val="en-GB"/>
        </w:rPr>
        <w:t xml:space="preserve"> accidents, slow movement of the fleet due to inclement weather, network or system failures, a</w:t>
      </w:r>
      <w:r w:rsidR="00CB298C" w:rsidRPr="00F35168">
        <w:rPr>
          <w:rFonts w:eastAsia="Calibri"/>
          <w:lang w:val="en-GB"/>
        </w:rPr>
        <w:t>nd</w:t>
      </w:r>
      <w:r w:rsidR="009130CD" w:rsidRPr="00F35168">
        <w:rPr>
          <w:rFonts w:eastAsia="Calibri"/>
          <w:lang w:val="en-GB"/>
        </w:rPr>
        <w:t xml:space="preserve"> others. </w:t>
      </w:r>
      <w:r w:rsidR="00CB298C" w:rsidRPr="00F35168">
        <w:rPr>
          <w:rFonts w:eastAsia="Calibri"/>
          <w:lang w:val="en-GB"/>
        </w:rPr>
        <w:t>A</w:t>
      </w:r>
      <w:r w:rsidR="009130CD" w:rsidRPr="00F35168">
        <w:rPr>
          <w:rFonts w:eastAsia="Calibri"/>
          <w:lang w:val="en-GB"/>
        </w:rPr>
        <w:t>lso</w:t>
      </w:r>
      <w:r w:rsidR="00CB298C" w:rsidRPr="00F35168">
        <w:rPr>
          <w:rFonts w:eastAsia="Calibri"/>
          <w:lang w:val="en-GB"/>
        </w:rPr>
        <w:t>,</w:t>
      </w:r>
      <w:r w:rsidR="009130CD" w:rsidRPr="00F35168">
        <w:rPr>
          <w:rFonts w:eastAsia="Calibri"/>
          <w:lang w:val="en-GB"/>
        </w:rPr>
        <w:t xml:space="preserve"> </w:t>
      </w:r>
      <w:r w:rsidR="00CB298C" w:rsidRPr="00F35168">
        <w:rPr>
          <w:rFonts w:eastAsia="Calibri"/>
          <w:lang w:val="en-GB"/>
        </w:rPr>
        <w:t xml:space="preserve">its newly launched high-speed premium logistics services had proven </w:t>
      </w:r>
      <w:r w:rsidR="009130CD" w:rsidRPr="00F35168">
        <w:rPr>
          <w:rFonts w:eastAsia="Calibri"/>
          <w:lang w:val="en-GB"/>
        </w:rPr>
        <w:t>difficult to implement</w:t>
      </w:r>
      <w:r w:rsidR="00CB298C" w:rsidRPr="00F35168">
        <w:rPr>
          <w:rFonts w:eastAsia="Calibri"/>
          <w:lang w:val="en-GB"/>
        </w:rPr>
        <w:t>.</w:t>
      </w:r>
      <w:r w:rsidR="009130CD" w:rsidRPr="00F35168">
        <w:rPr>
          <w:rFonts w:eastAsia="Calibri"/>
          <w:lang w:val="en-GB"/>
        </w:rPr>
        <w:t xml:space="preserve"> </w:t>
      </w:r>
    </w:p>
    <w:p w14:paraId="4BBBE20E" w14:textId="77777777" w:rsidR="009130CD" w:rsidRPr="00F35168" w:rsidRDefault="009130CD" w:rsidP="009130CD">
      <w:pPr>
        <w:pStyle w:val="BodyTextMain"/>
        <w:rPr>
          <w:rFonts w:eastAsia="Calibri"/>
          <w:lang w:val="en-GB"/>
        </w:rPr>
      </w:pPr>
    </w:p>
    <w:p w14:paraId="71BD93B5" w14:textId="77777777" w:rsidR="009130CD" w:rsidRPr="00F35168" w:rsidRDefault="009130CD" w:rsidP="009130CD">
      <w:pPr>
        <w:pStyle w:val="Casehead2"/>
        <w:keepNext/>
        <w:rPr>
          <w:rFonts w:eastAsia="Calibri"/>
          <w:szCs w:val="22"/>
          <w:lang w:val="en-GB"/>
        </w:rPr>
      </w:pPr>
      <w:r w:rsidRPr="00F35168">
        <w:rPr>
          <w:rFonts w:eastAsia="Calibri"/>
          <w:szCs w:val="22"/>
          <w:lang w:val="en-GB"/>
        </w:rPr>
        <w:lastRenderedPageBreak/>
        <w:t>Management Issues</w:t>
      </w:r>
    </w:p>
    <w:p w14:paraId="10D8779A" w14:textId="77777777" w:rsidR="009130CD" w:rsidRPr="00F35168" w:rsidRDefault="009130CD" w:rsidP="009130CD">
      <w:pPr>
        <w:pStyle w:val="BodyTextMain"/>
        <w:keepNext/>
        <w:rPr>
          <w:rFonts w:eastAsia="Calibri"/>
          <w:lang w:val="en-GB"/>
        </w:rPr>
      </w:pPr>
    </w:p>
    <w:p w14:paraId="5B710844" w14:textId="1E2B91D2" w:rsidR="009130CD" w:rsidRPr="00F35168" w:rsidRDefault="009130CD" w:rsidP="009130CD">
      <w:pPr>
        <w:pStyle w:val="BodyTextMain"/>
        <w:keepNext/>
        <w:rPr>
          <w:rFonts w:eastAsia="Calibri"/>
          <w:lang w:val="en-GB"/>
        </w:rPr>
      </w:pPr>
      <w:r w:rsidRPr="00F35168">
        <w:rPr>
          <w:rFonts w:eastAsia="Calibri"/>
          <w:lang w:val="en-GB"/>
        </w:rPr>
        <w:t xml:space="preserve">Pawan Jain, the founder of the company, continued to be its chairman. He was assisted by his family members who followed the traditional principles of doing business. The entire leadership team was guided by orthodox principles in all decision-making activities </w:t>
      </w:r>
      <w:r w:rsidR="00B83FBC" w:rsidRPr="00F35168">
        <w:rPr>
          <w:rFonts w:eastAsia="Calibri"/>
          <w:lang w:val="en-GB"/>
        </w:rPr>
        <w:t xml:space="preserve">and in </w:t>
      </w:r>
      <w:r w:rsidRPr="00F35168">
        <w:rPr>
          <w:rFonts w:eastAsia="Calibri"/>
          <w:lang w:val="en-GB"/>
        </w:rPr>
        <w:t>delegating authorit</w:t>
      </w:r>
      <w:r w:rsidR="00B83FBC" w:rsidRPr="00F35168">
        <w:rPr>
          <w:rFonts w:eastAsia="Calibri"/>
          <w:lang w:val="en-GB"/>
        </w:rPr>
        <w:t>y</w:t>
      </w:r>
      <w:r w:rsidRPr="00F35168">
        <w:rPr>
          <w:rFonts w:eastAsia="Calibri"/>
          <w:lang w:val="en-GB"/>
        </w:rPr>
        <w:t xml:space="preserve"> and responsibilit</w:t>
      </w:r>
      <w:r w:rsidR="00B83FBC" w:rsidRPr="00F35168">
        <w:rPr>
          <w:rFonts w:eastAsia="Calibri"/>
          <w:lang w:val="en-GB"/>
        </w:rPr>
        <w:t>y</w:t>
      </w:r>
      <w:r w:rsidRPr="00F35168">
        <w:rPr>
          <w:rFonts w:eastAsia="Calibri"/>
          <w:lang w:val="en-GB"/>
        </w:rPr>
        <w:t xml:space="preserve">. </w:t>
      </w:r>
      <w:r w:rsidR="00AA02B7">
        <w:rPr>
          <w:rFonts w:eastAsia="Calibri"/>
          <w:lang w:val="en-GB"/>
        </w:rPr>
        <w:t xml:space="preserve">The </w:t>
      </w:r>
      <w:r w:rsidRPr="00F35168">
        <w:rPr>
          <w:rFonts w:eastAsia="Calibri"/>
          <w:lang w:val="en-GB"/>
        </w:rPr>
        <w:t xml:space="preserve">company’s schemes and actions were also micro-managed. The key people in management had predefined incentives and </w:t>
      </w:r>
      <w:r w:rsidR="00B83FBC" w:rsidRPr="00F35168">
        <w:rPr>
          <w:rFonts w:eastAsia="Calibri"/>
          <w:lang w:val="en-GB"/>
        </w:rPr>
        <w:t>most often</w:t>
      </w:r>
      <w:r w:rsidRPr="00F35168">
        <w:rPr>
          <w:rFonts w:eastAsia="Calibri"/>
          <w:lang w:val="en-GB"/>
        </w:rPr>
        <w:t xml:space="preserve"> exhibited a lackadaisical attitude. </w:t>
      </w:r>
      <w:r w:rsidR="00AA02B7">
        <w:rPr>
          <w:rFonts w:eastAsia="Calibri"/>
          <w:lang w:val="en-GB"/>
        </w:rPr>
        <w:t>Despite management’s attitudes,</w:t>
      </w:r>
      <w:r w:rsidR="00B95092" w:rsidRPr="00F35168">
        <w:rPr>
          <w:rFonts w:eastAsia="Calibri"/>
          <w:lang w:val="en-GB"/>
        </w:rPr>
        <w:t xml:space="preserve"> </w:t>
      </w:r>
      <w:r w:rsidRPr="00F35168">
        <w:rPr>
          <w:rFonts w:eastAsia="Calibri"/>
          <w:lang w:val="en-GB"/>
        </w:rPr>
        <w:t xml:space="preserve">the company invested in a </w:t>
      </w:r>
      <w:r w:rsidR="00735552" w:rsidRPr="00F35168">
        <w:rPr>
          <w:rFonts w:eastAsia="Calibri"/>
          <w:lang w:val="en-GB"/>
        </w:rPr>
        <w:t>great deal of advertising and launched the</w:t>
      </w:r>
      <w:r w:rsidR="00AA02B7">
        <w:rPr>
          <w:rFonts w:eastAsia="Calibri"/>
          <w:lang w:val="en-GB"/>
        </w:rPr>
        <w:t xml:space="preserve"> express</w:t>
      </w:r>
      <w:r w:rsidR="00735552" w:rsidRPr="00F35168">
        <w:rPr>
          <w:rFonts w:eastAsia="Calibri"/>
          <w:lang w:val="en-GB"/>
        </w:rPr>
        <w:t xml:space="preserve"> scheme in a short time. Ev</w:t>
      </w:r>
      <w:r w:rsidRPr="00F35168">
        <w:rPr>
          <w:rFonts w:eastAsia="Calibri"/>
          <w:lang w:val="en-GB"/>
        </w:rPr>
        <w:t>entually</w:t>
      </w:r>
      <w:r w:rsidR="00735552" w:rsidRPr="00F35168">
        <w:rPr>
          <w:rFonts w:eastAsia="Calibri"/>
          <w:lang w:val="en-GB"/>
        </w:rPr>
        <w:t xml:space="preserve">, this </w:t>
      </w:r>
      <w:r w:rsidRPr="00F35168">
        <w:rPr>
          <w:rFonts w:eastAsia="Calibri"/>
          <w:lang w:val="en-GB"/>
        </w:rPr>
        <w:t>translated into high demand for the service.</w:t>
      </w:r>
    </w:p>
    <w:p w14:paraId="1A56F0D2" w14:textId="77777777" w:rsidR="009130CD" w:rsidRPr="00F35168" w:rsidRDefault="009130CD" w:rsidP="009130CD">
      <w:pPr>
        <w:pStyle w:val="BodyTextMain"/>
        <w:rPr>
          <w:rFonts w:eastAsia="Calibri"/>
          <w:lang w:val="en-GB"/>
        </w:rPr>
      </w:pPr>
    </w:p>
    <w:p w14:paraId="14617325" w14:textId="77777777" w:rsidR="009130CD" w:rsidRPr="00F35168" w:rsidRDefault="009130CD" w:rsidP="009130CD">
      <w:pPr>
        <w:pStyle w:val="BodyTextMain"/>
        <w:rPr>
          <w:lang w:val="en-GB"/>
        </w:rPr>
      </w:pPr>
    </w:p>
    <w:p w14:paraId="798B1786" w14:textId="77777777" w:rsidR="009130CD" w:rsidRPr="00F35168" w:rsidRDefault="009130CD" w:rsidP="009130CD">
      <w:pPr>
        <w:pStyle w:val="Casehead2"/>
        <w:rPr>
          <w:rFonts w:eastAsia="Calibri"/>
          <w:szCs w:val="22"/>
          <w:lang w:val="en-GB"/>
        </w:rPr>
      </w:pPr>
      <w:r w:rsidRPr="00F35168">
        <w:rPr>
          <w:rFonts w:eastAsia="Calibri"/>
          <w:szCs w:val="22"/>
          <w:lang w:val="en-GB"/>
        </w:rPr>
        <w:t>Operational Bottlenecks</w:t>
      </w:r>
    </w:p>
    <w:p w14:paraId="68125BA6" w14:textId="77777777" w:rsidR="009130CD" w:rsidRPr="00F35168" w:rsidRDefault="009130CD" w:rsidP="009130CD">
      <w:pPr>
        <w:pStyle w:val="BodyTextMain"/>
        <w:rPr>
          <w:rFonts w:eastAsia="Calibri"/>
          <w:lang w:val="en-GB"/>
        </w:rPr>
      </w:pPr>
    </w:p>
    <w:p w14:paraId="2352E5C5" w14:textId="31668C20" w:rsidR="009130CD" w:rsidRPr="00F35168" w:rsidRDefault="009130CD" w:rsidP="009130CD">
      <w:pPr>
        <w:pStyle w:val="BodyTextMain"/>
        <w:rPr>
          <w:rFonts w:eastAsia="Calibri"/>
          <w:lang w:val="en-GB"/>
        </w:rPr>
      </w:pPr>
      <w:r w:rsidRPr="00F35168">
        <w:rPr>
          <w:rFonts w:eastAsia="Calibri"/>
          <w:lang w:val="en-GB"/>
        </w:rPr>
        <w:t xml:space="preserve">Gati also faced a few operational challenges. The trucks </w:t>
      </w:r>
      <w:r w:rsidR="00735552" w:rsidRPr="00F35168">
        <w:rPr>
          <w:rFonts w:eastAsia="Calibri"/>
          <w:lang w:val="en-GB"/>
        </w:rPr>
        <w:t>d</w:t>
      </w:r>
      <w:r w:rsidRPr="00F35168">
        <w:rPr>
          <w:rFonts w:eastAsia="Calibri"/>
          <w:lang w:val="en-GB"/>
        </w:rPr>
        <w:t xml:space="preserve">edicated </w:t>
      </w:r>
      <w:r w:rsidR="00735552" w:rsidRPr="00F35168">
        <w:rPr>
          <w:rFonts w:eastAsia="Calibri"/>
          <w:lang w:val="en-GB"/>
        </w:rPr>
        <w:t>to this</w:t>
      </w:r>
      <w:r w:rsidRPr="00F35168">
        <w:rPr>
          <w:rFonts w:eastAsia="Calibri"/>
          <w:lang w:val="en-GB"/>
        </w:rPr>
        <w:t xml:space="preserve"> special scheme lacked proper maintenance</w:t>
      </w:r>
      <w:r w:rsidR="00735552" w:rsidRPr="00F35168">
        <w:rPr>
          <w:rFonts w:eastAsia="Calibri"/>
          <w:lang w:val="en-GB"/>
        </w:rPr>
        <w:t>, and t</w:t>
      </w:r>
      <w:r w:rsidRPr="00F35168">
        <w:rPr>
          <w:rFonts w:eastAsia="Calibri"/>
          <w:lang w:val="en-GB"/>
        </w:rPr>
        <w:t xml:space="preserve">he company had already outsourced the last mile delivery to local vendors who had smaller scale operations. </w:t>
      </w:r>
      <w:r w:rsidR="00735552" w:rsidRPr="00F35168">
        <w:rPr>
          <w:rFonts w:eastAsia="Calibri"/>
          <w:lang w:val="en-GB"/>
        </w:rPr>
        <w:t xml:space="preserve">Consequently, </w:t>
      </w:r>
      <w:r w:rsidRPr="00F35168">
        <w:rPr>
          <w:rFonts w:eastAsia="Calibri"/>
          <w:lang w:val="en-GB"/>
        </w:rPr>
        <w:t xml:space="preserve">the company’s performance was greatly dependent on the performance of the local vendors. In some cases, these vendors did not operate at an acceptable level due to either vehicle or labour shortage. Furthermore, </w:t>
      </w:r>
      <w:r w:rsidR="009B116E" w:rsidRPr="00F35168">
        <w:rPr>
          <w:rFonts w:eastAsia="Calibri"/>
          <w:lang w:val="en-GB"/>
        </w:rPr>
        <w:t>t</w:t>
      </w:r>
      <w:r w:rsidR="00735552" w:rsidRPr="00F35168">
        <w:rPr>
          <w:rFonts w:eastAsia="Calibri"/>
          <w:lang w:val="en-GB"/>
        </w:rPr>
        <w:t>he new scheme was a premium service which meant higher costs for the customers</w:t>
      </w:r>
      <w:r w:rsidR="009B116E" w:rsidRPr="00F35168">
        <w:rPr>
          <w:rFonts w:eastAsia="Calibri"/>
          <w:lang w:val="en-GB"/>
        </w:rPr>
        <w:t>,</w:t>
      </w:r>
      <w:r w:rsidR="00735552" w:rsidRPr="00F35168">
        <w:rPr>
          <w:rFonts w:eastAsia="Calibri"/>
          <w:lang w:val="en-GB"/>
        </w:rPr>
        <w:t xml:space="preserve"> but no </w:t>
      </w:r>
      <w:r w:rsidRPr="00F35168">
        <w:rPr>
          <w:rFonts w:eastAsia="Calibri"/>
          <w:lang w:val="en-GB"/>
        </w:rPr>
        <w:t xml:space="preserve">standard operating procedure </w:t>
      </w:r>
      <w:r w:rsidR="009B116E" w:rsidRPr="00F35168">
        <w:rPr>
          <w:rFonts w:eastAsia="Calibri"/>
          <w:lang w:val="en-GB"/>
        </w:rPr>
        <w:t xml:space="preserve">was in place </w:t>
      </w:r>
      <w:r w:rsidR="00735552" w:rsidRPr="00F35168">
        <w:rPr>
          <w:rFonts w:eastAsia="Calibri"/>
          <w:lang w:val="en-GB"/>
        </w:rPr>
        <w:t xml:space="preserve">to </w:t>
      </w:r>
      <w:r w:rsidRPr="00F35168">
        <w:rPr>
          <w:rFonts w:eastAsia="Calibri"/>
          <w:lang w:val="en-GB"/>
        </w:rPr>
        <w:t>standardize the process. Another issue was the delay in loading and unloading of shipments, which was being done</w:t>
      </w:r>
      <w:r w:rsidR="009B116E" w:rsidRPr="00F35168">
        <w:rPr>
          <w:rFonts w:eastAsia="Calibri"/>
          <w:lang w:val="en-GB"/>
        </w:rPr>
        <w:t xml:space="preserve"> </w:t>
      </w:r>
      <w:r w:rsidRPr="00F35168">
        <w:rPr>
          <w:rFonts w:eastAsia="Calibri"/>
          <w:lang w:val="en-GB"/>
        </w:rPr>
        <w:t xml:space="preserve">in </w:t>
      </w:r>
      <w:r w:rsidR="009B116E" w:rsidRPr="00F35168">
        <w:rPr>
          <w:rFonts w:eastAsia="Calibri"/>
          <w:lang w:val="en-GB"/>
        </w:rPr>
        <w:t>the same</w:t>
      </w:r>
      <w:r w:rsidRPr="00F35168">
        <w:rPr>
          <w:rFonts w:eastAsia="Calibri"/>
          <w:lang w:val="en-GB"/>
        </w:rPr>
        <w:t xml:space="preserve"> way </w:t>
      </w:r>
      <w:r w:rsidR="009B116E" w:rsidRPr="00F35168">
        <w:rPr>
          <w:rFonts w:eastAsia="Calibri"/>
          <w:lang w:val="en-GB"/>
        </w:rPr>
        <w:t xml:space="preserve">as </w:t>
      </w:r>
      <w:r w:rsidRPr="00F35168">
        <w:rPr>
          <w:rFonts w:eastAsia="Calibri"/>
          <w:lang w:val="en-GB"/>
        </w:rPr>
        <w:t>the general shipments.</w:t>
      </w:r>
    </w:p>
    <w:p w14:paraId="3E4570B6" w14:textId="77777777" w:rsidR="009130CD" w:rsidRPr="00F35168" w:rsidRDefault="009130CD" w:rsidP="009130CD">
      <w:pPr>
        <w:pStyle w:val="BodyTextMain"/>
        <w:rPr>
          <w:rFonts w:eastAsia="Calibri"/>
          <w:lang w:val="en-GB"/>
        </w:rPr>
      </w:pPr>
    </w:p>
    <w:p w14:paraId="0901CE29" w14:textId="77777777" w:rsidR="009130CD" w:rsidRPr="00F35168" w:rsidRDefault="009130CD" w:rsidP="009130CD">
      <w:pPr>
        <w:pStyle w:val="BodyTextMain"/>
        <w:rPr>
          <w:rFonts w:eastAsia="Calibri"/>
          <w:lang w:val="en-GB"/>
        </w:rPr>
      </w:pPr>
    </w:p>
    <w:p w14:paraId="254EBEC8" w14:textId="77777777" w:rsidR="009130CD" w:rsidRPr="00F35168" w:rsidRDefault="009130CD" w:rsidP="009130CD">
      <w:pPr>
        <w:pStyle w:val="Casehead2"/>
        <w:rPr>
          <w:rFonts w:eastAsia="Calibri"/>
          <w:szCs w:val="22"/>
          <w:lang w:val="en-GB"/>
        </w:rPr>
      </w:pPr>
      <w:r w:rsidRPr="00F35168">
        <w:rPr>
          <w:rFonts w:eastAsia="Calibri"/>
          <w:szCs w:val="22"/>
          <w:lang w:val="en-GB"/>
        </w:rPr>
        <w:t>Human Resources</w:t>
      </w:r>
    </w:p>
    <w:p w14:paraId="58F9C7DC" w14:textId="77777777" w:rsidR="009130CD" w:rsidRPr="00F35168" w:rsidRDefault="009130CD" w:rsidP="009130CD">
      <w:pPr>
        <w:pStyle w:val="BodyTextMain"/>
        <w:rPr>
          <w:rFonts w:eastAsia="Calibri"/>
          <w:lang w:val="en-GB"/>
        </w:rPr>
      </w:pPr>
    </w:p>
    <w:p w14:paraId="01752E86" w14:textId="29208652" w:rsidR="009130CD" w:rsidRPr="00F35168" w:rsidRDefault="009130CD" w:rsidP="009130CD">
      <w:pPr>
        <w:pStyle w:val="BodyTextMain"/>
        <w:rPr>
          <w:rFonts w:eastAsia="Calibri"/>
          <w:lang w:val="en-GB"/>
        </w:rPr>
      </w:pPr>
      <w:r w:rsidRPr="00F35168">
        <w:rPr>
          <w:rFonts w:eastAsia="Calibri"/>
          <w:lang w:val="en-GB"/>
        </w:rPr>
        <w:t xml:space="preserve">The staff who had joined recently were deployed for the scheme. They had low motivation because their incentives were not linked directly </w:t>
      </w:r>
      <w:r w:rsidR="009B116E" w:rsidRPr="00F35168">
        <w:rPr>
          <w:rFonts w:eastAsia="Calibri"/>
          <w:lang w:val="en-GB"/>
        </w:rPr>
        <w:t>to</w:t>
      </w:r>
      <w:r w:rsidRPr="00F35168">
        <w:rPr>
          <w:rFonts w:eastAsia="Calibri"/>
          <w:lang w:val="en-GB"/>
        </w:rPr>
        <w:t xml:space="preserve"> the premium service</w:t>
      </w:r>
      <w:r w:rsidR="009B116E" w:rsidRPr="00F35168">
        <w:rPr>
          <w:rFonts w:eastAsia="Calibri"/>
          <w:lang w:val="en-GB"/>
        </w:rPr>
        <w:t>, and because they lacked adequate training, t</w:t>
      </w:r>
      <w:r w:rsidRPr="00F35168">
        <w:rPr>
          <w:rFonts w:eastAsia="Calibri"/>
          <w:lang w:val="en-GB"/>
        </w:rPr>
        <w:t>he</w:t>
      </w:r>
      <w:r w:rsidR="009B116E" w:rsidRPr="00F35168">
        <w:rPr>
          <w:rFonts w:eastAsia="Calibri"/>
          <w:lang w:val="en-GB"/>
        </w:rPr>
        <w:t xml:space="preserve">se employees </w:t>
      </w:r>
      <w:r w:rsidRPr="00F35168">
        <w:rPr>
          <w:rFonts w:eastAsia="Calibri"/>
          <w:lang w:val="en-GB"/>
        </w:rPr>
        <w:t>were less proficient handling the computer systems</w:t>
      </w:r>
      <w:r w:rsidR="009B116E" w:rsidRPr="00F35168">
        <w:rPr>
          <w:rFonts w:eastAsia="Calibri"/>
          <w:lang w:val="en-GB"/>
        </w:rPr>
        <w:t>. Also, t</w:t>
      </w:r>
      <w:r w:rsidRPr="00F35168">
        <w:rPr>
          <w:rFonts w:eastAsia="Calibri"/>
          <w:lang w:val="en-GB"/>
        </w:rPr>
        <w:t xml:space="preserve">hey were less agile and less punctual </w:t>
      </w:r>
      <w:r w:rsidR="009B116E" w:rsidRPr="00F35168">
        <w:rPr>
          <w:rFonts w:eastAsia="Calibri"/>
          <w:lang w:val="en-GB"/>
        </w:rPr>
        <w:t xml:space="preserve">because of </w:t>
      </w:r>
      <w:r w:rsidRPr="00F35168">
        <w:rPr>
          <w:rFonts w:eastAsia="Calibri"/>
          <w:lang w:val="en-GB"/>
        </w:rPr>
        <w:t xml:space="preserve">poor health or </w:t>
      </w:r>
      <w:r w:rsidR="00AA02B7">
        <w:rPr>
          <w:rFonts w:eastAsia="Calibri"/>
          <w:lang w:val="en-GB"/>
        </w:rPr>
        <w:t xml:space="preserve">due to their observance of various cultural </w:t>
      </w:r>
      <w:r w:rsidRPr="00F35168">
        <w:rPr>
          <w:rFonts w:eastAsia="Calibri"/>
          <w:lang w:val="en-GB"/>
        </w:rPr>
        <w:t>festivals.</w:t>
      </w:r>
    </w:p>
    <w:p w14:paraId="078677DD" w14:textId="77777777" w:rsidR="009130CD" w:rsidRPr="00F35168" w:rsidRDefault="009130CD" w:rsidP="009130CD">
      <w:pPr>
        <w:pStyle w:val="BodyTextMain"/>
        <w:rPr>
          <w:rFonts w:eastAsia="Calibri"/>
          <w:lang w:val="en-GB"/>
        </w:rPr>
      </w:pPr>
    </w:p>
    <w:p w14:paraId="4CB12111" w14:textId="77777777" w:rsidR="009130CD" w:rsidRPr="00F35168" w:rsidRDefault="009130CD" w:rsidP="009130CD">
      <w:pPr>
        <w:pStyle w:val="BodyTextMain"/>
        <w:rPr>
          <w:rFonts w:eastAsia="Calibri"/>
          <w:lang w:val="en-GB"/>
        </w:rPr>
      </w:pPr>
    </w:p>
    <w:p w14:paraId="424E6EF7" w14:textId="77777777" w:rsidR="009130CD" w:rsidRPr="00F35168" w:rsidRDefault="009130CD" w:rsidP="009130CD">
      <w:pPr>
        <w:pStyle w:val="Casehead2"/>
        <w:rPr>
          <w:rFonts w:eastAsia="Calibri"/>
          <w:szCs w:val="22"/>
          <w:lang w:val="en-GB"/>
        </w:rPr>
      </w:pPr>
      <w:r w:rsidRPr="00F35168">
        <w:rPr>
          <w:rFonts w:eastAsia="Calibri"/>
          <w:szCs w:val="22"/>
          <w:lang w:val="en-GB"/>
        </w:rPr>
        <w:t>Inefficient Reporting Practices</w:t>
      </w:r>
    </w:p>
    <w:p w14:paraId="5603DD89" w14:textId="77777777" w:rsidR="009130CD" w:rsidRPr="00F35168" w:rsidRDefault="009130CD" w:rsidP="009130CD">
      <w:pPr>
        <w:pStyle w:val="BodyTextMain"/>
        <w:rPr>
          <w:rFonts w:eastAsia="Calibri"/>
          <w:lang w:val="en-GB"/>
        </w:rPr>
      </w:pPr>
    </w:p>
    <w:p w14:paraId="6D56A882" w14:textId="1ED56CC1" w:rsidR="009130CD" w:rsidRPr="00F35168" w:rsidRDefault="00433F68" w:rsidP="009130CD">
      <w:pPr>
        <w:pStyle w:val="BodyTextMain"/>
        <w:rPr>
          <w:rFonts w:eastAsia="Calibri"/>
          <w:lang w:val="en-GB"/>
        </w:rPr>
      </w:pPr>
      <w:r>
        <w:rPr>
          <w:rFonts w:eastAsia="Calibri"/>
          <w:lang w:val="en-GB"/>
        </w:rPr>
        <w:t>Delays in the premium service were due to inefficient reporting practices</w:t>
      </w:r>
      <w:r w:rsidR="009130CD" w:rsidRPr="00F35168">
        <w:rPr>
          <w:rFonts w:eastAsia="Calibri"/>
          <w:lang w:val="en-GB"/>
        </w:rPr>
        <w:t xml:space="preserve">. </w:t>
      </w:r>
      <w:r w:rsidR="001E2387" w:rsidRPr="00F35168">
        <w:rPr>
          <w:rFonts w:eastAsia="Calibri"/>
          <w:lang w:val="en-GB"/>
        </w:rPr>
        <w:t xml:space="preserve">Paperwork </w:t>
      </w:r>
      <w:r w:rsidR="009130CD" w:rsidRPr="00F35168">
        <w:rPr>
          <w:rFonts w:eastAsia="Calibri"/>
          <w:lang w:val="en-GB"/>
        </w:rPr>
        <w:t>was redundant</w:t>
      </w:r>
      <w:r w:rsidR="001E2387" w:rsidRPr="00F35168">
        <w:rPr>
          <w:rFonts w:eastAsia="Calibri"/>
          <w:lang w:val="en-GB"/>
        </w:rPr>
        <w:t>, and t</w:t>
      </w:r>
      <w:r w:rsidR="009130CD" w:rsidRPr="00F35168">
        <w:rPr>
          <w:rFonts w:eastAsia="Calibri"/>
          <w:lang w:val="en-GB"/>
        </w:rPr>
        <w:t xml:space="preserve">he customer or the </w:t>
      </w:r>
      <w:r w:rsidR="001E2387" w:rsidRPr="00F35168">
        <w:rPr>
          <w:rFonts w:eastAsia="Calibri"/>
          <w:lang w:val="en-GB"/>
        </w:rPr>
        <w:t>b</w:t>
      </w:r>
      <w:r w:rsidR="009130CD" w:rsidRPr="00F35168">
        <w:rPr>
          <w:rFonts w:eastAsia="Calibri"/>
          <w:lang w:val="en-GB"/>
        </w:rPr>
        <w:t xml:space="preserve">ooking </w:t>
      </w:r>
      <w:r w:rsidR="001E2387" w:rsidRPr="00F35168">
        <w:rPr>
          <w:rFonts w:eastAsia="Calibri"/>
          <w:lang w:val="en-GB"/>
        </w:rPr>
        <w:t>a</w:t>
      </w:r>
      <w:r w:rsidR="009130CD" w:rsidRPr="00F35168">
        <w:rPr>
          <w:rFonts w:eastAsia="Calibri"/>
          <w:lang w:val="en-GB"/>
        </w:rPr>
        <w:t>ssociate completed the pickup process manually</w:t>
      </w:r>
      <w:r w:rsidR="0011336E">
        <w:rPr>
          <w:rFonts w:eastAsia="Calibri"/>
          <w:lang w:val="en-GB"/>
        </w:rPr>
        <w:t>,</w:t>
      </w:r>
      <w:r w:rsidR="001E2387" w:rsidRPr="00F35168">
        <w:rPr>
          <w:rFonts w:eastAsia="Calibri"/>
          <w:lang w:val="en-GB"/>
        </w:rPr>
        <w:t xml:space="preserve"> which </w:t>
      </w:r>
      <w:r w:rsidR="009130CD" w:rsidRPr="00F35168">
        <w:rPr>
          <w:rFonts w:eastAsia="Calibri"/>
          <w:lang w:val="en-GB"/>
        </w:rPr>
        <w:t xml:space="preserve">resulted in errors. </w:t>
      </w:r>
      <w:r w:rsidR="001E2387" w:rsidRPr="00F35168">
        <w:rPr>
          <w:rFonts w:eastAsia="Calibri"/>
          <w:lang w:val="en-GB"/>
        </w:rPr>
        <w:t>Some</w:t>
      </w:r>
      <w:r w:rsidR="009130CD" w:rsidRPr="00F35168">
        <w:rPr>
          <w:rFonts w:eastAsia="Calibri"/>
          <w:lang w:val="en-GB"/>
        </w:rPr>
        <w:t xml:space="preserve"> cases of fraudulent activities were noticed in the last month</w:t>
      </w:r>
      <w:r w:rsidR="001E2387" w:rsidRPr="00F35168">
        <w:rPr>
          <w:rFonts w:eastAsia="Calibri"/>
          <w:lang w:val="en-GB"/>
        </w:rPr>
        <w:t>,</w:t>
      </w:r>
      <w:r w:rsidR="009130CD" w:rsidRPr="00F35168">
        <w:rPr>
          <w:rFonts w:eastAsia="Calibri"/>
          <w:lang w:val="en-GB"/>
        </w:rPr>
        <w:t xml:space="preserve"> and the matter was taken up by the board. At most of the key points in the delivery system, the data entry was done manually</w:t>
      </w:r>
      <w:r w:rsidR="00194F5E">
        <w:rPr>
          <w:rFonts w:eastAsia="Calibri"/>
          <w:lang w:val="en-GB"/>
        </w:rPr>
        <w:t>,</w:t>
      </w:r>
      <w:r w:rsidR="009130CD" w:rsidRPr="00F35168">
        <w:rPr>
          <w:rFonts w:eastAsia="Calibri"/>
          <w:lang w:val="en-GB"/>
        </w:rPr>
        <w:t xml:space="preserve"> which was time-consuming and also prone to errors.</w:t>
      </w:r>
    </w:p>
    <w:p w14:paraId="308B77F7" w14:textId="77777777" w:rsidR="009130CD" w:rsidRPr="00F35168" w:rsidRDefault="009130CD" w:rsidP="009130CD">
      <w:pPr>
        <w:pStyle w:val="BodyTextMain"/>
        <w:rPr>
          <w:rFonts w:eastAsia="Calibri"/>
          <w:lang w:val="en-GB"/>
        </w:rPr>
      </w:pPr>
    </w:p>
    <w:p w14:paraId="71861891" w14:textId="77777777" w:rsidR="009130CD" w:rsidRPr="00F35168" w:rsidRDefault="009130CD" w:rsidP="009130CD">
      <w:pPr>
        <w:pStyle w:val="BodyTextMain"/>
        <w:rPr>
          <w:rFonts w:eastAsia="Calibri"/>
          <w:lang w:val="en-GB"/>
        </w:rPr>
      </w:pPr>
    </w:p>
    <w:p w14:paraId="40696AB6" w14:textId="77777777" w:rsidR="009130CD" w:rsidRPr="00F35168" w:rsidRDefault="009130CD" w:rsidP="009130CD">
      <w:pPr>
        <w:pStyle w:val="Casehead1"/>
        <w:keepNext/>
        <w:rPr>
          <w:rFonts w:eastAsia="Calibri"/>
          <w:szCs w:val="22"/>
          <w:lang w:val="en-GB"/>
        </w:rPr>
      </w:pPr>
      <w:r w:rsidRPr="00F35168">
        <w:rPr>
          <w:rFonts w:eastAsia="Calibri"/>
          <w:szCs w:val="22"/>
          <w:lang w:val="en-GB"/>
        </w:rPr>
        <w:t>THE DECISION-MAKING process</w:t>
      </w:r>
    </w:p>
    <w:p w14:paraId="272FA1A9" w14:textId="77777777" w:rsidR="009130CD" w:rsidRPr="00F35168" w:rsidRDefault="009130CD" w:rsidP="009130CD">
      <w:pPr>
        <w:pStyle w:val="BodyTextMain"/>
        <w:rPr>
          <w:rFonts w:eastAsia="Calibri"/>
          <w:lang w:val="en-GB"/>
        </w:rPr>
      </w:pPr>
    </w:p>
    <w:p w14:paraId="69598631" w14:textId="50F04D63" w:rsidR="009130CD" w:rsidRPr="00F35168" w:rsidRDefault="009130CD" w:rsidP="009130CD">
      <w:pPr>
        <w:pStyle w:val="BodyTextMain"/>
        <w:rPr>
          <w:rFonts w:eastAsia="Calibri"/>
          <w:lang w:val="en-GB"/>
        </w:rPr>
      </w:pPr>
      <w:proofErr w:type="spellStart"/>
      <w:r w:rsidRPr="00F35168">
        <w:rPr>
          <w:rFonts w:eastAsia="Calibri"/>
          <w:lang w:val="en-GB"/>
        </w:rPr>
        <w:t>Murarka</w:t>
      </w:r>
      <w:proofErr w:type="spellEnd"/>
      <w:r w:rsidRPr="00F35168">
        <w:rPr>
          <w:rFonts w:eastAsia="Calibri"/>
          <w:lang w:val="en-GB"/>
        </w:rPr>
        <w:t xml:space="preserve"> joined </w:t>
      </w:r>
      <w:proofErr w:type="spellStart"/>
      <w:r w:rsidRPr="00F35168">
        <w:rPr>
          <w:rFonts w:eastAsia="Calibri"/>
          <w:lang w:val="en-GB"/>
        </w:rPr>
        <w:t>Gati</w:t>
      </w:r>
      <w:proofErr w:type="spellEnd"/>
      <w:r w:rsidRPr="00F35168">
        <w:rPr>
          <w:rFonts w:eastAsia="Calibri"/>
          <w:lang w:val="en-GB"/>
        </w:rPr>
        <w:t xml:space="preserve"> in October, 2016.</w:t>
      </w:r>
      <w:r w:rsidR="0011336E">
        <w:rPr>
          <w:rFonts w:eastAsia="Calibri"/>
          <w:lang w:val="en-GB"/>
        </w:rPr>
        <w:t xml:space="preserve"> </w:t>
      </w:r>
      <w:r w:rsidRPr="00F35168">
        <w:rPr>
          <w:rFonts w:eastAsia="Calibri"/>
          <w:lang w:val="en-GB"/>
        </w:rPr>
        <w:t xml:space="preserve">He held a graduate degree in mechanical engineering and an executive post-graduate degree in logistics and supply chain management from a business school in Paris. Prior to joining Gati, he had worked for </w:t>
      </w:r>
      <w:r w:rsidR="00AA6A72">
        <w:rPr>
          <w:rFonts w:eastAsia="Calibri"/>
          <w:lang w:val="en-GB"/>
        </w:rPr>
        <w:t>16</w:t>
      </w:r>
      <w:r w:rsidRPr="00F35168">
        <w:rPr>
          <w:rFonts w:eastAsia="Calibri"/>
          <w:lang w:val="en-GB"/>
        </w:rPr>
        <w:t xml:space="preserve"> years in various roles in three industries</w:t>
      </w:r>
      <w:r w:rsidR="00AA6A72">
        <w:rPr>
          <w:rFonts w:eastAsia="Calibri"/>
          <w:lang w:val="en-GB"/>
        </w:rPr>
        <w:t>—</w:t>
      </w:r>
      <w:r w:rsidRPr="00F35168">
        <w:rPr>
          <w:rFonts w:eastAsia="Calibri"/>
          <w:lang w:val="en-GB"/>
        </w:rPr>
        <w:t>logistics, information technology</w:t>
      </w:r>
      <w:r w:rsidR="00AA6A72">
        <w:rPr>
          <w:rFonts w:eastAsia="Calibri"/>
          <w:lang w:val="en-GB"/>
        </w:rPr>
        <w:t>,</w:t>
      </w:r>
      <w:r w:rsidRPr="00F35168">
        <w:rPr>
          <w:rFonts w:eastAsia="Calibri"/>
          <w:lang w:val="en-GB"/>
        </w:rPr>
        <w:t xml:space="preserve"> and healthcare. He had good credentials in quality management including the </w:t>
      </w:r>
      <w:r w:rsidR="0011336E">
        <w:rPr>
          <w:rFonts w:eastAsia="Calibri"/>
          <w:lang w:val="en-GB"/>
        </w:rPr>
        <w:t>S</w:t>
      </w:r>
      <w:r w:rsidRPr="00F35168">
        <w:rPr>
          <w:rFonts w:eastAsia="Calibri"/>
          <w:lang w:val="en-GB"/>
        </w:rPr>
        <w:t>ix</w:t>
      </w:r>
      <w:r w:rsidR="0011336E">
        <w:rPr>
          <w:rFonts w:eastAsia="Calibri"/>
          <w:lang w:val="en-GB"/>
        </w:rPr>
        <w:t xml:space="preserve"> S</w:t>
      </w:r>
      <w:r w:rsidRPr="00F35168">
        <w:rPr>
          <w:rFonts w:eastAsia="Calibri"/>
          <w:lang w:val="en-GB"/>
        </w:rPr>
        <w:t xml:space="preserve">igma </w:t>
      </w:r>
      <w:r w:rsidR="0011336E">
        <w:rPr>
          <w:rFonts w:eastAsia="Calibri"/>
          <w:lang w:val="en-GB"/>
        </w:rPr>
        <w:t>B</w:t>
      </w:r>
      <w:r w:rsidRPr="00F35168">
        <w:rPr>
          <w:rFonts w:eastAsia="Calibri"/>
          <w:lang w:val="en-GB"/>
        </w:rPr>
        <w:t xml:space="preserve">lack </w:t>
      </w:r>
      <w:r w:rsidR="0011336E">
        <w:rPr>
          <w:rFonts w:eastAsia="Calibri"/>
          <w:lang w:val="en-GB"/>
        </w:rPr>
        <w:t>B</w:t>
      </w:r>
      <w:r w:rsidRPr="00F35168">
        <w:rPr>
          <w:rFonts w:eastAsia="Calibri"/>
          <w:lang w:val="en-GB"/>
        </w:rPr>
        <w:t xml:space="preserve">elt certification. Previously, he had attended </w:t>
      </w:r>
      <w:r w:rsidR="00AA6A72">
        <w:rPr>
          <w:rFonts w:eastAsia="Calibri"/>
          <w:lang w:val="en-GB"/>
        </w:rPr>
        <w:t xml:space="preserve">many </w:t>
      </w:r>
      <w:r w:rsidRPr="00F35168">
        <w:rPr>
          <w:rFonts w:eastAsia="Calibri"/>
          <w:lang w:val="en-GB"/>
        </w:rPr>
        <w:t>workshops and training</w:t>
      </w:r>
      <w:r w:rsidR="00AA6A72">
        <w:rPr>
          <w:rFonts w:eastAsia="Calibri"/>
          <w:lang w:val="en-GB"/>
        </w:rPr>
        <w:t xml:space="preserve"> sessions</w:t>
      </w:r>
      <w:r w:rsidRPr="00F35168">
        <w:rPr>
          <w:rFonts w:eastAsia="Calibri"/>
          <w:lang w:val="en-GB"/>
        </w:rPr>
        <w:t xml:space="preserve"> dedicated to quality control in both India and abroad.</w:t>
      </w:r>
    </w:p>
    <w:p w14:paraId="2A7DEFAD" w14:textId="77777777" w:rsidR="009130CD" w:rsidRPr="00F35168" w:rsidRDefault="009130CD" w:rsidP="009130CD">
      <w:pPr>
        <w:pStyle w:val="BodyTextMain"/>
        <w:rPr>
          <w:rFonts w:eastAsia="Calibri"/>
          <w:lang w:val="en-GB"/>
        </w:rPr>
      </w:pPr>
    </w:p>
    <w:p w14:paraId="3C608C93" w14:textId="49BE01D4" w:rsidR="009130CD" w:rsidRPr="00F35168" w:rsidRDefault="00AA6A72" w:rsidP="009130CD">
      <w:pPr>
        <w:pStyle w:val="BodyTextMain"/>
        <w:rPr>
          <w:rFonts w:eastAsia="Calibri"/>
          <w:lang w:val="en-GB"/>
        </w:rPr>
      </w:pPr>
      <w:r>
        <w:rPr>
          <w:rFonts w:eastAsia="Calibri"/>
          <w:lang w:val="en-GB"/>
        </w:rPr>
        <w:lastRenderedPageBreak/>
        <w:t>H</w:t>
      </w:r>
      <w:r w:rsidR="009130CD" w:rsidRPr="00F35168">
        <w:rPr>
          <w:rFonts w:eastAsia="Calibri"/>
          <w:lang w:val="en-GB"/>
        </w:rPr>
        <w:t xml:space="preserve">e </w:t>
      </w:r>
      <w:r w:rsidR="00433F68">
        <w:rPr>
          <w:rFonts w:eastAsia="Calibri"/>
          <w:lang w:val="en-GB"/>
        </w:rPr>
        <w:t>turned on his</w:t>
      </w:r>
      <w:r w:rsidR="009130CD" w:rsidRPr="00F35168">
        <w:rPr>
          <w:rFonts w:eastAsia="Calibri"/>
          <w:lang w:val="en-GB"/>
        </w:rPr>
        <w:t xml:space="preserve"> laptop and looked at the weekly count of complaints that the Customer Care </w:t>
      </w:r>
      <w:r w:rsidR="007F4CEA">
        <w:rPr>
          <w:rFonts w:eastAsia="Calibri"/>
          <w:lang w:val="en-GB"/>
        </w:rPr>
        <w:t>d</w:t>
      </w:r>
      <w:r w:rsidR="009130CD" w:rsidRPr="00F35168">
        <w:rPr>
          <w:rFonts w:eastAsia="Calibri"/>
          <w:lang w:val="en-GB"/>
        </w:rPr>
        <w:t xml:space="preserve">epartment had sent. The </w:t>
      </w:r>
      <w:r>
        <w:rPr>
          <w:rFonts w:eastAsia="Calibri"/>
          <w:lang w:val="en-GB"/>
        </w:rPr>
        <w:t>e-</w:t>
      </w:r>
      <w:r w:rsidR="009130CD" w:rsidRPr="00F35168">
        <w:rPr>
          <w:rFonts w:eastAsia="Calibri"/>
          <w:lang w:val="en-GB"/>
        </w:rPr>
        <w:t>mail also gave a summary of the shipment deliveries for the last week from which he learn</w:t>
      </w:r>
      <w:r>
        <w:rPr>
          <w:rFonts w:eastAsia="Calibri"/>
          <w:lang w:val="en-GB"/>
        </w:rPr>
        <w:t>ed</w:t>
      </w:r>
      <w:r w:rsidR="009130CD" w:rsidRPr="00F35168">
        <w:rPr>
          <w:rFonts w:eastAsia="Calibri"/>
          <w:lang w:val="en-GB"/>
        </w:rPr>
        <w:t xml:space="preserve"> that the deliveries were made in 38.5 hours on average with a standard deviation of 7.8 hours. </w:t>
      </w:r>
      <w:r w:rsidR="00383060">
        <w:rPr>
          <w:rFonts w:eastAsia="Calibri"/>
          <w:lang w:val="en-GB"/>
        </w:rPr>
        <w:t>T</w:t>
      </w:r>
      <w:r w:rsidR="009130CD" w:rsidRPr="00F35168">
        <w:rPr>
          <w:rFonts w:eastAsia="Calibri"/>
          <w:lang w:val="en-GB"/>
        </w:rPr>
        <w:t xml:space="preserve">he matter had escalated to the </w:t>
      </w:r>
      <w:r>
        <w:rPr>
          <w:rFonts w:eastAsia="Calibri"/>
          <w:lang w:val="en-GB"/>
        </w:rPr>
        <w:t>m</w:t>
      </w:r>
      <w:r w:rsidR="009130CD" w:rsidRPr="00F35168">
        <w:rPr>
          <w:rFonts w:eastAsia="Calibri"/>
          <w:lang w:val="en-GB"/>
        </w:rPr>
        <w:t xml:space="preserve">anaging </w:t>
      </w:r>
      <w:r>
        <w:rPr>
          <w:rFonts w:eastAsia="Calibri"/>
          <w:lang w:val="en-GB"/>
        </w:rPr>
        <w:t>d</w:t>
      </w:r>
      <w:r w:rsidR="009130CD" w:rsidRPr="00F35168">
        <w:rPr>
          <w:rFonts w:eastAsia="Calibri"/>
          <w:lang w:val="en-GB"/>
        </w:rPr>
        <w:t>irector</w:t>
      </w:r>
      <w:r w:rsidR="00383060">
        <w:rPr>
          <w:rFonts w:eastAsia="Calibri"/>
          <w:lang w:val="en-GB"/>
        </w:rPr>
        <w:t>, and h</w:t>
      </w:r>
      <w:r w:rsidR="009130CD" w:rsidRPr="00F35168">
        <w:rPr>
          <w:rFonts w:eastAsia="Calibri"/>
          <w:lang w:val="en-GB"/>
        </w:rPr>
        <w:t xml:space="preserve">e knew that management was quite stringent in all issues related to quality of service. He also knew that he would be able to build his image as a competent quality professional at Gati if he could address the problem well. However, he was not directly a part of the core team that planned the </w:t>
      </w:r>
      <w:r w:rsidR="00383060">
        <w:rPr>
          <w:rFonts w:eastAsia="Calibri"/>
          <w:lang w:val="en-GB"/>
        </w:rPr>
        <w:t>p</w:t>
      </w:r>
      <w:r w:rsidR="009130CD" w:rsidRPr="00F35168">
        <w:rPr>
          <w:rFonts w:eastAsia="Calibri"/>
          <w:lang w:val="en-GB"/>
        </w:rPr>
        <w:t xml:space="preserve">remium </w:t>
      </w:r>
      <w:r w:rsidR="00383060">
        <w:rPr>
          <w:rFonts w:eastAsia="Calibri"/>
          <w:lang w:val="en-GB"/>
        </w:rPr>
        <w:t>e</w:t>
      </w:r>
      <w:r w:rsidR="009130CD" w:rsidRPr="00F35168">
        <w:rPr>
          <w:rFonts w:eastAsia="Calibri"/>
          <w:lang w:val="en-GB"/>
        </w:rPr>
        <w:t xml:space="preserve">xpress scheme. He was also not familiar with most of the members of the core team who had proposed and signed off </w:t>
      </w:r>
      <w:r w:rsidR="00383060">
        <w:rPr>
          <w:rFonts w:eastAsia="Calibri"/>
          <w:lang w:val="en-GB"/>
        </w:rPr>
        <w:t xml:space="preserve">on </w:t>
      </w:r>
      <w:r w:rsidR="009130CD" w:rsidRPr="00F35168">
        <w:rPr>
          <w:rFonts w:eastAsia="Calibri"/>
          <w:lang w:val="en-GB"/>
        </w:rPr>
        <w:t>the scheme.</w:t>
      </w:r>
    </w:p>
    <w:p w14:paraId="5EFDBD3D" w14:textId="77777777" w:rsidR="009130CD" w:rsidRPr="00F35168" w:rsidRDefault="009130CD" w:rsidP="009130CD">
      <w:pPr>
        <w:pStyle w:val="BodyTextMain"/>
        <w:rPr>
          <w:rFonts w:eastAsia="Calibri"/>
          <w:lang w:val="en-GB"/>
        </w:rPr>
      </w:pPr>
    </w:p>
    <w:p w14:paraId="4751C532" w14:textId="772E6850" w:rsidR="009130CD" w:rsidRPr="00F35168" w:rsidRDefault="009130CD" w:rsidP="009130CD">
      <w:pPr>
        <w:pStyle w:val="BodyTextMain"/>
        <w:rPr>
          <w:rFonts w:eastAsia="Calibri"/>
          <w:lang w:val="en-GB"/>
        </w:rPr>
      </w:pPr>
      <w:r w:rsidRPr="00F35168">
        <w:rPr>
          <w:rFonts w:eastAsia="Calibri"/>
          <w:lang w:val="en-GB"/>
        </w:rPr>
        <w:t>However, Murarka was aware of the entire process and the systems that supported the new scheme. He tried to recall some of the modules and case studies he had been exposed to during the quality training sessions. Based on his experience, he tried to list 10 probable causes for the delay in the delivery of the shipments. He wrote a</w:t>
      </w:r>
      <w:r w:rsidR="004E37DE">
        <w:rPr>
          <w:rFonts w:eastAsia="Calibri"/>
          <w:lang w:val="en-GB"/>
        </w:rPr>
        <w:t>n e-</w:t>
      </w:r>
      <w:r w:rsidRPr="00F35168">
        <w:rPr>
          <w:rFonts w:eastAsia="Calibri"/>
          <w:lang w:val="en-GB"/>
        </w:rPr>
        <w:t>mail to all the regional managers, staff, operations managers, quality engineers, a</w:t>
      </w:r>
      <w:r w:rsidR="004E37DE">
        <w:rPr>
          <w:rFonts w:eastAsia="Calibri"/>
          <w:lang w:val="en-GB"/>
        </w:rPr>
        <w:t>nd</w:t>
      </w:r>
      <w:r w:rsidRPr="00F35168">
        <w:rPr>
          <w:rFonts w:eastAsia="Calibri"/>
          <w:lang w:val="en-GB"/>
        </w:rPr>
        <w:t xml:space="preserve"> the ground staff at the warehouses and </w:t>
      </w:r>
      <w:r w:rsidR="004E37DE">
        <w:rPr>
          <w:rFonts w:eastAsia="Calibri"/>
          <w:lang w:val="en-GB"/>
        </w:rPr>
        <w:t xml:space="preserve">at </w:t>
      </w:r>
      <w:r w:rsidRPr="00F35168">
        <w:rPr>
          <w:rFonts w:eastAsia="Calibri"/>
          <w:lang w:val="en-GB"/>
        </w:rPr>
        <w:t xml:space="preserve">the hubs apprising them </w:t>
      </w:r>
      <w:r w:rsidR="004E37DE">
        <w:rPr>
          <w:rFonts w:eastAsia="Calibri"/>
          <w:lang w:val="en-GB"/>
        </w:rPr>
        <w:t>of</w:t>
      </w:r>
      <w:r w:rsidRPr="00F35168">
        <w:rPr>
          <w:rFonts w:eastAsia="Calibri"/>
          <w:lang w:val="en-GB"/>
        </w:rPr>
        <w:t xml:space="preserve"> the </w:t>
      </w:r>
      <w:r w:rsidR="00433F68">
        <w:rPr>
          <w:rFonts w:eastAsia="Calibri"/>
          <w:lang w:val="en-GB"/>
        </w:rPr>
        <w:t>situation</w:t>
      </w:r>
      <w:r w:rsidRPr="00F35168">
        <w:rPr>
          <w:rFonts w:eastAsia="Calibri"/>
          <w:lang w:val="en-GB"/>
        </w:rPr>
        <w:t xml:space="preserve">. He </w:t>
      </w:r>
      <w:r w:rsidR="004E37DE">
        <w:rPr>
          <w:rFonts w:eastAsia="Calibri"/>
          <w:lang w:val="en-GB"/>
        </w:rPr>
        <w:t>asked</w:t>
      </w:r>
      <w:r w:rsidRPr="00F35168">
        <w:rPr>
          <w:rFonts w:eastAsia="Calibri"/>
          <w:lang w:val="en-GB"/>
        </w:rPr>
        <w:t xml:space="preserve"> each of them to highlight</w:t>
      </w:r>
      <w:r w:rsidR="00BD405B">
        <w:rPr>
          <w:rFonts w:eastAsia="Calibri"/>
          <w:lang w:val="en-GB"/>
        </w:rPr>
        <w:t xml:space="preserve"> what they thought were</w:t>
      </w:r>
      <w:r w:rsidRPr="00F35168">
        <w:rPr>
          <w:rFonts w:eastAsia="Calibri"/>
          <w:lang w:val="en-GB"/>
        </w:rPr>
        <w:t xml:space="preserve"> the </w:t>
      </w:r>
      <w:r w:rsidR="00BD405B">
        <w:rPr>
          <w:rFonts w:eastAsia="Calibri"/>
          <w:lang w:val="en-GB"/>
        </w:rPr>
        <w:t>reasons</w:t>
      </w:r>
      <w:r w:rsidRPr="00F35168">
        <w:rPr>
          <w:rFonts w:eastAsia="Calibri"/>
          <w:lang w:val="en-GB"/>
        </w:rPr>
        <w:t xml:space="preserve"> </w:t>
      </w:r>
      <w:r w:rsidR="00BD405B">
        <w:rPr>
          <w:rFonts w:eastAsia="Calibri"/>
          <w:lang w:val="en-GB"/>
        </w:rPr>
        <w:t xml:space="preserve">for the delay in </w:t>
      </w:r>
      <w:r w:rsidRPr="00F35168">
        <w:rPr>
          <w:rFonts w:eastAsia="Calibri"/>
          <w:lang w:val="en-GB"/>
        </w:rPr>
        <w:t>delivery</w:t>
      </w:r>
      <w:r w:rsidR="004E37DE">
        <w:rPr>
          <w:rFonts w:eastAsia="Calibri"/>
          <w:lang w:val="en-GB"/>
        </w:rPr>
        <w:t xml:space="preserve"> and </w:t>
      </w:r>
      <w:r w:rsidRPr="00F35168">
        <w:rPr>
          <w:rFonts w:eastAsia="Calibri"/>
          <w:lang w:val="en-GB"/>
        </w:rPr>
        <w:t>to reply by the end of that day (see Exhibit 2).</w:t>
      </w:r>
    </w:p>
    <w:p w14:paraId="2706E88E" w14:textId="77777777" w:rsidR="009130CD" w:rsidRPr="00F35168" w:rsidRDefault="009130CD" w:rsidP="009130CD">
      <w:pPr>
        <w:pStyle w:val="BodyTextMain"/>
        <w:rPr>
          <w:rFonts w:eastAsia="Calibri"/>
          <w:lang w:val="en-GB"/>
        </w:rPr>
      </w:pPr>
    </w:p>
    <w:p w14:paraId="4F145DCF" w14:textId="16FEF2BB" w:rsidR="009130CD" w:rsidRPr="00F35168" w:rsidRDefault="009130CD" w:rsidP="009130CD">
      <w:pPr>
        <w:pStyle w:val="BodyTextMain"/>
        <w:rPr>
          <w:rFonts w:eastAsia="Calibri"/>
          <w:lang w:val="en-GB"/>
        </w:rPr>
      </w:pPr>
      <w:r w:rsidRPr="00F35168">
        <w:rPr>
          <w:rFonts w:eastAsia="Calibri"/>
          <w:lang w:val="en-GB"/>
        </w:rPr>
        <w:t>While he stared at the weekly count of the complaints, he said to himself</w:t>
      </w:r>
      <w:r w:rsidR="004E37DE">
        <w:rPr>
          <w:rFonts w:eastAsia="Calibri"/>
          <w:lang w:val="en-GB"/>
        </w:rPr>
        <w:t xml:space="preserve">, </w:t>
      </w:r>
      <w:r w:rsidRPr="00F35168">
        <w:rPr>
          <w:rFonts w:eastAsia="Calibri"/>
          <w:lang w:val="en-GB"/>
        </w:rPr>
        <w:t>“</w:t>
      </w:r>
      <w:r w:rsidR="004E37DE">
        <w:rPr>
          <w:rFonts w:eastAsia="Calibri"/>
          <w:lang w:val="en-GB"/>
        </w:rPr>
        <w:t>Two hundred and thirty-one</w:t>
      </w:r>
      <w:r w:rsidR="00D16037">
        <w:rPr>
          <w:rFonts w:eastAsia="Calibri"/>
          <w:lang w:val="en-GB"/>
        </w:rPr>
        <w:t xml:space="preserve"> </w:t>
      </w:r>
      <w:r w:rsidRPr="00F35168">
        <w:rPr>
          <w:rFonts w:eastAsia="Calibri"/>
          <w:lang w:val="en-GB"/>
        </w:rPr>
        <w:t xml:space="preserve">in </w:t>
      </w:r>
      <w:r w:rsidR="0011336E">
        <w:rPr>
          <w:rFonts w:eastAsia="Calibri"/>
          <w:lang w:val="en-GB"/>
        </w:rPr>
        <w:t>five</w:t>
      </w:r>
      <w:r w:rsidRPr="00F35168">
        <w:rPr>
          <w:rFonts w:eastAsia="Calibri"/>
          <w:lang w:val="en-GB"/>
        </w:rPr>
        <w:t xml:space="preserve"> months is too much!” He kept mulling over the plausible causes responsible for the delay in delivery. He was not confident the system was under statistical control</w:t>
      </w:r>
      <w:r w:rsidR="00433F68">
        <w:rPr>
          <w:rFonts w:eastAsia="Calibri"/>
          <w:lang w:val="en-GB"/>
        </w:rPr>
        <w:t>.</w:t>
      </w:r>
    </w:p>
    <w:p w14:paraId="6B4019A5" w14:textId="1214E2B4" w:rsidR="009130CD" w:rsidRPr="00F35168" w:rsidRDefault="009130CD">
      <w:pPr>
        <w:spacing w:after="200" w:line="276" w:lineRule="auto"/>
        <w:rPr>
          <w:sz w:val="22"/>
          <w:szCs w:val="22"/>
        </w:rPr>
      </w:pPr>
      <w:r w:rsidRPr="00F35168">
        <w:br w:type="page"/>
      </w:r>
    </w:p>
    <w:p w14:paraId="15C3F6D1" w14:textId="15AF4969" w:rsidR="009130CD" w:rsidRPr="00F35168" w:rsidRDefault="009130CD" w:rsidP="009130CD">
      <w:pPr>
        <w:pStyle w:val="ExhibitHeading"/>
        <w:rPr>
          <w:rFonts w:eastAsia="Calibri"/>
          <w:lang w:val="en-GB"/>
        </w:rPr>
      </w:pPr>
      <w:r w:rsidRPr="00F35168">
        <w:rPr>
          <w:rFonts w:eastAsia="Calibri"/>
          <w:lang w:val="en-GB"/>
        </w:rPr>
        <w:lastRenderedPageBreak/>
        <w:t>EXHIBIT 1: WEEKLY COUNT OF COMPLAINTS</w:t>
      </w:r>
      <w:r w:rsidR="007335D0">
        <w:rPr>
          <w:rFonts w:eastAsia="Calibri"/>
          <w:lang w:val="en-GB"/>
        </w:rPr>
        <w:t xml:space="preserve">—GATI’s </w:t>
      </w:r>
      <w:r w:rsidRPr="00F35168">
        <w:rPr>
          <w:rFonts w:eastAsia="Calibri"/>
          <w:lang w:val="en-GB"/>
        </w:rPr>
        <w:t>CUSTOMER CARE DEPARTMENT</w:t>
      </w:r>
    </w:p>
    <w:p w14:paraId="19E070D1" w14:textId="77777777" w:rsidR="009130CD" w:rsidRPr="00F35168" w:rsidRDefault="009130CD" w:rsidP="009130CD">
      <w:pPr>
        <w:pStyle w:val="BodyTextMain"/>
        <w:rPr>
          <w:rFonts w:eastAsia="Calibri"/>
          <w:lang w:val="en-GB"/>
        </w:rPr>
      </w:pPr>
    </w:p>
    <w:tbl>
      <w:tblPr>
        <w:tblW w:w="4315" w:type="dxa"/>
        <w:jc w:val="center"/>
        <w:tblLook w:val="04A0" w:firstRow="1" w:lastRow="0" w:firstColumn="1" w:lastColumn="0" w:noHBand="0" w:noVBand="1"/>
      </w:tblPr>
      <w:tblGrid>
        <w:gridCol w:w="895"/>
        <w:gridCol w:w="1440"/>
        <w:gridCol w:w="1980"/>
      </w:tblGrid>
      <w:tr w:rsidR="009130CD" w:rsidRPr="00AA6A72" w14:paraId="735A7DD6" w14:textId="77777777" w:rsidTr="00523861">
        <w:trPr>
          <w:trHeight w:val="278"/>
          <w:jc w:val="center"/>
        </w:trPr>
        <w:tc>
          <w:tcPr>
            <w:tcW w:w="8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4C0F1" w14:textId="3B93A08D" w:rsidR="009130CD" w:rsidRPr="00F35168" w:rsidRDefault="009130CD" w:rsidP="00005037">
            <w:pPr>
              <w:pStyle w:val="ExhibitText"/>
              <w:jc w:val="center"/>
              <w:rPr>
                <w:b/>
                <w:szCs w:val="22"/>
                <w:lang w:val="en-GB" w:bidi="bn-IN"/>
              </w:rPr>
            </w:pPr>
            <w:proofErr w:type="spellStart"/>
            <w:r w:rsidRPr="00F35168">
              <w:rPr>
                <w:b/>
                <w:szCs w:val="22"/>
                <w:lang w:val="en-GB" w:bidi="bn-IN"/>
              </w:rPr>
              <w:t>Sl</w:t>
            </w:r>
            <w:bookmarkStart w:id="0" w:name="_GoBack"/>
            <w:bookmarkEnd w:id="0"/>
            <w:proofErr w:type="spellEnd"/>
            <w:r w:rsidRPr="00F35168">
              <w:rPr>
                <w:b/>
                <w:szCs w:val="22"/>
                <w:lang w:val="en-GB" w:bidi="bn-IN"/>
              </w:rPr>
              <w:t xml:space="preserve"> No.</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14:paraId="187AAE2D" w14:textId="77777777" w:rsidR="009130CD" w:rsidRPr="00F35168" w:rsidRDefault="009130CD" w:rsidP="00523861">
            <w:pPr>
              <w:pStyle w:val="ExhibitText"/>
              <w:jc w:val="center"/>
              <w:rPr>
                <w:b/>
                <w:szCs w:val="22"/>
                <w:lang w:val="en-GB" w:bidi="bn-IN"/>
              </w:rPr>
            </w:pPr>
            <w:r w:rsidRPr="00F35168">
              <w:rPr>
                <w:b/>
                <w:szCs w:val="22"/>
                <w:lang w:val="en-GB" w:bidi="bn-IN"/>
              </w:rPr>
              <w:t>Sample size</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3578B8E8" w14:textId="77777777" w:rsidR="009130CD" w:rsidRPr="00F35168" w:rsidRDefault="009130CD" w:rsidP="00523861">
            <w:pPr>
              <w:pStyle w:val="ExhibitText"/>
              <w:jc w:val="center"/>
              <w:rPr>
                <w:b/>
                <w:szCs w:val="22"/>
                <w:lang w:val="en-GB" w:bidi="bn-IN"/>
              </w:rPr>
            </w:pPr>
            <w:r w:rsidRPr="00F35168">
              <w:rPr>
                <w:b/>
                <w:szCs w:val="22"/>
                <w:lang w:val="en-GB" w:bidi="bn-IN"/>
              </w:rPr>
              <w:t>No. of complaints</w:t>
            </w:r>
          </w:p>
        </w:tc>
      </w:tr>
      <w:tr w:rsidR="009130CD" w:rsidRPr="00AA6A72" w14:paraId="071527C7"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719A679C" w14:textId="77777777" w:rsidR="009130CD" w:rsidRPr="00F35168" w:rsidRDefault="009130CD" w:rsidP="00433F68">
            <w:pPr>
              <w:pStyle w:val="ExhibitText"/>
              <w:jc w:val="center"/>
              <w:rPr>
                <w:szCs w:val="22"/>
                <w:lang w:val="en-GB" w:bidi="bn-IN"/>
              </w:rPr>
            </w:pPr>
            <w:r w:rsidRPr="00F35168">
              <w:rPr>
                <w:szCs w:val="22"/>
                <w:lang w:val="en-GB" w:bidi="bn-IN"/>
              </w:rPr>
              <w:t>1</w:t>
            </w:r>
          </w:p>
        </w:tc>
        <w:tc>
          <w:tcPr>
            <w:tcW w:w="1440" w:type="dxa"/>
            <w:tcBorders>
              <w:top w:val="nil"/>
              <w:left w:val="nil"/>
              <w:bottom w:val="single" w:sz="4" w:space="0" w:color="auto"/>
              <w:right w:val="single" w:sz="4" w:space="0" w:color="auto"/>
            </w:tcBorders>
            <w:shd w:val="clear" w:color="auto" w:fill="auto"/>
            <w:noWrap/>
            <w:vAlign w:val="bottom"/>
            <w:hideMark/>
          </w:tcPr>
          <w:p w14:paraId="4B85C907"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667DE709" w14:textId="77777777" w:rsidR="009130CD" w:rsidRPr="00F35168" w:rsidRDefault="009130CD" w:rsidP="00523861">
            <w:pPr>
              <w:pStyle w:val="ExhibitText"/>
              <w:jc w:val="right"/>
              <w:rPr>
                <w:szCs w:val="22"/>
                <w:lang w:val="en-GB" w:bidi="bn-IN"/>
              </w:rPr>
            </w:pPr>
            <w:r w:rsidRPr="00F35168">
              <w:rPr>
                <w:szCs w:val="22"/>
                <w:lang w:val="en-GB" w:bidi="bn-IN"/>
              </w:rPr>
              <w:t>14</w:t>
            </w:r>
          </w:p>
        </w:tc>
      </w:tr>
      <w:tr w:rsidR="009130CD" w:rsidRPr="00AA6A72" w14:paraId="303BAE29"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51A3B929" w14:textId="77777777" w:rsidR="009130CD" w:rsidRPr="00F35168" w:rsidRDefault="009130CD" w:rsidP="00433F68">
            <w:pPr>
              <w:pStyle w:val="ExhibitText"/>
              <w:jc w:val="center"/>
              <w:rPr>
                <w:szCs w:val="22"/>
                <w:lang w:val="en-GB" w:bidi="bn-IN"/>
              </w:rPr>
            </w:pPr>
            <w:r w:rsidRPr="00F35168">
              <w:rPr>
                <w:szCs w:val="22"/>
                <w:lang w:val="en-GB" w:bidi="bn-IN"/>
              </w:rPr>
              <w:t>2</w:t>
            </w:r>
          </w:p>
        </w:tc>
        <w:tc>
          <w:tcPr>
            <w:tcW w:w="1440" w:type="dxa"/>
            <w:tcBorders>
              <w:top w:val="nil"/>
              <w:left w:val="nil"/>
              <w:bottom w:val="single" w:sz="4" w:space="0" w:color="auto"/>
              <w:right w:val="single" w:sz="4" w:space="0" w:color="auto"/>
            </w:tcBorders>
            <w:shd w:val="clear" w:color="auto" w:fill="auto"/>
            <w:noWrap/>
            <w:vAlign w:val="bottom"/>
            <w:hideMark/>
          </w:tcPr>
          <w:p w14:paraId="110338C2"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43A51C4E" w14:textId="77777777" w:rsidR="009130CD" w:rsidRPr="00F35168" w:rsidRDefault="009130CD" w:rsidP="00523861">
            <w:pPr>
              <w:pStyle w:val="ExhibitText"/>
              <w:jc w:val="right"/>
              <w:rPr>
                <w:szCs w:val="22"/>
                <w:lang w:val="en-GB" w:bidi="bn-IN"/>
              </w:rPr>
            </w:pPr>
            <w:r w:rsidRPr="00F35168">
              <w:rPr>
                <w:szCs w:val="22"/>
                <w:lang w:val="en-GB" w:bidi="bn-IN"/>
              </w:rPr>
              <w:t>8</w:t>
            </w:r>
          </w:p>
        </w:tc>
      </w:tr>
      <w:tr w:rsidR="009130CD" w:rsidRPr="00AA6A72" w14:paraId="564BDFC5"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7C951BDB" w14:textId="77777777" w:rsidR="009130CD" w:rsidRPr="00F35168" w:rsidRDefault="009130CD" w:rsidP="00433F68">
            <w:pPr>
              <w:pStyle w:val="ExhibitText"/>
              <w:jc w:val="center"/>
              <w:rPr>
                <w:szCs w:val="22"/>
                <w:lang w:val="en-GB" w:bidi="bn-IN"/>
              </w:rPr>
            </w:pPr>
            <w:r w:rsidRPr="00F35168">
              <w:rPr>
                <w:szCs w:val="22"/>
                <w:lang w:val="en-GB" w:bidi="bn-IN"/>
              </w:rPr>
              <w:t>3</w:t>
            </w:r>
          </w:p>
        </w:tc>
        <w:tc>
          <w:tcPr>
            <w:tcW w:w="1440" w:type="dxa"/>
            <w:tcBorders>
              <w:top w:val="nil"/>
              <w:left w:val="nil"/>
              <w:bottom w:val="single" w:sz="4" w:space="0" w:color="auto"/>
              <w:right w:val="single" w:sz="4" w:space="0" w:color="auto"/>
            </w:tcBorders>
            <w:shd w:val="clear" w:color="auto" w:fill="auto"/>
            <w:noWrap/>
            <w:vAlign w:val="bottom"/>
            <w:hideMark/>
          </w:tcPr>
          <w:p w14:paraId="7F5A8CE7"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4FDC6CEF" w14:textId="77777777" w:rsidR="009130CD" w:rsidRPr="00F35168" w:rsidRDefault="009130CD" w:rsidP="00523861">
            <w:pPr>
              <w:pStyle w:val="ExhibitText"/>
              <w:jc w:val="right"/>
              <w:rPr>
                <w:szCs w:val="22"/>
                <w:lang w:val="en-GB" w:bidi="bn-IN"/>
              </w:rPr>
            </w:pPr>
            <w:r w:rsidRPr="00F35168">
              <w:rPr>
                <w:szCs w:val="22"/>
                <w:lang w:val="en-GB" w:bidi="bn-IN"/>
              </w:rPr>
              <w:t>13</w:t>
            </w:r>
          </w:p>
        </w:tc>
      </w:tr>
      <w:tr w:rsidR="009130CD" w:rsidRPr="00AA6A72" w14:paraId="568C9F8A"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7D46554" w14:textId="77777777" w:rsidR="009130CD" w:rsidRPr="00F35168" w:rsidRDefault="009130CD" w:rsidP="00433F68">
            <w:pPr>
              <w:pStyle w:val="ExhibitText"/>
              <w:jc w:val="center"/>
              <w:rPr>
                <w:szCs w:val="22"/>
                <w:lang w:val="en-GB" w:bidi="bn-IN"/>
              </w:rPr>
            </w:pPr>
            <w:r w:rsidRPr="00F35168">
              <w:rPr>
                <w:szCs w:val="22"/>
                <w:lang w:val="en-GB" w:bidi="bn-IN"/>
              </w:rPr>
              <w:t>4</w:t>
            </w:r>
          </w:p>
        </w:tc>
        <w:tc>
          <w:tcPr>
            <w:tcW w:w="1440" w:type="dxa"/>
            <w:tcBorders>
              <w:top w:val="nil"/>
              <w:left w:val="nil"/>
              <w:bottom w:val="single" w:sz="4" w:space="0" w:color="auto"/>
              <w:right w:val="single" w:sz="4" w:space="0" w:color="auto"/>
            </w:tcBorders>
            <w:shd w:val="clear" w:color="auto" w:fill="auto"/>
            <w:noWrap/>
            <w:vAlign w:val="bottom"/>
            <w:hideMark/>
          </w:tcPr>
          <w:p w14:paraId="6A401C68"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388EBA44" w14:textId="77777777" w:rsidR="009130CD" w:rsidRPr="00F35168" w:rsidRDefault="009130CD" w:rsidP="00523861">
            <w:pPr>
              <w:pStyle w:val="ExhibitText"/>
              <w:jc w:val="right"/>
              <w:rPr>
                <w:szCs w:val="22"/>
                <w:lang w:val="en-GB" w:bidi="bn-IN"/>
              </w:rPr>
            </w:pPr>
            <w:r w:rsidRPr="00F35168">
              <w:rPr>
                <w:szCs w:val="22"/>
                <w:lang w:val="en-GB" w:bidi="bn-IN"/>
              </w:rPr>
              <w:t>18</w:t>
            </w:r>
          </w:p>
        </w:tc>
      </w:tr>
      <w:tr w:rsidR="009130CD" w:rsidRPr="00AA6A72" w14:paraId="44208FCF"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6BD14CFE" w14:textId="77777777" w:rsidR="009130CD" w:rsidRPr="00F35168" w:rsidRDefault="009130CD" w:rsidP="00433F68">
            <w:pPr>
              <w:pStyle w:val="ExhibitText"/>
              <w:jc w:val="center"/>
              <w:rPr>
                <w:szCs w:val="22"/>
                <w:lang w:val="en-GB" w:bidi="bn-IN"/>
              </w:rPr>
            </w:pPr>
            <w:r w:rsidRPr="00F35168">
              <w:rPr>
                <w:szCs w:val="22"/>
                <w:lang w:val="en-GB" w:bidi="bn-IN"/>
              </w:rPr>
              <w:t>5</w:t>
            </w:r>
          </w:p>
        </w:tc>
        <w:tc>
          <w:tcPr>
            <w:tcW w:w="1440" w:type="dxa"/>
            <w:tcBorders>
              <w:top w:val="nil"/>
              <w:left w:val="nil"/>
              <w:bottom w:val="single" w:sz="4" w:space="0" w:color="auto"/>
              <w:right w:val="single" w:sz="4" w:space="0" w:color="auto"/>
            </w:tcBorders>
            <w:shd w:val="clear" w:color="auto" w:fill="auto"/>
            <w:noWrap/>
            <w:vAlign w:val="bottom"/>
            <w:hideMark/>
          </w:tcPr>
          <w:p w14:paraId="5783A0A3"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6FB66A7F" w14:textId="77777777" w:rsidR="009130CD" w:rsidRPr="00F35168" w:rsidRDefault="009130CD" w:rsidP="00523861">
            <w:pPr>
              <w:pStyle w:val="ExhibitText"/>
              <w:jc w:val="right"/>
              <w:rPr>
                <w:szCs w:val="22"/>
                <w:lang w:val="en-GB" w:bidi="bn-IN"/>
              </w:rPr>
            </w:pPr>
            <w:r w:rsidRPr="00F35168">
              <w:rPr>
                <w:szCs w:val="22"/>
                <w:lang w:val="en-GB" w:bidi="bn-IN"/>
              </w:rPr>
              <w:t>15</w:t>
            </w:r>
          </w:p>
        </w:tc>
      </w:tr>
      <w:tr w:rsidR="009130CD" w:rsidRPr="00AA6A72" w14:paraId="58CBAAA9"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039D3D6" w14:textId="77777777" w:rsidR="009130CD" w:rsidRPr="00F35168" w:rsidRDefault="009130CD" w:rsidP="00433F68">
            <w:pPr>
              <w:pStyle w:val="ExhibitText"/>
              <w:jc w:val="center"/>
              <w:rPr>
                <w:szCs w:val="22"/>
                <w:lang w:val="en-GB" w:bidi="bn-IN"/>
              </w:rPr>
            </w:pPr>
            <w:r w:rsidRPr="00F35168">
              <w:rPr>
                <w:szCs w:val="22"/>
                <w:lang w:val="en-GB" w:bidi="bn-IN"/>
              </w:rPr>
              <w:t>6</w:t>
            </w:r>
          </w:p>
        </w:tc>
        <w:tc>
          <w:tcPr>
            <w:tcW w:w="1440" w:type="dxa"/>
            <w:tcBorders>
              <w:top w:val="nil"/>
              <w:left w:val="nil"/>
              <w:bottom w:val="single" w:sz="4" w:space="0" w:color="auto"/>
              <w:right w:val="single" w:sz="4" w:space="0" w:color="auto"/>
            </w:tcBorders>
            <w:shd w:val="clear" w:color="auto" w:fill="auto"/>
            <w:noWrap/>
            <w:vAlign w:val="bottom"/>
            <w:hideMark/>
          </w:tcPr>
          <w:p w14:paraId="35809834"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215BC61A" w14:textId="77777777" w:rsidR="009130CD" w:rsidRPr="00F35168" w:rsidRDefault="009130CD" w:rsidP="00523861">
            <w:pPr>
              <w:pStyle w:val="ExhibitText"/>
              <w:jc w:val="right"/>
              <w:rPr>
                <w:szCs w:val="22"/>
                <w:lang w:val="en-GB" w:bidi="bn-IN"/>
              </w:rPr>
            </w:pPr>
            <w:r w:rsidRPr="00F35168">
              <w:rPr>
                <w:szCs w:val="22"/>
                <w:lang w:val="en-GB" w:bidi="bn-IN"/>
              </w:rPr>
              <w:t>5</w:t>
            </w:r>
          </w:p>
        </w:tc>
      </w:tr>
      <w:tr w:rsidR="009130CD" w:rsidRPr="00AA6A72" w14:paraId="4EF7B461"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185EFFB8" w14:textId="77777777" w:rsidR="009130CD" w:rsidRPr="00F35168" w:rsidRDefault="009130CD" w:rsidP="00433F68">
            <w:pPr>
              <w:pStyle w:val="ExhibitText"/>
              <w:jc w:val="center"/>
              <w:rPr>
                <w:szCs w:val="22"/>
                <w:lang w:val="en-GB" w:bidi="bn-IN"/>
              </w:rPr>
            </w:pPr>
            <w:r w:rsidRPr="00F35168">
              <w:rPr>
                <w:szCs w:val="22"/>
                <w:lang w:val="en-GB" w:bidi="bn-IN"/>
              </w:rPr>
              <w:t>7</w:t>
            </w:r>
          </w:p>
        </w:tc>
        <w:tc>
          <w:tcPr>
            <w:tcW w:w="1440" w:type="dxa"/>
            <w:tcBorders>
              <w:top w:val="nil"/>
              <w:left w:val="nil"/>
              <w:bottom w:val="single" w:sz="4" w:space="0" w:color="auto"/>
              <w:right w:val="single" w:sz="4" w:space="0" w:color="auto"/>
            </w:tcBorders>
            <w:shd w:val="clear" w:color="auto" w:fill="auto"/>
            <w:noWrap/>
            <w:vAlign w:val="bottom"/>
            <w:hideMark/>
          </w:tcPr>
          <w:p w14:paraId="0F850605"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7D44AEED" w14:textId="77777777" w:rsidR="009130CD" w:rsidRPr="00F35168" w:rsidRDefault="009130CD" w:rsidP="00523861">
            <w:pPr>
              <w:pStyle w:val="ExhibitText"/>
              <w:jc w:val="right"/>
              <w:rPr>
                <w:szCs w:val="22"/>
                <w:lang w:val="en-GB" w:bidi="bn-IN"/>
              </w:rPr>
            </w:pPr>
            <w:r w:rsidRPr="00F35168">
              <w:rPr>
                <w:szCs w:val="22"/>
                <w:lang w:val="en-GB" w:bidi="bn-IN"/>
              </w:rPr>
              <w:t>12</w:t>
            </w:r>
          </w:p>
        </w:tc>
      </w:tr>
      <w:tr w:rsidR="009130CD" w:rsidRPr="00AA6A72" w14:paraId="6105EC69"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0FCFD7DD" w14:textId="77777777" w:rsidR="009130CD" w:rsidRPr="00F35168" w:rsidRDefault="009130CD" w:rsidP="00433F68">
            <w:pPr>
              <w:pStyle w:val="ExhibitText"/>
              <w:jc w:val="center"/>
              <w:rPr>
                <w:szCs w:val="22"/>
                <w:lang w:val="en-GB" w:bidi="bn-IN"/>
              </w:rPr>
            </w:pPr>
            <w:r w:rsidRPr="00F35168">
              <w:rPr>
                <w:szCs w:val="22"/>
                <w:lang w:val="en-GB" w:bidi="bn-IN"/>
              </w:rPr>
              <w:t>8</w:t>
            </w:r>
          </w:p>
        </w:tc>
        <w:tc>
          <w:tcPr>
            <w:tcW w:w="1440" w:type="dxa"/>
            <w:tcBorders>
              <w:top w:val="nil"/>
              <w:left w:val="nil"/>
              <w:bottom w:val="single" w:sz="4" w:space="0" w:color="auto"/>
              <w:right w:val="single" w:sz="4" w:space="0" w:color="auto"/>
            </w:tcBorders>
            <w:shd w:val="clear" w:color="auto" w:fill="auto"/>
            <w:noWrap/>
            <w:vAlign w:val="bottom"/>
            <w:hideMark/>
          </w:tcPr>
          <w:p w14:paraId="3398FEF8"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0F7A4717" w14:textId="77777777" w:rsidR="009130CD" w:rsidRPr="00F35168" w:rsidRDefault="009130CD" w:rsidP="00523861">
            <w:pPr>
              <w:pStyle w:val="ExhibitText"/>
              <w:jc w:val="right"/>
              <w:rPr>
                <w:szCs w:val="22"/>
                <w:lang w:val="en-GB" w:bidi="bn-IN"/>
              </w:rPr>
            </w:pPr>
            <w:r w:rsidRPr="00F35168">
              <w:rPr>
                <w:szCs w:val="22"/>
                <w:lang w:val="en-GB" w:bidi="bn-IN"/>
              </w:rPr>
              <w:t>17</w:t>
            </w:r>
          </w:p>
        </w:tc>
      </w:tr>
      <w:tr w:rsidR="009130CD" w:rsidRPr="00AA6A72" w14:paraId="3021FCD3"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B4B54AE" w14:textId="77777777" w:rsidR="009130CD" w:rsidRPr="00F35168" w:rsidRDefault="009130CD" w:rsidP="00433F68">
            <w:pPr>
              <w:pStyle w:val="ExhibitText"/>
              <w:jc w:val="center"/>
              <w:rPr>
                <w:szCs w:val="22"/>
                <w:lang w:val="en-GB" w:bidi="bn-IN"/>
              </w:rPr>
            </w:pPr>
            <w:r w:rsidRPr="00F35168">
              <w:rPr>
                <w:szCs w:val="22"/>
                <w:lang w:val="en-GB" w:bidi="bn-IN"/>
              </w:rPr>
              <w:t>9</w:t>
            </w:r>
          </w:p>
        </w:tc>
        <w:tc>
          <w:tcPr>
            <w:tcW w:w="1440" w:type="dxa"/>
            <w:tcBorders>
              <w:top w:val="nil"/>
              <w:left w:val="nil"/>
              <w:bottom w:val="single" w:sz="4" w:space="0" w:color="auto"/>
              <w:right w:val="single" w:sz="4" w:space="0" w:color="auto"/>
            </w:tcBorders>
            <w:shd w:val="clear" w:color="auto" w:fill="auto"/>
            <w:noWrap/>
            <w:vAlign w:val="bottom"/>
            <w:hideMark/>
          </w:tcPr>
          <w:p w14:paraId="53FC7D90"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1869DBCD" w14:textId="77777777" w:rsidR="009130CD" w:rsidRPr="00F35168" w:rsidRDefault="009130CD" w:rsidP="00523861">
            <w:pPr>
              <w:pStyle w:val="ExhibitText"/>
              <w:jc w:val="right"/>
              <w:rPr>
                <w:szCs w:val="22"/>
                <w:lang w:val="en-GB" w:bidi="bn-IN"/>
              </w:rPr>
            </w:pPr>
            <w:r w:rsidRPr="00F35168">
              <w:rPr>
                <w:szCs w:val="22"/>
                <w:lang w:val="en-GB" w:bidi="bn-IN"/>
              </w:rPr>
              <w:t>21</w:t>
            </w:r>
          </w:p>
        </w:tc>
      </w:tr>
      <w:tr w:rsidR="009130CD" w:rsidRPr="00AA6A72" w14:paraId="5D9EFC62"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22ECEAB8" w14:textId="77777777" w:rsidR="009130CD" w:rsidRPr="00F35168" w:rsidRDefault="009130CD" w:rsidP="00433F68">
            <w:pPr>
              <w:pStyle w:val="ExhibitText"/>
              <w:jc w:val="center"/>
              <w:rPr>
                <w:szCs w:val="22"/>
                <w:lang w:val="en-GB" w:bidi="bn-IN"/>
              </w:rPr>
            </w:pPr>
            <w:r w:rsidRPr="00F35168">
              <w:rPr>
                <w:szCs w:val="22"/>
                <w:lang w:val="en-GB" w:bidi="bn-IN"/>
              </w:rPr>
              <w:t>10</w:t>
            </w:r>
          </w:p>
        </w:tc>
        <w:tc>
          <w:tcPr>
            <w:tcW w:w="1440" w:type="dxa"/>
            <w:tcBorders>
              <w:top w:val="nil"/>
              <w:left w:val="nil"/>
              <w:bottom w:val="single" w:sz="4" w:space="0" w:color="auto"/>
              <w:right w:val="single" w:sz="4" w:space="0" w:color="auto"/>
            </w:tcBorders>
            <w:shd w:val="clear" w:color="auto" w:fill="auto"/>
            <w:noWrap/>
            <w:vAlign w:val="bottom"/>
            <w:hideMark/>
          </w:tcPr>
          <w:p w14:paraId="75F553EE"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5FA1CF6A" w14:textId="77777777" w:rsidR="009130CD" w:rsidRPr="00F35168" w:rsidRDefault="009130CD" w:rsidP="00523861">
            <w:pPr>
              <w:pStyle w:val="ExhibitText"/>
              <w:jc w:val="right"/>
              <w:rPr>
                <w:szCs w:val="22"/>
                <w:lang w:val="en-GB" w:bidi="bn-IN"/>
              </w:rPr>
            </w:pPr>
            <w:r w:rsidRPr="00F35168">
              <w:rPr>
                <w:szCs w:val="22"/>
                <w:lang w:val="en-GB" w:bidi="bn-IN"/>
              </w:rPr>
              <w:t>20</w:t>
            </w:r>
          </w:p>
        </w:tc>
      </w:tr>
      <w:tr w:rsidR="009130CD" w:rsidRPr="00AA6A72" w14:paraId="7254E7B6"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7452481" w14:textId="77777777" w:rsidR="009130CD" w:rsidRPr="00F35168" w:rsidRDefault="009130CD" w:rsidP="00433F68">
            <w:pPr>
              <w:pStyle w:val="ExhibitText"/>
              <w:jc w:val="center"/>
              <w:rPr>
                <w:szCs w:val="22"/>
                <w:lang w:val="en-GB" w:bidi="bn-IN"/>
              </w:rPr>
            </w:pPr>
            <w:r w:rsidRPr="00F35168">
              <w:rPr>
                <w:szCs w:val="22"/>
                <w:lang w:val="en-GB" w:bidi="bn-IN"/>
              </w:rPr>
              <w:t>11</w:t>
            </w:r>
          </w:p>
        </w:tc>
        <w:tc>
          <w:tcPr>
            <w:tcW w:w="1440" w:type="dxa"/>
            <w:tcBorders>
              <w:top w:val="nil"/>
              <w:left w:val="nil"/>
              <w:bottom w:val="single" w:sz="4" w:space="0" w:color="auto"/>
              <w:right w:val="single" w:sz="4" w:space="0" w:color="auto"/>
            </w:tcBorders>
            <w:shd w:val="clear" w:color="auto" w:fill="auto"/>
            <w:noWrap/>
            <w:vAlign w:val="bottom"/>
            <w:hideMark/>
          </w:tcPr>
          <w:p w14:paraId="729627BA"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057EF3A0" w14:textId="77777777" w:rsidR="009130CD" w:rsidRPr="00F35168" w:rsidRDefault="009130CD" w:rsidP="00523861">
            <w:pPr>
              <w:pStyle w:val="ExhibitText"/>
              <w:jc w:val="right"/>
              <w:rPr>
                <w:szCs w:val="22"/>
                <w:lang w:val="en-GB" w:bidi="bn-IN"/>
              </w:rPr>
            </w:pPr>
            <w:r w:rsidRPr="00F35168">
              <w:rPr>
                <w:szCs w:val="22"/>
                <w:lang w:val="en-GB" w:bidi="bn-IN"/>
              </w:rPr>
              <w:t>9</w:t>
            </w:r>
          </w:p>
        </w:tc>
      </w:tr>
      <w:tr w:rsidR="009130CD" w:rsidRPr="00AA6A72" w14:paraId="5ED616BD"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E4A1FDD" w14:textId="77777777" w:rsidR="009130CD" w:rsidRPr="00F35168" w:rsidRDefault="009130CD" w:rsidP="00433F68">
            <w:pPr>
              <w:pStyle w:val="ExhibitText"/>
              <w:jc w:val="center"/>
              <w:rPr>
                <w:szCs w:val="22"/>
                <w:lang w:val="en-GB" w:bidi="bn-IN"/>
              </w:rPr>
            </w:pPr>
            <w:r w:rsidRPr="00F35168">
              <w:rPr>
                <w:szCs w:val="22"/>
                <w:lang w:val="en-GB" w:bidi="bn-IN"/>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CB526BF"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0C9C2F7A" w14:textId="77777777" w:rsidR="009130CD" w:rsidRPr="00F35168" w:rsidRDefault="009130CD" w:rsidP="00523861">
            <w:pPr>
              <w:pStyle w:val="ExhibitText"/>
              <w:jc w:val="right"/>
              <w:rPr>
                <w:szCs w:val="22"/>
                <w:lang w:val="en-GB" w:bidi="bn-IN"/>
              </w:rPr>
            </w:pPr>
            <w:r w:rsidRPr="00F35168">
              <w:rPr>
                <w:szCs w:val="22"/>
                <w:lang w:val="en-GB" w:bidi="bn-IN"/>
              </w:rPr>
              <w:t>7</w:t>
            </w:r>
          </w:p>
        </w:tc>
      </w:tr>
      <w:tr w:rsidR="009130CD" w:rsidRPr="00AA6A72" w14:paraId="4B23A45C"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56332C12" w14:textId="77777777" w:rsidR="009130CD" w:rsidRPr="00F35168" w:rsidRDefault="009130CD" w:rsidP="00433F68">
            <w:pPr>
              <w:pStyle w:val="ExhibitText"/>
              <w:jc w:val="center"/>
              <w:rPr>
                <w:szCs w:val="22"/>
                <w:lang w:val="en-GB" w:bidi="bn-IN"/>
              </w:rPr>
            </w:pPr>
            <w:r w:rsidRPr="00F35168">
              <w:rPr>
                <w:szCs w:val="22"/>
                <w:lang w:val="en-GB" w:bidi="bn-IN"/>
              </w:rPr>
              <w:t>13</w:t>
            </w:r>
          </w:p>
        </w:tc>
        <w:tc>
          <w:tcPr>
            <w:tcW w:w="1440" w:type="dxa"/>
            <w:tcBorders>
              <w:top w:val="nil"/>
              <w:left w:val="nil"/>
              <w:bottom w:val="single" w:sz="4" w:space="0" w:color="auto"/>
              <w:right w:val="single" w:sz="4" w:space="0" w:color="auto"/>
            </w:tcBorders>
            <w:shd w:val="clear" w:color="auto" w:fill="auto"/>
            <w:noWrap/>
            <w:vAlign w:val="bottom"/>
            <w:hideMark/>
          </w:tcPr>
          <w:p w14:paraId="042E9F76"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0BA81B15" w14:textId="77777777" w:rsidR="009130CD" w:rsidRPr="00F35168" w:rsidRDefault="009130CD" w:rsidP="00523861">
            <w:pPr>
              <w:pStyle w:val="ExhibitText"/>
              <w:jc w:val="right"/>
              <w:rPr>
                <w:szCs w:val="22"/>
                <w:lang w:val="en-GB" w:bidi="bn-IN"/>
              </w:rPr>
            </w:pPr>
            <w:r w:rsidRPr="00F35168">
              <w:rPr>
                <w:szCs w:val="22"/>
                <w:lang w:val="en-GB" w:bidi="bn-IN"/>
              </w:rPr>
              <w:t>5</w:t>
            </w:r>
          </w:p>
        </w:tc>
      </w:tr>
      <w:tr w:rsidR="009130CD" w:rsidRPr="00AA6A72" w14:paraId="1E89594B"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1652BF3" w14:textId="77777777" w:rsidR="009130CD" w:rsidRPr="00F35168" w:rsidRDefault="009130CD" w:rsidP="00433F68">
            <w:pPr>
              <w:pStyle w:val="ExhibitText"/>
              <w:jc w:val="center"/>
              <w:rPr>
                <w:szCs w:val="22"/>
                <w:lang w:val="en-GB" w:bidi="bn-IN"/>
              </w:rPr>
            </w:pPr>
            <w:r w:rsidRPr="00F35168">
              <w:rPr>
                <w:szCs w:val="22"/>
                <w:lang w:val="en-GB" w:bidi="bn-IN"/>
              </w:rPr>
              <w:t>14</w:t>
            </w:r>
          </w:p>
        </w:tc>
        <w:tc>
          <w:tcPr>
            <w:tcW w:w="1440" w:type="dxa"/>
            <w:tcBorders>
              <w:top w:val="nil"/>
              <w:left w:val="nil"/>
              <w:bottom w:val="single" w:sz="4" w:space="0" w:color="auto"/>
              <w:right w:val="single" w:sz="4" w:space="0" w:color="auto"/>
            </w:tcBorders>
            <w:shd w:val="clear" w:color="auto" w:fill="auto"/>
            <w:noWrap/>
            <w:vAlign w:val="bottom"/>
            <w:hideMark/>
          </w:tcPr>
          <w:p w14:paraId="1153CA8B"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568DF1FD" w14:textId="77777777" w:rsidR="009130CD" w:rsidRPr="00F35168" w:rsidRDefault="009130CD" w:rsidP="00523861">
            <w:pPr>
              <w:pStyle w:val="ExhibitText"/>
              <w:jc w:val="right"/>
              <w:rPr>
                <w:szCs w:val="22"/>
                <w:lang w:val="en-GB" w:bidi="bn-IN"/>
              </w:rPr>
            </w:pPr>
            <w:r w:rsidRPr="00F35168">
              <w:rPr>
                <w:szCs w:val="22"/>
                <w:lang w:val="en-GB" w:bidi="bn-IN"/>
              </w:rPr>
              <w:t>11</w:t>
            </w:r>
          </w:p>
        </w:tc>
      </w:tr>
      <w:tr w:rsidR="009130CD" w:rsidRPr="00AA6A72" w14:paraId="398C6384"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163358AE" w14:textId="77777777" w:rsidR="009130CD" w:rsidRPr="00F35168" w:rsidRDefault="009130CD" w:rsidP="00433F68">
            <w:pPr>
              <w:pStyle w:val="ExhibitText"/>
              <w:jc w:val="center"/>
              <w:rPr>
                <w:szCs w:val="22"/>
                <w:lang w:val="en-GB" w:bidi="bn-IN"/>
              </w:rPr>
            </w:pPr>
            <w:r w:rsidRPr="00F35168">
              <w:rPr>
                <w:szCs w:val="22"/>
                <w:lang w:val="en-GB" w:bidi="bn-IN"/>
              </w:rPr>
              <w:t>15</w:t>
            </w:r>
          </w:p>
        </w:tc>
        <w:tc>
          <w:tcPr>
            <w:tcW w:w="1440" w:type="dxa"/>
            <w:tcBorders>
              <w:top w:val="nil"/>
              <w:left w:val="nil"/>
              <w:bottom w:val="single" w:sz="4" w:space="0" w:color="auto"/>
              <w:right w:val="single" w:sz="4" w:space="0" w:color="auto"/>
            </w:tcBorders>
            <w:shd w:val="clear" w:color="auto" w:fill="auto"/>
            <w:noWrap/>
            <w:vAlign w:val="bottom"/>
            <w:hideMark/>
          </w:tcPr>
          <w:p w14:paraId="4ADDDB29"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3C2D8677" w14:textId="77777777" w:rsidR="009130CD" w:rsidRPr="00F35168" w:rsidRDefault="009130CD" w:rsidP="00523861">
            <w:pPr>
              <w:pStyle w:val="ExhibitText"/>
              <w:jc w:val="right"/>
              <w:rPr>
                <w:szCs w:val="22"/>
                <w:lang w:val="en-GB" w:bidi="bn-IN"/>
              </w:rPr>
            </w:pPr>
            <w:r w:rsidRPr="00F35168">
              <w:rPr>
                <w:szCs w:val="22"/>
                <w:lang w:val="en-GB" w:bidi="bn-IN"/>
              </w:rPr>
              <w:t>21</w:t>
            </w:r>
          </w:p>
        </w:tc>
      </w:tr>
      <w:tr w:rsidR="009130CD" w:rsidRPr="00AA6A72" w14:paraId="2AA6E247"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59D28216" w14:textId="77777777" w:rsidR="009130CD" w:rsidRPr="00F35168" w:rsidRDefault="009130CD" w:rsidP="00433F68">
            <w:pPr>
              <w:pStyle w:val="ExhibitText"/>
              <w:jc w:val="center"/>
              <w:rPr>
                <w:szCs w:val="22"/>
                <w:lang w:val="en-GB" w:bidi="bn-IN"/>
              </w:rPr>
            </w:pPr>
            <w:r w:rsidRPr="00F35168">
              <w:rPr>
                <w:szCs w:val="22"/>
                <w:lang w:val="en-GB" w:bidi="bn-IN"/>
              </w:rPr>
              <w:t>16</w:t>
            </w:r>
          </w:p>
        </w:tc>
        <w:tc>
          <w:tcPr>
            <w:tcW w:w="1440" w:type="dxa"/>
            <w:tcBorders>
              <w:top w:val="nil"/>
              <w:left w:val="nil"/>
              <w:bottom w:val="single" w:sz="4" w:space="0" w:color="auto"/>
              <w:right w:val="single" w:sz="4" w:space="0" w:color="auto"/>
            </w:tcBorders>
            <w:shd w:val="clear" w:color="auto" w:fill="auto"/>
            <w:noWrap/>
            <w:vAlign w:val="bottom"/>
            <w:hideMark/>
          </w:tcPr>
          <w:p w14:paraId="7BD57C9A"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481A0E64" w14:textId="77777777" w:rsidR="009130CD" w:rsidRPr="00F35168" w:rsidRDefault="009130CD" w:rsidP="00523861">
            <w:pPr>
              <w:pStyle w:val="ExhibitText"/>
              <w:jc w:val="right"/>
              <w:rPr>
                <w:szCs w:val="22"/>
                <w:lang w:val="en-GB" w:bidi="bn-IN"/>
              </w:rPr>
            </w:pPr>
            <w:r w:rsidRPr="00F35168">
              <w:rPr>
                <w:szCs w:val="22"/>
                <w:lang w:val="en-GB" w:bidi="bn-IN"/>
              </w:rPr>
              <w:t>14</w:t>
            </w:r>
          </w:p>
        </w:tc>
      </w:tr>
      <w:tr w:rsidR="009130CD" w:rsidRPr="00AA6A72" w14:paraId="53915E18"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5F43905D" w14:textId="77777777" w:rsidR="009130CD" w:rsidRPr="00F35168" w:rsidRDefault="009130CD" w:rsidP="00433F68">
            <w:pPr>
              <w:pStyle w:val="ExhibitText"/>
              <w:jc w:val="center"/>
              <w:rPr>
                <w:szCs w:val="22"/>
                <w:lang w:val="en-GB" w:bidi="bn-IN"/>
              </w:rPr>
            </w:pPr>
            <w:r w:rsidRPr="00F35168">
              <w:rPr>
                <w:szCs w:val="22"/>
                <w:lang w:val="en-GB" w:bidi="bn-IN"/>
              </w:rPr>
              <w:t>17</w:t>
            </w:r>
          </w:p>
        </w:tc>
        <w:tc>
          <w:tcPr>
            <w:tcW w:w="1440" w:type="dxa"/>
            <w:tcBorders>
              <w:top w:val="nil"/>
              <w:left w:val="nil"/>
              <w:bottom w:val="single" w:sz="4" w:space="0" w:color="auto"/>
              <w:right w:val="single" w:sz="4" w:space="0" w:color="auto"/>
            </w:tcBorders>
            <w:shd w:val="clear" w:color="auto" w:fill="auto"/>
            <w:noWrap/>
            <w:vAlign w:val="bottom"/>
            <w:hideMark/>
          </w:tcPr>
          <w:p w14:paraId="3E062012"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0C0915AE" w14:textId="77777777" w:rsidR="009130CD" w:rsidRPr="00F35168" w:rsidRDefault="009130CD" w:rsidP="00523861">
            <w:pPr>
              <w:pStyle w:val="ExhibitText"/>
              <w:jc w:val="right"/>
              <w:rPr>
                <w:szCs w:val="22"/>
                <w:lang w:val="en-GB" w:bidi="bn-IN"/>
              </w:rPr>
            </w:pPr>
            <w:r w:rsidRPr="00F35168">
              <w:rPr>
                <w:szCs w:val="22"/>
                <w:lang w:val="en-GB" w:bidi="bn-IN"/>
              </w:rPr>
              <w:t>10</w:t>
            </w:r>
          </w:p>
        </w:tc>
      </w:tr>
      <w:tr w:rsidR="009130CD" w:rsidRPr="00AA6A72" w14:paraId="58561627"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0AD3AD2B" w14:textId="77777777" w:rsidR="009130CD" w:rsidRPr="00F35168" w:rsidRDefault="009130CD" w:rsidP="00433F68">
            <w:pPr>
              <w:pStyle w:val="ExhibitText"/>
              <w:jc w:val="center"/>
              <w:rPr>
                <w:szCs w:val="22"/>
                <w:lang w:val="en-GB" w:bidi="bn-IN"/>
              </w:rPr>
            </w:pPr>
            <w:r w:rsidRPr="00F35168">
              <w:rPr>
                <w:szCs w:val="22"/>
                <w:lang w:val="en-GB" w:bidi="bn-IN"/>
              </w:rPr>
              <w:t>18</w:t>
            </w:r>
          </w:p>
        </w:tc>
        <w:tc>
          <w:tcPr>
            <w:tcW w:w="1440" w:type="dxa"/>
            <w:tcBorders>
              <w:top w:val="nil"/>
              <w:left w:val="nil"/>
              <w:bottom w:val="single" w:sz="4" w:space="0" w:color="auto"/>
              <w:right w:val="single" w:sz="4" w:space="0" w:color="auto"/>
            </w:tcBorders>
            <w:shd w:val="clear" w:color="auto" w:fill="auto"/>
            <w:noWrap/>
            <w:vAlign w:val="bottom"/>
            <w:hideMark/>
          </w:tcPr>
          <w:p w14:paraId="75A6F40E"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20EDA816" w14:textId="77777777" w:rsidR="009130CD" w:rsidRPr="00F35168" w:rsidRDefault="009130CD" w:rsidP="00523861">
            <w:pPr>
              <w:pStyle w:val="ExhibitText"/>
              <w:jc w:val="right"/>
              <w:rPr>
                <w:szCs w:val="22"/>
                <w:lang w:val="en-GB" w:bidi="bn-IN"/>
              </w:rPr>
            </w:pPr>
            <w:r w:rsidRPr="00F35168">
              <w:rPr>
                <w:szCs w:val="22"/>
                <w:lang w:val="en-GB" w:bidi="bn-IN"/>
              </w:rPr>
              <w:t>3</w:t>
            </w:r>
          </w:p>
        </w:tc>
      </w:tr>
      <w:tr w:rsidR="009130CD" w:rsidRPr="00AA6A72" w14:paraId="59B973DC"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799CBEEA" w14:textId="77777777" w:rsidR="009130CD" w:rsidRPr="00F35168" w:rsidRDefault="009130CD" w:rsidP="00433F68">
            <w:pPr>
              <w:pStyle w:val="ExhibitText"/>
              <w:jc w:val="center"/>
              <w:rPr>
                <w:szCs w:val="22"/>
                <w:lang w:val="en-GB" w:bidi="bn-IN"/>
              </w:rPr>
            </w:pPr>
            <w:r w:rsidRPr="00F35168">
              <w:rPr>
                <w:szCs w:val="22"/>
                <w:lang w:val="en-GB" w:bidi="bn-IN"/>
              </w:rPr>
              <w:t>19</w:t>
            </w:r>
          </w:p>
        </w:tc>
        <w:tc>
          <w:tcPr>
            <w:tcW w:w="1440" w:type="dxa"/>
            <w:tcBorders>
              <w:top w:val="nil"/>
              <w:left w:val="nil"/>
              <w:bottom w:val="single" w:sz="4" w:space="0" w:color="auto"/>
              <w:right w:val="single" w:sz="4" w:space="0" w:color="auto"/>
            </w:tcBorders>
            <w:shd w:val="clear" w:color="auto" w:fill="auto"/>
            <w:noWrap/>
            <w:vAlign w:val="bottom"/>
            <w:hideMark/>
          </w:tcPr>
          <w:p w14:paraId="0D5514AA"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140688C4" w14:textId="77777777" w:rsidR="009130CD" w:rsidRPr="00F35168" w:rsidRDefault="009130CD" w:rsidP="00523861">
            <w:pPr>
              <w:pStyle w:val="ExhibitText"/>
              <w:jc w:val="right"/>
              <w:rPr>
                <w:szCs w:val="22"/>
                <w:lang w:val="en-GB" w:bidi="bn-IN"/>
              </w:rPr>
            </w:pPr>
            <w:r w:rsidRPr="00F35168">
              <w:rPr>
                <w:szCs w:val="22"/>
                <w:lang w:val="en-GB" w:bidi="bn-IN"/>
              </w:rPr>
              <w:t>4</w:t>
            </w:r>
          </w:p>
        </w:tc>
      </w:tr>
      <w:tr w:rsidR="009130CD" w:rsidRPr="00AA6A72" w14:paraId="22B0EA40" w14:textId="77777777" w:rsidTr="00523861">
        <w:trPr>
          <w:trHeight w:val="300"/>
          <w:jc w:val="center"/>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14:paraId="3A9EA2A7" w14:textId="77777777" w:rsidR="009130CD" w:rsidRPr="00F35168" w:rsidRDefault="009130CD" w:rsidP="00433F68">
            <w:pPr>
              <w:pStyle w:val="ExhibitText"/>
              <w:jc w:val="center"/>
              <w:rPr>
                <w:szCs w:val="22"/>
                <w:lang w:val="en-GB" w:bidi="bn-IN"/>
              </w:rPr>
            </w:pPr>
            <w:r w:rsidRPr="00F35168">
              <w:rPr>
                <w:szCs w:val="22"/>
                <w:lang w:val="en-GB" w:bidi="bn-IN"/>
              </w:rPr>
              <w:t>20</w:t>
            </w:r>
          </w:p>
        </w:tc>
        <w:tc>
          <w:tcPr>
            <w:tcW w:w="1440" w:type="dxa"/>
            <w:tcBorders>
              <w:top w:val="nil"/>
              <w:left w:val="nil"/>
              <w:bottom w:val="single" w:sz="4" w:space="0" w:color="auto"/>
              <w:right w:val="single" w:sz="4" w:space="0" w:color="auto"/>
            </w:tcBorders>
            <w:shd w:val="clear" w:color="auto" w:fill="auto"/>
            <w:noWrap/>
            <w:vAlign w:val="bottom"/>
            <w:hideMark/>
          </w:tcPr>
          <w:p w14:paraId="72D2B170" w14:textId="77777777" w:rsidR="009130CD" w:rsidRPr="00F35168" w:rsidRDefault="009130CD" w:rsidP="00523861">
            <w:pPr>
              <w:pStyle w:val="ExhibitText"/>
              <w:jc w:val="right"/>
              <w:rPr>
                <w:szCs w:val="22"/>
                <w:lang w:val="en-GB" w:bidi="bn-IN"/>
              </w:rPr>
            </w:pPr>
            <w:r w:rsidRPr="00F35168">
              <w:rPr>
                <w:szCs w:val="22"/>
                <w:lang w:val="en-GB" w:bidi="bn-IN"/>
              </w:rPr>
              <w:t>200</w:t>
            </w:r>
          </w:p>
        </w:tc>
        <w:tc>
          <w:tcPr>
            <w:tcW w:w="1980" w:type="dxa"/>
            <w:tcBorders>
              <w:top w:val="nil"/>
              <w:left w:val="nil"/>
              <w:bottom w:val="single" w:sz="4" w:space="0" w:color="auto"/>
              <w:right w:val="single" w:sz="4" w:space="0" w:color="auto"/>
            </w:tcBorders>
            <w:shd w:val="clear" w:color="auto" w:fill="auto"/>
            <w:noWrap/>
            <w:vAlign w:val="bottom"/>
            <w:hideMark/>
          </w:tcPr>
          <w:p w14:paraId="17EE0E8D" w14:textId="77777777" w:rsidR="009130CD" w:rsidRPr="00F35168" w:rsidRDefault="009130CD" w:rsidP="00523861">
            <w:pPr>
              <w:pStyle w:val="ExhibitText"/>
              <w:jc w:val="right"/>
              <w:rPr>
                <w:szCs w:val="22"/>
                <w:lang w:val="en-GB" w:bidi="bn-IN"/>
              </w:rPr>
            </w:pPr>
            <w:r w:rsidRPr="00F35168">
              <w:rPr>
                <w:szCs w:val="22"/>
                <w:lang w:val="en-GB" w:bidi="bn-IN"/>
              </w:rPr>
              <w:t>4</w:t>
            </w:r>
          </w:p>
        </w:tc>
      </w:tr>
    </w:tbl>
    <w:p w14:paraId="78176779" w14:textId="77777777" w:rsidR="009130CD" w:rsidRPr="00F35168" w:rsidRDefault="009130CD" w:rsidP="009130CD">
      <w:pPr>
        <w:pStyle w:val="BodyTextMain"/>
        <w:rPr>
          <w:rFonts w:eastAsia="Calibri"/>
          <w:lang w:val="en-GB"/>
        </w:rPr>
      </w:pPr>
    </w:p>
    <w:p w14:paraId="34E97F13" w14:textId="7232B50F" w:rsidR="009130CD" w:rsidRPr="00F35168" w:rsidRDefault="009130CD" w:rsidP="009130CD">
      <w:pPr>
        <w:pStyle w:val="Footnote"/>
        <w:rPr>
          <w:rFonts w:eastAsia="Calibri"/>
          <w:lang w:val="en-GB"/>
        </w:rPr>
      </w:pPr>
      <w:r w:rsidRPr="00F35168">
        <w:rPr>
          <w:rFonts w:eastAsia="Calibri"/>
          <w:lang w:val="en-GB"/>
        </w:rPr>
        <w:t xml:space="preserve">Note: </w:t>
      </w:r>
      <w:bookmarkStart w:id="1" w:name="_Hlk17378033"/>
      <w:r w:rsidR="00473109">
        <w:rPr>
          <w:rFonts w:eastAsia="Calibri"/>
          <w:lang w:val="en-GB"/>
        </w:rPr>
        <w:t>SI No. be</w:t>
      </w:r>
      <w:r w:rsidR="007335D0">
        <w:rPr>
          <w:rFonts w:eastAsia="Calibri"/>
          <w:lang w:val="en-GB"/>
        </w:rPr>
        <w:t>gins with the oldest week (1) and ends with most recent week (20)</w:t>
      </w:r>
      <w:r w:rsidRPr="00F35168">
        <w:rPr>
          <w:rFonts w:eastAsia="Calibri"/>
          <w:lang w:val="en-GB"/>
        </w:rPr>
        <w:t>.</w:t>
      </w:r>
      <w:bookmarkEnd w:id="1"/>
    </w:p>
    <w:p w14:paraId="7CBCC7F4" w14:textId="1EE7B649" w:rsidR="009130CD" w:rsidRPr="00F35168" w:rsidRDefault="009130CD" w:rsidP="009130CD">
      <w:pPr>
        <w:pStyle w:val="Footnote"/>
        <w:rPr>
          <w:rFonts w:eastAsia="Calibri"/>
          <w:lang w:val="en-GB"/>
        </w:rPr>
      </w:pPr>
      <w:r w:rsidRPr="00F35168">
        <w:rPr>
          <w:rFonts w:eastAsia="Calibri"/>
          <w:lang w:val="en-GB"/>
        </w:rPr>
        <w:t xml:space="preserve">Source: </w:t>
      </w:r>
      <w:r w:rsidR="007335D0">
        <w:rPr>
          <w:rFonts w:eastAsia="Calibri"/>
          <w:lang w:val="en-GB"/>
        </w:rPr>
        <w:t xml:space="preserve">Developed </w:t>
      </w:r>
      <w:r w:rsidRPr="00F35168">
        <w:rPr>
          <w:rFonts w:eastAsia="Calibri"/>
          <w:lang w:val="en-GB"/>
        </w:rPr>
        <w:t xml:space="preserve">by the </w:t>
      </w:r>
      <w:r w:rsidR="0011336E">
        <w:rPr>
          <w:rFonts w:eastAsia="Calibri"/>
          <w:lang w:val="en-GB"/>
        </w:rPr>
        <w:t xml:space="preserve">case </w:t>
      </w:r>
      <w:r w:rsidRPr="00F35168">
        <w:rPr>
          <w:rFonts w:eastAsia="Calibri"/>
          <w:lang w:val="en-GB"/>
        </w:rPr>
        <w:t>authors.</w:t>
      </w:r>
    </w:p>
    <w:p w14:paraId="714FC37D" w14:textId="77777777" w:rsidR="009130CD" w:rsidRPr="00F35168" w:rsidRDefault="009130CD" w:rsidP="009130CD">
      <w:pPr>
        <w:pStyle w:val="BodyTextMain"/>
        <w:rPr>
          <w:rFonts w:eastAsia="Calibri"/>
          <w:lang w:val="en-GB"/>
        </w:rPr>
      </w:pPr>
    </w:p>
    <w:p w14:paraId="1C0B8953" w14:textId="77777777" w:rsidR="009130CD" w:rsidRPr="00F35168" w:rsidRDefault="009130CD" w:rsidP="009130CD">
      <w:pPr>
        <w:pStyle w:val="BodyTextMain"/>
        <w:rPr>
          <w:rFonts w:eastAsia="Calibri"/>
          <w:lang w:val="en-GB"/>
        </w:rPr>
      </w:pPr>
    </w:p>
    <w:p w14:paraId="019FF2D3" w14:textId="77777777" w:rsidR="009130CD" w:rsidRPr="00F35168" w:rsidRDefault="009130CD" w:rsidP="009130CD">
      <w:pPr>
        <w:pStyle w:val="ExhibitHeading"/>
        <w:rPr>
          <w:rFonts w:eastAsia="Calibri"/>
          <w:lang w:val="en-GB"/>
        </w:rPr>
      </w:pPr>
      <w:r w:rsidRPr="00F35168">
        <w:rPr>
          <w:rFonts w:eastAsia="Calibri"/>
          <w:lang w:val="en-GB"/>
        </w:rPr>
        <w:t>EXHIBIT 2: CAUSES OF COMPLAINTS ACCORDING TO GATI EMPLOYEES</w:t>
      </w:r>
    </w:p>
    <w:p w14:paraId="70332892" w14:textId="77777777" w:rsidR="009130CD" w:rsidRPr="00F35168" w:rsidRDefault="009130CD" w:rsidP="009130CD">
      <w:pPr>
        <w:pStyle w:val="BodyTextMain"/>
        <w:rPr>
          <w:rFonts w:eastAsia="Calibri"/>
          <w:lang w:val="en-GB"/>
        </w:rPr>
      </w:pPr>
    </w:p>
    <w:tbl>
      <w:tblPr>
        <w:tblW w:w="4670" w:type="dxa"/>
        <w:jc w:val="center"/>
        <w:tblLook w:val="04A0" w:firstRow="1" w:lastRow="0" w:firstColumn="1" w:lastColumn="0" w:noHBand="0" w:noVBand="1"/>
      </w:tblPr>
      <w:tblGrid>
        <w:gridCol w:w="980"/>
        <w:gridCol w:w="2970"/>
        <w:gridCol w:w="794"/>
      </w:tblGrid>
      <w:tr w:rsidR="009130CD" w:rsidRPr="00AA6A72" w14:paraId="06A31642" w14:textId="77777777" w:rsidTr="00523861">
        <w:trPr>
          <w:trHeight w:val="315"/>
          <w:jc w:val="center"/>
        </w:trPr>
        <w:tc>
          <w:tcPr>
            <w:tcW w:w="9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5A8516A" w14:textId="587F41BA" w:rsidR="009130CD" w:rsidRPr="00F35168" w:rsidRDefault="009130CD" w:rsidP="00E024B3">
            <w:pPr>
              <w:pStyle w:val="ExhibitText"/>
              <w:jc w:val="center"/>
              <w:rPr>
                <w:b/>
                <w:szCs w:val="22"/>
                <w:lang w:val="en-GB" w:bidi="bn-IN"/>
              </w:rPr>
            </w:pPr>
            <w:r w:rsidRPr="00F35168">
              <w:rPr>
                <w:b/>
                <w:szCs w:val="22"/>
                <w:lang w:val="en-GB" w:bidi="bn-IN"/>
              </w:rPr>
              <w:t>Sl. No.</w:t>
            </w:r>
          </w:p>
        </w:tc>
        <w:tc>
          <w:tcPr>
            <w:tcW w:w="2970" w:type="dxa"/>
            <w:tcBorders>
              <w:top w:val="single" w:sz="8" w:space="0" w:color="auto"/>
              <w:left w:val="nil"/>
              <w:bottom w:val="single" w:sz="8" w:space="0" w:color="auto"/>
              <w:right w:val="single" w:sz="8" w:space="0" w:color="auto"/>
            </w:tcBorders>
            <w:shd w:val="clear" w:color="auto" w:fill="auto"/>
            <w:noWrap/>
            <w:vAlign w:val="center"/>
            <w:hideMark/>
          </w:tcPr>
          <w:p w14:paraId="554835EF" w14:textId="77777777" w:rsidR="009130CD" w:rsidRPr="00F35168" w:rsidRDefault="009130CD" w:rsidP="00523861">
            <w:pPr>
              <w:pStyle w:val="ExhibitText"/>
              <w:jc w:val="center"/>
              <w:rPr>
                <w:b/>
                <w:szCs w:val="22"/>
                <w:lang w:val="en-GB" w:bidi="bn-IN"/>
              </w:rPr>
            </w:pPr>
            <w:r w:rsidRPr="00F35168">
              <w:rPr>
                <w:b/>
                <w:szCs w:val="22"/>
                <w:lang w:val="en-GB" w:bidi="bn-IN"/>
              </w:rPr>
              <w:t>Probable cause</w:t>
            </w:r>
          </w:p>
        </w:tc>
        <w:tc>
          <w:tcPr>
            <w:tcW w:w="720" w:type="dxa"/>
            <w:tcBorders>
              <w:top w:val="single" w:sz="8" w:space="0" w:color="auto"/>
              <w:left w:val="nil"/>
              <w:bottom w:val="single" w:sz="8" w:space="0" w:color="auto"/>
              <w:right w:val="single" w:sz="8" w:space="0" w:color="auto"/>
            </w:tcBorders>
            <w:shd w:val="clear" w:color="auto" w:fill="auto"/>
            <w:noWrap/>
            <w:vAlign w:val="center"/>
            <w:hideMark/>
          </w:tcPr>
          <w:p w14:paraId="4E49F75A" w14:textId="77777777" w:rsidR="009130CD" w:rsidRPr="00F35168" w:rsidRDefault="009130CD" w:rsidP="00523861">
            <w:pPr>
              <w:pStyle w:val="ExhibitText"/>
              <w:jc w:val="center"/>
              <w:rPr>
                <w:b/>
                <w:szCs w:val="22"/>
                <w:lang w:val="en-GB" w:bidi="bn-IN"/>
              </w:rPr>
            </w:pPr>
            <w:r w:rsidRPr="00F35168">
              <w:rPr>
                <w:b/>
                <w:szCs w:val="22"/>
                <w:lang w:val="en-GB" w:bidi="bn-IN"/>
              </w:rPr>
              <w:t>Count</w:t>
            </w:r>
          </w:p>
        </w:tc>
      </w:tr>
      <w:tr w:rsidR="009130CD" w:rsidRPr="00AA6A72" w14:paraId="16B8BECC" w14:textId="77777777" w:rsidTr="00523861">
        <w:trPr>
          <w:trHeight w:val="232"/>
          <w:jc w:val="center"/>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39999E4B" w14:textId="77777777" w:rsidR="009130CD" w:rsidRPr="00F35168" w:rsidRDefault="009130CD" w:rsidP="00433F68">
            <w:pPr>
              <w:pStyle w:val="ExhibitText"/>
              <w:jc w:val="center"/>
              <w:rPr>
                <w:szCs w:val="22"/>
                <w:lang w:val="en-GB" w:bidi="bn-IN"/>
              </w:rPr>
            </w:pPr>
            <w:r w:rsidRPr="00F35168">
              <w:rPr>
                <w:szCs w:val="22"/>
                <w:lang w:val="en-GB" w:bidi="bn-IN"/>
              </w:rPr>
              <w:t>1</w:t>
            </w:r>
          </w:p>
        </w:tc>
        <w:tc>
          <w:tcPr>
            <w:tcW w:w="2970" w:type="dxa"/>
            <w:tcBorders>
              <w:top w:val="nil"/>
              <w:left w:val="nil"/>
              <w:bottom w:val="single" w:sz="8" w:space="0" w:color="auto"/>
              <w:right w:val="single" w:sz="8" w:space="0" w:color="auto"/>
            </w:tcBorders>
            <w:shd w:val="clear" w:color="auto" w:fill="auto"/>
            <w:noWrap/>
            <w:vAlign w:val="center"/>
            <w:hideMark/>
          </w:tcPr>
          <w:p w14:paraId="555A858D" w14:textId="77777777" w:rsidR="009130CD" w:rsidRPr="00F35168" w:rsidRDefault="009130CD" w:rsidP="00523861">
            <w:pPr>
              <w:pStyle w:val="ExhibitText"/>
              <w:rPr>
                <w:szCs w:val="22"/>
                <w:lang w:val="en-GB" w:bidi="bn-IN"/>
              </w:rPr>
            </w:pPr>
            <w:r w:rsidRPr="00F35168">
              <w:rPr>
                <w:szCs w:val="22"/>
                <w:lang w:val="en-GB" w:bidi="bn-IN"/>
              </w:rPr>
              <w:t>Less agile</w:t>
            </w:r>
          </w:p>
        </w:tc>
        <w:tc>
          <w:tcPr>
            <w:tcW w:w="720" w:type="dxa"/>
            <w:tcBorders>
              <w:top w:val="nil"/>
              <w:left w:val="nil"/>
              <w:bottom w:val="single" w:sz="8" w:space="0" w:color="auto"/>
              <w:right w:val="single" w:sz="8" w:space="0" w:color="auto"/>
            </w:tcBorders>
            <w:shd w:val="clear" w:color="auto" w:fill="auto"/>
            <w:noWrap/>
            <w:vAlign w:val="center"/>
            <w:hideMark/>
          </w:tcPr>
          <w:p w14:paraId="0CC2580E" w14:textId="77777777" w:rsidR="009130CD" w:rsidRPr="00F35168" w:rsidRDefault="009130CD" w:rsidP="00523861">
            <w:pPr>
              <w:pStyle w:val="ExhibitText"/>
              <w:jc w:val="right"/>
              <w:rPr>
                <w:szCs w:val="22"/>
                <w:lang w:val="en-GB" w:bidi="bn-IN"/>
              </w:rPr>
            </w:pPr>
            <w:r w:rsidRPr="00F35168">
              <w:rPr>
                <w:szCs w:val="22"/>
                <w:lang w:val="en-GB" w:bidi="bn-IN"/>
              </w:rPr>
              <w:t>5</w:t>
            </w:r>
          </w:p>
        </w:tc>
      </w:tr>
      <w:tr w:rsidR="009130CD" w:rsidRPr="00AA6A72" w14:paraId="5FE1F0D9" w14:textId="77777777" w:rsidTr="00523861">
        <w:trPr>
          <w:trHeight w:val="259"/>
          <w:jc w:val="center"/>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487C43F1" w14:textId="77777777" w:rsidR="009130CD" w:rsidRPr="00F35168" w:rsidRDefault="009130CD" w:rsidP="00433F68">
            <w:pPr>
              <w:pStyle w:val="ExhibitText"/>
              <w:jc w:val="center"/>
              <w:rPr>
                <w:szCs w:val="22"/>
                <w:lang w:val="en-GB" w:bidi="bn-IN"/>
              </w:rPr>
            </w:pPr>
            <w:r w:rsidRPr="00F35168">
              <w:rPr>
                <w:szCs w:val="22"/>
                <w:lang w:val="en-GB" w:bidi="bn-IN"/>
              </w:rPr>
              <w:t>2</w:t>
            </w:r>
          </w:p>
        </w:tc>
        <w:tc>
          <w:tcPr>
            <w:tcW w:w="2970" w:type="dxa"/>
            <w:tcBorders>
              <w:top w:val="nil"/>
              <w:left w:val="nil"/>
              <w:bottom w:val="single" w:sz="8" w:space="0" w:color="auto"/>
              <w:right w:val="single" w:sz="8" w:space="0" w:color="auto"/>
            </w:tcBorders>
            <w:shd w:val="clear" w:color="auto" w:fill="auto"/>
            <w:vAlign w:val="center"/>
            <w:hideMark/>
          </w:tcPr>
          <w:p w14:paraId="6247585A" w14:textId="77777777" w:rsidR="009130CD" w:rsidRPr="00F35168" w:rsidRDefault="009130CD" w:rsidP="00523861">
            <w:pPr>
              <w:pStyle w:val="ExhibitText"/>
              <w:rPr>
                <w:szCs w:val="22"/>
                <w:lang w:val="en-GB" w:bidi="bn-IN"/>
              </w:rPr>
            </w:pPr>
            <w:r w:rsidRPr="00F35168">
              <w:rPr>
                <w:szCs w:val="22"/>
                <w:lang w:val="en-GB" w:bidi="bn-IN"/>
              </w:rPr>
              <w:t>Delay In loading and unloading</w:t>
            </w:r>
          </w:p>
        </w:tc>
        <w:tc>
          <w:tcPr>
            <w:tcW w:w="720" w:type="dxa"/>
            <w:tcBorders>
              <w:top w:val="nil"/>
              <w:left w:val="nil"/>
              <w:bottom w:val="single" w:sz="8" w:space="0" w:color="auto"/>
              <w:right w:val="single" w:sz="8" w:space="0" w:color="auto"/>
            </w:tcBorders>
            <w:shd w:val="clear" w:color="auto" w:fill="auto"/>
            <w:noWrap/>
            <w:vAlign w:val="center"/>
            <w:hideMark/>
          </w:tcPr>
          <w:p w14:paraId="661572CC" w14:textId="77777777" w:rsidR="009130CD" w:rsidRPr="00F35168" w:rsidRDefault="009130CD" w:rsidP="00523861">
            <w:pPr>
              <w:pStyle w:val="ExhibitText"/>
              <w:jc w:val="right"/>
              <w:rPr>
                <w:szCs w:val="22"/>
                <w:lang w:val="en-GB" w:bidi="bn-IN"/>
              </w:rPr>
            </w:pPr>
            <w:r w:rsidRPr="00F35168">
              <w:rPr>
                <w:szCs w:val="22"/>
                <w:lang w:val="en-GB" w:bidi="bn-IN"/>
              </w:rPr>
              <w:t>41</w:t>
            </w:r>
          </w:p>
        </w:tc>
      </w:tr>
      <w:tr w:rsidR="009130CD" w:rsidRPr="00AA6A72" w14:paraId="1036C48F" w14:textId="77777777" w:rsidTr="00523861">
        <w:trPr>
          <w:trHeight w:val="241"/>
          <w:jc w:val="center"/>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79E18E85" w14:textId="77777777" w:rsidR="009130CD" w:rsidRPr="00F35168" w:rsidRDefault="009130CD" w:rsidP="00433F68">
            <w:pPr>
              <w:pStyle w:val="ExhibitText"/>
              <w:jc w:val="center"/>
              <w:rPr>
                <w:szCs w:val="22"/>
                <w:lang w:val="en-GB" w:bidi="bn-IN"/>
              </w:rPr>
            </w:pPr>
            <w:r w:rsidRPr="00F35168">
              <w:rPr>
                <w:szCs w:val="22"/>
                <w:lang w:val="en-GB" w:bidi="bn-IN"/>
              </w:rPr>
              <w:t>3</w:t>
            </w:r>
          </w:p>
        </w:tc>
        <w:tc>
          <w:tcPr>
            <w:tcW w:w="2970" w:type="dxa"/>
            <w:tcBorders>
              <w:top w:val="nil"/>
              <w:left w:val="nil"/>
              <w:bottom w:val="single" w:sz="8" w:space="0" w:color="auto"/>
              <w:right w:val="single" w:sz="8" w:space="0" w:color="auto"/>
            </w:tcBorders>
            <w:shd w:val="clear" w:color="auto" w:fill="auto"/>
            <w:noWrap/>
            <w:vAlign w:val="center"/>
            <w:hideMark/>
          </w:tcPr>
          <w:p w14:paraId="5D256E6A" w14:textId="77777777" w:rsidR="009130CD" w:rsidRPr="00F35168" w:rsidRDefault="009130CD" w:rsidP="00523861">
            <w:pPr>
              <w:pStyle w:val="ExhibitText"/>
              <w:rPr>
                <w:szCs w:val="22"/>
                <w:lang w:val="en-GB" w:bidi="bn-IN"/>
              </w:rPr>
            </w:pPr>
            <w:r w:rsidRPr="00F35168">
              <w:rPr>
                <w:szCs w:val="22"/>
                <w:lang w:val="en-GB" w:bidi="bn-IN"/>
              </w:rPr>
              <w:t>Fraudulent customers</w:t>
            </w:r>
          </w:p>
        </w:tc>
        <w:tc>
          <w:tcPr>
            <w:tcW w:w="720" w:type="dxa"/>
            <w:tcBorders>
              <w:top w:val="nil"/>
              <w:left w:val="nil"/>
              <w:bottom w:val="single" w:sz="8" w:space="0" w:color="auto"/>
              <w:right w:val="single" w:sz="8" w:space="0" w:color="auto"/>
            </w:tcBorders>
            <w:shd w:val="clear" w:color="auto" w:fill="auto"/>
            <w:noWrap/>
            <w:vAlign w:val="center"/>
            <w:hideMark/>
          </w:tcPr>
          <w:p w14:paraId="0009BA25" w14:textId="77777777" w:rsidR="009130CD" w:rsidRPr="00F35168" w:rsidRDefault="009130CD" w:rsidP="00523861">
            <w:pPr>
              <w:pStyle w:val="ExhibitText"/>
              <w:jc w:val="right"/>
              <w:rPr>
                <w:szCs w:val="22"/>
                <w:lang w:val="en-GB" w:bidi="bn-IN"/>
              </w:rPr>
            </w:pPr>
            <w:r w:rsidRPr="00F35168">
              <w:rPr>
                <w:szCs w:val="22"/>
                <w:lang w:val="en-GB" w:bidi="bn-IN"/>
              </w:rPr>
              <w:t>14</w:t>
            </w:r>
          </w:p>
        </w:tc>
      </w:tr>
      <w:tr w:rsidR="009130CD" w:rsidRPr="00AA6A72" w14:paraId="41F8C646" w14:textId="77777777" w:rsidTr="00523861">
        <w:trPr>
          <w:trHeight w:val="160"/>
          <w:jc w:val="center"/>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201F4E63" w14:textId="77777777" w:rsidR="009130CD" w:rsidRPr="00F35168" w:rsidRDefault="009130CD" w:rsidP="00433F68">
            <w:pPr>
              <w:pStyle w:val="ExhibitText"/>
              <w:jc w:val="center"/>
              <w:rPr>
                <w:szCs w:val="22"/>
                <w:lang w:val="en-GB" w:bidi="bn-IN"/>
              </w:rPr>
            </w:pPr>
            <w:r w:rsidRPr="00F35168">
              <w:rPr>
                <w:szCs w:val="22"/>
                <w:lang w:val="en-GB" w:bidi="bn-IN"/>
              </w:rPr>
              <w:t>4</w:t>
            </w:r>
          </w:p>
        </w:tc>
        <w:tc>
          <w:tcPr>
            <w:tcW w:w="2970" w:type="dxa"/>
            <w:tcBorders>
              <w:top w:val="nil"/>
              <w:left w:val="nil"/>
              <w:bottom w:val="single" w:sz="8" w:space="0" w:color="auto"/>
              <w:right w:val="single" w:sz="8" w:space="0" w:color="auto"/>
            </w:tcBorders>
            <w:shd w:val="clear" w:color="auto" w:fill="auto"/>
            <w:noWrap/>
            <w:vAlign w:val="center"/>
            <w:hideMark/>
          </w:tcPr>
          <w:p w14:paraId="6C0EE214" w14:textId="77777777" w:rsidR="009130CD" w:rsidRPr="00F35168" w:rsidRDefault="009130CD" w:rsidP="00523861">
            <w:pPr>
              <w:pStyle w:val="ExhibitText"/>
              <w:rPr>
                <w:szCs w:val="22"/>
                <w:lang w:val="en-GB" w:bidi="bn-IN"/>
              </w:rPr>
            </w:pPr>
            <w:r w:rsidRPr="00F35168">
              <w:rPr>
                <w:szCs w:val="22"/>
                <w:lang w:val="en-GB" w:bidi="bn-IN"/>
              </w:rPr>
              <w:t>Rely on vendors</w:t>
            </w:r>
          </w:p>
        </w:tc>
        <w:tc>
          <w:tcPr>
            <w:tcW w:w="720" w:type="dxa"/>
            <w:tcBorders>
              <w:top w:val="nil"/>
              <w:left w:val="nil"/>
              <w:bottom w:val="single" w:sz="8" w:space="0" w:color="auto"/>
              <w:right w:val="single" w:sz="8" w:space="0" w:color="auto"/>
            </w:tcBorders>
            <w:shd w:val="clear" w:color="auto" w:fill="auto"/>
            <w:noWrap/>
            <w:vAlign w:val="center"/>
            <w:hideMark/>
          </w:tcPr>
          <w:p w14:paraId="12041726" w14:textId="77777777" w:rsidR="009130CD" w:rsidRPr="00F35168" w:rsidRDefault="009130CD" w:rsidP="00523861">
            <w:pPr>
              <w:pStyle w:val="ExhibitText"/>
              <w:jc w:val="right"/>
              <w:rPr>
                <w:szCs w:val="22"/>
                <w:lang w:val="en-GB" w:bidi="bn-IN"/>
              </w:rPr>
            </w:pPr>
            <w:r w:rsidRPr="00F35168">
              <w:rPr>
                <w:szCs w:val="22"/>
                <w:lang w:val="en-GB" w:bidi="bn-IN"/>
              </w:rPr>
              <w:t>108</w:t>
            </w:r>
          </w:p>
        </w:tc>
      </w:tr>
      <w:tr w:rsidR="009130CD" w:rsidRPr="00AA6A72" w14:paraId="110C6EDF" w14:textId="77777777" w:rsidTr="00523861">
        <w:trPr>
          <w:trHeight w:val="268"/>
          <w:jc w:val="center"/>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7FDB517A" w14:textId="77777777" w:rsidR="009130CD" w:rsidRPr="00F35168" w:rsidRDefault="009130CD" w:rsidP="00433F68">
            <w:pPr>
              <w:pStyle w:val="ExhibitText"/>
              <w:jc w:val="center"/>
              <w:rPr>
                <w:szCs w:val="22"/>
                <w:lang w:val="en-GB" w:bidi="bn-IN"/>
              </w:rPr>
            </w:pPr>
            <w:r w:rsidRPr="00F35168">
              <w:rPr>
                <w:szCs w:val="22"/>
                <w:lang w:val="en-GB" w:bidi="bn-IN"/>
              </w:rPr>
              <w:t>5</w:t>
            </w:r>
          </w:p>
        </w:tc>
        <w:tc>
          <w:tcPr>
            <w:tcW w:w="2970" w:type="dxa"/>
            <w:tcBorders>
              <w:top w:val="nil"/>
              <w:left w:val="nil"/>
              <w:bottom w:val="single" w:sz="8" w:space="0" w:color="auto"/>
              <w:right w:val="single" w:sz="8" w:space="0" w:color="auto"/>
            </w:tcBorders>
            <w:shd w:val="clear" w:color="auto" w:fill="auto"/>
            <w:noWrap/>
            <w:vAlign w:val="center"/>
            <w:hideMark/>
          </w:tcPr>
          <w:p w14:paraId="1BD1C4A9" w14:textId="77777777" w:rsidR="009130CD" w:rsidRPr="00F35168" w:rsidRDefault="009130CD" w:rsidP="00523861">
            <w:pPr>
              <w:pStyle w:val="ExhibitText"/>
              <w:rPr>
                <w:szCs w:val="22"/>
                <w:lang w:val="en-GB" w:bidi="bn-IN"/>
              </w:rPr>
            </w:pPr>
            <w:r w:rsidRPr="00F35168">
              <w:rPr>
                <w:szCs w:val="22"/>
                <w:lang w:val="en-GB" w:bidi="bn-IN"/>
              </w:rPr>
              <w:t>Outdated trucks</w:t>
            </w:r>
          </w:p>
        </w:tc>
        <w:tc>
          <w:tcPr>
            <w:tcW w:w="720" w:type="dxa"/>
            <w:tcBorders>
              <w:top w:val="nil"/>
              <w:left w:val="nil"/>
              <w:bottom w:val="single" w:sz="8" w:space="0" w:color="auto"/>
              <w:right w:val="single" w:sz="8" w:space="0" w:color="auto"/>
            </w:tcBorders>
            <w:shd w:val="clear" w:color="auto" w:fill="auto"/>
            <w:noWrap/>
            <w:vAlign w:val="center"/>
            <w:hideMark/>
          </w:tcPr>
          <w:p w14:paraId="59724D4D" w14:textId="77777777" w:rsidR="009130CD" w:rsidRPr="00F35168" w:rsidRDefault="009130CD" w:rsidP="00523861">
            <w:pPr>
              <w:pStyle w:val="ExhibitText"/>
              <w:jc w:val="right"/>
              <w:rPr>
                <w:szCs w:val="22"/>
                <w:lang w:val="en-GB" w:bidi="bn-IN"/>
              </w:rPr>
            </w:pPr>
            <w:r w:rsidRPr="00F35168">
              <w:rPr>
                <w:szCs w:val="22"/>
                <w:lang w:val="en-GB" w:bidi="bn-IN"/>
              </w:rPr>
              <w:t>10</w:t>
            </w:r>
          </w:p>
        </w:tc>
      </w:tr>
      <w:tr w:rsidR="009130CD" w:rsidRPr="00AA6A72" w14:paraId="442E8483" w14:textId="77777777" w:rsidTr="00523861">
        <w:trPr>
          <w:trHeight w:val="250"/>
          <w:jc w:val="center"/>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25062A12" w14:textId="77777777" w:rsidR="009130CD" w:rsidRPr="00F35168" w:rsidRDefault="009130CD" w:rsidP="00433F68">
            <w:pPr>
              <w:pStyle w:val="ExhibitText"/>
              <w:jc w:val="center"/>
              <w:rPr>
                <w:szCs w:val="22"/>
                <w:lang w:val="en-GB" w:bidi="bn-IN"/>
              </w:rPr>
            </w:pPr>
            <w:r w:rsidRPr="00F35168">
              <w:rPr>
                <w:szCs w:val="22"/>
                <w:lang w:val="en-GB" w:bidi="bn-IN"/>
              </w:rPr>
              <w:t>6</w:t>
            </w:r>
          </w:p>
        </w:tc>
        <w:tc>
          <w:tcPr>
            <w:tcW w:w="2970" w:type="dxa"/>
            <w:tcBorders>
              <w:top w:val="nil"/>
              <w:left w:val="nil"/>
              <w:bottom w:val="single" w:sz="8" w:space="0" w:color="auto"/>
              <w:right w:val="single" w:sz="8" w:space="0" w:color="auto"/>
            </w:tcBorders>
            <w:shd w:val="clear" w:color="auto" w:fill="auto"/>
            <w:noWrap/>
            <w:vAlign w:val="center"/>
            <w:hideMark/>
          </w:tcPr>
          <w:p w14:paraId="7888ABD5" w14:textId="77777777" w:rsidR="009130CD" w:rsidRPr="00F35168" w:rsidRDefault="009130CD" w:rsidP="00523861">
            <w:pPr>
              <w:pStyle w:val="ExhibitText"/>
              <w:rPr>
                <w:szCs w:val="22"/>
                <w:lang w:val="en-GB" w:bidi="bn-IN"/>
              </w:rPr>
            </w:pPr>
            <w:r w:rsidRPr="00F35168">
              <w:rPr>
                <w:szCs w:val="22"/>
                <w:lang w:val="en-GB" w:bidi="bn-IN"/>
              </w:rPr>
              <w:t>Low computer literacy</w:t>
            </w:r>
          </w:p>
        </w:tc>
        <w:tc>
          <w:tcPr>
            <w:tcW w:w="720" w:type="dxa"/>
            <w:tcBorders>
              <w:top w:val="nil"/>
              <w:left w:val="nil"/>
              <w:bottom w:val="single" w:sz="8" w:space="0" w:color="auto"/>
              <w:right w:val="single" w:sz="8" w:space="0" w:color="auto"/>
            </w:tcBorders>
            <w:shd w:val="clear" w:color="auto" w:fill="auto"/>
            <w:noWrap/>
            <w:vAlign w:val="center"/>
            <w:hideMark/>
          </w:tcPr>
          <w:p w14:paraId="2E350C88" w14:textId="77777777" w:rsidR="009130CD" w:rsidRPr="00F35168" w:rsidRDefault="009130CD" w:rsidP="00523861">
            <w:pPr>
              <w:pStyle w:val="ExhibitText"/>
              <w:jc w:val="right"/>
              <w:rPr>
                <w:szCs w:val="22"/>
                <w:lang w:val="en-GB" w:bidi="bn-IN"/>
              </w:rPr>
            </w:pPr>
            <w:r w:rsidRPr="00F35168">
              <w:rPr>
                <w:szCs w:val="22"/>
                <w:lang w:val="en-GB" w:bidi="bn-IN"/>
              </w:rPr>
              <w:t>8</w:t>
            </w:r>
          </w:p>
        </w:tc>
      </w:tr>
      <w:tr w:rsidR="009130CD" w:rsidRPr="00AA6A72" w14:paraId="7F85CFE1" w14:textId="77777777" w:rsidTr="00523861">
        <w:trPr>
          <w:trHeight w:val="250"/>
          <w:jc w:val="center"/>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479E7DE4" w14:textId="77777777" w:rsidR="009130CD" w:rsidRPr="00F35168" w:rsidRDefault="009130CD" w:rsidP="00433F68">
            <w:pPr>
              <w:pStyle w:val="ExhibitText"/>
              <w:jc w:val="center"/>
              <w:rPr>
                <w:szCs w:val="22"/>
                <w:lang w:val="en-GB" w:bidi="bn-IN"/>
              </w:rPr>
            </w:pPr>
            <w:r w:rsidRPr="00F35168">
              <w:rPr>
                <w:szCs w:val="22"/>
                <w:lang w:val="en-GB" w:bidi="bn-IN"/>
              </w:rPr>
              <w:t>7</w:t>
            </w:r>
          </w:p>
        </w:tc>
        <w:tc>
          <w:tcPr>
            <w:tcW w:w="2970" w:type="dxa"/>
            <w:tcBorders>
              <w:top w:val="nil"/>
              <w:left w:val="nil"/>
              <w:bottom w:val="single" w:sz="8" w:space="0" w:color="auto"/>
              <w:right w:val="single" w:sz="8" w:space="0" w:color="auto"/>
            </w:tcBorders>
            <w:shd w:val="clear" w:color="auto" w:fill="auto"/>
            <w:noWrap/>
            <w:vAlign w:val="center"/>
            <w:hideMark/>
          </w:tcPr>
          <w:p w14:paraId="265067AD" w14:textId="77777777" w:rsidR="009130CD" w:rsidRPr="00F35168" w:rsidRDefault="009130CD" w:rsidP="00523861">
            <w:pPr>
              <w:pStyle w:val="ExhibitText"/>
              <w:rPr>
                <w:szCs w:val="22"/>
                <w:lang w:val="en-GB" w:bidi="bn-IN"/>
              </w:rPr>
            </w:pPr>
            <w:r w:rsidRPr="00F35168">
              <w:rPr>
                <w:szCs w:val="22"/>
                <w:lang w:val="en-GB" w:bidi="bn-IN"/>
              </w:rPr>
              <w:t>Redundant paper work</w:t>
            </w:r>
          </w:p>
        </w:tc>
        <w:tc>
          <w:tcPr>
            <w:tcW w:w="720" w:type="dxa"/>
            <w:tcBorders>
              <w:top w:val="nil"/>
              <w:left w:val="nil"/>
              <w:bottom w:val="single" w:sz="8" w:space="0" w:color="auto"/>
              <w:right w:val="single" w:sz="8" w:space="0" w:color="auto"/>
            </w:tcBorders>
            <w:shd w:val="clear" w:color="auto" w:fill="auto"/>
            <w:noWrap/>
            <w:vAlign w:val="center"/>
            <w:hideMark/>
          </w:tcPr>
          <w:p w14:paraId="75A61523" w14:textId="77777777" w:rsidR="009130CD" w:rsidRPr="00F35168" w:rsidRDefault="009130CD" w:rsidP="00523861">
            <w:pPr>
              <w:pStyle w:val="ExhibitText"/>
              <w:jc w:val="right"/>
              <w:rPr>
                <w:szCs w:val="22"/>
                <w:lang w:val="en-GB" w:bidi="bn-IN"/>
              </w:rPr>
            </w:pPr>
            <w:r w:rsidRPr="00F35168">
              <w:rPr>
                <w:szCs w:val="22"/>
                <w:lang w:val="en-GB" w:bidi="bn-IN"/>
              </w:rPr>
              <w:t>2</w:t>
            </w:r>
          </w:p>
        </w:tc>
      </w:tr>
      <w:tr w:rsidR="009130CD" w:rsidRPr="00AA6A72" w14:paraId="7BB65BAE" w14:textId="77777777" w:rsidTr="00523861">
        <w:trPr>
          <w:trHeight w:val="250"/>
          <w:jc w:val="center"/>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4B84E7CB" w14:textId="77777777" w:rsidR="009130CD" w:rsidRPr="00F35168" w:rsidRDefault="009130CD" w:rsidP="00433F68">
            <w:pPr>
              <w:pStyle w:val="ExhibitText"/>
              <w:jc w:val="center"/>
              <w:rPr>
                <w:szCs w:val="22"/>
                <w:lang w:val="en-GB" w:bidi="bn-IN"/>
              </w:rPr>
            </w:pPr>
            <w:r w:rsidRPr="00F35168">
              <w:rPr>
                <w:szCs w:val="22"/>
                <w:lang w:val="en-GB" w:bidi="bn-IN"/>
              </w:rPr>
              <w:t>8</w:t>
            </w:r>
          </w:p>
        </w:tc>
        <w:tc>
          <w:tcPr>
            <w:tcW w:w="2970" w:type="dxa"/>
            <w:tcBorders>
              <w:top w:val="nil"/>
              <w:left w:val="nil"/>
              <w:bottom w:val="single" w:sz="8" w:space="0" w:color="auto"/>
              <w:right w:val="single" w:sz="8" w:space="0" w:color="auto"/>
            </w:tcBorders>
            <w:shd w:val="clear" w:color="auto" w:fill="auto"/>
            <w:noWrap/>
            <w:vAlign w:val="center"/>
            <w:hideMark/>
          </w:tcPr>
          <w:p w14:paraId="44BD36BB" w14:textId="77777777" w:rsidR="009130CD" w:rsidRPr="00F35168" w:rsidRDefault="009130CD" w:rsidP="00523861">
            <w:pPr>
              <w:pStyle w:val="ExhibitText"/>
              <w:rPr>
                <w:szCs w:val="22"/>
                <w:lang w:val="en-GB" w:bidi="bn-IN"/>
              </w:rPr>
            </w:pPr>
            <w:r w:rsidRPr="00F35168">
              <w:rPr>
                <w:szCs w:val="22"/>
                <w:lang w:val="en-GB" w:bidi="bn-IN"/>
              </w:rPr>
              <w:t>Lack of SOP</w:t>
            </w:r>
          </w:p>
        </w:tc>
        <w:tc>
          <w:tcPr>
            <w:tcW w:w="720" w:type="dxa"/>
            <w:tcBorders>
              <w:top w:val="nil"/>
              <w:left w:val="nil"/>
              <w:bottom w:val="single" w:sz="8" w:space="0" w:color="auto"/>
              <w:right w:val="single" w:sz="8" w:space="0" w:color="auto"/>
            </w:tcBorders>
            <w:shd w:val="clear" w:color="auto" w:fill="auto"/>
            <w:noWrap/>
            <w:vAlign w:val="center"/>
            <w:hideMark/>
          </w:tcPr>
          <w:p w14:paraId="29E97190" w14:textId="77777777" w:rsidR="009130CD" w:rsidRPr="00F35168" w:rsidRDefault="009130CD" w:rsidP="00523861">
            <w:pPr>
              <w:pStyle w:val="ExhibitText"/>
              <w:jc w:val="right"/>
              <w:rPr>
                <w:szCs w:val="22"/>
                <w:lang w:val="en-GB" w:bidi="bn-IN"/>
              </w:rPr>
            </w:pPr>
            <w:r w:rsidRPr="00F35168">
              <w:rPr>
                <w:szCs w:val="22"/>
                <w:lang w:val="en-GB" w:bidi="bn-IN"/>
              </w:rPr>
              <w:t>93</w:t>
            </w:r>
          </w:p>
        </w:tc>
      </w:tr>
      <w:tr w:rsidR="009130CD" w:rsidRPr="00AA6A72" w14:paraId="28E70758" w14:textId="77777777" w:rsidTr="00523861">
        <w:trPr>
          <w:trHeight w:val="259"/>
          <w:jc w:val="center"/>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1DE80F29" w14:textId="77777777" w:rsidR="009130CD" w:rsidRPr="00F35168" w:rsidRDefault="009130CD" w:rsidP="00433F68">
            <w:pPr>
              <w:pStyle w:val="ExhibitText"/>
              <w:jc w:val="center"/>
              <w:rPr>
                <w:szCs w:val="22"/>
                <w:lang w:val="en-GB" w:bidi="bn-IN"/>
              </w:rPr>
            </w:pPr>
            <w:r w:rsidRPr="00F35168">
              <w:rPr>
                <w:szCs w:val="22"/>
                <w:lang w:val="en-GB" w:bidi="bn-IN"/>
              </w:rPr>
              <w:t>9</w:t>
            </w:r>
          </w:p>
        </w:tc>
        <w:tc>
          <w:tcPr>
            <w:tcW w:w="2970" w:type="dxa"/>
            <w:tcBorders>
              <w:top w:val="nil"/>
              <w:left w:val="nil"/>
              <w:bottom w:val="single" w:sz="8" w:space="0" w:color="auto"/>
              <w:right w:val="single" w:sz="8" w:space="0" w:color="auto"/>
            </w:tcBorders>
            <w:shd w:val="clear" w:color="auto" w:fill="auto"/>
            <w:noWrap/>
            <w:vAlign w:val="center"/>
            <w:hideMark/>
          </w:tcPr>
          <w:p w14:paraId="6A9A4F90" w14:textId="77777777" w:rsidR="009130CD" w:rsidRPr="00F35168" w:rsidRDefault="009130CD" w:rsidP="00523861">
            <w:pPr>
              <w:pStyle w:val="ExhibitText"/>
              <w:rPr>
                <w:szCs w:val="22"/>
                <w:lang w:val="en-GB" w:bidi="bn-IN"/>
              </w:rPr>
            </w:pPr>
            <w:r w:rsidRPr="00F35168">
              <w:rPr>
                <w:szCs w:val="22"/>
                <w:lang w:val="en-GB" w:bidi="bn-IN"/>
              </w:rPr>
              <w:t>Improper data entry</w:t>
            </w:r>
          </w:p>
        </w:tc>
        <w:tc>
          <w:tcPr>
            <w:tcW w:w="720" w:type="dxa"/>
            <w:tcBorders>
              <w:top w:val="nil"/>
              <w:left w:val="nil"/>
              <w:bottom w:val="single" w:sz="8" w:space="0" w:color="auto"/>
              <w:right w:val="single" w:sz="8" w:space="0" w:color="auto"/>
            </w:tcBorders>
            <w:shd w:val="clear" w:color="auto" w:fill="auto"/>
            <w:noWrap/>
            <w:vAlign w:val="center"/>
            <w:hideMark/>
          </w:tcPr>
          <w:p w14:paraId="3CEB45F1" w14:textId="77777777" w:rsidR="009130CD" w:rsidRPr="00F35168" w:rsidRDefault="009130CD" w:rsidP="00523861">
            <w:pPr>
              <w:pStyle w:val="ExhibitText"/>
              <w:jc w:val="right"/>
              <w:rPr>
                <w:szCs w:val="22"/>
                <w:lang w:val="en-GB" w:bidi="bn-IN"/>
              </w:rPr>
            </w:pPr>
            <w:r w:rsidRPr="00F35168">
              <w:rPr>
                <w:szCs w:val="22"/>
                <w:lang w:val="en-GB" w:bidi="bn-IN"/>
              </w:rPr>
              <w:t>16</w:t>
            </w:r>
          </w:p>
        </w:tc>
      </w:tr>
      <w:tr w:rsidR="009130CD" w:rsidRPr="00AA6A72" w14:paraId="3B069D2C" w14:textId="77777777" w:rsidTr="00523861">
        <w:trPr>
          <w:trHeight w:val="241"/>
          <w:jc w:val="center"/>
        </w:trPr>
        <w:tc>
          <w:tcPr>
            <w:tcW w:w="980" w:type="dxa"/>
            <w:tcBorders>
              <w:top w:val="nil"/>
              <w:left w:val="single" w:sz="8" w:space="0" w:color="auto"/>
              <w:bottom w:val="single" w:sz="8" w:space="0" w:color="auto"/>
              <w:right w:val="single" w:sz="8" w:space="0" w:color="auto"/>
            </w:tcBorders>
            <w:shd w:val="clear" w:color="auto" w:fill="auto"/>
            <w:noWrap/>
            <w:vAlign w:val="center"/>
            <w:hideMark/>
          </w:tcPr>
          <w:p w14:paraId="421177D0" w14:textId="77777777" w:rsidR="009130CD" w:rsidRPr="00F35168" w:rsidRDefault="009130CD" w:rsidP="00433F68">
            <w:pPr>
              <w:pStyle w:val="ExhibitText"/>
              <w:jc w:val="center"/>
              <w:rPr>
                <w:szCs w:val="22"/>
                <w:lang w:val="en-GB" w:bidi="bn-IN"/>
              </w:rPr>
            </w:pPr>
            <w:r w:rsidRPr="00F35168">
              <w:rPr>
                <w:szCs w:val="22"/>
                <w:lang w:val="en-GB" w:bidi="bn-IN"/>
              </w:rPr>
              <w:t>10</w:t>
            </w:r>
          </w:p>
        </w:tc>
        <w:tc>
          <w:tcPr>
            <w:tcW w:w="2970" w:type="dxa"/>
            <w:tcBorders>
              <w:top w:val="nil"/>
              <w:left w:val="nil"/>
              <w:bottom w:val="single" w:sz="8" w:space="0" w:color="auto"/>
              <w:right w:val="single" w:sz="8" w:space="0" w:color="auto"/>
            </w:tcBorders>
            <w:shd w:val="clear" w:color="auto" w:fill="auto"/>
            <w:noWrap/>
            <w:vAlign w:val="center"/>
            <w:hideMark/>
          </w:tcPr>
          <w:p w14:paraId="332E2CEC" w14:textId="77777777" w:rsidR="009130CD" w:rsidRPr="00F35168" w:rsidRDefault="009130CD" w:rsidP="00523861">
            <w:pPr>
              <w:pStyle w:val="ExhibitText"/>
              <w:rPr>
                <w:szCs w:val="22"/>
                <w:lang w:val="en-GB" w:bidi="bn-IN"/>
              </w:rPr>
            </w:pPr>
            <w:r w:rsidRPr="00F35168">
              <w:rPr>
                <w:szCs w:val="22"/>
                <w:lang w:val="en-GB" w:bidi="bn-IN"/>
              </w:rPr>
              <w:t>Leadership</w:t>
            </w:r>
          </w:p>
        </w:tc>
        <w:tc>
          <w:tcPr>
            <w:tcW w:w="720" w:type="dxa"/>
            <w:tcBorders>
              <w:top w:val="nil"/>
              <w:left w:val="nil"/>
              <w:bottom w:val="single" w:sz="8" w:space="0" w:color="auto"/>
              <w:right w:val="single" w:sz="8" w:space="0" w:color="auto"/>
            </w:tcBorders>
            <w:shd w:val="clear" w:color="auto" w:fill="auto"/>
            <w:noWrap/>
            <w:vAlign w:val="center"/>
            <w:hideMark/>
          </w:tcPr>
          <w:p w14:paraId="0D7E22B8" w14:textId="77777777" w:rsidR="009130CD" w:rsidRPr="00F35168" w:rsidRDefault="009130CD" w:rsidP="00523861">
            <w:pPr>
              <w:pStyle w:val="ExhibitText"/>
              <w:jc w:val="right"/>
              <w:rPr>
                <w:szCs w:val="22"/>
                <w:lang w:val="en-GB" w:bidi="bn-IN"/>
              </w:rPr>
            </w:pPr>
            <w:r w:rsidRPr="00F35168">
              <w:rPr>
                <w:szCs w:val="22"/>
                <w:lang w:val="en-GB" w:bidi="bn-IN"/>
              </w:rPr>
              <w:t>3</w:t>
            </w:r>
          </w:p>
        </w:tc>
      </w:tr>
    </w:tbl>
    <w:p w14:paraId="07C880E5" w14:textId="77777777" w:rsidR="009130CD" w:rsidRPr="00F35168" w:rsidRDefault="009130CD" w:rsidP="009130CD">
      <w:pPr>
        <w:pStyle w:val="BodyTextMain"/>
        <w:rPr>
          <w:rFonts w:eastAsia="Calibri"/>
          <w:lang w:val="en-GB"/>
        </w:rPr>
      </w:pPr>
    </w:p>
    <w:p w14:paraId="320597DA" w14:textId="1746A257" w:rsidR="009130CD" w:rsidRPr="00F35168" w:rsidRDefault="009130CD" w:rsidP="009130CD">
      <w:pPr>
        <w:pStyle w:val="Footnote"/>
        <w:rPr>
          <w:rFonts w:eastAsia="Calibri"/>
          <w:lang w:val="en-GB"/>
        </w:rPr>
      </w:pPr>
      <w:r w:rsidRPr="00F35168">
        <w:rPr>
          <w:rFonts w:eastAsia="Calibri"/>
          <w:lang w:val="en-GB"/>
        </w:rPr>
        <w:t>Note: A respondent may have highlighted two or more probable causes</w:t>
      </w:r>
      <w:r w:rsidR="007335D0">
        <w:rPr>
          <w:rFonts w:eastAsia="Calibri"/>
          <w:lang w:val="en-GB"/>
        </w:rPr>
        <w:t>.</w:t>
      </w:r>
      <w:r w:rsidR="00AA02B7">
        <w:rPr>
          <w:rFonts w:eastAsia="Calibri"/>
          <w:lang w:val="en-GB"/>
        </w:rPr>
        <w:t xml:space="preserve"> SOP = </w:t>
      </w:r>
      <w:r w:rsidR="00967906">
        <w:rPr>
          <w:rFonts w:eastAsia="Calibri"/>
          <w:lang w:val="en-GB"/>
        </w:rPr>
        <w:t>s</w:t>
      </w:r>
      <w:r w:rsidR="00AA02B7">
        <w:rPr>
          <w:rFonts w:eastAsia="Calibri"/>
          <w:lang w:val="en-GB"/>
        </w:rPr>
        <w:t xml:space="preserve">tandard </w:t>
      </w:r>
      <w:r w:rsidR="00967906">
        <w:rPr>
          <w:rFonts w:eastAsia="Calibri"/>
          <w:lang w:val="en-GB"/>
        </w:rPr>
        <w:t>o</w:t>
      </w:r>
      <w:r w:rsidR="00AA02B7">
        <w:rPr>
          <w:rFonts w:eastAsia="Calibri"/>
          <w:lang w:val="en-GB"/>
        </w:rPr>
        <w:t xml:space="preserve">perating </w:t>
      </w:r>
      <w:r w:rsidR="00967906">
        <w:rPr>
          <w:rFonts w:eastAsia="Calibri"/>
          <w:lang w:val="en-GB"/>
        </w:rPr>
        <w:t>p</w:t>
      </w:r>
      <w:r w:rsidR="00AA02B7">
        <w:rPr>
          <w:rFonts w:eastAsia="Calibri"/>
          <w:lang w:val="en-GB"/>
        </w:rPr>
        <w:t>rocedures.</w:t>
      </w:r>
    </w:p>
    <w:p w14:paraId="4649BC27" w14:textId="329F28A9" w:rsidR="009130CD" w:rsidRPr="00F35168" w:rsidRDefault="009130CD" w:rsidP="009130CD">
      <w:pPr>
        <w:pStyle w:val="Footnote"/>
        <w:rPr>
          <w:lang w:val="en-GB"/>
        </w:rPr>
      </w:pPr>
      <w:r w:rsidRPr="00F35168">
        <w:rPr>
          <w:rFonts w:eastAsia="Calibri"/>
          <w:lang w:val="en-GB"/>
        </w:rPr>
        <w:t xml:space="preserve">Source: </w:t>
      </w:r>
      <w:r w:rsidR="007335D0">
        <w:rPr>
          <w:rFonts w:eastAsia="Calibri"/>
          <w:lang w:val="en-GB"/>
        </w:rPr>
        <w:t xml:space="preserve">Developed </w:t>
      </w:r>
      <w:r w:rsidRPr="00F35168">
        <w:rPr>
          <w:rFonts w:eastAsia="Calibri"/>
          <w:lang w:val="en-GB"/>
        </w:rPr>
        <w:t xml:space="preserve">by the </w:t>
      </w:r>
      <w:r w:rsidR="0011336E">
        <w:rPr>
          <w:rFonts w:eastAsia="Calibri"/>
          <w:lang w:val="en-GB"/>
        </w:rPr>
        <w:t xml:space="preserve">case </w:t>
      </w:r>
      <w:r w:rsidRPr="00F35168">
        <w:rPr>
          <w:rFonts w:eastAsia="Calibri"/>
          <w:lang w:val="en-GB"/>
        </w:rPr>
        <w:t>authors from company files.</w:t>
      </w:r>
    </w:p>
    <w:sectPr w:rsidR="009130CD" w:rsidRPr="00F35168"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F79B7" w14:textId="77777777" w:rsidR="008F6BF8" w:rsidRDefault="008F6BF8" w:rsidP="00D75295">
      <w:r>
        <w:separator/>
      </w:r>
    </w:p>
  </w:endnote>
  <w:endnote w:type="continuationSeparator" w:id="0">
    <w:p w14:paraId="1926FB76" w14:textId="77777777" w:rsidR="008F6BF8" w:rsidRDefault="008F6BF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3F2FF" w14:textId="77777777" w:rsidR="008F6BF8" w:rsidRDefault="008F6BF8" w:rsidP="00D75295">
      <w:r>
        <w:separator/>
      </w:r>
    </w:p>
  </w:footnote>
  <w:footnote w:type="continuationSeparator" w:id="0">
    <w:p w14:paraId="69A8E5C8" w14:textId="77777777" w:rsidR="008F6BF8" w:rsidRDefault="008F6BF8" w:rsidP="00D75295">
      <w:r>
        <w:continuationSeparator/>
      </w:r>
    </w:p>
  </w:footnote>
  <w:footnote w:id="1">
    <w:p w14:paraId="51C88E56" w14:textId="77777777" w:rsidR="005A2A66" w:rsidRPr="004B69FA" w:rsidRDefault="005A2A66" w:rsidP="00E024B3">
      <w:pPr>
        <w:pStyle w:val="Footnote"/>
      </w:pPr>
      <w:r w:rsidRPr="004B69FA">
        <w:rPr>
          <w:rStyle w:val="FootnoteReference"/>
        </w:rPr>
        <w:footnoteRef/>
      </w:r>
      <w:r w:rsidRPr="004B69FA">
        <w:t xml:space="preserve"> Indian currency is INR = Indian rupee (₹); INR₹ = 0.016 US$ on April 17, 2018. All currency amounts in this case are US$ unless otherwise stated. </w:t>
      </w:r>
    </w:p>
  </w:footnote>
  <w:footnote w:id="2">
    <w:p w14:paraId="5B5FC050" w14:textId="218AF90B" w:rsidR="00523861" w:rsidRPr="004B69FA" w:rsidRDefault="00523861" w:rsidP="00E024B3">
      <w:pPr>
        <w:pStyle w:val="Footnote"/>
      </w:pPr>
      <w:r w:rsidRPr="004B69FA">
        <w:rPr>
          <w:rStyle w:val="FootnoteReference"/>
        </w:rPr>
        <w:footnoteRef/>
      </w:r>
      <w:r w:rsidRPr="004B69FA">
        <w:t xml:space="preserve"> “Logistics Sector,” Make </w:t>
      </w:r>
      <w:r w:rsidR="00E024B3">
        <w:t>i</w:t>
      </w:r>
      <w:r w:rsidRPr="004B69FA">
        <w:t>n India, accessed May 7, 2019, www.makeinindia.com/logistics-sector.</w:t>
      </w:r>
    </w:p>
  </w:footnote>
  <w:footnote w:id="3">
    <w:p w14:paraId="5592E34D" w14:textId="0EC6D460" w:rsidR="00523861" w:rsidRPr="004B69FA" w:rsidRDefault="00523861" w:rsidP="00E024B3">
      <w:pPr>
        <w:pStyle w:val="Footnote"/>
      </w:pPr>
      <w:r w:rsidRPr="004B69FA">
        <w:rPr>
          <w:rStyle w:val="FootnoteReference"/>
        </w:rPr>
        <w:footnoteRef/>
      </w:r>
      <w:r w:rsidRPr="004B69FA">
        <w:t xml:space="preserve"> Anirban Chowdhury, "Express Industry to Grow to Rs 48,000 Crore by 2023, Says Deloitte Study,” The Economic Times, April 18, 2018, </w:t>
      </w:r>
      <w:r w:rsidR="00C01E67" w:rsidRPr="004B69FA">
        <w:t>a</w:t>
      </w:r>
      <w:r w:rsidRPr="004B69FA">
        <w:t>ccessed May 7, 2019, https://economictimes.indiatimes.com/industry/services/retail/express-industry-to-grow-to-rs-48000-crore-by-2023-says-deloitte-study/articleshow/63814298.cms?from=mdr.</w:t>
      </w:r>
    </w:p>
  </w:footnote>
  <w:footnote w:id="4">
    <w:p w14:paraId="7F26D57D" w14:textId="685BE17E" w:rsidR="00523861" w:rsidRPr="004B69FA" w:rsidRDefault="00523861" w:rsidP="00E024B3">
      <w:pPr>
        <w:pStyle w:val="Footnote"/>
      </w:pPr>
      <w:r w:rsidRPr="004B69FA">
        <w:rPr>
          <w:rStyle w:val="FootnoteReference"/>
        </w:rPr>
        <w:footnoteRef/>
      </w:r>
      <w:r w:rsidRPr="004B69FA">
        <w:t xml:space="preserve"> "Indian Logistics Industry – Challenges, Opportunities and Future Prospects</w:t>
      </w:r>
      <w:r w:rsidR="00C01E67" w:rsidRPr="004B69FA">
        <w:t>,”</w:t>
      </w:r>
      <w:r w:rsidRPr="004B69FA">
        <w:t xml:space="preserve"> </w:t>
      </w:r>
      <w:r w:rsidRPr="004B69FA">
        <w:t xml:space="preserve">Jayem </w:t>
      </w:r>
      <w:r w:rsidR="00C01E67" w:rsidRPr="004B69FA">
        <w:t>Logistics</w:t>
      </w:r>
      <w:r w:rsidRPr="004B69FA">
        <w:t xml:space="preserve">, </w:t>
      </w:r>
      <w:r w:rsidR="00C01E67" w:rsidRPr="004B69FA">
        <w:t>a</w:t>
      </w:r>
      <w:r w:rsidRPr="004B69FA">
        <w:t>ccessed May 7, 2019, www.jayemlogistics.in/indian-logistics-industry-challenges/.</w:t>
      </w:r>
    </w:p>
  </w:footnote>
  <w:footnote w:id="5">
    <w:p w14:paraId="0FD9186B" w14:textId="15676D3D" w:rsidR="00523861" w:rsidRPr="004B69FA" w:rsidRDefault="00523861" w:rsidP="00E024B3">
      <w:pPr>
        <w:pStyle w:val="Footnote"/>
      </w:pPr>
      <w:r w:rsidRPr="004B69FA">
        <w:rPr>
          <w:rStyle w:val="FootnoteReference"/>
        </w:rPr>
        <w:footnoteRef/>
      </w:r>
      <w:r w:rsidRPr="004B69FA">
        <w:t xml:space="preserve"> The </w:t>
      </w:r>
      <w:r w:rsidRPr="004B69FA">
        <w:t>Sagar</w:t>
      </w:r>
      <w:r w:rsidR="001011ED" w:rsidRPr="004B69FA">
        <w:t>m</w:t>
      </w:r>
      <w:r w:rsidRPr="004B69FA">
        <w:t xml:space="preserve">ala Project is a </w:t>
      </w:r>
      <w:r w:rsidR="00C01E67" w:rsidRPr="004B69FA">
        <w:t xml:space="preserve">strategic </w:t>
      </w:r>
      <w:r w:rsidRPr="004B69FA">
        <w:t>initiative</w:t>
      </w:r>
      <w:r w:rsidR="00C01E67" w:rsidRPr="004B69FA">
        <w:t xml:space="preserve"> of the </w:t>
      </w:r>
      <w:r w:rsidR="001011ED" w:rsidRPr="004B69FA">
        <w:t>G</w:t>
      </w:r>
      <w:r w:rsidR="00A310FB" w:rsidRPr="004B69FA">
        <w:t xml:space="preserve">overnment of India. </w:t>
      </w:r>
      <w:r w:rsidR="00C01E67" w:rsidRPr="004B69FA">
        <w:t xml:space="preserve">It is customer-centric </w:t>
      </w:r>
      <w:r w:rsidRPr="004B69FA">
        <w:t>and focuses on setting up new ports</w:t>
      </w:r>
      <w:r w:rsidR="001011ED" w:rsidRPr="004B69FA">
        <w:t xml:space="preserve"> and</w:t>
      </w:r>
      <w:r w:rsidRPr="004B69FA">
        <w:t xml:space="preserve"> coastal economic zones, moderniz</w:t>
      </w:r>
      <w:r w:rsidR="001011ED" w:rsidRPr="004B69FA">
        <w:t>ing</w:t>
      </w:r>
      <w:r w:rsidRPr="004B69FA">
        <w:t xml:space="preserve"> ports</w:t>
      </w:r>
      <w:r w:rsidR="001011ED" w:rsidRPr="004B69FA">
        <w:t>,</w:t>
      </w:r>
      <w:r w:rsidRPr="004B69FA">
        <w:t xml:space="preserve"> and linking these ports to road, rail</w:t>
      </w:r>
      <w:r w:rsidR="00C01E67" w:rsidRPr="004B69FA">
        <w:t>,</w:t>
      </w:r>
      <w:r w:rsidRPr="004B69FA">
        <w:t xml:space="preserve"> and air networks.</w:t>
      </w:r>
    </w:p>
  </w:footnote>
  <w:footnote w:id="6">
    <w:p w14:paraId="168A8C07" w14:textId="101B9707" w:rsidR="00523861" w:rsidRPr="004B69FA" w:rsidRDefault="00523861" w:rsidP="00E024B3">
      <w:pPr>
        <w:pStyle w:val="Footnote"/>
      </w:pPr>
      <w:r w:rsidRPr="004B69FA">
        <w:rPr>
          <w:rStyle w:val="FootnoteReference"/>
        </w:rPr>
        <w:footnoteRef/>
      </w:r>
      <w:r w:rsidRPr="004B69FA">
        <w:t xml:space="preserve"> "Ports </w:t>
      </w:r>
      <w:r w:rsidR="00FF69A4" w:rsidRPr="004B69FA">
        <w:t>&amp; Shipping: Maritime Transport in India Handles 95% of the Trade by Volume,” Invest</w:t>
      </w:r>
      <w:r w:rsidRPr="004B69FA">
        <w:t xml:space="preserve"> India</w:t>
      </w:r>
      <w:r w:rsidR="00FF69A4" w:rsidRPr="004B69FA">
        <w:t>: National Investment Promotion &amp; Facilitation Agency,</w:t>
      </w:r>
      <w:r w:rsidRPr="004B69FA">
        <w:t xml:space="preserve"> </w:t>
      </w:r>
      <w:r w:rsidR="00FF69A4" w:rsidRPr="004B69FA">
        <w:t>a</w:t>
      </w:r>
      <w:r w:rsidRPr="004B69FA">
        <w:t>ccessed May 7, 2019, www.investindia.gov.in/sector/ports-shipping.</w:t>
      </w:r>
    </w:p>
  </w:footnote>
  <w:footnote w:id="7">
    <w:p w14:paraId="5C2AA323" w14:textId="0D7D9C72" w:rsidR="00523861" w:rsidRPr="004B69FA" w:rsidRDefault="00523861" w:rsidP="00E024B3">
      <w:pPr>
        <w:pStyle w:val="Footnote"/>
      </w:pPr>
      <w:r w:rsidRPr="004B69FA">
        <w:rPr>
          <w:rStyle w:val="FootnoteReference"/>
        </w:rPr>
        <w:footnoteRef/>
      </w:r>
      <w:r w:rsidRPr="004B69FA">
        <w:t xml:space="preserve"> Make in India, launched in 2014, is a popular initiative taken by </w:t>
      </w:r>
      <w:r w:rsidR="0014145D" w:rsidRPr="004B69FA">
        <w:t xml:space="preserve">the </w:t>
      </w:r>
      <w:r w:rsidRPr="004B69FA">
        <w:t>Government of India to boost the manufacturing sector and transform India into a major global manufacturing hub.</w:t>
      </w:r>
    </w:p>
  </w:footnote>
  <w:footnote w:id="8">
    <w:p w14:paraId="6AC15133" w14:textId="7294EAB7" w:rsidR="00523861" w:rsidRPr="004B69FA" w:rsidRDefault="00523861" w:rsidP="00E024B3">
      <w:pPr>
        <w:pStyle w:val="Footnote"/>
      </w:pPr>
      <w:r w:rsidRPr="004B69FA">
        <w:rPr>
          <w:rStyle w:val="FootnoteReference"/>
        </w:rPr>
        <w:footnoteRef/>
      </w:r>
      <w:r w:rsidRPr="004B69FA">
        <w:t xml:space="preserve"> </w:t>
      </w:r>
      <w:r w:rsidR="0014145D" w:rsidRPr="004B69FA">
        <w:t xml:space="preserve">Rohini Singh, </w:t>
      </w:r>
      <w:r w:rsidRPr="004B69FA">
        <w:t xml:space="preserve">"Supply Chain in India: On the Brink of a Revolution," India Briefing, </w:t>
      </w:r>
      <w:r w:rsidR="0014145D" w:rsidRPr="004B69FA">
        <w:t>March 21,</w:t>
      </w:r>
      <w:r w:rsidRPr="004B69FA">
        <w:t xml:space="preserve"> 2018, </w:t>
      </w:r>
      <w:r w:rsidR="0014145D" w:rsidRPr="004B69FA">
        <w:t>a</w:t>
      </w:r>
      <w:r w:rsidRPr="004B69FA">
        <w:t>ccessed May 7, 2019, www.india-briefing.com/news/supply-chain-india-scope-investors-16384.html.</w:t>
      </w:r>
    </w:p>
  </w:footnote>
  <w:footnote w:id="9">
    <w:p w14:paraId="26121487" w14:textId="47227D74" w:rsidR="00D60955" w:rsidRPr="00D60955" w:rsidRDefault="00D60955" w:rsidP="00E024B3">
      <w:pPr>
        <w:pStyle w:val="FootnoteText"/>
        <w:jc w:val="both"/>
        <w:rPr>
          <w:rFonts w:ascii="Arial" w:hAnsi="Arial" w:cs="Arial"/>
          <w:sz w:val="17"/>
          <w:szCs w:val="17"/>
          <w:lang w:val="en-CA"/>
        </w:rPr>
      </w:pPr>
      <w:r w:rsidRPr="00D60955">
        <w:rPr>
          <w:rStyle w:val="FootnoteReference"/>
          <w:rFonts w:ascii="Arial" w:hAnsi="Arial" w:cs="Arial"/>
          <w:sz w:val="17"/>
          <w:szCs w:val="17"/>
        </w:rPr>
        <w:footnoteRef/>
      </w:r>
      <w:r w:rsidRPr="00D60955">
        <w:rPr>
          <w:rFonts w:ascii="Arial" w:hAnsi="Arial" w:cs="Arial"/>
          <w:sz w:val="17"/>
          <w:szCs w:val="17"/>
        </w:rPr>
        <w:t xml:space="preserve"> </w:t>
      </w:r>
      <w:r w:rsidRPr="00D60955">
        <w:rPr>
          <w:rFonts w:ascii="Arial" w:hAnsi="Arial" w:cs="Arial"/>
          <w:sz w:val="17"/>
          <w:szCs w:val="17"/>
          <w:lang w:val="en-CA"/>
        </w:rPr>
        <w:t>Ibid.</w:t>
      </w:r>
    </w:p>
  </w:footnote>
  <w:footnote w:id="10">
    <w:p w14:paraId="1555096A" w14:textId="064EDCCB" w:rsidR="00523861" w:rsidRPr="004B69FA" w:rsidRDefault="00523861" w:rsidP="00E024B3">
      <w:pPr>
        <w:pStyle w:val="Footnote"/>
      </w:pPr>
      <w:r w:rsidRPr="004B69FA">
        <w:rPr>
          <w:rStyle w:val="FootnoteReference"/>
        </w:rPr>
        <w:footnoteRef/>
      </w:r>
      <w:r w:rsidRPr="004B69FA">
        <w:t xml:space="preserve"> National Capital Region is a coordinated zone of several districts of Uttar Pradesh, Haryana, Rajasthan</w:t>
      </w:r>
      <w:r w:rsidR="004D6A30" w:rsidRPr="004B69FA">
        <w:t>,</w:t>
      </w:r>
      <w:r w:rsidRPr="004B69FA">
        <w:t xml:space="preserve"> and Delhi. Coordinated by the National Capital Region Planning Board, it was formed in 1985 to ensure smooth development and </w:t>
      </w:r>
      <w:r w:rsidR="004D6A30" w:rsidRPr="004B69FA">
        <w:t xml:space="preserve">to </w:t>
      </w:r>
      <w:r w:rsidRPr="004B69FA">
        <w:t>control land usage policies.</w:t>
      </w:r>
    </w:p>
  </w:footnote>
  <w:footnote w:id="11">
    <w:p w14:paraId="7A56F2F5" w14:textId="1A791C02" w:rsidR="00523861" w:rsidRPr="004B69FA" w:rsidRDefault="00523861" w:rsidP="00E024B3">
      <w:pPr>
        <w:pStyle w:val="Footnote"/>
      </w:pPr>
      <w:r w:rsidRPr="004B69FA">
        <w:rPr>
          <w:rStyle w:val="FootnoteReference"/>
        </w:rPr>
        <w:footnoteRef/>
      </w:r>
      <w:r w:rsidRPr="004B69FA">
        <w:t xml:space="preserve"> "</w:t>
      </w:r>
      <w:r w:rsidR="00EF1A34" w:rsidRPr="004B69FA">
        <w:t xml:space="preserve">About Us: Vision and </w:t>
      </w:r>
      <w:r w:rsidRPr="004B69FA">
        <w:t xml:space="preserve">Values," </w:t>
      </w:r>
      <w:r w:rsidRPr="004B69FA">
        <w:t xml:space="preserve">Gati, </w:t>
      </w:r>
      <w:r w:rsidR="00EF1A34" w:rsidRPr="004B69FA">
        <w:t>a</w:t>
      </w:r>
      <w:r w:rsidRPr="004B69FA">
        <w:t>ccessed May 7, 2019, www.gati.com/about-us/vision-and-values/.</w:t>
      </w:r>
    </w:p>
  </w:footnote>
  <w:footnote w:id="12">
    <w:p w14:paraId="74B39DD5" w14:textId="3A102922" w:rsidR="00523861" w:rsidRPr="004B69FA" w:rsidRDefault="00523861" w:rsidP="00E024B3">
      <w:pPr>
        <w:pStyle w:val="Footnote"/>
      </w:pPr>
      <w:r w:rsidRPr="004B69FA">
        <w:rPr>
          <w:rStyle w:val="FootnoteReference"/>
        </w:rPr>
        <w:footnoteRef/>
      </w:r>
      <w:r w:rsidRPr="004B69FA">
        <w:t xml:space="preserve"> "Founder and CEO's </w:t>
      </w:r>
      <w:r w:rsidR="006D7493" w:rsidRPr="004B69FA">
        <w:t>Message: Founder &amp; CEO’s Review</w:t>
      </w:r>
      <w:r w:rsidRPr="004B69FA">
        <w:t xml:space="preserve">," </w:t>
      </w:r>
      <w:r w:rsidR="006D7493" w:rsidRPr="004B69FA">
        <w:t>Gati, a</w:t>
      </w:r>
      <w:r w:rsidRPr="004B69FA">
        <w:t>ccessed May 7, 2019</w:t>
      </w:r>
      <w:r w:rsidR="00981920" w:rsidRPr="004B69FA">
        <w:t>,</w:t>
      </w:r>
      <w:r w:rsidRPr="004B69FA">
        <w:t xml:space="preserve"> www.gati.com/about-us/founder-ceos-message/.</w:t>
      </w:r>
    </w:p>
  </w:footnote>
  <w:footnote w:id="13">
    <w:p w14:paraId="29BAE5E6" w14:textId="716891FF" w:rsidR="00523861" w:rsidRPr="004B69FA" w:rsidRDefault="00523861" w:rsidP="00E024B3">
      <w:pPr>
        <w:pStyle w:val="Footnote"/>
      </w:pPr>
      <w:r w:rsidRPr="004B69FA">
        <w:rPr>
          <w:rStyle w:val="FootnoteReference"/>
        </w:rPr>
        <w:footnoteRef/>
      </w:r>
      <w:r w:rsidRPr="004B69FA">
        <w:t xml:space="preserve"> VMI stands for vendor managed </w:t>
      </w:r>
      <w:r w:rsidR="006D7493" w:rsidRPr="004B69FA">
        <w:t xml:space="preserve">inventory. This concept means that </w:t>
      </w:r>
      <w:r w:rsidRPr="004B69FA">
        <w:t>a buyer provide</w:t>
      </w:r>
      <w:r w:rsidR="006D7493" w:rsidRPr="004B69FA">
        <w:t>d</w:t>
      </w:r>
      <w:r w:rsidRPr="004B69FA">
        <w:t xml:space="preserve"> certain information to the supplier</w:t>
      </w:r>
      <w:r w:rsidR="006D7493" w:rsidRPr="004B69FA">
        <w:t>,</w:t>
      </w:r>
      <w:r w:rsidRPr="004B69FA">
        <w:t xml:space="preserve"> and the supplier manage</w:t>
      </w:r>
      <w:r w:rsidR="006D7493" w:rsidRPr="004B69FA">
        <w:t>d</w:t>
      </w:r>
      <w:r w:rsidRPr="004B69FA">
        <w:t xml:space="preserve"> the inventory of the buyer at the </w:t>
      </w:r>
      <w:r w:rsidR="006D7493" w:rsidRPr="004B69FA">
        <w:t>buyer’s poin</w:t>
      </w:r>
      <w:r w:rsidRPr="004B69FA">
        <w:t>t of consumption.</w:t>
      </w:r>
    </w:p>
  </w:footnote>
  <w:footnote w:id="14">
    <w:p w14:paraId="0212633A" w14:textId="53B5E197" w:rsidR="00523861" w:rsidRPr="004B69FA" w:rsidRDefault="00523861" w:rsidP="00E024B3">
      <w:pPr>
        <w:pStyle w:val="Footnote"/>
      </w:pPr>
      <w:r w:rsidRPr="004B69FA">
        <w:rPr>
          <w:rStyle w:val="FootnoteReference"/>
        </w:rPr>
        <w:footnoteRef/>
      </w:r>
      <w:r w:rsidRPr="004B69FA">
        <w:t xml:space="preserve"> Some additional details about </w:t>
      </w:r>
      <w:r w:rsidRPr="004B69FA">
        <w:t xml:space="preserve">Gati’s business can be </w:t>
      </w:r>
      <w:r w:rsidR="006D7493" w:rsidRPr="004B69FA">
        <w:t>found at</w:t>
      </w:r>
      <w:r w:rsidRPr="004B69FA">
        <w:t xml:space="preserve"> www.gati.com/.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559CE2D7" w:rsidR="00523861" w:rsidRPr="00C92CC4" w:rsidRDefault="0052386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011DB">
      <w:rPr>
        <w:rFonts w:ascii="Arial" w:hAnsi="Arial"/>
        <w:b/>
        <w:noProof/>
      </w:rPr>
      <w:t>3</w:t>
    </w:r>
    <w:r>
      <w:rPr>
        <w:rFonts w:ascii="Arial" w:hAnsi="Arial"/>
        <w:b/>
      </w:rPr>
      <w:fldChar w:fldCharType="end"/>
    </w:r>
    <w:r>
      <w:rPr>
        <w:rFonts w:ascii="Arial" w:hAnsi="Arial"/>
        <w:b/>
      </w:rPr>
      <w:tab/>
    </w:r>
    <w:r w:rsidR="001F6564">
      <w:rPr>
        <w:rFonts w:ascii="Arial" w:hAnsi="Arial"/>
        <w:b/>
      </w:rPr>
      <w:t>9B19D</w:t>
    </w:r>
    <w:r w:rsidR="004B69FA">
      <w:rPr>
        <w:rFonts w:ascii="Arial" w:hAnsi="Arial"/>
        <w:b/>
      </w:rPr>
      <w:t>016</w:t>
    </w:r>
  </w:p>
  <w:p w14:paraId="2B53C0A0" w14:textId="77777777" w:rsidR="00523861" w:rsidRDefault="00523861" w:rsidP="00D13667">
    <w:pPr>
      <w:pStyle w:val="Header"/>
      <w:tabs>
        <w:tab w:val="clear" w:pos="4680"/>
      </w:tabs>
      <w:rPr>
        <w:sz w:val="18"/>
        <w:szCs w:val="18"/>
      </w:rPr>
    </w:pPr>
  </w:p>
  <w:p w14:paraId="47119730" w14:textId="77777777" w:rsidR="00523861" w:rsidRPr="00C92CC4" w:rsidRDefault="0052386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5037"/>
    <w:rsid w:val="00013114"/>
    <w:rsid w:val="00013360"/>
    <w:rsid w:val="00016759"/>
    <w:rsid w:val="000216CE"/>
    <w:rsid w:val="00024ED4"/>
    <w:rsid w:val="00025DC7"/>
    <w:rsid w:val="00035F09"/>
    <w:rsid w:val="00043776"/>
    <w:rsid w:val="00044ECC"/>
    <w:rsid w:val="000531D3"/>
    <w:rsid w:val="00054D75"/>
    <w:rsid w:val="0005646B"/>
    <w:rsid w:val="000615D1"/>
    <w:rsid w:val="0008102D"/>
    <w:rsid w:val="00086B26"/>
    <w:rsid w:val="00094C0E"/>
    <w:rsid w:val="000A0479"/>
    <w:rsid w:val="000A146D"/>
    <w:rsid w:val="000A5DEA"/>
    <w:rsid w:val="000B174A"/>
    <w:rsid w:val="000B6401"/>
    <w:rsid w:val="000D2A2F"/>
    <w:rsid w:val="000D2D40"/>
    <w:rsid w:val="000D7091"/>
    <w:rsid w:val="000F0C22"/>
    <w:rsid w:val="000F6B09"/>
    <w:rsid w:val="000F6FDC"/>
    <w:rsid w:val="001011ED"/>
    <w:rsid w:val="00104567"/>
    <w:rsid w:val="00104916"/>
    <w:rsid w:val="00104AA7"/>
    <w:rsid w:val="0011336E"/>
    <w:rsid w:val="0012732D"/>
    <w:rsid w:val="0014145D"/>
    <w:rsid w:val="00143F25"/>
    <w:rsid w:val="001509A1"/>
    <w:rsid w:val="00152682"/>
    <w:rsid w:val="00154FC9"/>
    <w:rsid w:val="00156506"/>
    <w:rsid w:val="001901C0"/>
    <w:rsid w:val="0019241A"/>
    <w:rsid w:val="00192A18"/>
    <w:rsid w:val="00194F5E"/>
    <w:rsid w:val="001A22D1"/>
    <w:rsid w:val="001A752D"/>
    <w:rsid w:val="001A757E"/>
    <w:rsid w:val="001B3AE0"/>
    <w:rsid w:val="001B5032"/>
    <w:rsid w:val="001C7777"/>
    <w:rsid w:val="001D1845"/>
    <w:rsid w:val="001D344B"/>
    <w:rsid w:val="001E2387"/>
    <w:rsid w:val="001E364F"/>
    <w:rsid w:val="001E7823"/>
    <w:rsid w:val="001F4222"/>
    <w:rsid w:val="001F6564"/>
    <w:rsid w:val="00201032"/>
    <w:rsid w:val="00203AA1"/>
    <w:rsid w:val="00213E98"/>
    <w:rsid w:val="00216960"/>
    <w:rsid w:val="00230150"/>
    <w:rsid w:val="00230531"/>
    <w:rsid w:val="0023081A"/>
    <w:rsid w:val="00233111"/>
    <w:rsid w:val="00265FA8"/>
    <w:rsid w:val="00267FDC"/>
    <w:rsid w:val="002B2AFD"/>
    <w:rsid w:val="002B40FF"/>
    <w:rsid w:val="002C4E29"/>
    <w:rsid w:val="002F460C"/>
    <w:rsid w:val="002F48D6"/>
    <w:rsid w:val="00317391"/>
    <w:rsid w:val="00326216"/>
    <w:rsid w:val="00334E43"/>
    <w:rsid w:val="00336580"/>
    <w:rsid w:val="00337643"/>
    <w:rsid w:val="00354899"/>
    <w:rsid w:val="00355FD6"/>
    <w:rsid w:val="00364A5C"/>
    <w:rsid w:val="00373FB1"/>
    <w:rsid w:val="00382DE8"/>
    <w:rsid w:val="00383060"/>
    <w:rsid w:val="00396C76"/>
    <w:rsid w:val="003A4EBD"/>
    <w:rsid w:val="003B1453"/>
    <w:rsid w:val="003B30D8"/>
    <w:rsid w:val="003B7EF2"/>
    <w:rsid w:val="003C3FA4"/>
    <w:rsid w:val="003D0BA1"/>
    <w:rsid w:val="003E28B5"/>
    <w:rsid w:val="003F2B0C"/>
    <w:rsid w:val="004011DB"/>
    <w:rsid w:val="004105B2"/>
    <w:rsid w:val="00410BC2"/>
    <w:rsid w:val="0041145A"/>
    <w:rsid w:val="00412900"/>
    <w:rsid w:val="004221E4"/>
    <w:rsid w:val="004273F8"/>
    <w:rsid w:val="00433F68"/>
    <w:rsid w:val="004355A3"/>
    <w:rsid w:val="00436EE1"/>
    <w:rsid w:val="00446546"/>
    <w:rsid w:val="00452769"/>
    <w:rsid w:val="00454FA7"/>
    <w:rsid w:val="004572CB"/>
    <w:rsid w:val="00465348"/>
    <w:rsid w:val="00473109"/>
    <w:rsid w:val="00492286"/>
    <w:rsid w:val="004979A5"/>
    <w:rsid w:val="004A25E0"/>
    <w:rsid w:val="004B1CCB"/>
    <w:rsid w:val="004B632F"/>
    <w:rsid w:val="004B69FA"/>
    <w:rsid w:val="004D3FB1"/>
    <w:rsid w:val="004D6A30"/>
    <w:rsid w:val="004D6F21"/>
    <w:rsid w:val="004D73A5"/>
    <w:rsid w:val="004E37DE"/>
    <w:rsid w:val="004F09AC"/>
    <w:rsid w:val="005160F1"/>
    <w:rsid w:val="00517CB7"/>
    <w:rsid w:val="00523861"/>
    <w:rsid w:val="00524F2F"/>
    <w:rsid w:val="00527E5C"/>
    <w:rsid w:val="00532CF5"/>
    <w:rsid w:val="005373C5"/>
    <w:rsid w:val="005379CB"/>
    <w:rsid w:val="00547C11"/>
    <w:rsid w:val="005528CB"/>
    <w:rsid w:val="00561FAF"/>
    <w:rsid w:val="00566771"/>
    <w:rsid w:val="00581E2E"/>
    <w:rsid w:val="00584F15"/>
    <w:rsid w:val="0059514B"/>
    <w:rsid w:val="005A1B0F"/>
    <w:rsid w:val="005A2A66"/>
    <w:rsid w:val="005B4CE6"/>
    <w:rsid w:val="005B5EFE"/>
    <w:rsid w:val="005C712E"/>
    <w:rsid w:val="005D403C"/>
    <w:rsid w:val="006107F7"/>
    <w:rsid w:val="00610B70"/>
    <w:rsid w:val="006163F7"/>
    <w:rsid w:val="00627C63"/>
    <w:rsid w:val="0063350B"/>
    <w:rsid w:val="00652606"/>
    <w:rsid w:val="006946EE"/>
    <w:rsid w:val="00697114"/>
    <w:rsid w:val="006A5621"/>
    <w:rsid w:val="006A58A9"/>
    <w:rsid w:val="006A606D"/>
    <w:rsid w:val="006C0371"/>
    <w:rsid w:val="006C08B6"/>
    <w:rsid w:val="006C0B1A"/>
    <w:rsid w:val="006C6065"/>
    <w:rsid w:val="006C7F9F"/>
    <w:rsid w:val="006D7493"/>
    <w:rsid w:val="006E2F6D"/>
    <w:rsid w:val="006E58F6"/>
    <w:rsid w:val="006E77E1"/>
    <w:rsid w:val="006F131D"/>
    <w:rsid w:val="0070473A"/>
    <w:rsid w:val="00711642"/>
    <w:rsid w:val="007261E3"/>
    <w:rsid w:val="007335D0"/>
    <w:rsid w:val="00735552"/>
    <w:rsid w:val="007507C6"/>
    <w:rsid w:val="00751E0B"/>
    <w:rsid w:val="00752BCD"/>
    <w:rsid w:val="00766DA1"/>
    <w:rsid w:val="00780D94"/>
    <w:rsid w:val="00781389"/>
    <w:rsid w:val="00783FD9"/>
    <w:rsid w:val="007866A6"/>
    <w:rsid w:val="007A130D"/>
    <w:rsid w:val="007D1A2D"/>
    <w:rsid w:val="007D32E6"/>
    <w:rsid w:val="007D4102"/>
    <w:rsid w:val="007E54A7"/>
    <w:rsid w:val="007F43B7"/>
    <w:rsid w:val="007F4CEA"/>
    <w:rsid w:val="008007D4"/>
    <w:rsid w:val="00821FFC"/>
    <w:rsid w:val="00826C26"/>
    <w:rsid w:val="008271CA"/>
    <w:rsid w:val="00827DE8"/>
    <w:rsid w:val="008467D5"/>
    <w:rsid w:val="008555B1"/>
    <w:rsid w:val="008A4DC4"/>
    <w:rsid w:val="008B438C"/>
    <w:rsid w:val="008B6006"/>
    <w:rsid w:val="008B62BD"/>
    <w:rsid w:val="008C6135"/>
    <w:rsid w:val="008D06CA"/>
    <w:rsid w:val="008D3489"/>
    <w:rsid w:val="008D3A46"/>
    <w:rsid w:val="008E3FAD"/>
    <w:rsid w:val="008F2385"/>
    <w:rsid w:val="008F6BF8"/>
    <w:rsid w:val="009067A4"/>
    <w:rsid w:val="009130CD"/>
    <w:rsid w:val="00930885"/>
    <w:rsid w:val="00933D68"/>
    <w:rsid w:val="009340DB"/>
    <w:rsid w:val="00937EE4"/>
    <w:rsid w:val="009437E2"/>
    <w:rsid w:val="0094618C"/>
    <w:rsid w:val="0095684B"/>
    <w:rsid w:val="00967906"/>
    <w:rsid w:val="00972498"/>
    <w:rsid w:val="0097481F"/>
    <w:rsid w:val="00974CC6"/>
    <w:rsid w:val="00976AD4"/>
    <w:rsid w:val="00981920"/>
    <w:rsid w:val="00995547"/>
    <w:rsid w:val="00996A2B"/>
    <w:rsid w:val="009A312F"/>
    <w:rsid w:val="009A5348"/>
    <w:rsid w:val="009B0AB7"/>
    <w:rsid w:val="009B116E"/>
    <w:rsid w:val="009C76D5"/>
    <w:rsid w:val="009F7AA4"/>
    <w:rsid w:val="00A10AD7"/>
    <w:rsid w:val="00A310FB"/>
    <w:rsid w:val="00A323B0"/>
    <w:rsid w:val="00A37A9D"/>
    <w:rsid w:val="00A559DB"/>
    <w:rsid w:val="00A569EA"/>
    <w:rsid w:val="00A676A0"/>
    <w:rsid w:val="00A720B3"/>
    <w:rsid w:val="00AA02B7"/>
    <w:rsid w:val="00AA6A72"/>
    <w:rsid w:val="00AF35FC"/>
    <w:rsid w:val="00AF5556"/>
    <w:rsid w:val="00B03639"/>
    <w:rsid w:val="00B0652A"/>
    <w:rsid w:val="00B315CF"/>
    <w:rsid w:val="00B40937"/>
    <w:rsid w:val="00B423EF"/>
    <w:rsid w:val="00B453DE"/>
    <w:rsid w:val="00B53979"/>
    <w:rsid w:val="00B62497"/>
    <w:rsid w:val="00B71597"/>
    <w:rsid w:val="00B72597"/>
    <w:rsid w:val="00B83FBC"/>
    <w:rsid w:val="00B87DC0"/>
    <w:rsid w:val="00B901F9"/>
    <w:rsid w:val="00B95092"/>
    <w:rsid w:val="00BC4D98"/>
    <w:rsid w:val="00BD405B"/>
    <w:rsid w:val="00BD6EFB"/>
    <w:rsid w:val="00BE3DF5"/>
    <w:rsid w:val="00BE5D85"/>
    <w:rsid w:val="00BF5EAB"/>
    <w:rsid w:val="00C01E67"/>
    <w:rsid w:val="00C02410"/>
    <w:rsid w:val="00C1584D"/>
    <w:rsid w:val="00C15BE2"/>
    <w:rsid w:val="00C3447F"/>
    <w:rsid w:val="00C44714"/>
    <w:rsid w:val="00C67102"/>
    <w:rsid w:val="00C81491"/>
    <w:rsid w:val="00C81676"/>
    <w:rsid w:val="00C85C5D"/>
    <w:rsid w:val="00C92CC4"/>
    <w:rsid w:val="00C95614"/>
    <w:rsid w:val="00CA0AFB"/>
    <w:rsid w:val="00CA2CE1"/>
    <w:rsid w:val="00CA3976"/>
    <w:rsid w:val="00CA50E3"/>
    <w:rsid w:val="00CA757B"/>
    <w:rsid w:val="00CB298C"/>
    <w:rsid w:val="00CC1787"/>
    <w:rsid w:val="00CC182C"/>
    <w:rsid w:val="00CD0824"/>
    <w:rsid w:val="00CD2908"/>
    <w:rsid w:val="00CE5B1A"/>
    <w:rsid w:val="00CE5D58"/>
    <w:rsid w:val="00D03A82"/>
    <w:rsid w:val="00D13667"/>
    <w:rsid w:val="00D15344"/>
    <w:rsid w:val="00D16037"/>
    <w:rsid w:val="00D228A1"/>
    <w:rsid w:val="00D23F57"/>
    <w:rsid w:val="00D31BEC"/>
    <w:rsid w:val="00D602ED"/>
    <w:rsid w:val="00D60955"/>
    <w:rsid w:val="00D63150"/>
    <w:rsid w:val="00D636BA"/>
    <w:rsid w:val="00D64A32"/>
    <w:rsid w:val="00D64EFC"/>
    <w:rsid w:val="00D75295"/>
    <w:rsid w:val="00D76CE9"/>
    <w:rsid w:val="00D96443"/>
    <w:rsid w:val="00D97F12"/>
    <w:rsid w:val="00DA6095"/>
    <w:rsid w:val="00DB42E7"/>
    <w:rsid w:val="00DB711E"/>
    <w:rsid w:val="00DC09D8"/>
    <w:rsid w:val="00DE01A6"/>
    <w:rsid w:val="00DE7A98"/>
    <w:rsid w:val="00DF32C2"/>
    <w:rsid w:val="00E024B3"/>
    <w:rsid w:val="00E04ECA"/>
    <w:rsid w:val="00E067B1"/>
    <w:rsid w:val="00E471A7"/>
    <w:rsid w:val="00E635CF"/>
    <w:rsid w:val="00E66CBC"/>
    <w:rsid w:val="00E80BE6"/>
    <w:rsid w:val="00EB1E3B"/>
    <w:rsid w:val="00EC4448"/>
    <w:rsid w:val="00EC6E0A"/>
    <w:rsid w:val="00ED4E18"/>
    <w:rsid w:val="00ED7922"/>
    <w:rsid w:val="00EE02C4"/>
    <w:rsid w:val="00EE1F37"/>
    <w:rsid w:val="00EF1A34"/>
    <w:rsid w:val="00F0159C"/>
    <w:rsid w:val="00F105B7"/>
    <w:rsid w:val="00F13220"/>
    <w:rsid w:val="00F17A21"/>
    <w:rsid w:val="00F20659"/>
    <w:rsid w:val="00F35168"/>
    <w:rsid w:val="00F36FC2"/>
    <w:rsid w:val="00F37B27"/>
    <w:rsid w:val="00F46556"/>
    <w:rsid w:val="00F50E91"/>
    <w:rsid w:val="00F56799"/>
    <w:rsid w:val="00F57D29"/>
    <w:rsid w:val="00F60786"/>
    <w:rsid w:val="00F91BC7"/>
    <w:rsid w:val="00F96201"/>
    <w:rsid w:val="00FA1BBC"/>
    <w:rsid w:val="00FD0B18"/>
    <w:rsid w:val="00FD2FAD"/>
    <w:rsid w:val="00FE714F"/>
    <w:rsid w:val="00FF6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79AA937"/>
  <w15:docId w15:val="{DB036E23-8F1B-40B0-9E6D-D77D623E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1E2387"/>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1E2387"/>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1E2387"/>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E2387"/>
    <w:pPr>
      <w:keepNext/>
      <w:keepLines/>
      <w:spacing w:before="20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nhideWhenUsed/>
    <w:qFormat/>
    <w:rsid w:val="001E2387"/>
    <w:pPr>
      <w:keepNext/>
      <w:keepLines/>
      <w:spacing w:before="200"/>
      <w:outlineLvl w:val="4"/>
    </w:pPr>
    <w:rPr>
      <w:rFonts w:asciiTheme="majorHAnsi" w:eastAsiaTheme="majorEastAsia" w:hAnsiTheme="majorHAnsi" w:cstheme="majorBidi"/>
      <w:color w:val="243F60" w:themeColor="accent1" w:themeShade="7F"/>
      <w:lang w:val="en-US"/>
    </w:rPr>
  </w:style>
  <w:style w:type="paragraph" w:styleId="Heading7">
    <w:name w:val="heading 7"/>
    <w:basedOn w:val="Normal"/>
    <w:next w:val="Normal"/>
    <w:link w:val="Heading7Char"/>
    <w:qFormat/>
    <w:rsid w:val="001E2387"/>
    <w:pPr>
      <w:keepNext/>
      <w:outlineLvl w:val="6"/>
    </w:pPr>
    <w:rPr>
      <w:b/>
      <w:bCs/>
      <w:sz w:val="24"/>
      <w:szCs w:val="24"/>
      <w:lang w:eastAsia="x-none"/>
    </w:rPr>
  </w:style>
  <w:style w:type="paragraph" w:styleId="Heading8">
    <w:name w:val="heading 8"/>
    <w:basedOn w:val="Normal"/>
    <w:next w:val="Normal"/>
    <w:link w:val="Heading8Char"/>
    <w:qFormat/>
    <w:rsid w:val="001E2387"/>
    <w:pPr>
      <w:tabs>
        <w:tab w:val="left" w:pos="0"/>
      </w:tabs>
      <w:jc w:val="center"/>
      <w:outlineLvl w:val="7"/>
    </w:pPr>
    <w:rPr>
      <w:b/>
      <w:sz w:val="18"/>
      <w:lang w:val="en-AU"/>
    </w:rPr>
  </w:style>
  <w:style w:type="paragraph" w:styleId="Heading9">
    <w:name w:val="heading 9"/>
    <w:basedOn w:val="Normal"/>
    <w:next w:val="Normal"/>
    <w:link w:val="Heading9Char"/>
    <w:qFormat/>
    <w:rsid w:val="001E2387"/>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2387"/>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1E2387"/>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1E2387"/>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1E2387"/>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1E2387"/>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1E2387"/>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1E2387"/>
    <w:pPr>
      <w:jc w:val="both"/>
    </w:pPr>
    <w:rPr>
      <w:sz w:val="22"/>
      <w:szCs w:val="22"/>
      <w:lang w:val="en-US"/>
    </w:rPr>
  </w:style>
  <w:style w:type="character" w:customStyle="1" w:styleId="BodyTextMainChar">
    <w:name w:val="Body Text Main Char"/>
    <w:basedOn w:val="DefaultParagraphFont"/>
    <w:link w:val="BodyTextMain"/>
    <w:rsid w:val="001E2387"/>
    <w:rPr>
      <w:rFonts w:ascii="Times New Roman" w:eastAsia="Times New Roman" w:hAnsi="Times New Roman" w:cs="Times New Roman"/>
    </w:rPr>
  </w:style>
  <w:style w:type="paragraph" w:customStyle="1" w:styleId="Casehead1">
    <w:name w:val="Casehead 1"/>
    <w:basedOn w:val="BodyTextMain"/>
    <w:link w:val="Casehead1Char"/>
    <w:qFormat/>
    <w:rsid w:val="001E2387"/>
    <w:rPr>
      <w:rFonts w:ascii="Arial" w:hAnsi="Arial" w:cs="Arial"/>
      <w:b/>
      <w:caps/>
      <w:sz w:val="20"/>
      <w:szCs w:val="20"/>
    </w:rPr>
  </w:style>
  <w:style w:type="character" w:customStyle="1" w:styleId="Casehead1Char">
    <w:name w:val="Casehead 1 Char"/>
    <w:basedOn w:val="BodyTextMainChar"/>
    <w:link w:val="Casehead1"/>
    <w:rsid w:val="001E2387"/>
    <w:rPr>
      <w:rFonts w:ascii="Arial" w:eastAsia="Times New Roman" w:hAnsi="Arial" w:cs="Arial"/>
      <w:b/>
      <w:caps/>
      <w:sz w:val="20"/>
      <w:szCs w:val="20"/>
    </w:rPr>
  </w:style>
  <w:style w:type="paragraph" w:customStyle="1" w:styleId="Casehead2">
    <w:name w:val="Casehead 2"/>
    <w:basedOn w:val="Casehead1"/>
    <w:link w:val="Casehead2Char"/>
    <w:qFormat/>
    <w:rsid w:val="001E2387"/>
    <w:rPr>
      <w:caps w:val="0"/>
    </w:rPr>
  </w:style>
  <w:style w:type="character" w:customStyle="1" w:styleId="Casehead2Char">
    <w:name w:val="Casehead 2 Char"/>
    <w:basedOn w:val="Casehead1Char"/>
    <w:link w:val="Casehead2"/>
    <w:rsid w:val="001E2387"/>
    <w:rPr>
      <w:rFonts w:ascii="Arial" w:eastAsia="Times New Roman" w:hAnsi="Arial" w:cs="Arial"/>
      <w:b/>
      <w:caps w:val="0"/>
      <w:sz w:val="20"/>
      <w:szCs w:val="20"/>
    </w:rPr>
  </w:style>
  <w:style w:type="paragraph" w:customStyle="1" w:styleId="Casehead3">
    <w:name w:val="Casehead 3"/>
    <w:basedOn w:val="Casehead2"/>
    <w:link w:val="Casehead3Char"/>
    <w:qFormat/>
    <w:rsid w:val="001E2387"/>
    <w:rPr>
      <w:rFonts w:ascii="Times New Roman" w:hAnsi="Times New Roman" w:cs="Times New Roman"/>
      <w:b w:val="0"/>
      <w:u w:val="single"/>
    </w:rPr>
  </w:style>
  <w:style w:type="character" w:customStyle="1" w:styleId="Casehead3Char">
    <w:name w:val="Casehead 3 Char"/>
    <w:basedOn w:val="Casehead2Char"/>
    <w:link w:val="Casehead3"/>
    <w:rsid w:val="001E2387"/>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1E2387"/>
    <w:rPr>
      <w:i/>
    </w:rPr>
  </w:style>
  <w:style w:type="character" w:customStyle="1" w:styleId="Casehead4Char">
    <w:name w:val="Casehead 4 Char"/>
    <w:basedOn w:val="Casehead3Char"/>
    <w:link w:val="Casehead4"/>
    <w:rsid w:val="001E238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E2387"/>
    <w:pPr>
      <w:jc w:val="both"/>
    </w:pPr>
    <w:rPr>
      <w:rFonts w:ascii="Arial" w:hAnsi="Arial" w:cs="Arial"/>
      <w:sz w:val="17"/>
      <w:szCs w:val="17"/>
      <w:lang w:val="en-US"/>
    </w:rPr>
  </w:style>
  <w:style w:type="character" w:customStyle="1" w:styleId="FootnoteChar">
    <w:name w:val="Footnote Char"/>
    <w:basedOn w:val="FootnoteTextChar"/>
    <w:link w:val="Footnote"/>
    <w:rsid w:val="001E2387"/>
    <w:rPr>
      <w:rFonts w:ascii="Arial" w:eastAsia="Times New Roman" w:hAnsi="Arial" w:cs="Arial"/>
      <w:sz w:val="17"/>
      <w:szCs w:val="17"/>
    </w:rPr>
  </w:style>
  <w:style w:type="paragraph" w:customStyle="1" w:styleId="Quotation3Lines">
    <w:name w:val="Quotation (3+ Lines)"/>
    <w:basedOn w:val="BodyTextMain"/>
    <w:link w:val="Quotation3LinesChar"/>
    <w:qFormat/>
    <w:rsid w:val="001E2387"/>
    <w:pPr>
      <w:ind w:left="720" w:right="720"/>
    </w:pPr>
  </w:style>
  <w:style w:type="character" w:customStyle="1" w:styleId="Quotation3LinesChar">
    <w:name w:val="Quotation (3+ Lines) Char"/>
    <w:basedOn w:val="BodyTextMainChar"/>
    <w:link w:val="Quotation3Lines"/>
    <w:rsid w:val="001E2387"/>
    <w:rPr>
      <w:rFonts w:ascii="Times New Roman" w:eastAsia="Times New Roman" w:hAnsi="Times New Roman" w:cs="Times New Roman"/>
    </w:rPr>
  </w:style>
  <w:style w:type="paragraph" w:customStyle="1" w:styleId="ExhibitNumber">
    <w:name w:val="Exhibit Number"/>
    <w:basedOn w:val="BodyTextMain"/>
    <w:link w:val="ExhibitNumberChar"/>
    <w:qFormat/>
    <w:rsid w:val="001E2387"/>
    <w:pPr>
      <w:jc w:val="center"/>
    </w:pPr>
    <w:rPr>
      <w:rFonts w:ascii="Arial" w:hAnsi="Arial" w:cs="Arial"/>
      <w:b/>
      <w:sz w:val="20"/>
      <w:szCs w:val="20"/>
    </w:rPr>
  </w:style>
  <w:style w:type="character" w:customStyle="1" w:styleId="ExhibitNumberChar">
    <w:name w:val="Exhibit Number Char"/>
    <w:basedOn w:val="BodyTextMainChar"/>
    <w:link w:val="ExhibitNumber"/>
    <w:rsid w:val="001E2387"/>
    <w:rPr>
      <w:rFonts w:ascii="Arial" w:eastAsia="Times New Roman" w:hAnsi="Arial" w:cs="Arial"/>
      <w:b/>
      <w:sz w:val="20"/>
      <w:szCs w:val="20"/>
    </w:rPr>
  </w:style>
  <w:style w:type="paragraph" w:customStyle="1" w:styleId="ExhibitHeading">
    <w:name w:val="Exhibit Heading"/>
    <w:basedOn w:val="BodyTextMain"/>
    <w:link w:val="ExhibitHeadingChar"/>
    <w:qFormat/>
    <w:rsid w:val="001E2387"/>
    <w:pPr>
      <w:jc w:val="center"/>
    </w:pPr>
    <w:rPr>
      <w:rFonts w:ascii="Arial" w:hAnsi="Arial" w:cs="Arial"/>
      <w:b/>
      <w:caps/>
      <w:sz w:val="20"/>
      <w:szCs w:val="20"/>
    </w:rPr>
  </w:style>
  <w:style w:type="character" w:customStyle="1" w:styleId="ExhibitHeadingChar">
    <w:name w:val="Exhibit Heading Char"/>
    <w:basedOn w:val="BodyTextMainChar"/>
    <w:link w:val="ExhibitHeading"/>
    <w:rsid w:val="001E2387"/>
    <w:rPr>
      <w:rFonts w:ascii="Arial" w:eastAsia="Times New Roman" w:hAnsi="Arial" w:cs="Arial"/>
      <w:b/>
      <w:caps/>
      <w:sz w:val="20"/>
      <w:szCs w:val="20"/>
    </w:rPr>
  </w:style>
  <w:style w:type="paragraph" w:customStyle="1" w:styleId="CaseTitle">
    <w:name w:val="Case Title"/>
    <w:basedOn w:val="MainTitle"/>
    <w:link w:val="CaseTitleChar"/>
    <w:qFormat/>
    <w:rsid w:val="001E2387"/>
    <w:rPr>
      <w:lang w:val="en-US"/>
    </w:rPr>
  </w:style>
  <w:style w:type="character" w:customStyle="1" w:styleId="CaseTitleChar">
    <w:name w:val="Case Title Char"/>
    <w:basedOn w:val="MainTitleChar"/>
    <w:link w:val="CaseTitle"/>
    <w:rsid w:val="001E2387"/>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1E2387"/>
    <w:pPr>
      <w:jc w:val="center"/>
    </w:pPr>
  </w:style>
  <w:style w:type="character" w:customStyle="1" w:styleId="TeachingNoteTitleChar">
    <w:name w:val="Teaching Note Title Char"/>
    <w:basedOn w:val="CaseTitleChar"/>
    <w:link w:val="TeachingNoteTitle"/>
    <w:rsid w:val="001E2387"/>
    <w:rPr>
      <w:rFonts w:ascii="Arial" w:hAnsi="Arial" w:cs="Arial"/>
      <w:b/>
      <w:bCs/>
      <w:caps/>
      <w:color w:val="000000"/>
      <w:sz w:val="28"/>
      <w:szCs w:val="28"/>
    </w:rPr>
  </w:style>
  <w:style w:type="paragraph" w:customStyle="1" w:styleId="ProductNumber">
    <w:name w:val="Product Number"/>
    <w:basedOn w:val="Normal"/>
    <w:link w:val="ProductNumberChar"/>
    <w:qFormat/>
    <w:rsid w:val="001E2387"/>
    <w:pPr>
      <w:jc w:val="right"/>
    </w:pPr>
    <w:rPr>
      <w:rFonts w:ascii="Arial" w:hAnsi="Arial"/>
      <w:b/>
      <w:caps/>
      <w:sz w:val="24"/>
      <w:lang w:val="en-US"/>
    </w:rPr>
  </w:style>
  <w:style w:type="character" w:customStyle="1" w:styleId="ProductNumberChar">
    <w:name w:val="Product Number Char"/>
    <w:basedOn w:val="DefaultParagraphFont"/>
    <w:link w:val="ProductNumber"/>
    <w:rsid w:val="001E2387"/>
    <w:rPr>
      <w:rFonts w:ascii="Arial" w:eastAsia="Times New Roman" w:hAnsi="Arial" w:cs="Times New Roman"/>
      <w:b/>
      <w:caps/>
      <w:sz w:val="24"/>
      <w:szCs w:val="20"/>
    </w:rPr>
  </w:style>
  <w:style w:type="paragraph" w:customStyle="1" w:styleId="ExhibitText">
    <w:name w:val="Exhibit Text"/>
    <w:basedOn w:val="BodyTextMain"/>
    <w:link w:val="ExhibitTextChar"/>
    <w:qFormat/>
    <w:rsid w:val="001E2387"/>
    <w:rPr>
      <w:rFonts w:ascii="Arial" w:hAnsi="Arial" w:cs="Arial"/>
      <w:sz w:val="20"/>
      <w:szCs w:val="20"/>
    </w:rPr>
  </w:style>
  <w:style w:type="character" w:customStyle="1" w:styleId="ExhibitTextChar">
    <w:name w:val="Exhibit Text Char"/>
    <w:basedOn w:val="BodyTextMainChar"/>
    <w:link w:val="ExhibitText"/>
    <w:rsid w:val="001E238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1E2387"/>
    <w:pPr>
      <w:ind w:left="720"/>
      <w:contextualSpacing/>
      <w:jc w:val="both"/>
    </w:pPr>
    <w:rPr>
      <w:rFonts w:eastAsia="Calibri"/>
      <w:sz w:val="22"/>
      <w:szCs w:val="22"/>
      <w:lang w:val="en-US"/>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1E2387"/>
    <w:rPr>
      <w:b/>
      <w:bCs/>
    </w:rPr>
  </w:style>
  <w:style w:type="character" w:styleId="IntenseReference">
    <w:name w:val="Intense Reference"/>
    <w:qFormat/>
    <w:rsid w:val="001E2387"/>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1E2387"/>
    <w:rPr>
      <w:vertAlign w:val="superscript"/>
    </w:rPr>
  </w:style>
  <w:style w:type="paragraph" w:styleId="NoSpacing">
    <w:name w:val="No Spacing"/>
    <w:link w:val="NoSpacingChar"/>
    <w:qFormat/>
    <w:rsid w:val="001E2387"/>
    <w:pPr>
      <w:spacing w:after="0" w:line="240" w:lineRule="auto"/>
    </w:pPr>
    <w:rPr>
      <w:rFonts w:ascii="Calibri" w:eastAsia="Calibri" w:hAnsi="Calibri" w:cs="Times New Roman"/>
      <w:lang w:val="en-IN"/>
    </w:rPr>
  </w:style>
  <w:style w:type="character" w:customStyle="1" w:styleId="NoSpacingChar">
    <w:name w:val="No Spacing Char"/>
    <w:link w:val="NoSpacing"/>
    <w:rsid w:val="001E2387"/>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1E2387"/>
    <w:pPr>
      <w:spacing w:after="240"/>
      <w:jc w:val="center"/>
    </w:pPr>
    <w:rPr>
      <w:b/>
      <w:sz w:val="24"/>
      <w:lang w:val="en-AU"/>
    </w:rPr>
  </w:style>
  <w:style w:type="character" w:customStyle="1" w:styleId="TitleChar">
    <w:name w:val="Title Char"/>
    <w:basedOn w:val="DefaultParagraphFont"/>
    <w:link w:val="Title"/>
    <w:rsid w:val="001E2387"/>
    <w:rPr>
      <w:rFonts w:ascii="Times New Roman" w:eastAsia="Times New Roman" w:hAnsi="Times New Roman" w:cs="Times New Roman"/>
      <w:b/>
      <w:sz w:val="24"/>
      <w:szCs w:val="20"/>
      <w:lang w:val="en-AU"/>
    </w:rPr>
  </w:style>
  <w:style w:type="character" w:styleId="Emphasis">
    <w:name w:val="Emphasis"/>
    <w:qFormat/>
    <w:rsid w:val="001E2387"/>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E238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E238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1E2387"/>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1E2387"/>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1E2387"/>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1E2387"/>
    <w:pPr>
      <w:widowControl w:val="0"/>
      <w:autoSpaceDE w:val="0"/>
      <w:autoSpaceDN w:val="0"/>
      <w:jc w:val="right"/>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760713622">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5124B-7469-43BB-999C-8315AA417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7</Pages>
  <Words>2890</Words>
  <Characters>16479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Bojmelgrin, Alex</dc:creator>
  <cp:lastModifiedBy>Alex Bojmelgrin</cp:lastModifiedBy>
  <cp:revision>6</cp:revision>
  <cp:lastPrinted>2019-08-22T19:27:00Z</cp:lastPrinted>
  <dcterms:created xsi:type="dcterms:W3CDTF">2019-08-22T17:09:00Z</dcterms:created>
  <dcterms:modified xsi:type="dcterms:W3CDTF">2019-08-22T19:37:00Z</dcterms:modified>
</cp:coreProperties>
</file>