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387D3" w14:textId="1BA398EB" w:rsidR="00F50251" w:rsidRPr="004951FA" w:rsidRDefault="000A27E5" w:rsidP="00C02410">
      <w:pPr>
        <w:pBdr>
          <w:bottom w:val="single" w:sz="18" w:space="1" w:color="auto"/>
        </w:pBdr>
        <w:tabs>
          <w:tab w:val="left" w:pos="-1440"/>
          <w:tab w:val="left" w:pos="-720"/>
          <w:tab w:val="left" w:pos="1"/>
        </w:tabs>
        <w:jc w:val="both"/>
        <w:rPr>
          <w:rFonts w:ascii="Arial" w:hAnsi="Arial"/>
          <w:b/>
          <w:noProof/>
          <w:kern w:val="2"/>
          <w:lang w:eastAsia="en-CA"/>
        </w:rPr>
      </w:pPr>
      <w:r w:rsidRPr="000A27E5">
        <w:rPr>
          <w:rFonts w:ascii="Arial" w:hAnsi="Arial"/>
          <w:b/>
          <w:noProof/>
          <w:kern w:val="2"/>
          <w:lang w:eastAsia="en-CA"/>
        </w:rPr>
        <w:drawing>
          <wp:inline distT="0" distB="0" distL="0" distR="0" wp14:anchorId="52D719BF" wp14:editId="2103945F">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D83F968" w:rsidR="00C02410" w:rsidRPr="004951FA" w:rsidRDefault="008F0629" w:rsidP="00C02410">
      <w:pPr>
        <w:pStyle w:val="ProductNumber"/>
        <w:rPr>
          <w:kern w:val="2"/>
        </w:rPr>
      </w:pPr>
      <w:r>
        <w:rPr>
          <w:kern w:val="2"/>
        </w:rPr>
        <w:t>9B19D</w:t>
      </w:r>
      <w:r w:rsidR="000A27E5">
        <w:rPr>
          <w:kern w:val="2"/>
        </w:rPr>
        <w:t>024</w:t>
      </w:r>
    </w:p>
    <w:p w14:paraId="4E057522" w14:textId="7A113CB1" w:rsidR="00D75295" w:rsidRPr="004951FA" w:rsidRDefault="00D75295" w:rsidP="00D75295">
      <w:pPr>
        <w:jc w:val="right"/>
        <w:rPr>
          <w:rFonts w:ascii="Arial" w:hAnsi="Arial"/>
          <w:b/>
          <w:kern w:val="2"/>
        </w:rPr>
      </w:pPr>
    </w:p>
    <w:p w14:paraId="02524312" w14:textId="77777777" w:rsidR="001901C0" w:rsidRPr="004951FA" w:rsidRDefault="001901C0" w:rsidP="00D75295">
      <w:pPr>
        <w:jc w:val="right"/>
        <w:rPr>
          <w:rFonts w:ascii="Arial" w:hAnsi="Arial"/>
          <w:b/>
          <w:kern w:val="2"/>
        </w:rPr>
      </w:pPr>
    </w:p>
    <w:p w14:paraId="2F03D26A" w14:textId="68164B6E" w:rsidR="00013360" w:rsidRPr="004951FA" w:rsidRDefault="00F50251" w:rsidP="00013360">
      <w:pPr>
        <w:pStyle w:val="CaseTitle"/>
        <w:spacing w:after="0" w:line="240" w:lineRule="auto"/>
        <w:rPr>
          <w:kern w:val="2"/>
          <w:sz w:val="20"/>
          <w:szCs w:val="20"/>
        </w:rPr>
      </w:pPr>
      <w:r w:rsidRPr="004951FA">
        <w:rPr>
          <w:kern w:val="2"/>
        </w:rPr>
        <w:t>KINDRED HOME CARE: CHOOSING GROWTH OPTIONS</w:t>
      </w:r>
    </w:p>
    <w:p w14:paraId="40ABF6FD" w14:textId="77777777" w:rsidR="00CA3976" w:rsidRPr="004951FA" w:rsidRDefault="00CA3976" w:rsidP="00013360">
      <w:pPr>
        <w:pStyle w:val="CaseTitle"/>
        <w:spacing w:after="0" w:line="240" w:lineRule="auto"/>
        <w:rPr>
          <w:kern w:val="2"/>
          <w:sz w:val="20"/>
          <w:szCs w:val="20"/>
        </w:rPr>
      </w:pPr>
    </w:p>
    <w:p w14:paraId="202F1085" w14:textId="77777777" w:rsidR="00013360" w:rsidRPr="004951FA" w:rsidRDefault="00013360" w:rsidP="00013360">
      <w:pPr>
        <w:pStyle w:val="CaseTitle"/>
        <w:spacing w:after="0" w:line="240" w:lineRule="auto"/>
        <w:rPr>
          <w:kern w:val="2"/>
          <w:sz w:val="20"/>
          <w:szCs w:val="20"/>
        </w:rPr>
      </w:pPr>
    </w:p>
    <w:p w14:paraId="58B0C73F" w14:textId="23FE6F83" w:rsidR="00086B26" w:rsidRPr="004951FA" w:rsidRDefault="00F50251" w:rsidP="00086B26">
      <w:pPr>
        <w:pStyle w:val="StyleCopyrightStatementAfter0ptBottomSinglesolidline1"/>
        <w:rPr>
          <w:kern w:val="2"/>
        </w:rPr>
      </w:pPr>
      <w:proofErr w:type="spellStart"/>
      <w:r w:rsidRPr="004951FA">
        <w:rPr>
          <w:kern w:val="2"/>
        </w:rPr>
        <w:t>R</w:t>
      </w:r>
      <w:r w:rsidR="00886941">
        <w:rPr>
          <w:kern w:val="2"/>
        </w:rPr>
        <w:t>amasastry</w:t>
      </w:r>
      <w:proofErr w:type="spellEnd"/>
      <w:r w:rsidR="00282EA1">
        <w:rPr>
          <w:kern w:val="2"/>
        </w:rPr>
        <w:t xml:space="preserve"> </w:t>
      </w:r>
      <w:r w:rsidRPr="004951FA">
        <w:rPr>
          <w:kern w:val="2"/>
        </w:rPr>
        <w:t xml:space="preserve">Chandrasekhar wrote this case under the supervision of </w:t>
      </w:r>
      <w:r w:rsidRPr="004951FA">
        <w:rPr>
          <w:kern w:val="2"/>
        </w:rPr>
        <w:tab/>
        <w:t xml:space="preserve">David Barrett </w:t>
      </w:r>
      <w:r w:rsidR="00086B26" w:rsidRPr="004951FA">
        <w:rPr>
          <w:kern w:val="2"/>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2746D7D4" w:rsidR="00086B26" w:rsidRPr="004951FA" w:rsidRDefault="00086B26" w:rsidP="00086B26">
      <w:pPr>
        <w:pStyle w:val="StyleCopyrightStatementAfter0ptBottomSinglesolidline1"/>
        <w:rPr>
          <w:kern w:val="2"/>
        </w:rPr>
      </w:pPr>
    </w:p>
    <w:p w14:paraId="4B3FBF4E" w14:textId="77777777" w:rsidR="000A27E5" w:rsidRDefault="000A27E5" w:rsidP="000A27E5">
      <w:pPr>
        <w:pStyle w:val="StyleStyleCopyrightStatementAfter0ptBottomSinglesolid"/>
        <w:rPr>
          <w:rFonts w:cs="Arial"/>
          <w:color w:val="FFFFFF" w:themeColor="background1"/>
          <w:szCs w:val="16"/>
        </w:rPr>
      </w:pPr>
      <w:r w:rsidRPr="00A323B0">
        <w:rPr>
          <w:rFonts w:cs="Arial"/>
          <w:szCs w:val="16"/>
        </w:rPr>
        <w:t xml:space="preserve">This publication </w:t>
      </w:r>
      <w:proofErr w:type="gramStart"/>
      <w:r w:rsidRPr="00A323B0">
        <w:rPr>
          <w:rFonts w:cs="Arial"/>
          <w:szCs w:val="16"/>
        </w:rPr>
        <w:t>may not be transmitted, photocopied, digitized, or otherwise reproduced in any form or by any means without the permission of the copyright holder</w:t>
      </w:r>
      <w:proofErr w:type="gramEnd"/>
      <w:r w:rsidRPr="00A323B0">
        <w:rPr>
          <w:rFonts w:cs="Arial"/>
          <w:szCs w:val="16"/>
        </w:rPr>
        <w:t xml:space="preserve">. Reproduction of this material </w:t>
      </w:r>
      <w:proofErr w:type="gramStart"/>
      <w:r w:rsidRPr="00A323B0">
        <w:rPr>
          <w:rFonts w:cs="Arial"/>
          <w:szCs w:val="16"/>
        </w:rPr>
        <w:t>is not covered</w:t>
      </w:r>
      <w:proofErr w:type="gramEnd"/>
      <w:r w:rsidRPr="00A323B0">
        <w:rPr>
          <w:rFonts w:cs="Arial"/>
          <w:szCs w:val="16"/>
        </w:rPr>
        <w:t xml:space="preserve">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0BA044B" w14:textId="77777777" w:rsidR="000A27E5" w:rsidRDefault="000A27E5" w:rsidP="000A27E5">
      <w:pPr>
        <w:pStyle w:val="StyleStyleCopyrightStatementAfter0ptBottomSinglesolid"/>
        <w:rPr>
          <w:rFonts w:cs="Arial"/>
          <w:color w:val="FFFFFF" w:themeColor="background1"/>
          <w:szCs w:val="16"/>
        </w:rPr>
      </w:pPr>
    </w:p>
    <w:p w14:paraId="3922E14F" w14:textId="18B892AE" w:rsidR="00751E0B" w:rsidRPr="000A27E5" w:rsidRDefault="000A27E5"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Ivey Business School Foundation</w:t>
      </w:r>
      <w:r w:rsidR="00A323B0" w:rsidRPr="004951FA">
        <w:rPr>
          <w:rFonts w:cs="Arial"/>
          <w:iCs w:val="0"/>
          <w:color w:val="auto"/>
          <w:kern w:val="2"/>
          <w:szCs w:val="16"/>
        </w:rPr>
        <w:tab/>
      </w:r>
      <w:r>
        <w:rPr>
          <w:rFonts w:cs="Arial"/>
          <w:iCs w:val="0"/>
          <w:color w:val="auto"/>
          <w:kern w:val="2"/>
          <w:szCs w:val="16"/>
        </w:rPr>
        <w:t>Version: 2019-12-10</w:t>
      </w:r>
    </w:p>
    <w:p w14:paraId="0A2A54E4" w14:textId="413BCE2C" w:rsidR="00751E0B" w:rsidRPr="004951FA" w:rsidRDefault="00751E0B" w:rsidP="00751E0B">
      <w:pPr>
        <w:pStyle w:val="StyleCopyrightStatementAfter0ptBottomSinglesolidline1"/>
        <w:rPr>
          <w:rFonts w:ascii="Times New Roman" w:hAnsi="Times New Roman"/>
          <w:kern w:val="2"/>
          <w:sz w:val="20"/>
        </w:rPr>
      </w:pPr>
    </w:p>
    <w:p w14:paraId="2E6157C9" w14:textId="77777777" w:rsidR="00F50251" w:rsidRPr="004951FA" w:rsidRDefault="00F50251" w:rsidP="00751E0B">
      <w:pPr>
        <w:pStyle w:val="StyleCopyrightStatementAfter0ptBottomSinglesolidline1"/>
        <w:rPr>
          <w:rFonts w:ascii="Times New Roman" w:hAnsi="Times New Roman"/>
          <w:kern w:val="2"/>
          <w:sz w:val="20"/>
        </w:rPr>
      </w:pPr>
    </w:p>
    <w:p w14:paraId="1AE87E67" w14:textId="45A2BF14" w:rsidR="00F50251" w:rsidRPr="004951FA" w:rsidRDefault="00F50251" w:rsidP="00F47525">
      <w:pPr>
        <w:pStyle w:val="BodyTextMain"/>
      </w:pPr>
      <w:r w:rsidRPr="00F47525">
        <w:t>In June 2017, Billy English, chief executive officer (CEO) of Kindred Home Care (Kindred), a home care provider in the province of New Brunswick</w:t>
      </w:r>
      <w:r w:rsidR="004951FA" w:rsidRPr="00F47525">
        <w:t>,</w:t>
      </w:r>
      <w:r w:rsidRPr="00F47525">
        <w:t xml:space="preserve"> in eastern Canada, was evaluating the five-year growth plan that he had just finalized. His goal was to reach an annual revenue of CA$50 million</w:t>
      </w:r>
      <w:r w:rsidR="00182FF4" w:rsidRPr="00D25C0C">
        <w:rPr>
          <w:rStyle w:val="FootnoteReference"/>
        </w:rPr>
        <w:footnoteReference w:id="1"/>
      </w:r>
      <w:r w:rsidRPr="004951FA">
        <w:t xml:space="preserve"> from the present $13 million</w:t>
      </w:r>
      <w:r w:rsidR="00D13483" w:rsidRPr="00D13483">
        <w:t xml:space="preserve"> </w:t>
      </w:r>
      <w:r w:rsidR="00D13483" w:rsidRPr="004951FA">
        <w:t>by 2022</w:t>
      </w:r>
      <w:r w:rsidRPr="004951FA">
        <w:t>. An integral part of the revenue target was an increase in the number of weekly service hours from 12,000 to 35,000 and expansion of the workforce from 490 to 1,500 (see Exhibit 1).</w:t>
      </w:r>
      <w:r w:rsidR="004951FA">
        <w:t xml:space="preserve"> </w:t>
      </w:r>
    </w:p>
    <w:p w14:paraId="64460703" w14:textId="77777777" w:rsidR="00F50251" w:rsidRPr="000A27E5" w:rsidRDefault="00F50251" w:rsidP="00824259">
      <w:pPr>
        <w:pStyle w:val="BodyTextMain"/>
        <w:rPr>
          <w:sz w:val="18"/>
          <w:szCs w:val="18"/>
        </w:rPr>
      </w:pPr>
    </w:p>
    <w:p w14:paraId="6D87F6DF" w14:textId="7178258F" w:rsidR="00F50251" w:rsidRPr="004951FA" w:rsidRDefault="00F50251">
      <w:pPr>
        <w:pStyle w:val="BodyTextMain"/>
      </w:pPr>
      <w:r w:rsidRPr="004951FA">
        <w:t xml:space="preserve">English also wanted to improve Kindred’s profit margin. While the direct </w:t>
      </w:r>
      <w:r w:rsidR="007C29F9" w:rsidRPr="004951FA">
        <w:t>labour</w:t>
      </w:r>
      <w:r w:rsidRPr="004951FA">
        <w:t xml:space="preserve"> and related expenses as a percentage of revenue had dropped </w:t>
      </w:r>
      <w:r w:rsidR="00D13483" w:rsidRPr="004951FA">
        <w:t>from 94 per cent in 2012</w:t>
      </w:r>
      <w:r w:rsidR="00D13483">
        <w:t xml:space="preserve"> </w:t>
      </w:r>
      <w:r w:rsidRPr="004951FA">
        <w:t xml:space="preserve">to 84 per cent in 2017, </w:t>
      </w:r>
      <w:r w:rsidR="00D13483">
        <w:t>English</w:t>
      </w:r>
      <w:r w:rsidR="00D13483" w:rsidRPr="004951FA">
        <w:t xml:space="preserve"> </w:t>
      </w:r>
      <w:r w:rsidRPr="004951FA">
        <w:t xml:space="preserve">was keen </w:t>
      </w:r>
      <w:r w:rsidR="00D13483">
        <w:t>to</w:t>
      </w:r>
      <w:r w:rsidR="00D13483" w:rsidRPr="004951FA">
        <w:t xml:space="preserve"> </w:t>
      </w:r>
      <w:r w:rsidRPr="004951FA">
        <w:t>increas</w:t>
      </w:r>
      <w:r w:rsidR="00D13483">
        <w:t>e</w:t>
      </w:r>
      <w:r w:rsidRPr="004951FA">
        <w:t xml:space="preserve"> the margin further.</w:t>
      </w:r>
      <w:r w:rsidR="007C29F9">
        <w:t xml:space="preserve"> However,</w:t>
      </w:r>
      <w:r w:rsidRPr="004951FA">
        <w:t xml:space="preserve"> </w:t>
      </w:r>
      <w:r w:rsidR="007C29F9">
        <w:t>it</w:t>
      </w:r>
      <w:r w:rsidRPr="004951FA">
        <w:t xml:space="preserve"> would be</w:t>
      </w:r>
      <w:r w:rsidR="007C29F9">
        <w:t xml:space="preserve"> </w:t>
      </w:r>
      <w:r w:rsidRPr="004951FA">
        <w:t xml:space="preserve">difficult </w:t>
      </w:r>
      <w:r w:rsidR="00FE5AE8">
        <w:t>to do so</w:t>
      </w:r>
      <w:r w:rsidR="00D13483">
        <w:t xml:space="preserve"> because</w:t>
      </w:r>
      <w:r w:rsidRPr="004951FA">
        <w:t xml:space="preserve"> the provincial government of New Brunswick was regulating the business of home care so closely that it not only fixed the billing rate for service providers like Kindred but </w:t>
      </w:r>
      <w:r w:rsidR="007C29F9">
        <w:t xml:space="preserve">also </w:t>
      </w:r>
      <w:r w:rsidRPr="004951FA">
        <w:t>made the billing rate non-negotiable.</w:t>
      </w:r>
    </w:p>
    <w:p w14:paraId="1416C1B9" w14:textId="77777777" w:rsidR="00F50251" w:rsidRPr="000A27E5" w:rsidRDefault="00F50251" w:rsidP="00F50251">
      <w:pPr>
        <w:pStyle w:val="BodyTextMain"/>
        <w:rPr>
          <w:color w:val="242424"/>
          <w:kern w:val="2"/>
          <w:sz w:val="18"/>
          <w:szCs w:val="18"/>
        </w:rPr>
      </w:pPr>
    </w:p>
    <w:p w14:paraId="4812A1A9" w14:textId="002E5F9E" w:rsidR="00F50251" w:rsidRPr="004951FA" w:rsidRDefault="00F50251" w:rsidP="00824259">
      <w:pPr>
        <w:pStyle w:val="BodyTextMain"/>
      </w:pPr>
      <w:r w:rsidRPr="00824259">
        <w:t xml:space="preserve">English was </w:t>
      </w:r>
      <w:r w:rsidR="00CA7E50">
        <w:t>trying to choose from</w:t>
      </w:r>
      <w:r w:rsidR="00D25312">
        <w:t xml:space="preserve"> </w:t>
      </w:r>
      <w:r w:rsidRPr="004951FA">
        <w:t>three</w:t>
      </w:r>
      <w:r w:rsidR="00D25312">
        <w:t xml:space="preserve"> </w:t>
      </w:r>
      <w:r w:rsidR="00D83D94">
        <w:t>options for scaling up his business</w:t>
      </w:r>
      <w:r w:rsidRPr="004951FA">
        <w:t xml:space="preserve">. </w:t>
      </w:r>
      <w:bookmarkStart w:id="0" w:name="_Hlk6425491"/>
      <w:r w:rsidR="009E2129">
        <w:t xml:space="preserve">The first </w:t>
      </w:r>
      <w:r w:rsidR="00EE4BCB">
        <w:t xml:space="preserve">option was </w:t>
      </w:r>
      <w:r w:rsidR="00BC5B20">
        <w:t xml:space="preserve">to scale </w:t>
      </w:r>
      <w:proofErr w:type="gramStart"/>
      <w:r w:rsidR="00BC5B20">
        <w:t>up</w:t>
      </w:r>
      <w:proofErr w:type="gramEnd"/>
      <w:r w:rsidR="00BC5B20">
        <w:t xml:space="preserve"> with franchising. </w:t>
      </w:r>
      <w:r w:rsidRPr="004951FA">
        <w:t>Franchising was a common business model in home care in North America</w:t>
      </w:r>
      <w:r w:rsidR="009E2129">
        <w:t>,</w:t>
      </w:r>
      <w:r w:rsidRPr="004951FA">
        <w:t xml:space="preserve"> and</w:t>
      </w:r>
      <w:r w:rsidR="009E2129">
        <w:t>, by sheer chance,</w:t>
      </w:r>
      <w:r w:rsidRPr="004951FA">
        <w:t xml:space="preserve"> English had just </w:t>
      </w:r>
      <w:r w:rsidR="00CA7E50">
        <w:t>obtained</w:t>
      </w:r>
      <w:r w:rsidRPr="004951FA">
        <w:t xml:space="preserve"> a </w:t>
      </w:r>
      <w:r w:rsidR="009E2129">
        <w:t>fast-track</w:t>
      </w:r>
      <w:r w:rsidRPr="004951FA">
        <w:t xml:space="preserve"> model for deployment</w:t>
      </w:r>
      <w:bookmarkEnd w:id="0"/>
      <w:r w:rsidRPr="004951FA">
        <w:t xml:space="preserve">. </w:t>
      </w:r>
      <w:bookmarkStart w:id="1" w:name="_Hlk6425524"/>
      <w:r w:rsidR="009E2129">
        <w:t xml:space="preserve">The second </w:t>
      </w:r>
      <w:r w:rsidR="00EE4BCB">
        <w:t xml:space="preserve">option was </w:t>
      </w:r>
      <w:r w:rsidR="00CA7E50">
        <w:t>to scale up</w:t>
      </w:r>
      <w:r w:rsidRPr="004951FA">
        <w:t xml:space="preserve"> Kindred </w:t>
      </w:r>
      <w:r w:rsidR="00CA7E50">
        <w:t>with</w:t>
      </w:r>
      <w:r w:rsidRPr="004951FA">
        <w:t xml:space="preserve"> acquisition</w:t>
      </w:r>
      <w:r w:rsidR="00CA7E50">
        <w:t>s</w:t>
      </w:r>
      <w:r w:rsidR="008A081D">
        <w:t>.</w:t>
      </w:r>
      <w:r w:rsidRPr="004951FA">
        <w:t xml:space="preserve"> </w:t>
      </w:r>
      <w:bookmarkStart w:id="2" w:name="_Hlk7270547"/>
      <w:bookmarkEnd w:id="1"/>
      <w:r w:rsidRPr="004951FA">
        <w:t>The company was familiar with integrating acquisitions</w:t>
      </w:r>
      <w:r w:rsidR="008A081D">
        <w:t>,</w:t>
      </w:r>
      <w:r w:rsidRPr="004951FA">
        <w:t xml:space="preserve"> and there were takeover targets readily available in an industry </w:t>
      </w:r>
      <w:r w:rsidR="008A081D">
        <w:t>that</w:t>
      </w:r>
      <w:r w:rsidR="008A081D" w:rsidRPr="004951FA">
        <w:t xml:space="preserve"> </w:t>
      </w:r>
      <w:r w:rsidRPr="004951FA">
        <w:t>was witnessing consolidation.</w:t>
      </w:r>
      <w:r w:rsidR="004951FA">
        <w:t xml:space="preserve"> </w:t>
      </w:r>
      <w:bookmarkStart w:id="3" w:name="_Hlk6425562"/>
      <w:bookmarkEnd w:id="2"/>
      <w:r w:rsidR="008A081D">
        <w:t xml:space="preserve">The third option </w:t>
      </w:r>
      <w:r w:rsidR="00CA7E50">
        <w:t xml:space="preserve">was to scale up Kindred </w:t>
      </w:r>
      <w:r w:rsidR="00EE4BCB">
        <w:t>by</w:t>
      </w:r>
      <w:r w:rsidR="008A081D">
        <w:t xml:space="preserve"> </w:t>
      </w:r>
      <w:r w:rsidR="00EE4BCB">
        <w:t>establishing</w:t>
      </w:r>
      <w:r w:rsidR="00EE4BCB" w:rsidRPr="004951FA">
        <w:t xml:space="preserve"> </w:t>
      </w:r>
      <w:r w:rsidRPr="004951FA">
        <w:t>a footprint in the United States</w:t>
      </w:r>
      <w:r w:rsidR="008A081D">
        <w:t>.</w:t>
      </w:r>
      <w:bookmarkEnd w:id="3"/>
      <w:r w:rsidRPr="004951FA">
        <w:t xml:space="preserve"> </w:t>
      </w:r>
      <w:bookmarkStart w:id="4" w:name="_Hlk7270625"/>
      <w:r w:rsidRPr="004951FA">
        <w:t>The market, located right across the border, seemed attractive</w:t>
      </w:r>
      <w:r w:rsidR="008A081D">
        <w:t>,</w:t>
      </w:r>
      <w:r w:rsidRPr="004951FA">
        <w:t xml:space="preserve"> particularly if Kindred were to go after private clients in rural America. </w:t>
      </w:r>
    </w:p>
    <w:bookmarkEnd w:id="4"/>
    <w:p w14:paraId="0DD0A6DD" w14:textId="77777777" w:rsidR="00F50251" w:rsidRPr="000A27E5" w:rsidRDefault="00F50251">
      <w:pPr>
        <w:pStyle w:val="BodyTextMain"/>
        <w:rPr>
          <w:sz w:val="18"/>
          <w:szCs w:val="18"/>
        </w:rPr>
      </w:pPr>
    </w:p>
    <w:p w14:paraId="37679214" w14:textId="0E16DE42" w:rsidR="00F50251" w:rsidRPr="004951FA" w:rsidRDefault="00EE4BCB" w:rsidP="00DD257D">
      <w:pPr>
        <w:pStyle w:val="BodyTextMain"/>
      </w:pPr>
      <w:bookmarkStart w:id="5" w:name="_Hlk7270491"/>
      <w:r>
        <w:t>English’s</w:t>
      </w:r>
      <w:r w:rsidRPr="004951FA">
        <w:t xml:space="preserve"> </w:t>
      </w:r>
      <w:r w:rsidR="00D25312">
        <w:t>dilemma</w:t>
      </w:r>
      <w:r w:rsidR="00D25312" w:rsidRPr="004951FA">
        <w:t xml:space="preserve"> </w:t>
      </w:r>
      <w:proofErr w:type="gramStart"/>
      <w:r w:rsidR="00D25312">
        <w:t>was</w:t>
      </w:r>
      <w:r w:rsidR="00D25312" w:rsidRPr="004951FA">
        <w:t xml:space="preserve"> </w:t>
      </w:r>
      <w:r w:rsidR="00F50251" w:rsidRPr="004951FA">
        <w:t>compounded</w:t>
      </w:r>
      <w:proofErr w:type="gramEnd"/>
      <w:r w:rsidR="00F50251" w:rsidRPr="004951FA">
        <w:t xml:space="preserve"> by lack of access to external capital. Kindred did not have tangible physical assets in terms of either </w:t>
      </w:r>
      <w:r w:rsidR="00D25312">
        <w:t>brick-and-mortar</w:t>
      </w:r>
      <w:r w:rsidR="00F50251" w:rsidRPr="004951FA">
        <w:t xml:space="preserve"> facilities or plant and machinery, making it difficult to borrow money from banks to fund its growth plan. However, the company had internally accrued funds of $2 million to finance scaling up.</w:t>
      </w:r>
      <w:r w:rsidR="003B1928">
        <w:t xml:space="preserve"> </w:t>
      </w:r>
      <w:r w:rsidR="00E53C8A">
        <w:t>English wondered w</w:t>
      </w:r>
      <w:bookmarkEnd w:id="5"/>
      <w:r w:rsidR="00E53C8A" w:rsidRPr="00E53C8A">
        <w:t>hich of the three approaches to scaling up would make the best use of the resources Kindred had</w:t>
      </w:r>
      <w:r w:rsidR="00E53C8A">
        <w:t>.</w:t>
      </w:r>
    </w:p>
    <w:p w14:paraId="1B5BDBC4" w14:textId="4569C4F0" w:rsidR="00F50251" w:rsidRPr="000A27E5" w:rsidRDefault="00F50251" w:rsidP="00DD257D">
      <w:pPr>
        <w:pStyle w:val="BodyTextMain"/>
        <w:rPr>
          <w:sz w:val="18"/>
          <w:szCs w:val="18"/>
        </w:rPr>
      </w:pPr>
    </w:p>
    <w:p w14:paraId="05B4FF09" w14:textId="77777777" w:rsidR="000A27E5" w:rsidRPr="000A27E5" w:rsidRDefault="000A27E5" w:rsidP="00DD257D">
      <w:pPr>
        <w:pStyle w:val="BodyTextMain"/>
        <w:rPr>
          <w:sz w:val="18"/>
          <w:szCs w:val="18"/>
        </w:rPr>
      </w:pPr>
    </w:p>
    <w:p w14:paraId="2E0AA128" w14:textId="069C2373" w:rsidR="00F50251" w:rsidRPr="004951FA" w:rsidRDefault="00F50251" w:rsidP="008F0629">
      <w:pPr>
        <w:pStyle w:val="Casehead1"/>
        <w:rPr>
          <w:kern w:val="2"/>
        </w:rPr>
      </w:pPr>
      <w:r w:rsidRPr="004951FA">
        <w:rPr>
          <w:kern w:val="2"/>
        </w:rPr>
        <w:t xml:space="preserve">CANADIAN </w:t>
      </w:r>
      <w:r w:rsidR="00D25312">
        <w:rPr>
          <w:kern w:val="2"/>
        </w:rPr>
        <w:t>health care</w:t>
      </w:r>
      <w:r w:rsidR="00D25312" w:rsidRPr="004951FA">
        <w:rPr>
          <w:kern w:val="2"/>
        </w:rPr>
        <w:t xml:space="preserve"> </w:t>
      </w:r>
      <w:r w:rsidRPr="004951FA">
        <w:rPr>
          <w:kern w:val="2"/>
        </w:rPr>
        <w:t xml:space="preserve">INDUSTRY </w:t>
      </w:r>
    </w:p>
    <w:p w14:paraId="68D542C9" w14:textId="77777777" w:rsidR="00F50251" w:rsidRPr="000A27E5" w:rsidRDefault="00F50251" w:rsidP="004F7CAF">
      <w:pPr>
        <w:pStyle w:val="BodyTextMain"/>
        <w:rPr>
          <w:sz w:val="18"/>
          <w:szCs w:val="18"/>
        </w:rPr>
      </w:pPr>
    </w:p>
    <w:p w14:paraId="58700F41" w14:textId="729ACD02" w:rsidR="00F50251" w:rsidRPr="004951FA" w:rsidRDefault="00F50251" w:rsidP="004F7CAF">
      <w:pPr>
        <w:pStyle w:val="BodyTextMain"/>
      </w:pPr>
      <w:r w:rsidRPr="004951FA">
        <w:t xml:space="preserve">Canada had what </w:t>
      </w:r>
      <w:proofErr w:type="gramStart"/>
      <w:r w:rsidRPr="004951FA">
        <w:t>was known</w:t>
      </w:r>
      <w:proofErr w:type="gramEnd"/>
      <w:r w:rsidRPr="004951FA">
        <w:t xml:space="preserve"> as a </w:t>
      </w:r>
      <w:r w:rsidR="00D25312">
        <w:t>universal health care</w:t>
      </w:r>
      <w:r w:rsidRPr="004951FA">
        <w:t xml:space="preserve"> system</w:t>
      </w:r>
      <w:r w:rsidR="00D25312">
        <w:t>,</w:t>
      </w:r>
      <w:r w:rsidRPr="004951FA">
        <w:t xml:space="preserve"> in which the costs of </w:t>
      </w:r>
      <w:r w:rsidR="00D25312">
        <w:t>health care</w:t>
      </w:r>
      <w:r w:rsidR="00D25312" w:rsidRPr="004951FA">
        <w:t xml:space="preserve"> </w:t>
      </w:r>
      <w:r w:rsidRPr="004951FA">
        <w:t xml:space="preserve">were borne in large part by the government. The country had been spending over </w:t>
      </w:r>
      <w:r w:rsidR="00D25312">
        <w:t>10</w:t>
      </w:r>
      <w:r w:rsidR="00D25312" w:rsidRPr="004951FA">
        <w:t xml:space="preserve"> </w:t>
      </w:r>
      <w:r w:rsidRPr="004951FA">
        <w:t xml:space="preserve">per cent of </w:t>
      </w:r>
      <w:r w:rsidR="00CA7E50">
        <w:t xml:space="preserve">its </w:t>
      </w:r>
      <w:r w:rsidRPr="004951FA">
        <w:t xml:space="preserve">gross domestic </w:t>
      </w:r>
      <w:r w:rsidRPr="004951FA">
        <w:lastRenderedPageBreak/>
        <w:t xml:space="preserve">product (GDP) annually on health care. In 2017, for example, </w:t>
      </w:r>
      <w:r w:rsidR="00CA7E50">
        <w:t>Canada</w:t>
      </w:r>
      <w:r w:rsidRPr="004951FA">
        <w:t xml:space="preserve"> spent $243.3 billion on health care</w:t>
      </w:r>
      <w:r w:rsidR="00D25312">
        <w:t>,</w:t>
      </w:r>
      <w:r w:rsidR="00D25312" w:rsidRPr="00D25C0C">
        <w:rPr>
          <w:rStyle w:val="FootnoteReference"/>
        </w:rPr>
        <w:footnoteReference w:id="2"/>
      </w:r>
      <w:r w:rsidR="00D25C0C" w:rsidRPr="00F47525">
        <w:t xml:space="preserve"> </w:t>
      </w:r>
      <w:r w:rsidRPr="00F47525">
        <w:t>equivalent to 10.4 per cent of its GDP.</w:t>
      </w:r>
      <w:r w:rsidRPr="00D25C0C">
        <w:rPr>
          <w:rStyle w:val="FootnoteReference"/>
        </w:rPr>
        <w:footnoteReference w:id="3"/>
      </w:r>
      <w:r w:rsidRPr="004951FA">
        <w:t xml:space="preserve"> </w:t>
      </w:r>
    </w:p>
    <w:p w14:paraId="5E062294" w14:textId="77777777" w:rsidR="00F50251" w:rsidRPr="004951FA" w:rsidRDefault="00F50251" w:rsidP="00824259">
      <w:pPr>
        <w:pStyle w:val="BodyTextMain"/>
      </w:pPr>
    </w:p>
    <w:p w14:paraId="2C696C2C" w14:textId="4E969E31" w:rsidR="00F50251" w:rsidRPr="004951FA" w:rsidRDefault="00D91CCB">
      <w:pPr>
        <w:pStyle w:val="BodyTextMain"/>
      </w:pPr>
      <w:r>
        <w:t>Other</w:t>
      </w:r>
      <w:r w:rsidR="00F50251" w:rsidRPr="004951FA">
        <w:t xml:space="preserve"> high-income countries </w:t>
      </w:r>
      <w:r>
        <w:t>that</w:t>
      </w:r>
      <w:r w:rsidRPr="004951FA">
        <w:t xml:space="preserve"> </w:t>
      </w:r>
      <w:r w:rsidR="00F50251" w:rsidRPr="004951FA">
        <w:t xml:space="preserve">also provided universal </w:t>
      </w:r>
      <w:r>
        <w:t>health care</w:t>
      </w:r>
      <w:r w:rsidRPr="004951FA">
        <w:t xml:space="preserve"> </w:t>
      </w:r>
      <w:r w:rsidR="00F50251" w:rsidRPr="004951FA">
        <w:t>included Australia, France, Germany, the Netherlands, New Zealand, Sweden, Switzerland</w:t>
      </w:r>
      <w:r>
        <w:t>,</w:t>
      </w:r>
      <w:r w:rsidR="00F50251" w:rsidRPr="004951FA">
        <w:t xml:space="preserve"> and the United Kingdom. Canada differed from them in some ways. It was the only country among the nine where private financing for “medically necessary” services </w:t>
      </w:r>
      <w:proofErr w:type="gramStart"/>
      <w:r w:rsidR="00F50251" w:rsidRPr="004951FA">
        <w:t>was disallowed</w:t>
      </w:r>
      <w:proofErr w:type="gramEnd"/>
      <w:r w:rsidR="00F50251" w:rsidRPr="004951FA">
        <w:t xml:space="preserve"> and where the private sector was involved in delivering only “non-medical” services.</w:t>
      </w:r>
      <w:r w:rsidR="00F50251" w:rsidRPr="00D25C0C">
        <w:rPr>
          <w:rStyle w:val="FootnoteReference"/>
        </w:rPr>
        <w:footnoteReference w:id="4"/>
      </w:r>
      <w:r w:rsidR="00F50251" w:rsidRPr="00824259">
        <w:t xml:space="preserve"> The a</w:t>
      </w:r>
      <w:r w:rsidR="00F50251" w:rsidRPr="00F47525">
        <w:t xml:space="preserve">bility of outpatient and inpatient specialist physicians to </w:t>
      </w:r>
      <w:r w:rsidR="007070DA" w:rsidRPr="00F47525">
        <w:t xml:space="preserve">practise </w:t>
      </w:r>
      <w:r w:rsidR="00F50251" w:rsidRPr="00F47525">
        <w:t xml:space="preserve">both in publicly funded universal settings and in private settings </w:t>
      </w:r>
      <w:proofErr w:type="gramStart"/>
      <w:r w:rsidR="00F50251" w:rsidRPr="00F47525">
        <w:t>was also</w:t>
      </w:r>
      <w:proofErr w:type="gramEnd"/>
      <w:r w:rsidR="00F50251" w:rsidRPr="00F47525">
        <w:t xml:space="preserve"> severely restricted in Canada. The country also had fewer physicians (230 for </w:t>
      </w:r>
      <w:r w:rsidR="00713D4F" w:rsidRPr="00F47525">
        <w:t xml:space="preserve">every </w:t>
      </w:r>
      <w:r w:rsidR="00F50251" w:rsidRPr="00F47525">
        <w:t>100,000</w:t>
      </w:r>
      <w:r w:rsidR="00713D4F" w:rsidRPr="00F47525">
        <w:t xml:space="preserve"> people</w:t>
      </w:r>
      <w:r w:rsidR="00F50251" w:rsidRPr="00F47525">
        <w:t>),</w:t>
      </w:r>
      <w:r w:rsidR="00F50251" w:rsidRPr="00D25C0C">
        <w:rPr>
          <w:rStyle w:val="FootnoteReference"/>
        </w:rPr>
        <w:footnoteReference w:id="5"/>
      </w:r>
      <w:r w:rsidR="00F50251" w:rsidRPr="00824259">
        <w:t xml:space="preserve"> fewer acu</w:t>
      </w:r>
      <w:r w:rsidR="00F50251" w:rsidRPr="00F47525">
        <w:t xml:space="preserve">te-care beds (260 </w:t>
      </w:r>
      <w:r w:rsidR="00713D4F" w:rsidRPr="00F47525">
        <w:t xml:space="preserve">for every </w:t>
      </w:r>
      <w:r w:rsidR="00F50251" w:rsidRPr="00F47525">
        <w:t>100,000</w:t>
      </w:r>
      <w:r w:rsidR="00713D4F" w:rsidRPr="00F47525">
        <w:t xml:space="preserve"> people</w:t>
      </w:r>
      <w:r w:rsidR="00F50251" w:rsidRPr="00F47525">
        <w:t>)</w:t>
      </w:r>
      <w:r w:rsidR="00713D4F" w:rsidRPr="00F47525">
        <w:t>,</w:t>
      </w:r>
      <w:r w:rsidR="00F50251" w:rsidRPr="00F47525">
        <w:t xml:space="preserve"> and higher wait times </w:t>
      </w:r>
      <w:r w:rsidR="00713D4F" w:rsidRPr="00F47525">
        <w:t xml:space="preserve">(an average of </w:t>
      </w:r>
      <w:r w:rsidR="00F50251" w:rsidRPr="00F47525">
        <w:t>21.2 weeks</w:t>
      </w:r>
      <w:r w:rsidR="00713D4F" w:rsidRPr="00F47525">
        <w:t>)</w:t>
      </w:r>
      <w:r w:rsidR="00F50251" w:rsidRPr="00F47525">
        <w:t xml:space="preserve"> than its peers.</w:t>
      </w:r>
      <w:r w:rsidR="00F50251" w:rsidRPr="00D25C0C">
        <w:rPr>
          <w:rStyle w:val="FootnoteReference"/>
        </w:rPr>
        <w:footnoteReference w:id="6"/>
      </w:r>
      <w:r w:rsidR="00F50251" w:rsidRPr="004951FA">
        <w:t xml:space="preserve"> </w:t>
      </w:r>
    </w:p>
    <w:p w14:paraId="636796BE" w14:textId="77777777" w:rsidR="00F50251" w:rsidRPr="004951FA" w:rsidRDefault="00F50251">
      <w:pPr>
        <w:pStyle w:val="BodyTextMain"/>
      </w:pPr>
    </w:p>
    <w:p w14:paraId="180EF129" w14:textId="5DE00153" w:rsidR="00F50251" w:rsidRPr="00886941" w:rsidRDefault="00962C8F" w:rsidP="00F50251">
      <w:pPr>
        <w:pStyle w:val="BodyTextMain"/>
        <w:rPr>
          <w:kern w:val="2"/>
        </w:rPr>
      </w:pPr>
      <w:r w:rsidRPr="00886941">
        <w:rPr>
          <w:kern w:val="2"/>
        </w:rPr>
        <w:t xml:space="preserve">In 2017, </w:t>
      </w:r>
      <w:r w:rsidR="00F50251" w:rsidRPr="00886941">
        <w:rPr>
          <w:kern w:val="2"/>
        </w:rPr>
        <w:t xml:space="preserve">Canada had 6.2 million </w:t>
      </w:r>
      <w:r w:rsidR="00D76E8D" w:rsidRPr="00886941">
        <w:rPr>
          <w:kern w:val="2"/>
        </w:rPr>
        <w:t xml:space="preserve">people </w:t>
      </w:r>
      <w:r w:rsidR="00F50251" w:rsidRPr="00886941">
        <w:rPr>
          <w:kern w:val="2"/>
        </w:rPr>
        <w:t>above the age of 65</w:t>
      </w:r>
      <w:r w:rsidRPr="00886941">
        <w:rPr>
          <w:kern w:val="2"/>
        </w:rPr>
        <w:t>.</w:t>
      </w:r>
      <w:r w:rsidR="00F50251" w:rsidRPr="00886941">
        <w:rPr>
          <w:kern w:val="2"/>
        </w:rPr>
        <w:t xml:space="preserve"> </w:t>
      </w:r>
      <w:r w:rsidRPr="00886941">
        <w:rPr>
          <w:kern w:val="2"/>
        </w:rPr>
        <w:t>This group made up</w:t>
      </w:r>
      <w:r w:rsidR="00F50251" w:rsidRPr="00886941">
        <w:rPr>
          <w:kern w:val="2"/>
        </w:rPr>
        <w:t xml:space="preserve"> </w:t>
      </w:r>
      <w:r w:rsidRPr="00886941">
        <w:rPr>
          <w:kern w:val="2"/>
        </w:rPr>
        <w:t>1</w:t>
      </w:r>
      <w:r w:rsidR="00F50251" w:rsidRPr="00886941">
        <w:rPr>
          <w:kern w:val="2"/>
        </w:rPr>
        <w:t>7 per cent of the national population</w:t>
      </w:r>
      <w:r w:rsidRPr="00886941">
        <w:rPr>
          <w:kern w:val="2"/>
        </w:rPr>
        <w:t xml:space="preserve"> and </w:t>
      </w:r>
      <w:r w:rsidR="00F50251" w:rsidRPr="00886941">
        <w:rPr>
          <w:kern w:val="2"/>
        </w:rPr>
        <w:t xml:space="preserve">represented 34 per cent of hospital cases and 58 per cent of hospital </w:t>
      </w:r>
      <w:r w:rsidR="00A128D3" w:rsidRPr="00886941">
        <w:rPr>
          <w:kern w:val="2"/>
        </w:rPr>
        <w:t>st</w:t>
      </w:r>
      <w:r w:rsidR="00F50251" w:rsidRPr="00886941">
        <w:rPr>
          <w:kern w:val="2"/>
        </w:rPr>
        <w:t xml:space="preserve">ays. </w:t>
      </w:r>
      <w:r w:rsidR="00F3676A" w:rsidRPr="00886941">
        <w:rPr>
          <w:iCs/>
          <w:kern w:val="2"/>
        </w:rPr>
        <w:t>The Canadian Institute for Health Information</w:t>
      </w:r>
      <w:r w:rsidR="00F50251" w:rsidRPr="00886941">
        <w:rPr>
          <w:iCs/>
          <w:kern w:val="2"/>
        </w:rPr>
        <w:t xml:space="preserve"> </w:t>
      </w:r>
      <w:r w:rsidR="00F50251" w:rsidRPr="00886941">
        <w:rPr>
          <w:kern w:val="2"/>
        </w:rPr>
        <w:t xml:space="preserve">estimated </w:t>
      </w:r>
      <w:r w:rsidR="009F2013" w:rsidRPr="00886941">
        <w:rPr>
          <w:kern w:val="2"/>
        </w:rPr>
        <w:t xml:space="preserve">that </w:t>
      </w:r>
      <w:r w:rsidR="00F50251" w:rsidRPr="00886941">
        <w:rPr>
          <w:kern w:val="2"/>
        </w:rPr>
        <w:t xml:space="preserve">Canadians 65 </w:t>
      </w:r>
      <w:r w:rsidR="009F2013" w:rsidRPr="00886941">
        <w:rPr>
          <w:kern w:val="2"/>
        </w:rPr>
        <w:t xml:space="preserve">years of age and above </w:t>
      </w:r>
      <w:r w:rsidR="00F50251" w:rsidRPr="00886941">
        <w:rPr>
          <w:kern w:val="2"/>
        </w:rPr>
        <w:t xml:space="preserve">accounted for a disproportionate 46 per cent of national </w:t>
      </w:r>
      <w:r w:rsidR="009F2013" w:rsidRPr="00886941">
        <w:rPr>
          <w:kern w:val="2"/>
        </w:rPr>
        <w:t xml:space="preserve">health care </w:t>
      </w:r>
      <w:r w:rsidR="00F50251" w:rsidRPr="00886941">
        <w:rPr>
          <w:kern w:val="2"/>
        </w:rPr>
        <w:t>dollars spent by the provinces and territories.</w:t>
      </w:r>
      <w:r w:rsidR="00E24D18" w:rsidRPr="00886941">
        <w:rPr>
          <w:rStyle w:val="FootnoteReference"/>
        </w:rPr>
        <w:footnoteReference w:id="7"/>
      </w:r>
    </w:p>
    <w:p w14:paraId="10466839" w14:textId="77777777" w:rsidR="00F50251" w:rsidRPr="00886941" w:rsidRDefault="00F50251" w:rsidP="00F50251">
      <w:pPr>
        <w:pStyle w:val="BodyTextMain"/>
        <w:rPr>
          <w:kern w:val="2"/>
        </w:rPr>
      </w:pPr>
    </w:p>
    <w:p w14:paraId="7818FA44" w14:textId="53423FCE" w:rsidR="00F50251" w:rsidRPr="00886941" w:rsidRDefault="009F2013" w:rsidP="00F50251">
      <w:pPr>
        <w:pStyle w:val="BodyTextMain"/>
        <w:rPr>
          <w:kern w:val="2"/>
        </w:rPr>
      </w:pPr>
      <w:r w:rsidRPr="00886941">
        <w:rPr>
          <w:kern w:val="2"/>
        </w:rPr>
        <w:t>IBISWorld</w:t>
      </w:r>
      <w:r w:rsidR="00F50251" w:rsidRPr="00886941">
        <w:rPr>
          <w:kern w:val="2"/>
        </w:rPr>
        <w:t xml:space="preserve"> estimated that the </w:t>
      </w:r>
      <w:bookmarkStart w:id="6" w:name="_Hlk7251036"/>
      <w:r w:rsidR="00F50251" w:rsidRPr="00886941">
        <w:rPr>
          <w:kern w:val="2"/>
        </w:rPr>
        <w:t xml:space="preserve">number of Canadians </w:t>
      </w:r>
      <w:r w:rsidRPr="00886941">
        <w:rPr>
          <w:kern w:val="2"/>
        </w:rPr>
        <w:t xml:space="preserve">65 years of age and above </w:t>
      </w:r>
      <w:r w:rsidR="00F50251" w:rsidRPr="00886941">
        <w:rPr>
          <w:kern w:val="2"/>
        </w:rPr>
        <w:t>would increase at an annualized rate of 3.4 per cent</w:t>
      </w:r>
      <w:r w:rsidR="00B65947" w:rsidRPr="00886941">
        <w:rPr>
          <w:kern w:val="2"/>
        </w:rPr>
        <w:t>,</w:t>
      </w:r>
      <w:r w:rsidR="00F50251" w:rsidRPr="00886941">
        <w:rPr>
          <w:kern w:val="2"/>
        </w:rPr>
        <w:t xml:space="preserve"> </w:t>
      </w:r>
      <w:r w:rsidR="00B65947" w:rsidRPr="00886941">
        <w:rPr>
          <w:kern w:val="2"/>
        </w:rPr>
        <w:t>whereas</w:t>
      </w:r>
      <w:r w:rsidR="00F50251" w:rsidRPr="00886941">
        <w:rPr>
          <w:kern w:val="2"/>
        </w:rPr>
        <w:t xml:space="preserve"> the general population would increase at 0.8 per cent</w:t>
      </w:r>
      <w:bookmarkEnd w:id="6"/>
      <w:r w:rsidR="00F50251" w:rsidRPr="00886941">
        <w:rPr>
          <w:kern w:val="2"/>
        </w:rPr>
        <w:t>, signifying that the elderly would make up an increasingly large share of the total Canadian population.</w:t>
      </w:r>
      <w:r w:rsidR="0013131C" w:rsidRPr="00886941">
        <w:rPr>
          <w:rStyle w:val="FootnoteReference"/>
        </w:rPr>
        <w:footnoteReference w:id="8"/>
      </w:r>
      <w:r w:rsidR="00F50251" w:rsidRPr="00886941">
        <w:rPr>
          <w:kern w:val="2"/>
        </w:rPr>
        <w:t xml:space="preserve"> In turn, </w:t>
      </w:r>
      <w:r w:rsidR="00F3676A" w:rsidRPr="00886941">
        <w:rPr>
          <w:kern w:val="2"/>
        </w:rPr>
        <w:t>b</w:t>
      </w:r>
      <w:r w:rsidR="00F50251" w:rsidRPr="00886941">
        <w:rPr>
          <w:kern w:val="2"/>
        </w:rPr>
        <w:t>ecause the elderly preferred home care to institutional care</w:t>
      </w:r>
      <w:r w:rsidR="00F3676A" w:rsidRPr="00886941">
        <w:rPr>
          <w:kern w:val="2"/>
        </w:rPr>
        <w:t>,</w:t>
      </w:r>
      <w:r w:rsidR="00E53C8A" w:rsidRPr="00886941">
        <w:rPr>
          <w:rStyle w:val="FootnoteReference"/>
          <w:kern w:val="2"/>
        </w:rPr>
        <w:footnoteReference w:id="9"/>
      </w:r>
      <w:r w:rsidR="00F3676A" w:rsidRPr="00886941">
        <w:rPr>
          <w:kern w:val="2"/>
        </w:rPr>
        <w:t xml:space="preserve"> the increase in the elderly population would fuel the demand for home care services</w:t>
      </w:r>
      <w:r w:rsidR="00F50251" w:rsidRPr="00886941">
        <w:rPr>
          <w:kern w:val="2"/>
        </w:rPr>
        <w:t>.</w:t>
      </w:r>
    </w:p>
    <w:p w14:paraId="7145FF4E" w14:textId="77777777" w:rsidR="00F50251" w:rsidRPr="00886941" w:rsidRDefault="00F50251" w:rsidP="00F50251">
      <w:pPr>
        <w:pStyle w:val="BodyTextMain"/>
        <w:rPr>
          <w:kern w:val="2"/>
        </w:rPr>
      </w:pPr>
    </w:p>
    <w:p w14:paraId="2560563D" w14:textId="3C49BE42" w:rsidR="00F50251" w:rsidRPr="00886941" w:rsidRDefault="00F50251" w:rsidP="00F50251">
      <w:pPr>
        <w:pStyle w:val="BodyTextMain"/>
        <w:rPr>
          <w:rFonts w:ascii="Arial" w:hAnsi="Arial" w:cs="Arial"/>
          <w:b/>
          <w:kern w:val="2"/>
        </w:rPr>
      </w:pPr>
      <w:r w:rsidRPr="00886941">
        <w:rPr>
          <w:kern w:val="2"/>
        </w:rPr>
        <w:t xml:space="preserve">Seniors were, however, a diverse group. </w:t>
      </w:r>
      <w:r w:rsidR="00C5510D" w:rsidRPr="00886941">
        <w:rPr>
          <w:kern w:val="2"/>
        </w:rPr>
        <w:t>Older</w:t>
      </w:r>
      <w:r w:rsidRPr="00886941">
        <w:rPr>
          <w:kern w:val="2"/>
        </w:rPr>
        <w:t xml:space="preserve"> seniors (those </w:t>
      </w:r>
      <w:r w:rsidR="00FA2207" w:rsidRPr="00886941">
        <w:rPr>
          <w:kern w:val="2"/>
        </w:rPr>
        <w:t>who were 75 years of age and above</w:t>
      </w:r>
      <w:r w:rsidRPr="00886941">
        <w:rPr>
          <w:kern w:val="2"/>
        </w:rPr>
        <w:t xml:space="preserve">) numbered 2.6 million, comprising </w:t>
      </w:r>
      <w:r w:rsidR="00FA2207" w:rsidRPr="00886941">
        <w:rPr>
          <w:kern w:val="2"/>
        </w:rPr>
        <w:t>7</w:t>
      </w:r>
      <w:r w:rsidRPr="00886941">
        <w:rPr>
          <w:kern w:val="2"/>
        </w:rPr>
        <w:t xml:space="preserve"> per cent of the population. </w:t>
      </w:r>
      <w:proofErr w:type="gramStart"/>
      <w:r w:rsidRPr="00886941">
        <w:rPr>
          <w:kern w:val="2"/>
        </w:rPr>
        <w:t xml:space="preserve">It was this segment </w:t>
      </w:r>
      <w:r w:rsidR="00542F8F" w:rsidRPr="00886941">
        <w:rPr>
          <w:kern w:val="2"/>
        </w:rPr>
        <w:t>that</w:t>
      </w:r>
      <w:proofErr w:type="gramEnd"/>
      <w:r w:rsidR="00542F8F" w:rsidRPr="00886941">
        <w:rPr>
          <w:kern w:val="2"/>
        </w:rPr>
        <w:t xml:space="preserve"> </w:t>
      </w:r>
      <w:r w:rsidRPr="00886941">
        <w:rPr>
          <w:kern w:val="2"/>
        </w:rPr>
        <w:t>relied more heavily on health care services. In 2016, for example, per-person spending per annum for seniors increased considerably with age: $6,481 for those 65</w:t>
      </w:r>
      <w:r w:rsidR="00542F8F" w:rsidRPr="00886941">
        <w:rPr>
          <w:kern w:val="2"/>
        </w:rPr>
        <w:t>–</w:t>
      </w:r>
      <w:r w:rsidRPr="00886941">
        <w:rPr>
          <w:kern w:val="2"/>
        </w:rPr>
        <w:t>69</w:t>
      </w:r>
      <w:r w:rsidR="00542F8F" w:rsidRPr="00886941">
        <w:rPr>
          <w:kern w:val="2"/>
        </w:rPr>
        <w:t xml:space="preserve"> years of age</w:t>
      </w:r>
      <w:r w:rsidRPr="00886941">
        <w:rPr>
          <w:kern w:val="2"/>
        </w:rPr>
        <w:t>, $8,348 for those 70</w:t>
      </w:r>
      <w:r w:rsidR="00542F8F" w:rsidRPr="00886941">
        <w:rPr>
          <w:kern w:val="2"/>
        </w:rPr>
        <w:t>–</w:t>
      </w:r>
      <w:r w:rsidRPr="00886941">
        <w:rPr>
          <w:kern w:val="2"/>
        </w:rPr>
        <w:t>74</w:t>
      </w:r>
      <w:r w:rsidR="00542F8F" w:rsidRPr="00886941">
        <w:rPr>
          <w:kern w:val="2"/>
        </w:rPr>
        <w:t xml:space="preserve"> years of age</w:t>
      </w:r>
      <w:r w:rsidRPr="00886941">
        <w:rPr>
          <w:kern w:val="2"/>
        </w:rPr>
        <w:t>, $11,081 for those 75</w:t>
      </w:r>
      <w:r w:rsidR="00542F8F" w:rsidRPr="00886941">
        <w:rPr>
          <w:kern w:val="2"/>
        </w:rPr>
        <w:t>–</w:t>
      </w:r>
      <w:r w:rsidRPr="00886941">
        <w:rPr>
          <w:kern w:val="2"/>
        </w:rPr>
        <w:t>79</w:t>
      </w:r>
      <w:r w:rsidR="00542F8F" w:rsidRPr="00886941">
        <w:rPr>
          <w:kern w:val="2"/>
        </w:rPr>
        <w:t xml:space="preserve"> years of age</w:t>
      </w:r>
      <w:r w:rsidRPr="00886941">
        <w:rPr>
          <w:kern w:val="2"/>
        </w:rPr>
        <w:t xml:space="preserve">, and $20,397 for those </w:t>
      </w:r>
      <w:r w:rsidR="00542F8F" w:rsidRPr="00886941">
        <w:rPr>
          <w:kern w:val="2"/>
        </w:rPr>
        <w:t xml:space="preserve">who were </w:t>
      </w:r>
      <w:r w:rsidRPr="00886941">
        <w:rPr>
          <w:kern w:val="2"/>
        </w:rPr>
        <w:t xml:space="preserve">80 </w:t>
      </w:r>
      <w:r w:rsidR="00542F8F" w:rsidRPr="00886941">
        <w:rPr>
          <w:kern w:val="2"/>
        </w:rPr>
        <w:t xml:space="preserve">years of age </w:t>
      </w:r>
      <w:r w:rsidRPr="00886941">
        <w:rPr>
          <w:kern w:val="2"/>
        </w:rPr>
        <w:t>and older.</w:t>
      </w:r>
      <w:r w:rsidRPr="00886941">
        <w:rPr>
          <w:rStyle w:val="FootnoteReference"/>
        </w:rPr>
        <w:footnoteReference w:id="10"/>
      </w:r>
      <w:r w:rsidRPr="00886941">
        <w:rPr>
          <w:kern w:val="2"/>
        </w:rPr>
        <w:t xml:space="preserve"> The population of </w:t>
      </w:r>
      <w:r w:rsidR="00542F8F" w:rsidRPr="00886941">
        <w:rPr>
          <w:kern w:val="2"/>
        </w:rPr>
        <w:t>75-plus</w:t>
      </w:r>
      <w:r w:rsidRPr="00886941">
        <w:rPr>
          <w:kern w:val="2"/>
        </w:rPr>
        <w:t xml:space="preserve"> seniors </w:t>
      </w:r>
      <w:proofErr w:type="gramStart"/>
      <w:r w:rsidRPr="00886941">
        <w:rPr>
          <w:kern w:val="2"/>
        </w:rPr>
        <w:t>was expected</w:t>
      </w:r>
      <w:proofErr w:type="gramEnd"/>
      <w:r w:rsidRPr="00886941">
        <w:rPr>
          <w:kern w:val="2"/>
        </w:rPr>
        <w:t xml:space="preserve"> to more than double over the</w:t>
      </w:r>
      <w:r w:rsidR="00D25C0C" w:rsidRPr="00886941">
        <w:rPr>
          <w:kern w:val="2"/>
        </w:rPr>
        <w:t xml:space="preserve"> </w:t>
      </w:r>
      <w:r w:rsidRPr="00886941">
        <w:rPr>
          <w:kern w:val="2"/>
        </w:rPr>
        <w:t>next 20 years.</w:t>
      </w:r>
      <w:r w:rsidRPr="00886941">
        <w:rPr>
          <w:rStyle w:val="FootnoteReference"/>
        </w:rPr>
        <w:footnoteReference w:id="11"/>
      </w:r>
    </w:p>
    <w:p w14:paraId="7BD92238" w14:textId="77777777" w:rsidR="00F50251" w:rsidRPr="00886941" w:rsidRDefault="00F50251" w:rsidP="00824259">
      <w:pPr>
        <w:pStyle w:val="BodyTextMain"/>
      </w:pPr>
    </w:p>
    <w:p w14:paraId="5402CA29" w14:textId="28F5B765" w:rsidR="00F50251" w:rsidRPr="004951FA" w:rsidRDefault="00F50251">
      <w:pPr>
        <w:pStyle w:val="BodyTextMain"/>
      </w:pPr>
    </w:p>
    <w:p w14:paraId="0A125EA4" w14:textId="77777777" w:rsidR="00F50251" w:rsidRPr="004951FA" w:rsidRDefault="00F50251" w:rsidP="00F50251">
      <w:pPr>
        <w:pStyle w:val="Casehead1"/>
        <w:rPr>
          <w:kern w:val="2"/>
        </w:rPr>
      </w:pPr>
      <w:r w:rsidRPr="004951FA">
        <w:rPr>
          <w:kern w:val="2"/>
        </w:rPr>
        <w:lastRenderedPageBreak/>
        <w:t xml:space="preserve">HOME CARE SEGMENT </w:t>
      </w:r>
    </w:p>
    <w:p w14:paraId="7DC56196" w14:textId="77777777" w:rsidR="00F50251" w:rsidRPr="000A27E5" w:rsidRDefault="00F50251" w:rsidP="00DD257D">
      <w:pPr>
        <w:pStyle w:val="BodyTextMain"/>
        <w:keepNext/>
        <w:rPr>
          <w:sz w:val="18"/>
          <w:szCs w:val="18"/>
        </w:rPr>
      </w:pPr>
    </w:p>
    <w:p w14:paraId="183DB78C" w14:textId="181FAE10" w:rsidR="00F50251" w:rsidRPr="004951FA" w:rsidRDefault="001B1500" w:rsidP="00F50251">
      <w:pPr>
        <w:pStyle w:val="BodyTextMain"/>
        <w:rPr>
          <w:color w:val="000000"/>
          <w:kern w:val="2"/>
        </w:rPr>
      </w:pPr>
      <w:r>
        <w:rPr>
          <w:color w:val="000000"/>
          <w:kern w:val="2"/>
        </w:rPr>
        <w:t>Revenue from the h</w:t>
      </w:r>
      <w:r w:rsidR="009824EF">
        <w:rPr>
          <w:color w:val="000000"/>
          <w:kern w:val="2"/>
        </w:rPr>
        <w:t>ome</w:t>
      </w:r>
      <w:r w:rsidR="00F50251" w:rsidRPr="004951FA">
        <w:rPr>
          <w:color w:val="000000"/>
          <w:kern w:val="2"/>
        </w:rPr>
        <w:t xml:space="preserve"> care industry </w:t>
      </w:r>
      <w:r>
        <w:rPr>
          <w:color w:val="000000"/>
          <w:kern w:val="2"/>
        </w:rPr>
        <w:t xml:space="preserve">in Canada </w:t>
      </w:r>
      <w:r w:rsidR="009824EF">
        <w:rPr>
          <w:color w:val="000000"/>
          <w:kern w:val="2"/>
        </w:rPr>
        <w:t>had grown</w:t>
      </w:r>
      <w:r w:rsidR="00F50251" w:rsidRPr="004951FA">
        <w:rPr>
          <w:color w:val="000000"/>
          <w:kern w:val="2"/>
        </w:rPr>
        <w:t xml:space="preserve"> at 3.2 per cent per annum over the </w:t>
      </w:r>
      <w:r>
        <w:rPr>
          <w:color w:val="000000"/>
          <w:kern w:val="2"/>
        </w:rPr>
        <w:t>previous</w:t>
      </w:r>
      <w:r w:rsidRPr="004951FA">
        <w:rPr>
          <w:color w:val="000000"/>
          <w:kern w:val="2"/>
        </w:rPr>
        <w:t xml:space="preserve"> </w:t>
      </w:r>
      <w:r w:rsidR="00F50251" w:rsidRPr="004951FA">
        <w:rPr>
          <w:color w:val="000000"/>
          <w:kern w:val="2"/>
        </w:rPr>
        <w:t xml:space="preserve">five years to reach $4.2 billion in 2017. The total number of employees </w:t>
      </w:r>
      <w:r w:rsidR="009824EF">
        <w:rPr>
          <w:color w:val="000000"/>
          <w:kern w:val="2"/>
        </w:rPr>
        <w:t>had</w:t>
      </w:r>
      <w:r w:rsidR="009824EF" w:rsidRPr="004951FA">
        <w:rPr>
          <w:color w:val="000000"/>
          <w:kern w:val="2"/>
        </w:rPr>
        <w:t xml:space="preserve"> </w:t>
      </w:r>
      <w:r w:rsidR="009824EF">
        <w:rPr>
          <w:color w:val="000000"/>
          <w:kern w:val="2"/>
        </w:rPr>
        <w:t>grown</w:t>
      </w:r>
      <w:r w:rsidR="009824EF" w:rsidRPr="004951FA">
        <w:rPr>
          <w:color w:val="000000"/>
          <w:kern w:val="2"/>
        </w:rPr>
        <w:t xml:space="preserve"> </w:t>
      </w:r>
      <w:r w:rsidR="00F50251" w:rsidRPr="004951FA">
        <w:rPr>
          <w:color w:val="000000"/>
          <w:kern w:val="2"/>
        </w:rPr>
        <w:t xml:space="preserve">at an annualized </w:t>
      </w:r>
      <w:r w:rsidR="009824EF">
        <w:rPr>
          <w:color w:val="000000"/>
          <w:kern w:val="2"/>
        </w:rPr>
        <w:t>3</w:t>
      </w:r>
      <w:r w:rsidR="009824EF" w:rsidRPr="004951FA">
        <w:rPr>
          <w:color w:val="000000"/>
          <w:kern w:val="2"/>
        </w:rPr>
        <w:t xml:space="preserve"> </w:t>
      </w:r>
      <w:r w:rsidR="00F50251" w:rsidRPr="004951FA">
        <w:rPr>
          <w:color w:val="000000"/>
          <w:kern w:val="2"/>
        </w:rPr>
        <w:t xml:space="preserve">per cent to reach 66,329 in 2017. The number of establishments providing home care </w:t>
      </w:r>
      <w:r w:rsidR="009824EF">
        <w:rPr>
          <w:color w:val="000000"/>
          <w:kern w:val="2"/>
        </w:rPr>
        <w:t>had grown</w:t>
      </w:r>
      <w:r w:rsidR="00F50251" w:rsidRPr="004951FA">
        <w:rPr>
          <w:color w:val="000000"/>
          <w:kern w:val="2"/>
        </w:rPr>
        <w:t xml:space="preserve"> at an annualized rate of 6.3 per cent over </w:t>
      </w:r>
      <w:r>
        <w:rPr>
          <w:color w:val="000000"/>
          <w:kern w:val="2"/>
        </w:rPr>
        <w:t>those same</w:t>
      </w:r>
      <w:r w:rsidR="00F50251" w:rsidRPr="004951FA">
        <w:rPr>
          <w:color w:val="000000"/>
          <w:kern w:val="2"/>
        </w:rPr>
        <w:t xml:space="preserve"> five years to</w:t>
      </w:r>
      <w:r w:rsidR="009824EF">
        <w:rPr>
          <w:color w:val="000000"/>
          <w:kern w:val="2"/>
        </w:rPr>
        <w:t xml:space="preserve"> reach</w:t>
      </w:r>
      <w:r w:rsidR="00F50251" w:rsidRPr="004951FA">
        <w:rPr>
          <w:color w:val="000000"/>
          <w:kern w:val="2"/>
        </w:rPr>
        <w:t xml:space="preserve"> 3,726 in 2017.</w:t>
      </w:r>
      <w:r w:rsidR="0013131C" w:rsidRPr="00D25C0C">
        <w:rPr>
          <w:rStyle w:val="FootnoteReference"/>
        </w:rPr>
        <w:footnoteReference w:id="12"/>
      </w:r>
    </w:p>
    <w:p w14:paraId="12B739AC" w14:textId="77777777" w:rsidR="00F50251" w:rsidRPr="000A27E5" w:rsidRDefault="00F50251" w:rsidP="00F50251">
      <w:pPr>
        <w:pStyle w:val="BodyTextMain"/>
        <w:rPr>
          <w:color w:val="000000"/>
          <w:kern w:val="2"/>
          <w:sz w:val="18"/>
          <w:szCs w:val="18"/>
        </w:rPr>
      </w:pPr>
    </w:p>
    <w:p w14:paraId="1A2C3DB9" w14:textId="66C59088" w:rsidR="00F50251" w:rsidRPr="000A27E5" w:rsidRDefault="00F50251" w:rsidP="00F50251">
      <w:pPr>
        <w:pStyle w:val="BodyTextMain"/>
        <w:rPr>
          <w:spacing w:val="-2"/>
          <w:kern w:val="22"/>
        </w:rPr>
      </w:pPr>
      <w:r w:rsidRPr="000A27E5">
        <w:rPr>
          <w:color w:val="000000"/>
          <w:spacing w:val="-2"/>
          <w:kern w:val="22"/>
        </w:rPr>
        <w:t>Home care consisted of health and support services provided at homes</w:t>
      </w:r>
      <w:r w:rsidR="00812BF6" w:rsidRPr="000A27E5">
        <w:rPr>
          <w:color w:val="000000"/>
          <w:spacing w:val="-2"/>
          <w:kern w:val="22"/>
        </w:rPr>
        <w:t xml:space="preserve"> and </w:t>
      </w:r>
      <w:r w:rsidRPr="000A27E5">
        <w:rPr>
          <w:color w:val="000000"/>
          <w:spacing w:val="-2"/>
          <w:kern w:val="22"/>
        </w:rPr>
        <w:t>retirement communities</w:t>
      </w:r>
      <w:r w:rsidR="009824EF" w:rsidRPr="000A27E5">
        <w:rPr>
          <w:color w:val="000000"/>
          <w:spacing w:val="-2"/>
          <w:kern w:val="22"/>
        </w:rPr>
        <w:t>,</w:t>
      </w:r>
      <w:r w:rsidRPr="000A27E5">
        <w:rPr>
          <w:color w:val="000000"/>
          <w:spacing w:val="-2"/>
          <w:kern w:val="22"/>
        </w:rPr>
        <w:t xml:space="preserve"> </w:t>
      </w:r>
      <w:r w:rsidR="001B1500" w:rsidRPr="000A27E5">
        <w:rPr>
          <w:color w:val="000000"/>
          <w:spacing w:val="-2"/>
          <w:kern w:val="22"/>
        </w:rPr>
        <w:t>and in</w:t>
      </w:r>
      <w:r w:rsidR="00812BF6" w:rsidRPr="000A27E5">
        <w:rPr>
          <w:color w:val="000000"/>
          <w:spacing w:val="-2"/>
          <w:kern w:val="22"/>
        </w:rPr>
        <w:t xml:space="preserve"> </w:t>
      </w:r>
      <w:r w:rsidRPr="000A27E5">
        <w:rPr>
          <w:color w:val="000000"/>
          <w:spacing w:val="-2"/>
          <w:kern w:val="22"/>
        </w:rPr>
        <w:t xml:space="preserve">other community settings. The target group consisted of people with acute, chronic, palliative, or rehabilitative health care needs. </w:t>
      </w:r>
      <w:r w:rsidR="00812BF6" w:rsidRPr="000A27E5">
        <w:rPr>
          <w:color w:val="000000"/>
          <w:spacing w:val="-2"/>
          <w:kern w:val="22"/>
        </w:rPr>
        <w:t xml:space="preserve">The care provided encompassed a range of </w:t>
      </w:r>
      <w:r w:rsidRPr="000A27E5">
        <w:rPr>
          <w:color w:val="000000"/>
          <w:spacing w:val="-2"/>
          <w:kern w:val="22"/>
        </w:rPr>
        <w:t>services</w:t>
      </w:r>
      <w:r w:rsidR="001B1500" w:rsidRPr="000A27E5">
        <w:rPr>
          <w:color w:val="000000"/>
          <w:spacing w:val="-2"/>
          <w:kern w:val="22"/>
        </w:rPr>
        <w:t>,</w:t>
      </w:r>
      <w:r w:rsidRPr="000A27E5">
        <w:rPr>
          <w:color w:val="000000"/>
          <w:spacing w:val="-2"/>
          <w:kern w:val="22"/>
        </w:rPr>
        <w:t xml:space="preserve"> </w:t>
      </w:r>
      <w:r w:rsidR="00812BF6" w:rsidRPr="000A27E5">
        <w:rPr>
          <w:color w:val="000000"/>
          <w:spacing w:val="-2"/>
          <w:kern w:val="22"/>
        </w:rPr>
        <w:t>including</w:t>
      </w:r>
      <w:r w:rsidRPr="000A27E5">
        <w:rPr>
          <w:color w:val="000000"/>
          <w:spacing w:val="-2"/>
          <w:kern w:val="22"/>
        </w:rPr>
        <w:t xml:space="preserve"> help with light shopping, cleaning</w:t>
      </w:r>
      <w:r w:rsidR="00812BF6" w:rsidRPr="000A27E5">
        <w:rPr>
          <w:color w:val="000000"/>
          <w:spacing w:val="-2"/>
          <w:kern w:val="22"/>
        </w:rPr>
        <w:t>,</w:t>
      </w:r>
      <w:r w:rsidRPr="000A27E5">
        <w:rPr>
          <w:color w:val="000000"/>
          <w:spacing w:val="-2"/>
          <w:kern w:val="22"/>
        </w:rPr>
        <w:t xml:space="preserve"> and housekeeping</w:t>
      </w:r>
      <w:r w:rsidR="00812BF6" w:rsidRPr="000A27E5">
        <w:rPr>
          <w:color w:val="000000"/>
          <w:spacing w:val="-2"/>
          <w:kern w:val="22"/>
        </w:rPr>
        <w:t>;</w:t>
      </w:r>
      <w:r w:rsidRPr="000A27E5">
        <w:rPr>
          <w:color w:val="000000"/>
          <w:spacing w:val="-2"/>
          <w:kern w:val="22"/>
        </w:rPr>
        <w:t xml:space="preserve"> therapeutic care like nursing and rehabilitation</w:t>
      </w:r>
      <w:r w:rsidR="00812BF6" w:rsidRPr="000A27E5">
        <w:rPr>
          <w:color w:val="000000"/>
          <w:spacing w:val="-2"/>
          <w:kern w:val="22"/>
        </w:rPr>
        <w:t>; and</w:t>
      </w:r>
      <w:r w:rsidRPr="000A27E5">
        <w:rPr>
          <w:color w:val="000000"/>
          <w:spacing w:val="-2"/>
          <w:kern w:val="22"/>
        </w:rPr>
        <w:t xml:space="preserve"> personal care like bathing and dressing. It also often included </w:t>
      </w:r>
      <w:r w:rsidR="001B1500" w:rsidRPr="000A27E5">
        <w:rPr>
          <w:color w:val="000000"/>
          <w:spacing w:val="-2"/>
          <w:kern w:val="22"/>
        </w:rPr>
        <w:t xml:space="preserve">administration of </w:t>
      </w:r>
      <w:r w:rsidRPr="000A27E5">
        <w:rPr>
          <w:color w:val="000000"/>
          <w:spacing w:val="-2"/>
          <w:kern w:val="22"/>
        </w:rPr>
        <w:t>medication and access to 24-hour emergency help.</w:t>
      </w:r>
      <w:r w:rsidRPr="000A27E5">
        <w:rPr>
          <w:rStyle w:val="FootnoteReference"/>
          <w:spacing w:val="-2"/>
          <w:kern w:val="22"/>
        </w:rPr>
        <w:footnoteReference w:id="13"/>
      </w:r>
      <w:r w:rsidRPr="000A27E5">
        <w:rPr>
          <w:color w:val="000000"/>
          <w:spacing w:val="-2"/>
          <w:kern w:val="22"/>
        </w:rPr>
        <w:t xml:space="preserve"> Some </w:t>
      </w:r>
      <w:r w:rsidR="00812BF6" w:rsidRPr="000A27E5">
        <w:rPr>
          <w:color w:val="000000"/>
          <w:spacing w:val="-2"/>
          <w:kern w:val="22"/>
        </w:rPr>
        <w:t xml:space="preserve">home care services </w:t>
      </w:r>
      <w:r w:rsidRPr="000A27E5">
        <w:rPr>
          <w:color w:val="000000"/>
          <w:spacing w:val="-2"/>
          <w:kern w:val="22"/>
        </w:rPr>
        <w:t xml:space="preserve">specialized in non-medical care </w:t>
      </w:r>
      <w:r w:rsidRPr="000A27E5">
        <w:rPr>
          <w:spacing w:val="-2"/>
          <w:kern w:val="22"/>
        </w:rPr>
        <w:t>like meal preparation,</w:t>
      </w:r>
      <w:r w:rsidR="00D25C0C" w:rsidRPr="000A27E5">
        <w:rPr>
          <w:spacing w:val="-2"/>
          <w:kern w:val="22"/>
        </w:rPr>
        <w:t xml:space="preserve"> </w:t>
      </w:r>
      <w:r w:rsidRPr="000A27E5">
        <w:rPr>
          <w:spacing w:val="-2"/>
          <w:kern w:val="22"/>
        </w:rPr>
        <w:t>grooming, bathing, transportation,</w:t>
      </w:r>
      <w:r w:rsidR="00D25C0C" w:rsidRPr="000A27E5">
        <w:rPr>
          <w:spacing w:val="-2"/>
          <w:kern w:val="22"/>
        </w:rPr>
        <w:t xml:space="preserve"> </w:t>
      </w:r>
      <w:r w:rsidRPr="000A27E5">
        <w:rPr>
          <w:spacing w:val="-2"/>
          <w:kern w:val="22"/>
        </w:rPr>
        <w:t>and companionship for seniors</w:t>
      </w:r>
      <w:r w:rsidR="00812BF6" w:rsidRPr="000A27E5">
        <w:rPr>
          <w:spacing w:val="-2"/>
          <w:kern w:val="22"/>
        </w:rPr>
        <w:t>;</w:t>
      </w:r>
      <w:r w:rsidRPr="000A27E5">
        <w:rPr>
          <w:spacing w:val="-2"/>
          <w:kern w:val="22"/>
        </w:rPr>
        <w:t xml:space="preserve"> </w:t>
      </w:r>
      <w:r w:rsidR="00812BF6" w:rsidRPr="000A27E5">
        <w:rPr>
          <w:spacing w:val="-2"/>
          <w:kern w:val="22"/>
        </w:rPr>
        <w:t>some</w:t>
      </w:r>
      <w:r w:rsidRPr="000A27E5">
        <w:rPr>
          <w:spacing w:val="-2"/>
          <w:kern w:val="22"/>
        </w:rPr>
        <w:t xml:space="preserve"> offered post-surgical</w:t>
      </w:r>
      <w:r w:rsidR="00D25C0C" w:rsidRPr="000A27E5">
        <w:rPr>
          <w:spacing w:val="-2"/>
          <w:kern w:val="22"/>
        </w:rPr>
        <w:t xml:space="preserve"> </w:t>
      </w:r>
      <w:r w:rsidRPr="000A27E5">
        <w:rPr>
          <w:spacing w:val="-2"/>
          <w:kern w:val="22"/>
        </w:rPr>
        <w:t>assistance, post-partum care</w:t>
      </w:r>
      <w:r w:rsidR="00C30645" w:rsidRPr="000A27E5">
        <w:rPr>
          <w:spacing w:val="-2"/>
          <w:kern w:val="22"/>
        </w:rPr>
        <w:t xml:space="preserve"> (care after childbirth)</w:t>
      </w:r>
      <w:r w:rsidRPr="000A27E5">
        <w:rPr>
          <w:spacing w:val="-2"/>
          <w:kern w:val="22"/>
        </w:rPr>
        <w:t xml:space="preserve">, staffing solutions, </w:t>
      </w:r>
      <w:proofErr w:type="gramStart"/>
      <w:r w:rsidRPr="000A27E5">
        <w:rPr>
          <w:spacing w:val="-2"/>
          <w:kern w:val="22"/>
        </w:rPr>
        <w:t>child care</w:t>
      </w:r>
      <w:proofErr w:type="gramEnd"/>
      <w:r w:rsidR="00812BF6" w:rsidRPr="000A27E5">
        <w:rPr>
          <w:spacing w:val="-2"/>
          <w:kern w:val="22"/>
        </w:rPr>
        <w:t>,</w:t>
      </w:r>
      <w:r w:rsidRPr="000A27E5">
        <w:rPr>
          <w:spacing w:val="-2"/>
          <w:kern w:val="22"/>
        </w:rPr>
        <w:t xml:space="preserve"> and even pet care as part of their general services.</w:t>
      </w:r>
    </w:p>
    <w:p w14:paraId="2E48AB90" w14:textId="77777777" w:rsidR="00F50251" w:rsidRPr="000A27E5" w:rsidRDefault="00F50251" w:rsidP="00F50251">
      <w:pPr>
        <w:pStyle w:val="BodyTextMain"/>
        <w:rPr>
          <w:color w:val="000000"/>
          <w:kern w:val="2"/>
          <w:sz w:val="18"/>
          <w:szCs w:val="18"/>
        </w:rPr>
      </w:pPr>
    </w:p>
    <w:p w14:paraId="34EA867C" w14:textId="7FDC23FF" w:rsidR="00F50251" w:rsidRPr="004951FA" w:rsidRDefault="00EE1884" w:rsidP="00824259">
      <w:pPr>
        <w:pStyle w:val="BodyTextMain"/>
        <w:rPr>
          <w:rFonts w:eastAsia="Calibri"/>
          <w:lang w:eastAsia="en-CA"/>
        </w:rPr>
      </w:pPr>
      <w:r>
        <w:rPr>
          <w:color w:val="000000"/>
        </w:rPr>
        <w:t xml:space="preserve">The </w:t>
      </w:r>
      <w:r w:rsidR="00F50251" w:rsidRPr="004F7CAF">
        <w:rPr>
          <w:i/>
          <w:iCs/>
          <w:color w:val="000000"/>
        </w:rPr>
        <w:t>Canada Health Act</w:t>
      </w:r>
      <w:r w:rsidR="00F50251" w:rsidRPr="004951FA">
        <w:rPr>
          <w:color w:val="000000"/>
        </w:rPr>
        <w:t xml:space="preserve"> considered home care services as part of what it called “</w:t>
      </w:r>
      <w:r w:rsidR="00F50251" w:rsidRPr="004951FA">
        <w:rPr>
          <w:iCs/>
          <w:color w:val="000000"/>
        </w:rPr>
        <w:t>extended health care services” and</w:t>
      </w:r>
      <w:r w:rsidR="004737BA">
        <w:rPr>
          <w:iCs/>
          <w:color w:val="000000"/>
        </w:rPr>
        <w:t>,</w:t>
      </w:r>
      <w:r w:rsidR="00F50251" w:rsidRPr="004951FA">
        <w:rPr>
          <w:iCs/>
          <w:color w:val="000000"/>
        </w:rPr>
        <w:t xml:space="preserve"> therefore</w:t>
      </w:r>
      <w:r w:rsidR="004737BA">
        <w:rPr>
          <w:iCs/>
          <w:color w:val="000000"/>
        </w:rPr>
        <w:t>,</w:t>
      </w:r>
      <w:r w:rsidR="00F50251" w:rsidRPr="004951FA">
        <w:rPr>
          <w:iCs/>
          <w:color w:val="000000"/>
        </w:rPr>
        <w:t xml:space="preserve"> outside the purview of universal health care.</w:t>
      </w:r>
      <w:r w:rsidR="00F50251" w:rsidRPr="00D25C0C">
        <w:rPr>
          <w:rStyle w:val="FootnoteReference"/>
        </w:rPr>
        <w:footnoteReference w:id="14"/>
      </w:r>
    </w:p>
    <w:p w14:paraId="24360E5A" w14:textId="77777777" w:rsidR="00F50251" w:rsidRPr="000A27E5" w:rsidRDefault="00F50251">
      <w:pPr>
        <w:pStyle w:val="BodyTextMain"/>
        <w:rPr>
          <w:rFonts w:eastAsia="Calibri"/>
          <w:sz w:val="18"/>
          <w:szCs w:val="18"/>
          <w:lang w:eastAsia="en-CA"/>
        </w:rPr>
      </w:pPr>
    </w:p>
    <w:p w14:paraId="45115CB2" w14:textId="4F726286" w:rsidR="00F50251" w:rsidRPr="004951FA" w:rsidRDefault="00F50251" w:rsidP="00F50251">
      <w:pPr>
        <w:pStyle w:val="BodyTextMain"/>
        <w:rPr>
          <w:rFonts w:eastAsia="Calibri"/>
          <w:color w:val="000000"/>
          <w:kern w:val="2"/>
        </w:rPr>
      </w:pPr>
      <w:r w:rsidRPr="004951FA">
        <w:rPr>
          <w:rFonts w:eastAsia="Calibri"/>
          <w:color w:val="000000"/>
          <w:kern w:val="2"/>
        </w:rPr>
        <w:t>The</w:t>
      </w:r>
      <w:r w:rsidR="00862687">
        <w:rPr>
          <w:rFonts w:eastAsia="Calibri"/>
          <w:color w:val="000000"/>
          <w:kern w:val="2"/>
        </w:rPr>
        <w:t xml:space="preserve"> home care</w:t>
      </w:r>
      <w:r w:rsidRPr="004951FA">
        <w:rPr>
          <w:rFonts w:eastAsia="Calibri"/>
          <w:color w:val="000000"/>
          <w:kern w:val="2"/>
        </w:rPr>
        <w:t xml:space="preserve"> industry was in the growth stage of its life</w:t>
      </w:r>
      <w:r w:rsidR="00D25C0C">
        <w:rPr>
          <w:rFonts w:eastAsia="Calibri"/>
          <w:color w:val="000000"/>
          <w:kern w:val="2"/>
        </w:rPr>
        <w:t xml:space="preserve"> </w:t>
      </w:r>
      <w:r w:rsidRPr="004951FA">
        <w:rPr>
          <w:rFonts w:eastAsia="Calibri"/>
          <w:color w:val="000000"/>
          <w:kern w:val="2"/>
        </w:rPr>
        <w:t xml:space="preserve">cycle. </w:t>
      </w:r>
      <w:r w:rsidR="00A128D3">
        <w:t>Between 2013 and 2023</w:t>
      </w:r>
      <w:r w:rsidRPr="004951FA">
        <w:rPr>
          <w:rFonts w:eastAsia="Calibri"/>
          <w:color w:val="000000"/>
          <w:kern w:val="2"/>
        </w:rPr>
        <w:t>,</w:t>
      </w:r>
      <w:r w:rsidR="00D25C0C">
        <w:rPr>
          <w:rFonts w:eastAsia="Calibri"/>
          <w:color w:val="000000"/>
          <w:kern w:val="2"/>
        </w:rPr>
        <w:t xml:space="preserve"> </w:t>
      </w:r>
      <w:r w:rsidRPr="004951FA">
        <w:rPr>
          <w:rFonts w:eastAsia="Calibri"/>
          <w:color w:val="000000"/>
          <w:kern w:val="2"/>
        </w:rPr>
        <w:t>the</w:t>
      </w:r>
      <w:r w:rsidR="00D25C0C">
        <w:rPr>
          <w:rFonts w:eastAsia="Calibri"/>
          <w:color w:val="000000"/>
          <w:kern w:val="2"/>
        </w:rPr>
        <w:t xml:space="preserve"> </w:t>
      </w:r>
      <w:r w:rsidR="00C82CC4">
        <w:rPr>
          <w:rFonts w:eastAsia="Calibri"/>
          <w:color w:val="000000"/>
          <w:kern w:val="2"/>
        </w:rPr>
        <w:t xml:space="preserve">industry’s </w:t>
      </w:r>
      <w:r w:rsidRPr="004951FA">
        <w:rPr>
          <w:rFonts w:eastAsia="Calibri"/>
          <w:color w:val="000000"/>
          <w:kern w:val="2"/>
        </w:rPr>
        <w:t>contribution to the overall</w:t>
      </w:r>
      <w:r w:rsidR="00D25C0C">
        <w:rPr>
          <w:rFonts w:eastAsia="Calibri"/>
          <w:color w:val="000000"/>
          <w:kern w:val="2"/>
        </w:rPr>
        <w:t xml:space="preserve"> </w:t>
      </w:r>
      <w:r w:rsidRPr="004951FA">
        <w:rPr>
          <w:rFonts w:eastAsia="Calibri"/>
          <w:color w:val="000000"/>
          <w:kern w:val="2"/>
        </w:rPr>
        <w:t xml:space="preserve">economy </w:t>
      </w:r>
      <w:proofErr w:type="gramStart"/>
      <w:r w:rsidRPr="004951FA">
        <w:rPr>
          <w:rFonts w:eastAsia="Calibri"/>
          <w:color w:val="000000"/>
          <w:kern w:val="2"/>
        </w:rPr>
        <w:t>was forecast</w:t>
      </w:r>
      <w:proofErr w:type="gramEnd"/>
      <w:r w:rsidRPr="004951FA">
        <w:rPr>
          <w:rFonts w:eastAsia="Calibri"/>
          <w:color w:val="000000"/>
          <w:kern w:val="2"/>
        </w:rPr>
        <w:t xml:space="preserve"> to grow at an</w:t>
      </w:r>
      <w:r w:rsidR="00D25C0C">
        <w:rPr>
          <w:rFonts w:eastAsia="Calibri"/>
          <w:color w:val="000000"/>
          <w:kern w:val="2"/>
        </w:rPr>
        <w:t xml:space="preserve"> </w:t>
      </w:r>
      <w:r w:rsidRPr="004951FA">
        <w:rPr>
          <w:rFonts w:eastAsia="Calibri"/>
          <w:color w:val="000000"/>
          <w:kern w:val="2"/>
        </w:rPr>
        <w:t>annualized rate of 3.7 per cent. In comparison,</w:t>
      </w:r>
      <w:r w:rsidR="00D25C0C">
        <w:rPr>
          <w:rFonts w:eastAsia="Calibri"/>
          <w:color w:val="000000"/>
          <w:kern w:val="2"/>
        </w:rPr>
        <w:t xml:space="preserve"> </w:t>
      </w:r>
      <w:r w:rsidRPr="004951FA">
        <w:rPr>
          <w:rFonts w:eastAsia="Calibri"/>
          <w:color w:val="000000"/>
          <w:kern w:val="2"/>
        </w:rPr>
        <w:t xml:space="preserve">Canadian GDP </w:t>
      </w:r>
      <w:proofErr w:type="gramStart"/>
      <w:r w:rsidRPr="004951FA">
        <w:rPr>
          <w:rFonts w:eastAsia="Calibri"/>
          <w:color w:val="000000"/>
          <w:kern w:val="2"/>
        </w:rPr>
        <w:t>was expected</w:t>
      </w:r>
      <w:proofErr w:type="gramEnd"/>
      <w:r w:rsidRPr="004951FA">
        <w:rPr>
          <w:rFonts w:eastAsia="Calibri"/>
          <w:color w:val="000000"/>
          <w:kern w:val="2"/>
        </w:rPr>
        <w:t xml:space="preserve"> to grow </w:t>
      </w:r>
      <w:r w:rsidR="001765AF">
        <w:rPr>
          <w:rFonts w:eastAsia="Calibri"/>
          <w:color w:val="000000"/>
          <w:kern w:val="2"/>
        </w:rPr>
        <w:t xml:space="preserve">at </w:t>
      </w:r>
      <w:r w:rsidRPr="004951FA">
        <w:rPr>
          <w:rFonts w:eastAsia="Calibri"/>
          <w:color w:val="000000"/>
          <w:kern w:val="2"/>
        </w:rPr>
        <w:t>an</w:t>
      </w:r>
      <w:r w:rsidR="00D25C0C">
        <w:rPr>
          <w:rFonts w:eastAsia="Calibri"/>
          <w:color w:val="000000"/>
          <w:kern w:val="2"/>
        </w:rPr>
        <w:t xml:space="preserve"> </w:t>
      </w:r>
      <w:r w:rsidRPr="004951FA">
        <w:rPr>
          <w:rFonts w:eastAsia="Calibri"/>
          <w:color w:val="000000"/>
          <w:kern w:val="2"/>
        </w:rPr>
        <w:t>annualized 1.9 per cent during the same period,</w:t>
      </w:r>
      <w:r w:rsidR="00D25C0C">
        <w:rPr>
          <w:rFonts w:eastAsia="Calibri"/>
          <w:color w:val="000000"/>
          <w:kern w:val="2"/>
        </w:rPr>
        <w:t xml:space="preserve"> </w:t>
      </w:r>
      <w:r w:rsidRPr="004951FA">
        <w:rPr>
          <w:rFonts w:eastAsia="Calibri"/>
          <w:color w:val="000000"/>
          <w:kern w:val="2"/>
        </w:rPr>
        <w:t>indicating that the industry was growing</w:t>
      </w:r>
      <w:r w:rsidR="00D25C0C">
        <w:rPr>
          <w:rFonts w:eastAsia="Calibri"/>
          <w:color w:val="000000"/>
          <w:kern w:val="2"/>
        </w:rPr>
        <w:t xml:space="preserve"> </w:t>
      </w:r>
      <w:r w:rsidRPr="004951FA">
        <w:rPr>
          <w:rFonts w:eastAsia="Calibri"/>
          <w:color w:val="000000"/>
          <w:kern w:val="2"/>
        </w:rPr>
        <w:t>faster than the Canadian economy.</w:t>
      </w:r>
      <w:r w:rsidR="00D25C0C">
        <w:rPr>
          <w:rFonts w:eastAsia="Calibri"/>
          <w:color w:val="000000"/>
          <w:kern w:val="2"/>
        </w:rPr>
        <w:t xml:space="preserve"> </w:t>
      </w:r>
      <w:r w:rsidR="0013131C" w:rsidRPr="00D25C0C">
        <w:rPr>
          <w:rStyle w:val="FootnoteReference"/>
          <w:rFonts w:eastAsia="Calibri"/>
        </w:rPr>
        <w:footnoteReference w:id="15"/>
      </w:r>
    </w:p>
    <w:p w14:paraId="461E0370" w14:textId="77777777" w:rsidR="00F50251" w:rsidRPr="000A27E5" w:rsidRDefault="00F50251" w:rsidP="00F50251">
      <w:pPr>
        <w:pStyle w:val="BodyTextMain"/>
        <w:rPr>
          <w:rFonts w:eastAsia="Calibri"/>
          <w:color w:val="000000"/>
          <w:kern w:val="2"/>
          <w:sz w:val="18"/>
          <w:szCs w:val="18"/>
        </w:rPr>
      </w:pPr>
    </w:p>
    <w:p w14:paraId="0876B350" w14:textId="26822567" w:rsidR="00F50251" w:rsidRPr="004951FA" w:rsidRDefault="00F50251" w:rsidP="00F50251">
      <w:pPr>
        <w:pStyle w:val="BodyTextMain"/>
        <w:rPr>
          <w:rFonts w:eastAsia="Calibri"/>
          <w:color w:val="000000"/>
          <w:kern w:val="2"/>
        </w:rPr>
      </w:pPr>
      <w:r w:rsidRPr="004951FA">
        <w:rPr>
          <w:rFonts w:eastAsia="Calibri"/>
          <w:color w:val="000000"/>
          <w:kern w:val="2"/>
        </w:rPr>
        <w:t xml:space="preserve">The </w:t>
      </w:r>
      <w:r w:rsidR="00862687">
        <w:rPr>
          <w:rFonts w:eastAsia="Calibri"/>
          <w:color w:val="000000"/>
          <w:kern w:val="2"/>
        </w:rPr>
        <w:t>increasing</w:t>
      </w:r>
      <w:r w:rsidR="00D25C0C">
        <w:rPr>
          <w:rFonts w:eastAsia="Calibri"/>
          <w:color w:val="000000"/>
          <w:kern w:val="2"/>
        </w:rPr>
        <w:t xml:space="preserve"> </w:t>
      </w:r>
      <w:r w:rsidRPr="004951FA">
        <w:rPr>
          <w:rFonts w:eastAsia="Calibri"/>
          <w:color w:val="000000"/>
          <w:kern w:val="2"/>
        </w:rPr>
        <w:t xml:space="preserve">popularity </w:t>
      </w:r>
      <w:r w:rsidR="00862687">
        <w:rPr>
          <w:rFonts w:eastAsia="Calibri"/>
          <w:color w:val="000000"/>
          <w:kern w:val="2"/>
        </w:rPr>
        <w:t xml:space="preserve">of home care services was </w:t>
      </w:r>
      <w:r w:rsidRPr="004951FA">
        <w:rPr>
          <w:rFonts w:eastAsia="Calibri"/>
          <w:color w:val="000000"/>
          <w:kern w:val="2"/>
        </w:rPr>
        <w:t>due to advances in</w:t>
      </w:r>
      <w:r w:rsidR="00D25C0C">
        <w:rPr>
          <w:rFonts w:eastAsia="Calibri"/>
          <w:color w:val="000000"/>
          <w:kern w:val="2"/>
        </w:rPr>
        <w:t xml:space="preserve"> </w:t>
      </w:r>
      <w:r w:rsidRPr="004951FA">
        <w:rPr>
          <w:rFonts w:eastAsia="Calibri"/>
          <w:color w:val="000000"/>
          <w:kern w:val="2"/>
        </w:rPr>
        <w:t>medicine that promoted independence</w:t>
      </w:r>
      <w:r w:rsidR="00D25C0C">
        <w:rPr>
          <w:rFonts w:eastAsia="Calibri"/>
          <w:color w:val="000000"/>
          <w:kern w:val="2"/>
        </w:rPr>
        <w:t xml:space="preserve"> </w:t>
      </w:r>
      <w:r w:rsidRPr="004951FA">
        <w:rPr>
          <w:rFonts w:eastAsia="Calibri"/>
          <w:color w:val="000000"/>
          <w:kern w:val="2"/>
        </w:rPr>
        <w:t xml:space="preserve">among the elderly. </w:t>
      </w:r>
      <w:proofErr w:type="gramStart"/>
      <w:r w:rsidR="00862687">
        <w:rPr>
          <w:rFonts w:eastAsia="Calibri"/>
          <w:color w:val="000000"/>
          <w:kern w:val="2"/>
        </w:rPr>
        <w:t>Also</w:t>
      </w:r>
      <w:proofErr w:type="gramEnd"/>
      <w:r w:rsidR="00862687">
        <w:rPr>
          <w:rFonts w:eastAsia="Calibri"/>
          <w:color w:val="000000"/>
          <w:kern w:val="2"/>
        </w:rPr>
        <w:t>, a</w:t>
      </w:r>
      <w:r w:rsidRPr="004951FA">
        <w:rPr>
          <w:rFonts w:eastAsia="Calibri"/>
          <w:color w:val="000000"/>
          <w:kern w:val="2"/>
        </w:rPr>
        <w:t xml:space="preserve">dvances in </w:t>
      </w:r>
      <w:r w:rsidR="00FB47E7">
        <w:rPr>
          <w:rFonts w:eastAsia="Calibri"/>
          <w:color w:val="000000"/>
          <w:kern w:val="2"/>
        </w:rPr>
        <w:t>biomedical</w:t>
      </w:r>
      <w:r w:rsidRPr="004951FA">
        <w:rPr>
          <w:rFonts w:eastAsia="Calibri"/>
          <w:color w:val="000000"/>
          <w:kern w:val="2"/>
        </w:rPr>
        <w:t xml:space="preserve"> technology had</w:t>
      </w:r>
      <w:r w:rsidR="00D25C0C">
        <w:rPr>
          <w:rFonts w:eastAsia="Calibri"/>
          <w:color w:val="000000"/>
          <w:kern w:val="2"/>
        </w:rPr>
        <w:t xml:space="preserve"> </w:t>
      </w:r>
      <w:r w:rsidRPr="004951FA">
        <w:rPr>
          <w:rFonts w:eastAsia="Calibri"/>
          <w:color w:val="000000"/>
          <w:kern w:val="2"/>
        </w:rPr>
        <w:t>not only</w:t>
      </w:r>
      <w:r w:rsidR="00C87810">
        <w:rPr>
          <w:rFonts w:eastAsia="Calibri"/>
          <w:color w:val="000000"/>
          <w:kern w:val="2"/>
        </w:rPr>
        <w:t xml:space="preserve"> enabled</w:t>
      </w:r>
      <w:r w:rsidRPr="004951FA">
        <w:rPr>
          <w:rFonts w:eastAsia="Calibri"/>
          <w:color w:val="000000"/>
          <w:kern w:val="2"/>
        </w:rPr>
        <w:t xml:space="preserve"> remote digital monitoring but also </w:t>
      </w:r>
      <w:r w:rsidR="00C87810">
        <w:rPr>
          <w:rFonts w:eastAsia="Calibri"/>
          <w:color w:val="000000"/>
          <w:kern w:val="2"/>
        </w:rPr>
        <w:t xml:space="preserve">allowed for </w:t>
      </w:r>
      <w:r w:rsidRPr="004951FA">
        <w:rPr>
          <w:rFonts w:eastAsia="Calibri"/>
          <w:color w:val="000000"/>
          <w:kern w:val="2"/>
        </w:rPr>
        <w:t xml:space="preserve">more </w:t>
      </w:r>
      <w:r w:rsidR="00FB47E7">
        <w:rPr>
          <w:rFonts w:eastAsia="Calibri"/>
          <w:color w:val="000000"/>
          <w:kern w:val="2"/>
        </w:rPr>
        <w:t>health care</w:t>
      </w:r>
      <w:r w:rsidR="00D25C0C">
        <w:rPr>
          <w:rFonts w:eastAsia="Calibri"/>
          <w:color w:val="000000"/>
          <w:kern w:val="2"/>
        </w:rPr>
        <w:t xml:space="preserve"> </w:t>
      </w:r>
      <w:r w:rsidRPr="004951FA">
        <w:rPr>
          <w:rFonts w:eastAsia="Calibri"/>
          <w:color w:val="000000"/>
          <w:kern w:val="2"/>
        </w:rPr>
        <w:t>procedures to be carried out in homes.</w:t>
      </w:r>
    </w:p>
    <w:p w14:paraId="4CC9AC73" w14:textId="77777777" w:rsidR="00F50251" w:rsidRPr="000A27E5" w:rsidRDefault="00F50251" w:rsidP="00F50251">
      <w:pPr>
        <w:pStyle w:val="BodyTextMain"/>
        <w:rPr>
          <w:rFonts w:eastAsia="Calibri"/>
          <w:color w:val="000000"/>
          <w:kern w:val="2"/>
          <w:sz w:val="18"/>
          <w:szCs w:val="18"/>
        </w:rPr>
      </w:pPr>
    </w:p>
    <w:p w14:paraId="6FE98DF1" w14:textId="78C00C97" w:rsidR="00F50251" w:rsidRPr="004F7CAF" w:rsidRDefault="00862687" w:rsidP="00F50251">
      <w:pPr>
        <w:pStyle w:val="BodyTextMain"/>
        <w:rPr>
          <w:color w:val="000000"/>
          <w:kern w:val="2"/>
        </w:rPr>
      </w:pPr>
      <w:r w:rsidRPr="004951FA">
        <w:rPr>
          <w:color w:val="000000"/>
          <w:kern w:val="2"/>
        </w:rPr>
        <w:t xml:space="preserve">The industry was highly fragmented, with many small operators offering a wide variety of services. </w:t>
      </w:r>
      <w:r w:rsidR="00FB47E7" w:rsidRPr="00480137">
        <w:rPr>
          <w:rFonts w:eastAsia="Calibri"/>
        </w:rPr>
        <w:t xml:space="preserve">Sixty-two </w:t>
      </w:r>
      <w:r w:rsidR="00F50251" w:rsidRPr="00480137">
        <w:rPr>
          <w:rFonts w:eastAsia="Calibri"/>
        </w:rPr>
        <w:t>per cent of home care providers were non-employing sole</w:t>
      </w:r>
      <w:r w:rsidR="00D25C0C" w:rsidRPr="00480137">
        <w:rPr>
          <w:rFonts w:eastAsia="Calibri"/>
        </w:rPr>
        <w:t xml:space="preserve"> </w:t>
      </w:r>
      <w:r w:rsidR="00F50251" w:rsidRPr="00480137">
        <w:rPr>
          <w:rFonts w:eastAsia="Calibri"/>
        </w:rPr>
        <w:t>proprietorships. Due to the relative</w:t>
      </w:r>
      <w:r w:rsidR="00D25C0C" w:rsidRPr="00480137">
        <w:rPr>
          <w:rFonts w:eastAsia="Calibri"/>
        </w:rPr>
        <w:t xml:space="preserve"> </w:t>
      </w:r>
      <w:r w:rsidR="00F50251" w:rsidRPr="00480137">
        <w:rPr>
          <w:rFonts w:eastAsia="Calibri"/>
        </w:rPr>
        <w:t>ease of establishing a home care</w:t>
      </w:r>
      <w:r w:rsidR="00D25C0C" w:rsidRPr="00480137">
        <w:rPr>
          <w:rFonts w:eastAsia="Calibri"/>
        </w:rPr>
        <w:t xml:space="preserve"> </w:t>
      </w:r>
      <w:r w:rsidR="00F50251" w:rsidRPr="00480137">
        <w:rPr>
          <w:rFonts w:eastAsia="Calibri"/>
        </w:rPr>
        <w:t>business, along with the lack of necessity</w:t>
      </w:r>
      <w:r w:rsidR="00D25C0C" w:rsidRPr="00480137">
        <w:rPr>
          <w:rFonts w:eastAsia="Calibri"/>
        </w:rPr>
        <w:t xml:space="preserve"> </w:t>
      </w:r>
      <w:r w:rsidR="00F50251" w:rsidRPr="00480137">
        <w:rPr>
          <w:rFonts w:eastAsia="Calibri"/>
        </w:rPr>
        <w:t>for formal accreditation, individuals who</w:t>
      </w:r>
      <w:r w:rsidR="00D25C0C" w:rsidRPr="00480137">
        <w:rPr>
          <w:rFonts w:eastAsia="Calibri"/>
        </w:rPr>
        <w:t xml:space="preserve"> </w:t>
      </w:r>
      <w:r w:rsidR="00F50251" w:rsidRPr="00480137">
        <w:rPr>
          <w:rFonts w:eastAsia="Calibri"/>
        </w:rPr>
        <w:t>could find and secure clients could easily</w:t>
      </w:r>
      <w:r w:rsidR="00D25C0C" w:rsidRPr="00480137">
        <w:rPr>
          <w:rFonts w:eastAsia="Calibri"/>
        </w:rPr>
        <w:t xml:space="preserve"> </w:t>
      </w:r>
      <w:r w:rsidR="00F50251" w:rsidRPr="00480137">
        <w:rPr>
          <w:rFonts w:eastAsia="Calibri"/>
        </w:rPr>
        <w:t xml:space="preserve">get a </w:t>
      </w:r>
      <w:r w:rsidRPr="00480137">
        <w:rPr>
          <w:rFonts w:eastAsia="Calibri"/>
        </w:rPr>
        <w:t>start in</w:t>
      </w:r>
      <w:r w:rsidR="00F50251" w:rsidRPr="00480137">
        <w:rPr>
          <w:rFonts w:eastAsia="Calibri"/>
        </w:rPr>
        <w:t xml:space="preserve"> the industry.</w:t>
      </w:r>
      <w:r w:rsidR="004951FA" w:rsidRPr="00480137">
        <w:rPr>
          <w:rFonts w:eastAsia="Calibri"/>
        </w:rPr>
        <w:t xml:space="preserve"> </w:t>
      </w:r>
      <w:r w:rsidR="00F50251" w:rsidRPr="00480137">
        <w:rPr>
          <w:rFonts w:eastAsia="Calibri"/>
        </w:rPr>
        <w:t>Home care was also a</w:t>
      </w:r>
      <w:r w:rsidR="00F50251" w:rsidRPr="00480137">
        <w:t xml:space="preserve"> high-churn business</w:t>
      </w:r>
      <w:r w:rsidR="00FB47E7" w:rsidRPr="00480137">
        <w:t xml:space="preserve">, </w:t>
      </w:r>
      <w:r w:rsidRPr="00480137">
        <w:t xml:space="preserve">with </w:t>
      </w:r>
      <w:r w:rsidR="00FB47E7" w:rsidRPr="00480137">
        <w:t>the</w:t>
      </w:r>
      <w:r w:rsidR="00F50251" w:rsidRPr="00480137">
        <w:t xml:space="preserve"> bulk of </w:t>
      </w:r>
      <w:r w:rsidR="00A06C68" w:rsidRPr="00480137">
        <w:t xml:space="preserve">industry </w:t>
      </w:r>
      <w:r w:rsidR="00886941">
        <w:t>exits happening</w:t>
      </w:r>
      <w:r w:rsidR="00F50251" w:rsidRPr="00480137">
        <w:t xml:space="preserve"> within the first 60 days.</w:t>
      </w:r>
      <w:r w:rsidR="001E2765">
        <w:rPr>
          <w:rStyle w:val="FootnoteReference"/>
        </w:rPr>
        <w:footnoteReference w:id="16"/>
      </w:r>
      <w:r w:rsidR="00F50251" w:rsidRPr="00480137">
        <w:t xml:space="preserve"> </w:t>
      </w:r>
    </w:p>
    <w:p w14:paraId="6DF75268" w14:textId="77777777" w:rsidR="00F50251" w:rsidRPr="000A27E5" w:rsidRDefault="00F50251" w:rsidP="00824259">
      <w:pPr>
        <w:pStyle w:val="BodyTextMain"/>
        <w:rPr>
          <w:sz w:val="18"/>
          <w:szCs w:val="18"/>
        </w:rPr>
      </w:pPr>
    </w:p>
    <w:p w14:paraId="4421435C" w14:textId="1651D67F" w:rsidR="00F50251" w:rsidRPr="004951FA" w:rsidRDefault="002257D5">
      <w:pPr>
        <w:pStyle w:val="BodyTextMain"/>
      </w:pPr>
      <w:r w:rsidRPr="004951FA">
        <w:rPr>
          <w:color w:val="000000"/>
        </w:rPr>
        <w:t>Larger, consolidated industry operators did prevail, but the labour-intensive and low-capital nature of the business provided little incentive for operators to seek significant economies of scale.</w:t>
      </w:r>
      <w:r>
        <w:rPr>
          <w:color w:val="000000"/>
        </w:rPr>
        <w:t xml:space="preserve"> The l</w:t>
      </w:r>
      <w:r w:rsidR="00A06C68">
        <w:t>arger</w:t>
      </w:r>
      <w:r w:rsidR="00F50251" w:rsidRPr="004951FA">
        <w:t xml:space="preserve"> players included </w:t>
      </w:r>
      <w:proofErr w:type="spellStart"/>
      <w:r w:rsidR="00F50251" w:rsidRPr="004951FA">
        <w:t>ParaMed</w:t>
      </w:r>
      <w:proofErr w:type="spellEnd"/>
      <w:r w:rsidR="00F50251" w:rsidRPr="004951FA">
        <w:t xml:space="preserve"> Home Health Care</w:t>
      </w:r>
      <w:r w:rsidR="00A06C68">
        <w:t xml:space="preserve"> (</w:t>
      </w:r>
      <w:proofErr w:type="spellStart"/>
      <w:r w:rsidR="00A06C68">
        <w:t>ParaMed</w:t>
      </w:r>
      <w:proofErr w:type="spellEnd"/>
      <w:r w:rsidR="00A06C68">
        <w:t>)</w:t>
      </w:r>
      <w:r w:rsidR="00F50251" w:rsidRPr="004951FA">
        <w:t xml:space="preserve">, </w:t>
      </w:r>
      <w:proofErr w:type="spellStart"/>
      <w:r w:rsidR="00F50251" w:rsidRPr="004951FA">
        <w:t>Bayshore</w:t>
      </w:r>
      <w:proofErr w:type="spellEnd"/>
      <w:r w:rsidR="00A06C68">
        <w:t xml:space="preserve"> HealthCare</w:t>
      </w:r>
      <w:r w:rsidR="005E3A04">
        <w:t xml:space="preserve"> (</w:t>
      </w:r>
      <w:proofErr w:type="spellStart"/>
      <w:r w:rsidR="005E3A04">
        <w:t>Bayshore</w:t>
      </w:r>
      <w:proofErr w:type="spellEnd"/>
      <w:r w:rsidR="005E3A04">
        <w:t>)</w:t>
      </w:r>
      <w:r w:rsidR="00F50251" w:rsidRPr="004951FA">
        <w:t>, CBI Health Group</w:t>
      </w:r>
      <w:r w:rsidR="005E3A04">
        <w:t xml:space="preserve"> (CBI)</w:t>
      </w:r>
      <w:r w:rsidR="00F50251" w:rsidRPr="004951FA">
        <w:t xml:space="preserve">, </w:t>
      </w:r>
      <w:r w:rsidR="00A06C68" w:rsidRPr="00A06C68">
        <w:t>Nurse Next Door Professional Home Care Services Inc.</w:t>
      </w:r>
      <w:r w:rsidR="00F50251" w:rsidRPr="004951FA">
        <w:t xml:space="preserve">, and Home Instead. </w:t>
      </w:r>
      <w:r w:rsidR="00CA72C2">
        <w:t>In</w:t>
      </w:r>
      <w:r w:rsidR="00A06C68">
        <w:t xml:space="preserve"> 2017, </w:t>
      </w:r>
      <w:proofErr w:type="spellStart"/>
      <w:r w:rsidR="00F50251" w:rsidRPr="004951FA">
        <w:t>ParaMed</w:t>
      </w:r>
      <w:proofErr w:type="spellEnd"/>
      <w:r w:rsidR="00F50251" w:rsidRPr="004951FA">
        <w:t xml:space="preserve"> had revenue of $434 million</w:t>
      </w:r>
      <w:r w:rsidR="005E3A04">
        <w:t>;</w:t>
      </w:r>
      <w:r w:rsidR="00F50251" w:rsidRPr="004951FA">
        <w:t xml:space="preserve"> </w:t>
      </w:r>
      <w:proofErr w:type="spellStart"/>
      <w:r w:rsidR="00F50251" w:rsidRPr="004951FA">
        <w:t>Bayshore</w:t>
      </w:r>
      <w:proofErr w:type="spellEnd"/>
      <w:r w:rsidR="005E3A04">
        <w:t>,</w:t>
      </w:r>
      <w:r w:rsidR="00F50251" w:rsidRPr="004951FA">
        <w:t xml:space="preserve"> $273 million</w:t>
      </w:r>
      <w:r w:rsidR="005E3A04">
        <w:t>;</w:t>
      </w:r>
      <w:r w:rsidR="00F50251" w:rsidRPr="004951FA">
        <w:t xml:space="preserve"> and CBI</w:t>
      </w:r>
      <w:r w:rsidR="005E3A04">
        <w:t>,</w:t>
      </w:r>
      <w:r w:rsidR="00F50251" w:rsidRPr="004951FA">
        <w:t xml:space="preserve"> $252 million.</w:t>
      </w:r>
      <w:r w:rsidR="001E2765">
        <w:rPr>
          <w:rStyle w:val="FootnoteReference"/>
        </w:rPr>
        <w:footnoteReference w:id="17"/>
      </w:r>
    </w:p>
    <w:p w14:paraId="4B2209B2" w14:textId="1F6D4CA1" w:rsidR="00F50251" w:rsidRPr="000A27E5" w:rsidRDefault="00F50251">
      <w:pPr>
        <w:pStyle w:val="BodyTextMain"/>
        <w:rPr>
          <w:sz w:val="18"/>
          <w:szCs w:val="18"/>
        </w:rPr>
      </w:pPr>
    </w:p>
    <w:p w14:paraId="3F2185D8" w14:textId="77777777" w:rsidR="00F50251" w:rsidRPr="000A27E5" w:rsidRDefault="00F50251">
      <w:pPr>
        <w:pStyle w:val="BodyTextMain"/>
        <w:rPr>
          <w:sz w:val="18"/>
          <w:szCs w:val="18"/>
        </w:rPr>
      </w:pPr>
    </w:p>
    <w:p w14:paraId="73DAD35E" w14:textId="1C5D665F" w:rsidR="00F50251" w:rsidRPr="004951FA" w:rsidRDefault="00F50251" w:rsidP="000A27E5">
      <w:pPr>
        <w:pStyle w:val="Casehead1"/>
        <w:keepNext w:val="0"/>
        <w:rPr>
          <w:kern w:val="2"/>
        </w:rPr>
      </w:pPr>
      <w:r w:rsidRPr="004951FA">
        <w:rPr>
          <w:kern w:val="2"/>
        </w:rPr>
        <w:t>NEW BRUNSWICK</w:t>
      </w:r>
    </w:p>
    <w:p w14:paraId="462D004F" w14:textId="77777777" w:rsidR="00F50251" w:rsidRPr="000A27E5" w:rsidRDefault="00F50251" w:rsidP="000A27E5">
      <w:pPr>
        <w:pStyle w:val="BodyTextMain"/>
        <w:rPr>
          <w:sz w:val="18"/>
          <w:szCs w:val="18"/>
        </w:rPr>
      </w:pPr>
    </w:p>
    <w:p w14:paraId="2CEBB7F5" w14:textId="5B308F35" w:rsidR="00F50251" w:rsidRPr="00886941" w:rsidRDefault="00F50251" w:rsidP="00F50251">
      <w:pPr>
        <w:pStyle w:val="BodyTextMain"/>
        <w:rPr>
          <w:kern w:val="2"/>
        </w:rPr>
      </w:pPr>
      <w:r w:rsidRPr="004951FA">
        <w:rPr>
          <w:bCs/>
          <w:color w:val="000000"/>
          <w:kern w:val="2"/>
        </w:rPr>
        <w:t>New Brunswick was a maritime province in eastern Canada</w:t>
      </w:r>
      <w:r w:rsidR="004E24F9">
        <w:rPr>
          <w:bCs/>
          <w:color w:val="000000"/>
          <w:kern w:val="2"/>
        </w:rPr>
        <w:t>,</w:t>
      </w:r>
      <w:r w:rsidRPr="004951FA">
        <w:rPr>
          <w:bCs/>
          <w:color w:val="000000"/>
          <w:kern w:val="2"/>
        </w:rPr>
        <w:t xml:space="preserve"> bordering on </w:t>
      </w:r>
      <w:r w:rsidR="004E24F9">
        <w:rPr>
          <w:bCs/>
          <w:color w:val="000000"/>
          <w:kern w:val="2"/>
        </w:rPr>
        <w:t>the US state of</w:t>
      </w:r>
      <w:r w:rsidRPr="004951FA">
        <w:rPr>
          <w:bCs/>
          <w:color w:val="000000"/>
          <w:kern w:val="2"/>
        </w:rPr>
        <w:t xml:space="preserve"> Maine</w:t>
      </w:r>
      <w:r w:rsidR="004E24F9">
        <w:rPr>
          <w:bCs/>
          <w:color w:val="000000"/>
          <w:kern w:val="2"/>
        </w:rPr>
        <w:t xml:space="preserve"> and</w:t>
      </w:r>
      <w:r w:rsidRPr="004951FA">
        <w:rPr>
          <w:bCs/>
          <w:color w:val="000000"/>
          <w:kern w:val="2"/>
        </w:rPr>
        <w:t xml:space="preserve"> known as the old-age capital of Canada (</w:t>
      </w:r>
      <w:r w:rsidR="004E24F9">
        <w:rPr>
          <w:bCs/>
          <w:color w:val="000000"/>
          <w:kern w:val="2"/>
        </w:rPr>
        <w:t>see Exhibits 2 and</w:t>
      </w:r>
      <w:r w:rsidR="004E24F9" w:rsidRPr="004951FA">
        <w:rPr>
          <w:bCs/>
          <w:color w:val="000000"/>
          <w:kern w:val="2"/>
        </w:rPr>
        <w:t xml:space="preserve"> </w:t>
      </w:r>
      <w:r w:rsidRPr="004951FA">
        <w:rPr>
          <w:bCs/>
          <w:color w:val="000000"/>
          <w:kern w:val="2"/>
        </w:rPr>
        <w:t>3).</w:t>
      </w:r>
      <w:r w:rsidRPr="004951FA">
        <w:rPr>
          <w:b/>
          <w:bCs/>
          <w:color w:val="000000"/>
          <w:kern w:val="2"/>
        </w:rPr>
        <w:t xml:space="preserve"> </w:t>
      </w:r>
      <w:r w:rsidRPr="00886941">
        <w:rPr>
          <w:kern w:val="2"/>
        </w:rPr>
        <w:t xml:space="preserve">Out of a total population of 756,780, </w:t>
      </w:r>
      <w:r w:rsidR="004E24F9" w:rsidRPr="00886941">
        <w:rPr>
          <w:kern w:val="2"/>
        </w:rPr>
        <w:t>New Brunswick</w:t>
      </w:r>
      <w:r w:rsidRPr="00886941">
        <w:rPr>
          <w:kern w:val="2"/>
        </w:rPr>
        <w:t xml:space="preserve"> </w:t>
      </w:r>
      <w:r w:rsidRPr="00886941">
        <w:rPr>
          <w:kern w:val="2"/>
        </w:rPr>
        <w:lastRenderedPageBreak/>
        <w:t>had 147,929 seniors</w:t>
      </w:r>
      <w:r w:rsidR="004E24F9" w:rsidRPr="00886941">
        <w:rPr>
          <w:kern w:val="2"/>
        </w:rPr>
        <w:t>,</w:t>
      </w:r>
      <w:r w:rsidRPr="00886941">
        <w:rPr>
          <w:kern w:val="2"/>
        </w:rPr>
        <w:t xml:space="preserve"> equivalent to 19.5 per cent of the population.</w:t>
      </w:r>
      <w:r w:rsidR="004951FA" w:rsidRPr="00886941">
        <w:rPr>
          <w:kern w:val="2"/>
        </w:rPr>
        <w:t xml:space="preserve"> </w:t>
      </w:r>
      <w:r w:rsidR="00AC2367" w:rsidRPr="00886941">
        <w:rPr>
          <w:kern w:val="2"/>
        </w:rPr>
        <w:t xml:space="preserve">The provincial government </w:t>
      </w:r>
      <w:r w:rsidRPr="00886941">
        <w:rPr>
          <w:kern w:val="2"/>
        </w:rPr>
        <w:t>forecast</w:t>
      </w:r>
      <w:r w:rsidR="00AC2367" w:rsidRPr="00886941">
        <w:rPr>
          <w:kern w:val="2"/>
        </w:rPr>
        <w:t>ed</w:t>
      </w:r>
      <w:r w:rsidRPr="00886941">
        <w:rPr>
          <w:kern w:val="2"/>
        </w:rPr>
        <w:t xml:space="preserve"> that by 2038, seniors would represent 31.3 per cent of </w:t>
      </w:r>
      <w:r w:rsidR="00EB1A1B" w:rsidRPr="00886941">
        <w:rPr>
          <w:kern w:val="2"/>
        </w:rPr>
        <w:t xml:space="preserve">New Brunswick’s </w:t>
      </w:r>
      <w:r w:rsidRPr="00886941">
        <w:rPr>
          <w:kern w:val="2"/>
        </w:rPr>
        <w:t>population</w:t>
      </w:r>
      <w:r w:rsidR="00601DDF" w:rsidRPr="00886941">
        <w:rPr>
          <w:kern w:val="2"/>
        </w:rPr>
        <w:t xml:space="preserve">, </w:t>
      </w:r>
      <w:r w:rsidRPr="00886941">
        <w:rPr>
          <w:kern w:val="2"/>
        </w:rPr>
        <w:t xml:space="preserve">in contrast to the </w:t>
      </w:r>
      <w:r w:rsidR="004E24F9" w:rsidRPr="00886941">
        <w:rPr>
          <w:kern w:val="2"/>
        </w:rPr>
        <w:t xml:space="preserve">projected </w:t>
      </w:r>
      <w:r w:rsidRPr="00886941">
        <w:rPr>
          <w:kern w:val="2"/>
        </w:rPr>
        <w:t xml:space="preserve">national average </w:t>
      </w:r>
      <w:r w:rsidR="004E24F9" w:rsidRPr="00886941">
        <w:rPr>
          <w:kern w:val="2"/>
        </w:rPr>
        <w:t xml:space="preserve">of </w:t>
      </w:r>
      <w:r w:rsidRPr="00886941">
        <w:rPr>
          <w:kern w:val="2"/>
        </w:rPr>
        <w:t>24 per cent.</w:t>
      </w:r>
      <w:r w:rsidR="00BC403B" w:rsidRPr="00886941">
        <w:rPr>
          <w:rStyle w:val="FootnoteReference"/>
        </w:rPr>
        <w:footnoteReference w:id="18"/>
      </w:r>
      <w:r w:rsidR="00D25C0C" w:rsidRPr="00886941">
        <w:rPr>
          <w:kern w:val="2"/>
        </w:rPr>
        <w:t xml:space="preserve"> </w:t>
      </w:r>
    </w:p>
    <w:p w14:paraId="69FD00C0" w14:textId="77777777" w:rsidR="00F50251" w:rsidRPr="004951FA" w:rsidRDefault="00F50251" w:rsidP="00F50251">
      <w:pPr>
        <w:pStyle w:val="BodyTextMain"/>
        <w:rPr>
          <w:color w:val="242424"/>
          <w:kern w:val="2"/>
        </w:rPr>
      </w:pPr>
    </w:p>
    <w:p w14:paraId="2CB419A7" w14:textId="79E90B2F" w:rsidR="00F50251" w:rsidRPr="004951FA" w:rsidRDefault="00F50251" w:rsidP="00F50251">
      <w:pPr>
        <w:pStyle w:val="BodyTextMain"/>
        <w:rPr>
          <w:color w:val="000000"/>
          <w:kern w:val="2"/>
        </w:rPr>
      </w:pPr>
      <w:r w:rsidRPr="004951FA">
        <w:rPr>
          <w:bCs/>
          <w:color w:val="000000"/>
          <w:kern w:val="2"/>
        </w:rPr>
        <w:t xml:space="preserve">There were three major population challenges facing New Brunswick: </w:t>
      </w:r>
      <w:r w:rsidR="00491513">
        <w:rPr>
          <w:bCs/>
          <w:color w:val="000000"/>
          <w:kern w:val="2"/>
        </w:rPr>
        <w:t>lower</w:t>
      </w:r>
      <w:r w:rsidR="00491513" w:rsidRPr="004951FA">
        <w:rPr>
          <w:bCs/>
          <w:color w:val="000000"/>
          <w:kern w:val="2"/>
        </w:rPr>
        <w:t xml:space="preserve"> </w:t>
      </w:r>
      <w:r w:rsidRPr="004951FA">
        <w:rPr>
          <w:bCs/>
          <w:color w:val="000000"/>
          <w:kern w:val="2"/>
        </w:rPr>
        <w:t xml:space="preserve">birth rates, </w:t>
      </w:r>
      <w:r w:rsidR="00491513">
        <w:rPr>
          <w:bCs/>
          <w:color w:val="000000"/>
          <w:kern w:val="2"/>
        </w:rPr>
        <w:t>out-migration</w:t>
      </w:r>
      <w:r w:rsidRPr="004951FA">
        <w:rPr>
          <w:bCs/>
          <w:color w:val="000000"/>
          <w:kern w:val="2"/>
        </w:rPr>
        <w:t xml:space="preserve"> of youth</w:t>
      </w:r>
      <w:r w:rsidR="00491513">
        <w:rPr>
          <w:bCs/>
          <w:color w:val="000000"/>
          <w:kern w:val="2"/>
        </w:rPr>
        <w:t>,</w:t>
      </w:r>
      <w:r w:rsidRPr="004951FA">
        <w:rPr>
          <w:bCs/>
          <w:color w:val="000000"/>
          <w:kern w:val="2"/>
        </w:rPr>
        <w:t xml:space="preserve"> and </w:t>
      </w:r>
      <w:r w:rsidR="00491513">
        <w:rPr>
          <w:bCs/>
          <w:color w:val="000000"/>
          <w:kern w:val="2"/>
        </w:rPr>
        <w:t>a growing number</w:t>
      </w:r>
      <w:r w:rsidRPr="004951FA">
        <w:rPr>
          <w:bCs/>
          <w:color w:val="000000"/>
          <w:kern w:val="2"/>
        </w:rPr>
        <w:t xml:space="preserve"> of seniors</w:t>
      </w:r>
      <w:r w:rsidR="00CE1978">
        <w:rPr>
          <w:bCs/>
          <w:color w:val="000000"/>
          <w:kern w:val="2"/>
        </w:rPr>
        <w:t>.</w:t>
      </w:r>
      <w:r w:rsidR="00CE1978">
        <w:rPr>
          <w:color w:val="000000"/>
          <w:kern w:val="2"/>
        </w:rPr>
        <w:t xml:space="preserve"> </w:t>
      </w:r>
      <w:r w:rsidRPr="004951FA">
        <w:rPr>
          <w:color w:val="000000"/>
          <w:kern w:val="2"/>
        </w:rPr>
        <w:t xml:space="preserve">The </w:t>
      </w:r>
      <w:r w:rsidR="00CE1978">
        <w:rPr>
          <w:color w:val="000000"/>
          <w:kern w:val="2"/>
        </w:rPr>
        <w:t xml:space="preserve">province’s </w:t>
      </w:r>
      <w:r w:rsidRPr="004951FA">
        <w:rPr>
          <w:color w:val="000000"/>
          <w:kern w:val="2"/>
        </w:rPr>
        <w:t>birth rate had declined from 0.94 per cent in 2006 to 0.87 per cent in 2016.</w:t>
      </w:r>
      <w:r w:rsidRPr="00D25C0C">
        <w:rPr>
          <w:rStyle w:val="FootnoteReference"/>
        </w:rPr>
        <w:footnoteReference w:id="19"/>
      </w:r>
      <w:r w:rsidRPr="004951FA">
        <w:rPr>
          <w:color w:val="000000"/>
          <w:kern w:val="2"/>
        </w:rPr>
        <w:t xml:space="preserve"> The phenomenon of youth</w:t>
      </w:r>
      <w:r w:rsidR="009E20F6">
        <w:rPr>
          <w:color w:val="000000"/>
          <w:kern w:val="2"/>
        </w:rPr>
        <w:t xml:space="preserve"> out-migration</w:t>
      </w:r>
      <w:r w:rsidRPr="004951FA">
        <w:rPr>
          <w:color w:val="000000"/>
          <w:kern w:val="2"/>
        </w:rPr>
        <w:t xml:space="preserve"> prevailed </w:t>
      </w:r>
      <w:r w:rsidR="009E20F6">
        <w:rPr>
          <w:color w:val="000000"/>
          <w:kern w:val="2"/>
        </w:rPr>
        <w:t xml:space="preserve">among those who were </w:t>
      </w:r>
      <w:r w:rsidRPr="004951FA">
        <w:rPr>
          <w:color w:val="000000"/>
          <w:kern w:val="2"/>
        </w:rPr>
        <w:t>15</w:t>
      </w:r>
      <w:r w:rsidR="009E20F6">
        <w:rPr>
          <w:color w:val="000000"/>
          <w:kern w:val="2"/>
        </w:rPr>
        <w:t>–</w:t>
      </w:r>
      <w:r w:rsidRPr="004951FA">
        <w:rPr>
          <w:color w:val="000000"/>
          <w:kern w:val="2"/>
        </w:rPr>
        <w:t>35 years</w:t>
      </w:r>
      <w:r w:rsidR="009E20F6">
        <w:rPr>
          <w:color w:val="000000"/>
          <w:kern w:val="2"/>
        </w:rPr>
        <w:t xml:space="preserve"> of age</w:t>
      </w:r>
      <w:r w:rsidRPr="004951FA">
        <w:rPr>
          <w:color w:val="000000"/>
          <w:kern w:val="2"/>
        </w:rPr>
        <w:t xml:space="preserve">. </w:t>
      </w:r>
      <w:r w:rsidR="00886941">
        <w:rPr>
          <w:color w:val="000000"/>
          <w:kern w:val="2"/>
        </w:rPr>
        <w:t>Youth</w:t>
      </w:r>
      <w:r w:rsidRPr="004951FA">
        <w:rPr>
          <w:color w:val="000000"/>
          <w:kern w:val="2"/>
        </w:rPr>
        <w:t xml:space="preserve"> were leaving New Brunswick to work and settle in other parts of Canada and the world, taking with them their energy, skills</w:t>
      </w:r>
      <w:r w:rsidR="006304D5">
        <w:rPr>
          <w:color w:val="000000"/>
          <w:kern w:val="2"/>
        </w:rPr>
        <w:t>,</w:t>
      </w:r>
      <w:r w:rsidRPr="004951FA">
        <w:rPr>
          <w:color w:val="000000"/>
          <w:kern w:val="2"/>
        </w:rPr>
        <w:t xml:space="preserve"> and innovation</w:t>
      </w:r>
      <w:r w:rsidR="00B3244A">
        <w:rPr>
          <w:color w:val="000000"/>
          <w:kern w:val="2"/>
        </w:rPr>
        <w:t xml:space="preserve"> </w:t>
      </w:r>
      <w:r w:rsidRPr="004951FA">
        <w:rPr>
          <w:color w:val="000000"/>
          <w:kern w:val="2"/>
        </w:rPr>
        <w:t>and</w:t>
      </w:r>
      <w:r w:rsidRPr="004F7CAF">
        <w:t xml:space="preserve"> </w:t>
      </w:r>
      <w:r w:rsidR="006304D5">
        <w:rPr>
          <w:color w:val="000000"/>
          <w:kern w:val="2"/>
        </w:rPr>
        <w:t>affecting</w:t>
      </w:r>
      <w:r w:rsidR="006304D5" w:rsidRPr="004951FA">
        <w:rPr>
          <w:color w:val="000000"/>
          <w:kern w:val="2"/>
        </w:rPr>
        <w:t xml:space="preserve"> </w:t>
      </w:r>
      <w:r w:rsidRPr="004951FA">
        <w:rPr>
          <w:color w:val="000000"/>
          <w:kern w:val="2"/>
        </w:rPr>
        <w:t>the province’s economy, tax base, and social system.</w:t>
      </w:r>
      <w:r w:rsidR="00B3244A" w:rsidRPr="00D25C0C">
        <w:rPr>
          <w:rStyle w:val="FootnoteReference"/>
        </w:rPr>
        <w:footnoteReference w:id="20"/>
      </w:r>
      <w:r w:rsidRPr="004951FA">
        <w:rPr>
          <w:color w:val="000000"/>
          <w:kern w:val="2"/>
        </w:rPr>
        <w:t xml:space="preserve"> </w:t>
      </w:r>
      <w:r w:rsidR="00EB1A1B">
        <w:rPr>
          <w:color w:val="000000"/>
          <w:kern w:val="2"/>
        </w:rPr>
        <w:t xml:space="preserve">With fewer births and </w:t>
      </w:r>
      <w:r w:rsidR="0062297F">
        <w:rPr>
          <w:color w:val="000000"/>
          <w:kern w:val="2"/>
        </w:rPr>
        <w:t>more of those born in the province leaving, t</w:t>
      </w:r>
      <w:r w:rsidRPr="004951FA">
        <w:rPr>
          <w:color w:val="000000"/>
          <w:kern w:val="2"/>
        </w:rPr>
        <w:t>he ratio of seniors in New Brunswick was projected to grow by 43 per cent</w:t>
      </w:r>
      <w:r w:rsidR="0062297F">
        <w:rPr>
          <w:color w:val="000000"/>
          <w:kern w:val="2"/>
        </w:rPr>
        <w:t xml:space="preserve"> from 2010 to 2020</w:t>
      </w:r>
      <w:r w:rsidRPr="004951FA">
        <w:rPr>
          <w:color w:val="000000"/>
          <w:kern w:val="2"/>
        </w:rPr>
        <w:t>,</w:t>
      </w:r>
      <w:r w:rsidR="006F6578" w:rsidRPr="00D25C0C">
        <w:rPr>
          <w:rStyle w:val="FootnoteReference"/>
        </w:rPr>
        <w:footnoteReference w:id="21"/>
      </w:r>
      <w:r w:rsidRPr="004951FA">
        <w:rPr>
          <w:color w:val="000000"/>
          <w:kern w:val="2"/>
        </w:rPr>
        <w:t xml:space="preserve"> marking one of the most significant demographic shifts in the</w:t>
      </w:r>
      <w:r w:rsidR="007A0F9B">
        <w:rPr>
          <w:color w:val="000000"/>
          <w:kern w:val="2"/>
        </w:rPr>
        <w:t xml:space="preserve"> province’s</w:t>
      </w:r>
      <w:r w:rsidRPr="004951FA">
        <w:rPr>
          <w:color w:val="000000"/>
          <w:kern w:val="2"/>
        </w:rPr>
        <w:t xml:space="preserve"> history</w:t>
      </w:r>
      <w:r w:rsidR="0062297F">
        <w:rPr>
          <w:color w:val="000000"/>
          <w:kern w:val="2"/>
        </w:rPr>
        <w:t xml:space="preserve"> and the fastest rate of </w:t>
      </w:r>
      <w:r w:rsidRPr="004951FA">
        <w:rPr>
          <w:color w:val="000000"/>
          <w:kern w:val="2"/>
        </w:rPr>
        <w:t xml:space="preserve">aging </w:t>
      </w:r>
      <w:r w:rsidR="0062297F">
        <w:rPr>
          <w:color w:val="000000"/>
          <w:kern w:val="2"/>
        </w:rPr>
        <w:t>in</w:t>
      </w:r>
      <w:r w:rsidRPr="004951FA">
        <w:rPr>
          <w:color w:val="000000"/>
          <w:kern w:val="2"/>
        </w:rPr>
        <w:t xml:space="preserve"> Canada. </w:t>
      </w:r>
    </w:p>
    <w:p w14:paraId="01C178BF" w14:textId="77777777" w:rsidR="00F50251" w:rsidRPr="004951FA" w:rsidRDefault="00F50251" w:rsidP="00F50251">
      <w:pPr>
        <w:pStyle w:val="BodyTextMain"/>
        <w:rPr>
          <w:color w:val="242424"/>
          <w:kern w:val="2"/>
        </w:rPr>
      </w:pPr>
    </w:p>
    <w:p w14:paraId="1448D8D0" w14:textId="405017A8" w:rsidR="00F50251" w:rsidRPr="004951FA" w:rsidRDefault="007418BF" w:rsidP="00824259">
      <w:pPr>
        <w:pStyle w:val="BodyTextMain"/>
        <w:rPr>
          <w:rFonts w:eastAsia="Calibri"/>
        </w:rPr>
      </w:pPr>
      <w:r w:rsidRPr="00824259">
        <w:rPr>
          <w:rFonts w:eastAsia="Calibri"/>
        </w:rPr>
        <w:t>In 2014, the</w:t>
      </w:r>
      <w:r w:rsidR="00F50251" w:rsidRPr="00F47525">
        <w:rPr>
          <w:rFonts w:eastAsia="Calibri"/>
        </w:rPr>
        <w:t xml:space="preserve"> New Brunswick government had announced a three-year </w:t>
      </w:r>
      <w:r w:rsidR="0062297F" w:rsidRPr="00F47525">
        <w:rPr>
          <w:rFonts w:eastAsia="Calibri"/>
        </w:rPr>
        <w:t>“</w:t>
      </w:r>
      <w:r w:rsidR="00F50251" w:rsidRPr="00F47525">
        <w:rPr>
          <w:rFonts w:eastAsia="Calibri"/>
        </w:rPr>
        <w:t>Home First</w:t>
      </w:r>
      <w:r w:rsidR="0062297F" w:rsidRPr="00F47525">
        <w:rPr>
          <w:rFonts w:eastAsia="Calibri"/>
        </w:rPr>
        <w:t>”</w:t>
      </w:r>
      <w:r w:rsidR="00F50251" w:rsidRPr="00F47525">
        <w:rPr>
          <w:rFonts w:eastAsia="Calibri"/>
        </w:rPr>
        <w:t xml:space="preserve"> strategy aimed at helping seniors in the province remain in their homes and communities for as long as possible. The strategy tried to keep hospital admissions, lengthy hospital stays, and </w:t>
      </w:r>
      <w:r w:rsidRPr="00F47525">
        <w:rPr>
          <w:rFonts w:eastAsia="Calibri"/>
        </w:rPr>
        <w:t xml:space="preserve">direct </w:t>
      </w:r>
      <w:r w:rsidR="00F50251" w:rsidRPr="00F47525">
        <w:rPr>
          <w:rFonts w:eastAsia="Calibri"/>
        </w:rPr>
        <w:t xml:space="preserve">transfers from </w:t>
      </w:r>
      <w:r w:rsidR="00FD26BE" w:rsidRPr="00F47525">
        <w:rPr>
          <w:rFonts w:eastAsia="Calibri"/>
        </w:rPr>
        <w:t xml:space="preserve">hospitals </w:t>
      </w:r>
      <w:r w:rsidR="00F50251" w:rsidRPr="00F47525">
        <w:rPr>
          <w:rFonts w:eastAsia="Calibri"/>
        </w:rPr>
        <w:t xml:space="preserve">to long-term care facilities as </w:t>
      </w:r>
      <w:r w:rsidR="00FD26BE" w:rsidRPr="00F47525">
        <w:rPr>
          <w:rFonts w:eastAsia="Calibri"/>
        </w:rPr>
        <w:t>last resorts</w:t>
      </w:r>
      <w:r w:rsidR="00F50251" w:rsidRPr="00F47525">
        <w:rPr>
          <w:rFonts w:eastAsia="Calibri"/>
        </w:rPr>
        <w:t>.</w:t>
      </w:r>
      <w:r w:rsidR="0062297F">
        <w:rPr>
          <w:rStyle w:val="FootnoteReference"/>
          <w:rFonts w:eastAsia="Calibri"/>
          <w:kern w:val="2"/>
        </w:rPr>
        <w:footnoteReference w:id="22"/>
      </w:r>
    </w:p>
    <w:p w14:paraId="49B25F6E" w14:textId="28364C62" w:rsidR="00F50251" w:rsidRPr="004951FA" w:rsidRDefault="00F50251">
      <w:pPr>
        <w:pStyle w:val="BodyTextMain"/>
        <w:rPr>
          <w:rFonts w:eastAsia="Calibri"/>
        </w:rPr>
      </w:pPr>
    </w:p>
    <w:p w14:paraId="461D23CB" w14:textId="77777777" w:rsidR="00F50251" w:rsidRPr="004951FA" w:rsidRDefault="00F50251">
      <w:pPr>
        <w:pStyle w:val="BodyTextMain"/>
        <w:rPr>
          <w:rFonts w:eastAsia="Calibri"/>
        </w:rPr>
      </w:pPr>
    </w:p>
    <w:p w14:paraId="5B03DDD2" w14:textId="6D32428E" w:rsidR="00F50251" w:rsidRPr="004951FA" w:rsidRDefault="00F50251" w:rsidP="00F50251">
      <w:pPr>
        <w:pStyle w:val="Casehead1"/>
      </w:pPr>
      <w:r w:rsidRPr="004951FA">
        <w:t>KINDRED HOME CARE</w:t>
      </w:r>
      <w:r w:rsidR="00FD26BE">
        <w:t>—</w:t>
      </w:r>
      <w:r w:rsidRPr="004951FA">
        <w:t xml:space="preserve">COMPANY OVERVIEW </w:t>
      </w:r>
    </w:p>
    <w:p w14:paraId="22E297F1" w14:textId="77777777" w:rsidR="00F50251" w:rsidRPr="004951FA" w:rsidRDefault="00F50251" w:rsidP="00F50251">
      <w:pPr>
        <w:pStyle w:val="BodyTextMain"/>
      </w:pPr>
    </w:p>
    <w:p w14:paraId="3E61997B" w14:textId="027FB72D" w:rsidR="00F50251" w:rsidRPr="000A27E5" w:rsidRDefault="00F50251" w:rsidP="00824259">
      <w:pPr>
        <w:pStyle w:val="BodyTextMain"/>
        <w:rPr>
          <w:spacing w:val="-2"/>
          <w:kern w:val="22"/>
        </w:rPr>
      </w:pPr>
      <w:proofErr w:type="gramStart"/>
      <w:r w:rsidRPr="000A27E5">
        <w:rPr>
          <w:spacing w:val="-2"/>
          <w:kern w:val="22"/>
        </w:rPr>
        <w:t xml:space="preserve">The company was founded </w:t>
      </w:r>
      <w:r w:rsidR="00F47525" w:rsidRPr="000A27E5">
        <w:rPr>
          <w:spacing w:val="-2"/>
          <w:kern w:val="22"/>
        </w:rPr>
        <w:t xml:space="preserve">in 1986 </w:t>
      </w:r>
      <w:r w:rsidR="00112CF9" w:rsidRPr="000A27E5">
        <w:rPr>
          <w:spacing w:val="-2"/>
          <w:kern w:val="22"/>
        </w:rPr>
        <w:t xml:space="preserve">in St. </w:t>
      </w:r>
      <w:r w:rsidRPr="000A27E5">
        <w:rPr>
          <w:spacing w:val="-2"/>
          <w:kern w:val="22"/>
        </w:rPr>
        <w:t xml:space="preserve">Stephen by </w:t>
      </w:r>
      <w:r w:rsidR="00112CF9" w:rsidRPr="000A27E5">
        <w:rPr>
          <w:spacing w:val="-2"/>
          <w:kern w:val="22"/>
        </w:rPr>
        <w:t>long-time</w:t>
      </w:r>
      <w:r w:rsidRPr="000A27E5">
        <w:rPr>
          <w:spacing w:val="-2"/>
          <w:kern w:val="22"/>
        </w:rPr>
        <w:t xml:space="preserve"> resident Paul English to provide family support services and teach life skills to local parents</w:t>
      </w:r>
      <w:proofErr w:type="gramEnd"/>
      <w:r w:rsidRPr="000A27E5">
        <w:rPr>
          <w:spacing w:val="-2"/>
          <w:kern w:val="22"/>
        </w:rPr>
        <w:t xml:space="preserve">. </w:t>
      </w:r>
      <w:r w:rsidR="00112CF9" w:rsidRPr="000A27E5">
        <w:rPr>
          <w:spacing w:val="-2"/>
          <w:kern w:val="22"/>
        </w:rPr>
        <w:t xml:space="preserve">St. </w:t>
      </w:r>
      <w:r w:rsidRPr="000A27E5">
        <w:rPr>
          <w:spacing w:val="-2"/>
          <w:kern w:val="22"/>
        </w:rPr>
        <w:t>Stephen was a rural town in Charlotte County</w:t>
      </w:r>
      <w:r w:rsidR="00112CF9" w:rsidRPr="000A27E5">
        <w:rPr>
          <w:spacing w:val="-2"/>
          <w:kern w:val="22"/>
        </w:rPr>
        <w:t>,</w:t>
      </w:r>
      <w:r w:rsidRPr="000A27E5">
        <w:rPr>
          <w:spacing w:val="-2"/>
          <w:kern w:val="22"/>
        </w:rPr>
        <w:t xml:space="preserve"> New Brunswick, situated on the east bank of the St. Croix River</w:t>
      </w:r>
      <w:r w:rsidR="00B3244A" w:rsidRPr="000A27E5">
        <w:rPr>
          <w:spacing w:val="-2"/>
          <w:kern w:val="22"/>
        </w:rPr>
        <w:t>, which</w:t>
      </w:r>
      <w:r w:rsidR="00112CF9" w:rsidRPr="000A27E5">
        <w:rPr>
          <w:spacing w:val="-2"/>
          <w:kern w:val="22"/>
        </w:rPr>
        <w:t xml:space="preserve"> ran </w:t>
      </w:r>
      <w:r w:rsidRPr="000A27E5">
        <w:rPr>
          <w:spacing w:val="-2"/>
          <w:kern w:val="22"/>
        </w:rPr>
        <w:t>across a section of the border with the United States. The company’s offerings soon expanded into home care for seniors</w:t>
      </w:r>
      <w:r w:rsidR="00112CF9" w:rsidRPr="000A27E5">
        <w:rPr>
          <w:spacing w:val="-2"/>
          <w:kern w:val="22"/>
        </w:rPr>
        <w:t>—</w:t>
      </w:r>
      <w:r w:rsidRPr="000A27E5">
        <w:rPr>
          <w:spacing w:val="-2"/>
          <w:kern w:val="22"/>
        </w:rPr>
        <w:t xml:space="preserve">not only because there was a growing need for it </w:t>
      </w:r>
      <w:r w:rsidR="00112CF9" w:rsidRPr="000A27E5">
        <w:rPr>
          <w:spacing w:val="-2"/>
          <w:kern w:val="22"/>
        </w:rPr>
        <w:t>in St. Stephen</w:t>
      </w:r>
      <w:r w:rsidRPr="000A27E5">
        <w:rPr>
          <w:spacing w:val="-2"/>
          <w:kern w:val="22"/>
        </w:rPr>
        <w:t xml:space="preserve"> but</w:t>
      </w:r>
      <w:r w:rsidR="00112CF9" w:rsidRPr="000A27E5">
        <w:rPr>
          <w:spacing w:val="-2"/>
          <w:kern w:val="22"/>
        </w:rPr>
        <w:t xml:space="preserve"> also because</w:t>
      </w:r>
      <w:r w:rsidRPr="000A27E5">
        <w:rPr>
          <w:spacing w:val="-2"/>
          <w:kern w:val="22"/>
        </w:rPr>
        <w:t xml:space="preserve"> the provincial government </w:t>
      </w:r>
      <w:r w:rsidR="00112CF9" w:rsidRPr="000A27E5">
        <w:rPr>
          <w:spacing w:val="-2"/>
          <w:kern w:val="22"/>
        </w:rPr>
        <w:t xml:space="preserve">had </w:t>
      </w:r>
      <w:r w:rsidRPr="000A27E5">
        <w:rPr>
          <w:spacing w:val="-2"/>
          <w:kern w:val="22"/>
        </w:rPr>
        <w:t xml:space="preserve">asked the company to step in and supplement its own ongoing efforts regarding senior care. </w:t>
      </w:r>
      <w:r w:rsidR="00F47525" w:rsidRPr="000A27E5">
        <w:rPr>
          <w:spacing w:val="-2"/>
          <w:kern w:val="22"/>
        </w:rPr>
        <w:t xml:space="preserve">Over </w:t>
      </w:r>
      <w:r w:rsidRPr="000A27E5">
        <w:rPr>
          <w:spacing w:val="-2"/>
          <w:kern w:val="22"/>
        </w:rPr>
        <w:t xml:space="preserve">the next two and half decades, Paul English expanded the business to employ 225 </w:t>
      </w:r>
      <w:proofErr w:type="gramStart"/>
      <w:r w:rsidRPr="000A27E5">
        <w:rPr>
          <w:spacing w:val="-2"/>
          <w:kern w:val="22"/>
        </w:rPr>
        <w:t>care givers</w:t>
      </w:r>
      <w:proofErr w:type="gramEnd"/>
      <w:r w:rsidRPr="000A27E5">
        <w:rPr>
          <w:spacing w:val="-2"/>
          <w:kern w:val="22"/>
        </w:rPr>
        <w:t xml:space="preserve"> serving communities in different rural locations of the province. The company </w:t>
      </w:r>
      <w:proofErr w:type="gramStart"/>
      <w:r w:rsidRPr="000A27E5">
        <w:rPr>
          <w:spacing w:val="-2"/>
          <w:kern w:val="22"/>
        </w:rPr>
        <w:t>was known</w:t>
      </w:r>
      <w:proofErr w:type="gramEnd"/>
      <w:r w:rsidRPr="000A27E5">
        <w:rPr>
          <w:spacing w:val="-2"/>
          <w:kern w:val="22"/>
        </w:rPr>
        <w:t xml:space="preserve"> for its friendly, local approach to home care. </w:t>
      </w:r>
    </w:p>
    <w:p w14:paraId="4149D581" w14:textId="77777777" w:rsidR="00F50251" w:rsidRPr="004951FA" w:rsidRDefault="00F50251">
      <w:pPr>
        <w:pStyle w:val="BodyTextMain"/>
      </w:pPr>
    </w:p>
    <w:p w14:paraId="48909D30" w14:textId="292FF250" w:rsidR="00F50251" w:rsidRPr="004951FA" w:rsidRDefault="00F50251">
      <w:pPr>
        <w:pStyle w:val="BodyTextMain"/>
      </w:pPr>
      <w:r w:rsidRPr="004951FA">
        <w:t>Seeking retirement in 2013, Paul English and his wife sold the business to their son Billy English</w:t>
      </w:r>
      <w:r w:rsidR="000E7398">
        <w:t>,</w:t>
      </w:r>
      <w:r w:rsidRPr="004951FA">
        <w:t xml:space="preserve"> who became the new CEO. English brought in Will Bernard as his business partner and </w:t>
      </w:r>
      <w:r w:rsidR="000E7398">
        <w:t>chief operating officer</w:t>
      </w:r>
      <w:r w:rsidRPr="004951FA">
        <w:t xml:space="preserve">. </w:t>
      </w:r>
    </w:p>
    <w:p w14:paraId="6EEB26C8" w14:textId="201D4B95" w:rsidR="00F50251" w:rsidRPr="004951FA" w:rsidRDefault="00F50251">
      <w:pPr>
        <w:pStyle w:val="BodyTextMain"/>
      </w:pPr>
    </w:p>
    <w:p w14:paraId="4E3BB985" w14:textId="78A2EC39" w:rsidR="00F50251" w:rsidRPr="004951FA" w:rsidRDefault="00F50251">
      <w:pPr>
        <w:pStyle w:val="BodyTextMain"/>
      </w:pPr>
      <w:r w:rsidRPr="004951FA">
        <w:t>The new owners were clear that Kindred would continue to focus on serving rural communities</w:t>
      </w:r>
      <w:r w:rsidR="000E7398">
        <w:t xml:space="preserve">—an approach that </w:t>
      </w:r>
      <w:r w:rsidRPr="004951FA">
        <w:t xml:space="preserve">they both believed </w:t>
      </w:r>
      <w:r w:rsidR="000E7398">
        <w:t>was part of the company’s foundation</w:t>
      </w:r>
      <w:r w:rsidRPr="004951FA">
        <w:t>. Rural orientation was a competitive advantage, as they saw it, on two grounds</w:t>
      </w:r>
      <w:r w:rsidR="00AB1965">
        <w:t>:</w:t>
      </w:r>
      <w:r w:rsidRPr="004951FA">
        <w:t xml:space="preserve"> Many of the company’s peers in the province </w:t>
      </w:r>
      <w:proofErr w:type="gramStart"/>
      <w:r w:rsidRPr="004951FA">
        <w:t>were focused</w:t>
      </w:r>
      <w:proofErr w:type="gramEnd"/>
      <w:r w:rsidRPr="004951FA">
        <w:t xml:space="preserve"> on cities</w:t>
      </w:r>
      <w:r w:rsidR="000E7398">
        <w:t>, thus</w:t>
      </w:r>
      <w:r w:rsidRPr="004951FA">
        <w:t xml:space="preserve"> leaving a white space </w:t>
      </w:r>
      <w:r w:rsidR="00EF0D89">
        <w:t>in</w:t>
      </w:r>
      <w:r w:rsidRPr="004951FA">
        <w:t xml:space="preserve"> the countryside. There was also lower employee turnover and less customer churn among rural communities</w:t>
      </w:r>
      <w:r w:rsidR="000E7398">
        <w:t>,</w:t>
      </w:r>
      <w:r w:rsidRPr="004951FA">
        <w:t xml:space="preserve"> making relationship building</w:t>
      </w:r>
      <w:r w:rsidR="000E7398">
        <w:t>—</w:t>
      </w:r>
      <w:r w:rsidRPr="004951FA">
        <w:t xml:space="preserve">a crucial component </w:t>
      </w:r>
      <w:r w:rsidR="000E7398">
        <w:t>of</w:t>
      </w:r>
      <w:r w:rsidR="000E7398" w:rsidRPr="004951FA">
        <w:t xml:space="preserve"> </w:t>
      </w:r>
      <w:r w:rsidRPr="004951FA">
        <w:t>business success</w:t>
      </w:r>
      <w:r w:rsidR="000E7398">
        <w:t>—</w:t>
      </w:r>
      <w:r w:rsidRPr="004951FA">
        <w:t>that much easier.</w:t>
      </w:r>
    </w:p>
    <w:p w14:paraId="64490EB0" w14:textId="77777777" w:rsidR="00F50251" w:rsidRPr="004951FA" w:rsidRDefault="00F50251">
      <w:pPr>
        <w:pStyle w:val="BodyTextMain"/>
      </w:pPr>
    </w:p>
    <w:p w14:paraId="61C55AF0" w14:textId="34D20D7F" w:rsidR="00F50251" w:rsidRPr="004951FA" w:rsidRDefault="00F47525">
      <w:pPr>
        <w:pStyle w:val="BodyTextMain"/>
      </w:pPr>
      <w:r>
        <w:lastRenderedPageBreak/>
        <w:t xml:space="preserve">English and Bernard </w:t>
      </w:r>
      <w:r w:rsidR="00F50251" w:rsidRPr="004951FA">
        <w:t xml:space="preserve">had grown up using technology as part of their </w:t>
      </w:r>
      <w:r w:rsidR="00EF0D89">
        <w:t>day-to-day</w:t>
      </w:r>
      <w:r w:rsidR="00F50251" w:rsidRPr="004951FA">
        <w:t xml:space="preserve"> living</w:t>
      </w:r>
      <w:r w:rsidR="00EF0D89">
        <w:t>, and</w:t>
      </w:r>
      <w:r w:rsidR="00F50251" w:rsidRPr="004951FA">
        <w:t xml:space="preserve"> </w:t>
      </w:r>
      <w:r w:rsidR="00EF0D89">
        <w:t>they</w:t>
      </w:r>
      <w:r w:rsidR="00F50251" w:rsidRPr="004951FA">
        <w:t xml:space="preserve"> </w:t>
      </w:r>
      <w:proofErr w:type="gramStart"/>
      <w:r w:rsidR="00F50251" w:rsidRPr="004951FA">
        <w:t>were struck</w:t>
      </w:r>
      <w:proofErr w:type="gramEnd"/>
      <w:r w:rsidR="00F50251" w:rsidRPr="004951FA">
        <w:t xml:space="preserve"> by how the </w:t>
      </w:r>
      <w:r w:rsidR="00EF0D89">
        <w:t xml:space="preserve">province’s </w:t>
      </w:r>
      <w:r w:rsidR="00F50251" w:rsidRPr="004951FA">
        <w:t>home care industry was conservative</w:t>
      </w:r>
      <w:r w:rsidR="00EF0D89">
        <w:t xml:space="preserve"> in this regard </w:t>
      </w:r>
      <w:r w:rsidR="00F50251" w:rsidRPr="004951FA">
        <w:t>and slow to adapt to technology. They were also struck by the manual nature of Kindred’s own working practices</w:t>
      </w:r>
      <w:r w:rsidR="00EF0D89">
        <w:t>:</w:t>
      </w:r>
      <w:r w:rsidR="00F50251" w:rsidRPr="004951FA">
        <w:t xml:space="preserve"> </w:t>
      </w:r>
      <w:r w:rsidR="003E1CD0">
        <w:t>e</w:t>
      </w:r>
      <w:r w:rsidR="00F50251" w:rsidRPr="004951FA">
        <w:t>mployee schedules were recorded in spreadsheets and stored in different locations</w:t>
      </w:r>
      <w:r w:rsidR="00EF0D89">
        <w:t>,</w:t>
      </w:r>
      <w:r w:rsidR="00F50251" w:rsidRPr="004951FA">
        <w:t xml:space="preserve"> without coordination</w:t>
      </w:r>
      <w:r w:rsidR="00594BD8">
        <w:t>;</w:t>
      </w:r>
      <w:r w:rsidR="00F50251" w:rsidRPr="004951FA">
        <w:t xml:space="preserve"> </w:t>
      </w:r>
      <w:r w:rsidR="00594BD8">
        <w:t>systems</w:t>
      </w:r>
      <w:r w:rsidR="00F50251" w:rsidRPr="004951FA">
        <w:t xml:space="preserve"> were not tight-knit</w:t>
      </w:r>
      <w:r w:rsidR="00594BD8">
        <w:t>; and it</w:t>
      </w:r>
      <w:r w:rsidR="00EF0D89">
        <w:t xml:space="preserve"> was difficult to centrally access customer </w:t>
      </w:r>
      <w:r w:rsidR="00F50251" w:rsidRPr="004951FA">
        <w:t xml:space="preserve">data, </w:t>
      </w:r>
      <w:r w:rsidR="00EF0D89">
        <w:t>affecting</w:t>
      </w:r>
      <w:r w:rsidR="00F50251" w:rsidRPr="004951FA">
        <w:t xml:space="preserve"> not only timely billing but also quality of customer service. The duo decided to leverage innovations in mobile technologies to modernize and expand the business. </w:t>
      </w:r>
    </w:p>
    <w:p w14:paraId="6B3EA3B1" w14:textId="77777777" w:rsidR="00F50251" w:rsidRPr="004951FA" w:rsidRDefault="00F50251">
      <w:pPr>
        <w:pStyle w:val="BodyTextMain"/>
      </w:pPr>
    </w:p>
    <w:p w14:paraId="5D1ABCD4" w14:textId="22A69537" w:rsidR="00F50251" w:rsidRPr="004951FA" w:rsidRDefault="00F50251">
      <w:pPr>
        <w:pStyle w:val="BodyTextMain"/>
      </w:pPr>
      <w:r w:rsidRPr="004951FA">
        <w:t xml:space="preserve">English introduced a software platform from </w:t>
      </w:r>
      <w:r w:rsidR="00EF0D89">
        <w:t>Salesforce.com Inc. (Salesforce)</w:t>
      </w:r>
      <w:r w:rsidRPr="004951FA">
        <w:t xml:space="preserve">, an information technology vendor </w:t>
      </w:r>
      <w:r w:rsidR="004635D2">
        <w:t>that</w:t>
      </w:r>
      <w:r w:rsidR="004635D2" w:rsidRPr="004951FA">
        <w:t xml:space="preserve"> </w:t>
      </w:r>
      <w:r w:rsidRPr="004951FA">
        <w:t xml:space="preserve">specialized in developing customized customer relationship marketing packages for small and </w:t>
      </w:r>
      <w:r w:rsidR="00594BD8">
        <w:t>medium-sized</w:t>
      </w:r>
      <w:r w:rsidR="00594BD8" w:rsidRPr="004951FA">
        <w:t xml:space="preserve"> </w:t>
      </w:r>
      <w:r w:rsidRPr="004951FA">
        <w:t xml:space="preserve">companies. </w:t>
      </w:r>
      <w:r w:rsidR="0026442A">
        <w:t>Salesforce’s</w:t>
      </w:r>
      <w:r w:rsidR="0026442A" w:rsidRPr="004951FA">
        <w:t xml:space="preserve"> </w:t>
      </w:r>
      <w:r w:rsidRPr="004951FA">
        <w:t xml:space="preserve">cloud platform, known as Chatter, enabled Kindred employees, who </w:t>
      </w:r>
      <w:r w:rsidR="0026442A">
        <w:t xml:space="preserve">both </w:t>
      </w:r>
      <w:r w:rsidRPr="004951FA">
        <w:t>work</w:t>
      </w:r>
      <w:r w:rsidR="003E1CD0">
        <w:t>ed</w:t>
      </w:r>
      <w:r w:rsidRPr="004951FA">
        <w:t xml:space="preserve"> from their homes and </w:t>
      </w:r>
      <w:r w:rsidR="003E1CD0">
        <w:t xml:space="preserve">were </w:t>
      </w:r>
      <w:r w:rsidRPr="004951FA">
        <w:t xml:space="preserve">perpetually on the move, to collaborate closely on </w:t>
      </w:r>
      <w:r w:rsidR="0026442A">
        <w:t>day-to-day</w:t>
      </w:r>
      <w:r w:rsidRPr="004951FA">
        <w:t xml:space="preserve"> operations and update files in real</w:t>
      </w:r>
      <w:r w:rsidR="003E1CD0">
        <w:t xml:space="preserve"> </w:t>
      </w:r>
      <w:r w:rsidRPr="004951FA">
        <w:t>time</w:t>
      </w:r>
      <w:r w:rsidR="0026442A">
        <w:t xml:space="preserve">, </w:t>
      </w:r>
      <w:r w:rsidR="00594BD8">
        <w:t>thus replacing</w:t>
      </w:r>
      <w:r w:rsidR="0026442A" w:rsidRPr="004951FA">
        <w:t xml:space="preserve"> </w:t>
      </w:r>
      <w:r w:rsidRPr="004951FA">
        <w:t xml:space="preserve">email messaging. If a caregiver did not show up at a customer’s home within minutes of </w:t>
      </w:r>
      <w:r w:rsidR="0026442A">
        <w:t xml:space="preserve">the </w:t>
      </w:r>
      <w:r w:rsidRPr="004951FA">
        <w:t>designated time, the system would alert the team</w:t>
      </w:r>
      <w:r w:rsidR="0026442A">
        <w:t>,</w:t>
      </w:r>
      <w:r w:rsidRPr="004951FA">
        <w:t xml:space="preserve"> and a replacement </w:t>
      </w:r>
      <w:proofErr w:type="gramStart"/>
      <w:r w:rsidR="0026442A">
        <w:t xml:space="preserve">would be </w:t>
      </w:r>
      <w:r w:rsidRPr="004951FA">
        <w:t>found and dispatched immediately</w:t>
      </w:r>
      <w:proofErr w:type="gramEnd"/>
      <w:r w:rsidRPr="004951FA">
        <w:t xml:space="preserve">. By incorporating digital tools </w:t>
      </w:r>
      <w:r w:rsidR="007E4315">
        <w:t>into a non-technology-savvy</w:t>
      </w:r>
      <w:r w:rsidRPr="004951FA">
        <w:t xml:space="preserve"> industry that relied on legacy systems, Kindred was </w:t>
      </w:r>
      <w:r w:rsidR="007E4315">
        <w:t xml:space="preserve">able to </w:t>
      </w:r>
      <w:r w:rsidRPr="004951FA">
        <w:t xml:space="preserve">not only maintain exceptional patient care but </w:t>
      </w:r>
      <w:r w:rsidR="007E4315">
        <w:t xml:space="preserve">also </w:t>
      </w:r>
      <w:r w:rsidRPr="004951FA">
        <w:t>pursue new possibilities for business growth. Employee productivity went up</w:t>
      </w:r>
      <w:r w:rsidR="003E1CD0">
        <w:t>:</w:t>
      </w:r>
      <w:r w:rsidRPr="004951FA">
        <w:t xml:space="preserve"> within the first six months, response times to customer inquiries improved by 300 per cent. </w:t>
      </w:r>
    </w:p>
    <w:p w14:paraId="65CAF0D9" w14:textId="77777777" w:rsidR="00F50251" w:rsidRPr="004951FA" w:rsidRDefault="00F50251">
      <w:pPr>
        <w:pStyle w:val="BodyTextMain"/>
      </w:pPr>
    </w:p>
    <w:p w14:paraId="35869AE3" w14:textId="6E1CC684" w:rsidR="00F50251" w:rsidRPr="004951FA" w:rsidRDefault="00F50251">
      <w:pPr>
        <w:pStyle w:val="BodyTextMain"/>
      </w:pPr>
      <w:r w:rsidRPr="004951FA">
        <w:t xml:space="preserve">English introduced two other changes. He </w:t>
      </w:r>
      <w:r w:rsidR="009D2845">
        <w:t>changed</w:t>
      </w:r>
      <w:r w:rsidR="009D2845" w:rsidRPr="004951FA">
        <w:t xml:space="preserve"> </w:t>
      </w:r>
      <w:r w:rsidR="009D2845">
        <w:t xml:space="preserve">the customer </w:t>
      </w:r>
      <w:r w:rsidRPr="004951FA">
        <w:t xml:space="preserve">billing cycle from monthly to weekly and </w:t>
      </w:r>
      <w:r w:rsidR="009D2845">
        <w:t xml:space="preserve">the </w:t>
      </w:r>
      <w:r w:rsidRPr="004951FA">
        <w:t xml:space="preserve">employee pay cycle from weekly to </w:t>
      </w:r>
      <w:r w:rsidR="006F2509">
        <w:t>biweekly</w:t>
      </w:r>
      <w:r w:rsidRPr="004951FA">
        <w:t xml:space="preserve">. </w:t>
      </w:r>
      <w:r w:rsidR="00604CA1">
        <w:t>These</w:t>
      </w:r>
      <w:r w:rsidRPr="004951FA">
        <w:t xml:space="preserve"> changes brought down outstanding receivables and improved </w:t>
      </w:r>
      <w:r w:rsidR="006F2509">
        <w:t>cash flow</w:t>
      </w:r>
      <w:r w:rsidRPr="004951FA">
        <w:t>.</w:t>
      </w:r>
    </w:p>
    <w:p w14:paraId="07F0B914" w14:textId="77777777" w:rsidR="00F50251" w:rsidRPr="004951FA" w:rsidRDefault="00F50251">
      <w:pPr>
        <w:pStyle w:val="BodyTextMain"/>
      </w:pPr>
    </w:p>
    <w:p w14:paraId="38F8FA19" w14:textId="68151C61" w:rsidR="00F50251" w:rsidRPr="004951FA" w:rsidRDefault="00F50251">
      <w:pPr>
        <w:pStyle w:val="BodyTextMain"/>
      </w:pPr>
      <w:r w:rsidRPr="004951FA">
        <w:t xml:space="preserve">The company was soon </w:t>
      </w:r>
      <w:r w:rsidR="00604CA1">
        <w:t>data</w:t>
      </w:r>
      <w:r w:rsidR="00446090">
        <w:t xml:space="preserve"> </w:t>
      </w:r>
      <w:r w:rsidR="00604CA1">
        <w:t>driven</w:t>
      </w:r>
      <w:r w:rsidRPr="004951FA">
        <w:t xml:space="preserve">. It was beginning to collect </w:t>
      </w:r>
      <w:r w:rsidR="00446090">
        <w:t>statistics on</w:t>
      </w:r>
      <w:r w:rsidRPr="004951FA">
        <w:t xml:space="preserve"> business issues like what caused a long-standing customer to go to the hospital, how long the </w:t>
      </w:r>
      <w:r w:rsidR="00FC4195">
        <w:t xml:space="preserve">individual </w:t>
      </w:r>
      <w:r w:rsidR="00446090">
        <w:t>stayed</w:t>
      </w:r>
      <w:r w:rsidR="00446090" w:rsidRPr="004951FA">
        <w:t xml:space="preserve"> </w:t>
      </w:r>
      <w:r w:rsidRPr="004951FA">
        <w:t>in the hospital</w:t>
      </w:r>
      <w:r w:rsidR="00446090">
        <w:t>,</w:t>
      </w:r>
      <w:r w:rsidRPr="004951FA">
        <w:t xml:space="preserve"> and whether </w:t>
      </w:r>
      <w:r w:rsidR="00446090">
        <w:t xml:space="preserve">the </w:t>
      </w:r>
      <w:r w:rsidR="00FC4195">
        <w:t>patient was</w:t>
      </w:r>
      <w:r w:rsidR="00446090" w:rsidRPr="004951FA">
        <w:t xml:space="preserve"> </w:t>
      </w:r>
      <w:r w:rsidRPr="004951FA">
        <w:t xml:space="preserve">enrolled at </w:t>
      </w:r>
      <w:r w:rsidR="00446090">
        <w:t>a long-term</w:t>
      </w:r>
      <w:r w:rsidRPr="004951FA">
        <w:t xml:space="preserve"> care facility or returned home.</w:t>
      </w:r>
      <w:r w:rsidR="004951FA">
        <w:t xml:space="preserve"> </w:t>
      </w:r>
      <w:r w:rsidR="00446090">
        <w:t>Kindred</w:t>
      </w:r>
      <w:r w:rsidRPr="004951FA">
        <w:t xml:space="preserve"> was cross-referencing the information with other data points in the system in </w:t>
      </w:r>
      <w:r w:rsidR="00446090">
        <w:t>an effort</w:t>
      </w:r>
      <w:r w:rsidRPr="004951FA">
        <w:t xml:space="preserve"> to fine-tune its growth strategy.</w:t>
      </w:r>
    </w:p>
    <w:p w14:paraId="429F7603" w14:textId="77777777" w:rsidR="00F50251" w:rsidRPr="004951FA" w:rsidRDefault="00F50251">
      <w:pPr>
        <w:pStyle w:val="BodyTextMain"/>
      </w:pPr>
    </w:p>
    <w:p w14:paraId="7A7F1E43" w14:textId="06EAA829" w:rsidR="00F50251" w:rsidRPr="004951FA" w:rsidRDefault="00F50251">
      <w:pPr>
        <w:pStyle w:val="BodyTextMain"/>
      </w:pPr>
      <w:r w:rsidRPr="004951FA">
        <w:t xml:space="preserve">Kindred did not have </w:t>
      </w:r>
      <w:r w:rsidR="00446090">
        <w:t>brick-and-mortar</w:t>
      </w:r>
      <w:r w:rsidRPr="004951FA">
        <w:t xml:space="preserve"> locations in the communities it served</w:t>
      </w:r>
      <w:r w:rsidR="00446090">
        <w:t>,</w:t>
      </w:r>
      <w:r w:rsidRPr="004951FA">
        <w:t xml:space="preserve"> except for </w:t>
      </w:r>
      <w:r w:rsidR="007A5079">
        <w:t>its</w:t>
      </w:r>
      <w:r w:rsidR="007A5079" w:rsidRPr="004951FA">
        <w:t xml:space="preserve"> </w:t>
      </w:r>
      <w:r w:rsidRPr="004951FA">
        <w:t xml:space="preserve">head office </w:t>
      </w:r>
      <w:r w:rsidR="007A5079">
        <w:t xml:space="preserve">in </w:t>
      </w:r>
      <w:r w:rsidRPr="004951FA">
        <w:t xml:space="preserve">St. Stephen. It had regional managers </w:t>
      </w:r>
      <w:r w:rsidR="00446090">
        <w:t>who worked</w:t>
      </w:r>
      <w:r w:rsidR="00446090" w:rsidRPr="004951FA">
        <w:t xml:space="preserve"> </w:t>
      </w:r>
      <w:r w:rsidRPr="004951FA">
        <w:t xml:space="preserve">from their homes and </w:t>
      </w:r>
      <w:r w:rsidR="00446090">
        <w:t>coordinated</w:t>
      </w:r>
      <w:r w:rsidR="00446090" w:rsidRPr="004951FA">
        <w:t xml:space="preserve"> </w:t>
      </w:r>
      <w:r w:rsidRPr="004951FA">
        <w:t>the activities of caregivers in the field.</w:t>
      </w:r>
      <w:r w:rsidR="004951FA">
        <w:t xml:space="preserve"> </w:t>
      </w:r>
    </w:p>
    <w:p w14:paraId="79B8F3FC" w14:textId="77777777" w:rsidR="00F50251" w:rsidRPr="004951FA" w:rsidRDefault="00F50251">
      <w:pPr>
        <w:pStyle w:val="BodyTextMain"/>
      </w:pPr>
    </w:p>
    <w:p w14:paraId="4775104B" w14:textId="3347D643" w:rsidR="00F50251" w:rsidRPr="004951FA" w:rsidRDefault="00446090">
      <w:pPr>
        <w:pStyle w:val="BodyTextMain"/>
      </w:pPr>
      <w:r>
        <w:t>Of the</w:t>
      </w:r>
      <w:r w:rsidRPr="004951FA">
        <w:t xml:space="preserve"> </w:t>
      </w:r>
      <w:r>
        <w:t>company’s</w:t>
      </w:r>
      <w:r w:rsidR="00F50251" w:rsidRPr="004951FA">
        <w:t xml:space="preserve"> 400 clients</w:t>
      </w:r>
      <w:r>
        <w:t xml:space="preserve">, </w:t>
      </w:r>
      <w:proofErr w:type="gramStart"/>
      <w:r>
        <w:t>more</w:t>
      </w:r>
      <w:r w:rsidR="00F50251" w:rsidRPr="004951FA">
        <w:t xml:space="preserve"> than 90 per cent </w:t>
      </w:r>
      <w:r>
        <w:t>had been</w:t>
      </w:r>
      <w:r w:rsidR="00F50251" w:rsidRPr="004951FA">
        <w:t xml:space="preserve"> referred to Kindred by the New Brunswick Department of Social Development</w:t>
      </w:r>
      <w:proofErr w:type="gramEnd"/>
      <w:r w:rsidR="005F597D">
        <w:t>. The department would send a social work</w:t>
      </w:r>
      <w:r w:rsidR="00886941">
        <w:t>er</w:t>
      </w:r>
      <w:r w:rsidR="005F597D">
        <w:t xml:space="preserve"> to </w:t>
      </w:r>
      <w:r w:rsidR="00F50251" w:rsidRPr="004951FA">
        <w:t xml:space="preserve">assess </w:t>
      </w:r>
      <w:r w:rsidR="003E1CD0">
        <w:t xml:space="preserve">the client </w:t>
      </w:r>
      <w:r w:rsidR="00F50251" w:rsidRPr="004951FA">
        <w:t xml:space="preserve">and brief Kindred on </w:t>
      </w:r>
      <w:r w:rsidR="005F597D">
        <w:t>the department’s</w:t>
      </w:r>
      <w:r w:rsidR="005F597D" w:rsidRPr="004951FA">
        <w:t xml:space="preserve"> </w:t>
      </w:r>
      <w:r w:rsidR="00F50251" w:rsidRPr="004951FA">
        <w:t>expectations.</w:t>
      </w:r>
      <w:r w:rsidR="004951FA">
        <w:t xml:space="preserve"> </w:t>
      </w:r>
      <w:r w:rsidR="00F50251" w:rsidRPr="004951FA">
        <w:t xml:space="preserve">The </w:t>
      </w:r>
      <w:r>
        <w:t>department</w:t>
      </w:r>
      <w:r w:rsidRPr="004951FA">
        <w:t xml:space="preserve"> </w:t>
      </w:r>
      <w:r w:rsidR="00F50251" w:rsidRPr="004951FA">
        <w:t>determined</w:t>
      </w:r>
      <w:r>
        <w:t xml:space="preserve"> both</w:t>
      </w:r>
      <w:r w:rsidR="00F50251" w:rsidRPr="004951FA">
        <w:t xml:space="preserve"> the rate that Kindred could charge its clients </w:t>
      </w:r>
      <w:r>
        <w:t>and</w:t>
      </w:r>
      <w:r w:rsidR="00F50251" w:rsidRPr="004951FA">
        <w:t xml:space="preserve"> the minimum it could pay to its workers.</w:t>
      </w:r>
    </w:p>
    <w:p w14:paraId="70FEEFED" w14:textId="77777777" w:rsidR="00F50251" w:rsidRPr="004951FA" w:rsidRDefault="00F50251">
      <w:pPr>
        <w:pStyle w:val="BodyTextMain"/>
      </w:pPr>
    </w:p>
    <w:p w14:paraId="7F473966" w14:textId="03A56630" w:rsidR="00F50251" w:rsidRPr="004951FA" w:rsidRDefault="00F50251">
      <w:pPr>
        <w:pStyle w:val="BodyTextMain"/>
      </w:pPr>
      <w:r w:rsidRPr="004951FA">
        <w:t xml:space="preserve">Kindred was providing non-medical care. Unlike many of its peers, </w:t>
      </w:r>
      <w:r w:rsidR="005F597D">
        <w:t>Kindred</w:t>
      </w:r>
      <w:r w:rsidR="005F597D" w:rsidRPr="004951FA">
        <w:t xml:space="preserve"> </w:t>
      </w:r>
      <w:r w:rsidRPr="004951FA">
        <w:t>did not provide nursing care. Its services ranged from light housekeeping to assistance with cooking, grooming, bathing, and dressing. Buying groceries, doing errands</w:t>
      </w:r>
      <w:r w:rsidR="00E1080E">
        <w:t>,</w:t>
      </w:r>
      <w:r w:rsidRPr="004951FA">
        <w:t xml:space="preserve"> and medication reminders </w:t>
      </w:r>
      <w:proofErr w:type="gramStart"/>
      <w:r w:rsidRPr="004951FA">
        <w:t>were also</w:t>
      </w:r>
      <w:proofErr w:type="gramEnd"/>
      <w:r w:rsidRPr="004951FA">
        <w:t xml:space="preserve"> part of its offerings. Its caregivers would not administer medication but stepped in to do activities </w:t>
      </w:r>
      <w:r w:rsidR="00E1080E">
        <w:t xml:space="preserve">that did not require the skills and attention of </w:t>
      </w:r>
      <w:r w:rsidRPr="004951FA">
        <w:t xml:space="preserve">designated </w:t>
      </w:r>
      <w:r w:rsidR="00777B75">
        <w:t>nurses</w:t>
      </w:r>
      <w:r w:rsidR="00E1080E">
        <w:t>,</w:t>
      </w:r>
      <w:r w:rsidRPr="004951FA">
        <w:t xml:space="preserve"> </w:t>
      </w:r>
      <w:r w:rsidR="00E1080E">
        <w:t>such as</w:t>
      </w:r>
      <w:r w:rsidR="00E1080E" w:rsidRPr="004951FA">
        <w:t xml:space="preserve"> </w:t>
      </w:r>
      <w:r w:rsidRPr="004951FA">
        <w:t xml:space="preserve">cleaning a catheter. </w:t>
      </w:r>
      <w:r w:rsidR="00886941">
        <w:t>Designated</w:t>
      </w:r>
      <w:r w:rsidR="001F5FEE">
        <w:t xml:space="preserve"> nurses were</w:t>
      </w:r>
      <w:r w:rsidRPr="004951FA">
        <w:t xml:space="preserve"> part of </w:t>
      </w:r>
      <w:r w:rsidR="000975D8">
        <w:t>Extra-Mural</w:t>
      </w:r>
      <w:r w:rsidRPr="004951FA">
        <w:t>, a government-run program that employed nurses and occupational therapists in New Brunswick.</w:t>
      </w:r>
    </w:p>
    <w:p w14:paraId="6A720A3E" w14:textId="77777777" w:rsidR="00F50251" w:rsidRPr="004951FA" w:rsidRDefault="00F50251">
      <w:pPr>
        <w:pStyle w:val="BodyTextMain"/>
      </w:pPr>
    </w:p>
    <w:p w14:paraId="33FFE708" w14:textId="2E6DECEC" w:rsidR="00F50251" w:rsidRPr="004951FA" w:rsidRDefault="00F50251">
      <w:pPr>
        <w:pStyle w:val="BodyTextMain"/>
      </w:pPr>
      <w:r w:rsidRPr="004951FA">
        <w:t xml:space="preserve">In addition to seniors, Kindred </w:t>
      </w:r>
      <w:r w:rsidR="00886941">
        <w:t>provided</w:t>
      </w:r>
      <w:r w:rsidRPr="004951FA">
        <w:t xml:space="preserve"> home care services to veterans, adults with disabilities</w:t>
      </w:r>
      <w:r w:rsidR="00446090">
        <w:t>,</w:t>
      </w:r>
      <w:r w:rsidRPr="004951FA">
        <w:t xml:space="preserve"> and adults recovering from illness or injury. It also provided partners and families </w:t>
      </w:r>
      <w:r w:rsidR="00446090">
        <w:t>with</w:t>
      </w:r>
      <w:r w:rsidR="00446090" w:rsidRPr="00446090">
        <w:t xml:space="preserve"> </w:t>
      </w:r>
      <w:r w:rsidR="00446090" w:rsidRPr="004951FA">
        <w:t xml:space="preserve">an occasional break </w:t>
      </w:r>
      <w:r w:rsidR="00446090">
        <w:t>from</w:t>
      </w:r>
      <w:r w:rsidR="00446090" w:rsidRPr="004951FA">
        <w:t xml:space="preserve"> </w:t>
      </w:r>
      <w:r w:rsidRPr="004951FA">
        <w:t xml:space="preserve">constant care. </w:t>
      </w:r>
    </w:p>
    <w:p w14:paraId="7B4EF711" w14:textId="77777777" w:rsidR="00F50251" w:rsidRPr="004951FA" w:rsidRDefault="00F50251">
      <w:pPr>
        <w:pStyle w:val="BodyTextMain"/>
      </w:pPr>
    </w:p>
    <w:p w14:paraId="3BE748CD" w14:textId="50D9AF66" w:rsidR="005F597D" w:rsidRPr="000A27E5" w:rsidRDefault="00F50251" w:rsidP="00F47525">
      <w:pPr>
        <w:pStyle w:val="BodyTextMain"/>
        <w:rPr>
          <w:spacing w:val="-4"/>
          <w:kern w:val="22"/>
        </w:rPr>
      </w:pPr>
      <w:r w:rsidRPr="000A27E5">
        <w:rPr>
          <w:spacing w:val="-4"/>
          <w:kern w:val="22"/>
        </w:rPr>
        <w:lastRenderedPageBreak/>
        <w:t>By June 2017, Kindred had 490 caregivers on its payroll</w:t>
      </w:r>
      <w:r w:rsidR="00E340E8" w:rsidRPr="000A27E5">
        <w:rPr>
          <w:spacing w:val="-4"/>
          <w:kern w:val="22"/>
        </w:rPr>
        <w:t>,</w:t>
      </w:r>
      <w:r w:rsidRPr="000A27E5">
        <w:rPr>
          <w:spacing w:val="-4"/>
          <w:kern w:val="22"/>
        </w:rPr>
        <w:t xml:space="preserve"> 95 per cent of </w:t>
      </w:r>
      <w:r w:rsidR="005F597D" w:rsidRPr="000A27E5">
        <w:rPr>
          <w:spacing w:val="-4"/>
          <w:kern w:val="22"/>
        </w:rPr>
        <w:t xml:space="preserve">whom </w:t>
      </w:r>
      <w:r w:rsidRPr="000A27E5">
        <w:rPr>
          <w:spacing w:val="-4"/>
          <w:kern w:val="22"/>
        </w:rPr>
        <w:t xml:space="preserve">were female. Many of them were </w:t>
      </w:r>
      <w:r w:rsidR="00E340E8" w:rsidRPr="000A27E5">
        <w:rPr>
          <w:spacing w:val="-4"/>
          <w:kern w:val="22"/>
        </w:rPr>
        <w:t xml:space="preserve">mothers </w:t>
      </w:r>
      <w:r w:rsidRPr="000A27E5">
        <w:rPr>
          <w:spacing w:val="-4"/>
          <w:kern w:val="22"/>
        </w:rPr>
        <w:t xml:space="preserve">whose kids had left home and who wanted to supplement their pensions with hourly pay of $13.50 at Kindred. Some were </w:t>
      </w:r>
      <w:r w:rsidR="00F05357" w:rsidRPr="000A27E5">
        <w:rPr>
          <w:spacing w:val="-4"/>
          <w:kern w:val="22"/>
        </w:rPr>
        <w:t xml:space="preserve">personal support workers who were already </w:t>
      </w:r>
      <w:r w:rsidRPr="000A27E5">
        <w:rPr>
          <w:spacing w:val="-4"/>
          <w:kern w:val="22"/>
        </w:rPr>
        <w:t xml:space="preserve">serving </w:t>
      </w:r>
      <w:r w:rsidR="00F05357" w:rsidRPr="000A27E5">
        <w:rPr>
          <w:spacing w:val="-4"/>
          <w:kern w:val="22"/>
        </w:rPr>
        <w:t xml:space="preserve">on </w:t>
      </w:r>
      <w:r w:rsidRPr="000A27E5">
        <w:rPr>
          <w:spacing w:val="-4"/>
          <w:kern w:val="22"/>
        </w:rPr>
        <w:t xml:space="preserve">the </w:t>
      </w:r>
      <w:r w:rsidR="00F05357" w:rsidRPr="000A27E5">
        <w:rPr>
          <w:spacing w:val="-4"/>
          <w:kern w:val="22"/>
        </w:rPr>
        <w:t xml:space="preserve">front lines </w:t>
      </w:r>
      <w:r w:rsidRPr="000A27E5">
        <w:rPr>
          <w:spacing w:val="-4"/>
          <w:kern w:val="22"/>
        </w:rPr>
        <w:t xml:space="preserve">of provincial health care. </w:t>
      </w:r>
      <w:r w:rsidR="00C971F6" w:rsidRPr="000A27E5">
        <w:rPr>
          <w:spacing w:val="-4"/>
          <w:kern w:val="22"/>
        </w:rPr>
        <w:t>Kindred required</w:t>
      </w:r>
      <w:r w:rsidRPr="000A27E5">
        <w:rPr>
          <w:spacing w:val="-4"/>
          <w:kern w:val="22"/>
        </w:rPr>
        <w:t xml:space="preserve"> new hires </w:t>
      </w:r>
      <w:r w:rsidR="00C971F6" w:rsidRPr="000A27E5">
        <w:rPr>
          <w:spacing w:val="-4"/>
          <w:kern w:val="22"/>
        </w:rPr>
        <w:t>to live</w:t>
      </w:r>
      <w:r w:rsidR="0053632D" w:rsidRPr="000A27E5">
        <w:rPr>
          <w:spacing w:val="-4"/>
          <w:kern w:val="22"/>
        </w:rPr>
        <w:t xml:space="preserve"> locally,</w:t>
      </w:r>
      <w:r w:rsidRPr="000A27E5">
        <w:rPr>
          <w:spacing w:val="-4"/>
          <w:kern w:val="22"/>
        </w:rPr>
        <w:t xml:space="preserve"> only </w:t>
      </w:r>
      <w:r w:rsidR="0053632D" w:rsidRPr="000A27E5">
        <w:rPr>
          <w:spacing w:val="-4"/>
          <w:kern w:val="22"/>
        </w:rPr>
        <w:t xml:space="preserve">a </w:t>
      </w:r>
      <w:r w:rsidRPr="000A27E5">
        <w:rPr>
          <w:spacing w:val="-4"/>
          <w:kern w:val="22"/>
        </w:rPr>
        <w:t xml:space="preserve">short </w:t>
      </w:r>
      <w:r w:rsidR="0053632D" w:rsidRPr="000A27E5">
        <w:rPr>
          <w:spacing w:val="-4"/>
          <w:kern w:val="22"/>
        </w:rPr>
        <w:t>commute from</w:t>
      </w:r>
      <w:r w:rsidRPr="000A27E5">
        <w:rPr>
          <w:spacing w:val="-4"/>
          <w:kern w:val="22"/>
        </w:rPr>
        <w:t xml:space="preserve"> the clients in their area.</w:t>
      </w:r>
      <w:r w:rsidR="004951FA" w:rsidRPr="000A27E5">
        <w:rPr>
          <w:spacing w:val="-4"/>
          <w:kern w:val="22"/>
        </w:rPr>
        <w:t xml:space="preserve"> </w:t>
      </w:r>
    </w:p>
    <w:p w14:paraId="734F959C" w14:textId="77777777" w:rsidR="005F597D" w:rsidRDefault="005F597D" w:rsidP="00F47525">
      <w:pPr>
        <w:pStyle w:val="BodyTextMain"/>
      </w:pPr>
    </w:p>
    <w:p w14:paraId="1F694D3A" w14:textId="4A2AC8A0" w:rsidR="00F50251" w:rsidRPr="004951FA" w:rsidRDefault="0053632D" w:rsidP="00824259">
      <w:pPr>
        <w:pStyle w:val="BodyTextMain"/>
      </w:pPr>
      <w:r>
        <w:t>Although Kindred employees</w:t>
      </w:r>
      <w:r w:rsidRPr="004951FA">
        <w:t xml:space="preserve"> </w:t>
      </w:r>
      <w:r>
        <w:t>did</w:t>
      </w:r>
      <w:r w:rsidRPr="004951FA">
        <w:t xml:space="preserve"> </w:t>
      </w:r>
      <w:r w:rsidR="00F50251" w:rsidRPr="004951FA">
        <w:t>not</w:t>
      </w:r>
      <w:r>
        <w:t xml:space="preserve"> require</w:t>
      </w:r>
      <w:r w:rsidR="00F50251" w:rsidRPr="004951FA">
        <w:t xml:space="preserve"> medical</w:t>
      </w:r>
      <w:r>
        <w:t xml:space="preserve"> skills,</w:t>
      </w:r>
      <w:r w:rsidR="00F50251" w:rsidRPr="004951FA">
        <w:t xml:space="preserve"> </w:t>
      </w:r>
      <w:r>
        <w:t>they still required a</w:t>
      </w:r>
      <w:r w:rsidR="00F50251" w:rsidRPr="004951FA">
        <w:t xml:space="preserve"> level of training similar to </w:t>
      </w:r>
      <w:r>
        <w:t xml:space="preserve">those required by </w:t>
      </w:r>
      <w:r w:rsidR="00F50251" w:rsidRPr="004951FA">
        <w:t xml:space="preserve">employees at a special care home or nursing home. </w:t>
      </w:r>
      <w:r>
        <w:t>New</w:t>
      </w:r>
      <w:r w:rsidRPr="004951FA">
        <w:t xml:space="preserve"> </w:t>
      </w:r>
      <w:r w:rsidR="00F50251" w:rsidRPr="004951FA">
        <w:t xml:space="preserve">hires </w:t>
      </w:r>
      <w:proofErr w:type="gramStart"/>
      <w:r>
        <w:t>were</w:t>
      </w:r>
      <w:r w:rsidRPr="004951FA">
        <w:t xml:space="preserve"> </w:t>
      </w:r>
      <w:r w:rsidR="00F50251" w:rsidRPr="004951FA">
        <w:t>enrolled</w:t>
      </w:r>
      <w:proofErr w:type="gramEnd"/>
      <w:r w:rsidR="00F50251" w:rsidRPr="004951FA">
        <w:t xml:space="preserve"> at a mobile training school named </w:t>
      </w:r>
      <w:proofErr w:type="spellStart"/>
      <w:r w:rsidRPr="0053632D">
        <w:t>PeakForm</w:t>
      </w:r>
      <w:proofErr w:type="spellEnd"/>
      <w:r w:rsidRPr="0053632D">
        <w:t xml:space="preserve"> Health and Safety Academy</w:t>
      </w:r>
      <w:r w:rsidR="00757EC4">
        <w:t xml:space="preserve"> (</w:t>
      </w:r>
      <w:proofErr w:type="spellStart"/>
      <w:r w:rsidR="00757EC4">
        <w:t>PeakForm</w:t>
      </w:r>
      <w:proofErr w:type="spellEnd"/>
      <w:r w:rsidR="00757EC4">
        <w:t>)</w:t>
      </w:r>
      <w:r w:rsidR="00F50251" w:rsidRPr="004951FA">
        <w:t xml:space="preserve">, </w:t>
      </w:r>
      <w:r w:rsidR="00C1583A">
        <w:t xml:space="preserve">which </w:t>
      </w:r>
      <w:r w:rsidR="00F50251" w:rsidRPr="004951FA">
        <w:t>the company had set up to offer both online and offline training to anyone</w:t>
      </w:r>
      <w:r>
        <w:t>,</w:t>
      </w:r>
      <w:r w:rsidR="00F50251" w:rsidRPr="004951FA">
        <w:t xml:space="preserve"> anywhere in the province. The trainers were nurses who </w:t>
      </w:r>
      <w:proofErr w:type="gramStart"/>
      <w:r w:rsidR="00F50251" w:rsidRPr="004951FA">
        <w:t>were certified</w:t>
      </w:r>
      <w:proofErr w:type="gramEnd"/>
      <w:r w:rsidR="00F50251" w:rsidRPr="004951FA">
        <w:t xml:space="preserve"> to offer the </w:t>
      </w:r>
      <w:r w:rsidR="00757EC4">
        <w:t>personal care aide</w:t>
      </w:r>
      <w:r w:rsidR="00F50251" w:rsidRPr="004951FA">
        <w:t xml:space="preserve"> (PCA) training course. </w:t>
      </w:r>
      <w:proofErr w:type="spellStart"/>
      <w:r w:rsidR="00757EC4">
        <w:t>PeakForm</w:t>
      </w:r>
      <w:proofErr w:type="spellEnd"/>
      <w:r w:rsidR="00F50251" w:rsidRPr="004951FA">
        <w:t xml:space="preserve"> had become a profitable addition to Kindred, training more PCAs</w:t>
      </w:r>
      <w:r w:rsidR="00757EC4">
        <w:t>—</w:t>
      </w:r>
      <w:r w:rsidR="00F50251" w:rsidRPr="004951FA">
        <w:t>for both Kindred and its competitors</w:t>
      </w:r>
      <w:r w:rsidR="00757EC4">
        <w:t>—</w:t>
      </w:r>
      <w:r w:rsidR="00F50251" w:rsidRPr="004951FA">
        <w:t xml:space="preserve">than any other approved training institution in the province of New Brunswick. </w:t>
      </w:r>
    </w:p>
    <w:p w14:paraId="25C45BE6" w14:textId="77777777" w:rsidR="00F50251" w:rsidRPr="004951FA" w:rsidRDefault="00F50251">
      <w:pPr>
        <w:pStyle w:val="BodyTextMain"/>
      </w:pPr>
    </w:p>
    <w:p w14:paraId="79065860" w14:textId="21B63585" w:rsidR="00F50251" w:rsidRPr="004951FA" w:rsidRDefault="00534ABA">
      <w:pPr>
        <w:pStyle w:val="BodyTextMain"/>
      </w:pPr>
      <w:r>
        <w:t xml:space="preserve">In 2016, </w:t>
      </w:r>
      <w:r w:rsidR="00F50251" w:rsidRPr="004951FA">
        <w:t>Kindred had revenues of $11.1 million and net income of $424,735 (</w:t>
      </w:r>
      <w:r>
        <w:t>see Exhibit 4</w:t>
      </w:r>
      <w:r w:rsidR="00F50251" w:rsidRPr="004951FA">
        <w:t>). It had</w:t>
      </w:r>
      <w:r w:rsidR="00886941">
        <w:t xml:space="preserve"> reserves of $1 million and a </w:t>
      </w:r>
      <w:r w:rsidR="00F50251" w:rsidRPr="004951FA">
        <w:t>cash surplus (</w:t>
      </w:r>
      <w:r>
        <w:t>see Exhibits 5 and 6</w:t>
      </w:r>
      <w:r w:rsidR="00F50251" w:rsidRPr="004951FA">
        <w:t xml:space="preserve">). </w:t>
      </w:r>
    </w:p>
    <w:p w14:paraId="03794235" w14:textId="77777777" w:rsidR="00F50251" w:rsidRPr="004951FA" w:rsidRDefault="00F50251">
      <w:pPr>
        <w:pStyle w:val="BodyTextMain"/>
      </w:pPr>
    </w:p>
    <w:p w14:paraId="5DED8AF2" w14:textId="427A690C" w:rsidR="00F50251" w:rsidRPr="004951FA" w:rsidRDefault="00F50251">
      <w:pPr>
        <w:pStyle w:val="BodyTextMain"/>
      </w:pPr>
      <w:r w:rsidRPr="004951FA">
        <w:t>In 2016, English started billing twice a month</w:t>
      </w:r>
      <w:r w:rsidR="00480137">
        <w:t xml:space="preserve"> (</w:t>
      </w:r>
      <w:r w:rsidRPr="004951FA">
        <w:t>as opposed to once a month</w:t>
      </w:r>
      <w:r w:rsidR="00480137">
        <w:t>)</w:t>
      </w:r>
      <w:r w:rsidR="00FB2D19">
        <w:t>,</w:t>
      </w:r>
      <w:r w:rsidRPr="004951FA">
        <w:t xml:space="preserve"> </w:t>
      </w:r>
      <w:r w:rsidR="00480137">
        <w:t xml:space="preserve">and </w:t>
      </w:r>
      <w:r w:rsidR="001E2765">
        <w:t>changed it within months to weekly</w:t>
      </w:r>
      <w:r w:rsidR="00480137">
        <w:t xml:space="preserve">, </w:t>
      </w:r>
      <w:r w:rsidRPr="004951FA">
        <w:t>which led to a substantial drop in receivables for the year.</w:t>
      </w:r>
    </w:p>
    <w:p w14:paraId="7CF85FBE" w14:textId="3EDA4CD2" w:rsidR="00F50251" w:rsidRPr="004951FA" w:rsidRDefault="00F50251">
      <w:pPr>
        <w:pStyle w:val="BodyTextMain"/>
      </w:pPr>
    </w:p>
    <w:p w14:paraId="57C1F911" w14:textId="77777777" w:rsidR="00F50251" w:rsidRPr="004951FA" w:rsidRDefault="00F50251">
      <w:pPr>
        <w:pStyle w:val="BodyTextMain"/>
      </w:pPr>
    </w:p>
    <w:p w14:paraId="5F7E0990" w14:textId="0A08718C" w:rsidR="00F50251" w:rsidRPr="004951FA" w:rsidRDefault="00F50251" w:rsidP="008F0629">
      <w:pPr>
        <w:pStyle w:val="Casehead1"/>
      </w:pPr>
      <w:r w:rsidRPr="004951FA">
        <w:t>ISSUES WITH SCALING UP</w:t>
      </w:r>
    </w:p>
    <w:p w14:paraId="0141B7CD" w14:textId="77777777" w:rsidR="00F50251" w:rsidRPr="004951FA" w:rsidRDefault="00F50251" w:rsidP="008F0629">
      <w:pPr>
        <w:pStyle w:val="BodyTextMain"/>
      </w:pPr>
    </w:p>
    <w:p w14:paraId="5134E8D2" w14:textId="135E80BE" w:rsidR="00F50251" w:rsidRPr="000A27E5" w:rsidRDefault="00F50251" w:rsidP="00F50251">
      <w:pPr>
        <w:pStyle w:val="BodyTextMain"/>
        <w:rPr>
          <w:spacing w:val="-2"/>
          <w:kern w:val="22"/>
        </w:rPr>
      </w:pPr>
      <w:r w:rsidRPr="000A27E5">
        <w:rPr>
          <w:spacing w:val="-2"/>
          <w:kern w:val="22"/>
        </w:rPr>
        <w:t>The partners had two major motivations</w:t>
      </w:r>
      <w:r w:rsidRPr="000A27E5">
        <w:rPr>
          <w:i/>
          <w:spacing w:val="-2"/>
          <w:kern w:val="22"/>
        </w:rPr>
        <w:t xml:space="preserve"> </w:t>
      </w:r>
      <w:r w:rsidRPr="000A27E5">
        <w:rPr>
          <w:spacing w:val="-2"/>
          <w:kern w:val="22"/>
        </w:rPr>
        <w:t>in scaling up. First, as a business proposition, senior care would never run out of customers.</w:t>
      </w:r>
      <w:r w:rsidR="004951FA" w:rsidRPr="000A27E5">
        <w:rPr>
          <w:spacing w:val="-2"/>
          <w:kern w:val="22"/>
        </w:rPr>
        <w:t xml:space="preserve"> </w:t>
      </w:r>
      <w:r w:rsidRPr="000A27E5">
        <w:rPr>
          <w:spacing w:val="-2"/>
          <w:kern w:val="22"/>
        </w:rPr>
        <w:t xml:space="preserve">There would always be households seeking to provide quality </w:t>
      </w:r>
      <w:r w:rsidR="0053369A" w:rsidRPr="000A27E5">
        <w:rPr>
          <w:spacing w:val="-2"/>
          <w:kern w:val="22"/>
        </w:rPr>
        <w:t xml:space="preserve">home care </w:t>
      </w:r>
      <w:r w:rsidRPr="000A27E5">
        <w:rPr>
          <w:spacing w:val="-2"/>
          <w:kern w:val="22"/>
        </w:rPr>
        <w:t>for their aging family members</w:t>
      </w:r>
      <w:r w:rsidR="0053369A" w:rsidRPr="000A27E5">
        <w:rPr>
          <w:spacing w:val="-2"/>
          <w:kern w:val="22"/>
        </w:rPr>
        <w:t>,</w:t>
      </w:r>
      <w:r w:rsidRPr="000A27E5">
        <w:rPr>
          <w:spacing w:val="-2"/>
          <w:kern w:val="22"/>
        </w:rPr>
        <w:t xml:space="preserve"> and there would always be seniors seeking to maintain their independence as they aged. Second, senior care also meant </w:t>
      </w:r>
      <w:r w:rsidR="00622CA5" w:rsidRPr="000A27E5">
        <w:rPr>
          <w:spacing w:val="-2"/>
          <w:kern w:val="22"/>
        </w:rPr>
        <w:t>helping</w:t>
      </w:r>
      <w:r w:rsidRPr="000A27E5">
        <w:rPr>
          <w:spacing w:val="-2"/>
          <w:kern w:val="22"/>
        </w:rPr>
        <w:t xml:space="preserve"> the community. People at Kindred felt good about what they were doing, however varied, because it meant </w:t>
      </w:r>
      <w:r w:rsidR="007D4D94" w:rsidRPr="000A27E5">
        <w:rPr>
          <w:spacing w:val="-2"/>
          <w:kern w:val="22"/>
        </w:rPr>
        <w:t xml:space="preserve">that they were </w:t>
      </w:r>
      <w:r w:rsidRPr="000A27E5">
        <w:rPr>
          <w:spacing w:val="-2"/>
          <w:kern w:val="22"/>
        </w:rPr>
        <w:t xml:space="preserve">helping others and making a difference in </w:t>
      </w:r>
      <w:r w:rsidR="007D4D94" w:rsidRPr="000A27E5">
        <w:rPr>
          <w:spacing w:val="-2"/>
          <w:kern w:val="22"/>
        </w:rPr>
        <w:t xml:space="preserve">people’s </w:t>
      </w:r>
      <w:r w:rsidRPr="000A27E5">
        <w:rPr>
          <w:spacing w:val="-2"/>
          <w:kern w:val="22"/>
        </w:rPr>
        <w:t>lives</w:t>
      </w:r>
      <w:r w:rsidR="007D4D94" w:rsidRPr="000A27E5">
        <w:rPr>
          <w:spacing w:val="-2"/>
          <w:kern w:val="22"/>
        </w:rPr>
        <w:t>;</w:t>
      </w:r>
      <w:r w:rsidR="00622CA5" w:rsidRPr="000A27E5">
        <w:rPr>
          <w:spacing w:val="-2"/>
          <w:kern w:val="22"/>
        </w:rPr>
        <w:t xml:space="preserve"> therefore,</w:t>
      </w:r>
      <w:r w:rsidRPr="000A27E5">
        <w:rPr>
          <w:spacing w:val="-2"/>
          <w:kern w:val="22"/>
        </w:rPr>
        <w:t xml:space="preserve"> </w:t>
      </w:r>
      <w:r w:rsidR="007D4D94" w:rsidRPr="000A27E5">
        <w:rPr>
          <w:spacing w:val="-2"/>
          <w:kern w:val="22"/>
        </w:rPr>
        <w:t>those who worked</w:t>
      </w:r>
      <w:r w:rsidRPr="000A27E5">
        <w:rPr>
          <w:spacing w:val="-2"/>
          <w:kern w:val="22"/>
        </w:rPr>
        <w:t xml:space="preserve"> in the industry, in </w:t>
      </w:r>
      <w:r w:rsidR="007D4D94" w:rsidRPr="000A27E5">
        <w:rPr>
          <w:spacing w:val="-2"/>
          <w:kern w:val="22"/>
        </w:rPr>
        <w:t xml:space="preserve">whatever </w:t>
      </w:r>
      <w:r w:rsidRPr="000A27E5">
        <w:rPr>
          <w:spacing w:val="-2"/>
          <w:kern w:val="22"/>
        </w:rPr>
        <w:t>capacity, would be self-motivated.</w:t>
      </w:r>
    </w:p>
    <w:p w14:paraId="75D4A6B7" w14:textId="77777777" w:rsidR="00F50251" w:rsidRPr="004951FA" w:rsidRDefault="00F50251" w:rsidP="00F50251">
      <w:pPr>
        <w:pStyle w:val="BodyTextMain"/>
      </w:pPr>
    </w:p>
    <w:p w14:paraId="7A0CAB65" w14:textId="0412BDF1" w:rsidR="00F50251" w:rsidRPr="000A27E5" w:rsidRDefault="00F50251" w:rsidP="00F50251">
      <w:pPr>
        <w:pStyle w:val="BodyTextMain"/>
        <w:rPr>
          <w:spacing w:val="-2"/>
          <w:kern w:val="22"/>
        </w:rPr>
      </w:pPr>
      <w:r w:rsidRPr="000A27E5">
        <w:rPr>
          <w:spacing w:val="-2"/>
          <w:kern w:val="22"/>
        </w:rPr>
        <w:t>In choosing a new geographical area for scaling up, English had some basic considerations.</w:t>
      </w:r>
      <w:r w:rsidR="004951FA" w:rsidRPr="000A27E5">
        <w:rPr>
          <w:spacing w:val="-2"/>
          <w:kern w:val="22"/>
        </w:rPr>
        <w:t xml:space="preserve"> </w:t>
      </w:r>
      <w:r w:rsidRPr="000A27E5">
        <w:rPr>
          <w:spacing w:val="-2"/>
          <w:kern w:val="22"/>
        </w:rPr>
        <w:t>The first was the general population size of the targeted area</w:t>
      </w:r>
      <w:r w:rsidR="009414FD" w:rsidRPr="000A27E5">
        <w:rPr>
          <w:spacing w:val="-2"/>
          <w:kern w:val="22"/>
        </w:rPr>
        <w:t>;</w:t>
      </w:r>
      <w:r w:rsidRPr="000A27E5">
        <w:rPr>
          <w:spacing w:val="-2"/>
          <w:kern w:val="22"/>
        </w:rPr>
        <w:t xml:space="preserve"> </w:t>
      </w:r>
      <w:r w:rsidR="009414FD" w:rsidRPr="000A27E5">
        <w:rPr>
          <w:spacing w:val="-2"/>
          <w:kern w:val="22"/>
        </w:rPr>
        <w:t>the</w:t>
      </w:r>
      <w:r w:rsidRPr="000A27E5">
        <w:rPr>
          <w:spacing w:val="-2"/>
          <w:kern w:val="22"/>
        </w:rPr>
        <w:t xml:space="preserve"> number of seniors in the area would be secondary. The area had to have a radius of 50 </w:t>
      </w:r>
      <w:r w:rsidR="009414FD" w:rsidRPr="000A27E5">
        <w:rPr>
          <w:spacing w:val="-2"/>
          <w:kern w:val="22"/>
        </w:rPr>
        <w:t>kilometres</w:t>
      </w:r>
      <w:r w:rsidRPr="000A27E5">
        <w:rPr>
          <w:spacing w:val="-2"/>
          <w:kern w:val="22"/>
        </w:rPr>
        <w:t xml:space="preserve"> so that the manager heading the region could move 25 </w:t>
      </w:r>
      <w:r w:rsidR="009414FD" w:rsidRPr="000A27E5">
        <w:rPr>
          <w:spacing w:val="-2"/>
          <w:kern w:val="22"/>
        </w:rPr>
        <w:t>kilometres</w:t>
      </w:r>
      <w:r w:rsidRPr="000A27E5">
        <w:rPr>
          <w:spacing w:val="-2"/>
          <w:kern w:val="22"/>
        </w:rPr>
        <w:t xml:space="preserve"> in either direction. </w:t>
      </w:r>
      <w:r w:rsidR="00FE2D11" w:rsidRPr="000A27E5">
        <w:rPr>
          <w:spacing w:val="-2"/>
          <w:kern w:val="22"/>
        </w:rPr>
        <w:t>Another factor to consider</w:t>
      </w:r>
      <w:r w:rsidRPr="000A27E5">
        <w:rPr>
          <w:spacing w:val="-2"/>
          <w:kern w:val="22"/>
        </w:rPr>
        <w:t xml:space="preserve"> was the level of competition in the area. The presence of home care services was a clear indicator of demand. If there was a company with 60</w:t>
      </w:r>
      <w:r w:rsidR="00FE2D11" w:rsidRPr="000A27E5">
        <w:rPr>
          <w:spacing w:val="-2"/>
          <w:kern w:val="22"/>
        </w:rPr>
        <w:t>–</w:t>
      </w:r>
      <w:r w:rsidRPr="000A27E5">
        <w:rPr>
          <w:spacing w:val="-2"/>
          <w:kern w:val="22"/>
        </w:rPr>
        <w:t>70 employees already working the region, English was keen on having a footprint because Kindred could then make a mark of its own.</w:t>
      </w:r>
    </w:p>
    <w:p w14:paraId="531837B4" w14:textId="11546689" w:rsidR="00F50251" w:rsidRPr="004951FA" w:rsidRDefault="00F50251" w:rsidP="00F50251">
      <w:pPr>
        <w:pStyle w:val="BodyTextMain"/>
      </w:pPr>
    </w:p>
    <w:p w14:paraId="6DEE4915" w14:textId="77777777" w:rsidR="00F50251" w:rsidRPr="004951FA" w:rsidRDefault="00F50251" w:rsidP="00F50251">
      <w:pPr>
        <w:pStyle w:val="BodyTextMain"/>
      </w:pPr>
    </w:p>
    <w:p w14:paraId="631DD186" w14:textId="5E0D7E5F" w:rsidR="00F50251" w:rsidRPr="004951FA" w:rsidRDefault="00FE2D11" w:rsidP="00F50251">
      <w:pPr>
        <w:pStyle w:val="Casehead2"/>
      </w:pPr>
      <w:r>
        <w:t>Franchising</w:t>
      </w:r>
    </w:p>
    <w:p w14:paraId="09FBF96B" w14:textId="77777777" w:rsidR="00F50251" w:rsidRPr="004951FA" w:rsidRDefault="00F50251" w:rsidP="00DD257D">
      <w:pPr>
        <w:pStyle w:val="BodyTextMain"/>
        <w:keepNext/>
      </w:pPr>
    </w:p>
    <w:p w14:paraId="229C3B64" w14:textId="665F8388" w:rsidR="00F50251" w:rsidRPr="004951FA" w:rsidRDefault="00F50251" w:rsidP="00824259">
      <w:pPr>
        <w:pStyle w:val="BodyTextMain"/>
      </w:pPr>
      <w:bookmarkStart w:id="9" w:name="_Hlk7270353"/>
      <w:r w:rsidRPr="004951FA">
        <w:t xml:space="preserve">Senior care </w:t>
      </w:r>
      <w:r w:rsidR="00C165D3">
        <w:t>was</w:t>
      </w:r>
      <w:r w:rsidR="00C165D3" w:rsidRPr="004951FA">
        <w:t xml:space="preserve"> </w:t>
      </w:r>
      <w:r w:rsidRPr="004951FA">
        <w:t xml:space="preserve">a natural fit for franchising because it involved what </w:t>
      </w:r>
      <w:proofErr w:type="gramStart"/>
      <w:r w:rsidRPr="004951FA">
        <w:t>were known</w:t>
      </w:r>
      <w:proofErr w:type="gramEnd"/>
      <w:r w:rsidRPr="004951FA">
        <w:t xml:space="preserve"> as “high-touch” interactions with individual customers</w:t>
      </w:r>
      <w:r w:rsidR="006D0BE5">
        <w:t>: relationships were person to person rather than relying on automated, self-serve, or online systems</w:t>
      </w:r>
      <w:r w:rsidRPr="004951FA">
        <w:t xml:space="preserve">. Franchising was a tried and tested business model. Several small franchised home care companies, in both Canada and the United States, were making gross annual revenues of </w:t>
      </w:r>
      <w:r w:rsidR="00FE2D11">
        <w:t xml:space="preserve">more than </w:t>
      </w:r>
      <w:r w:rsidR="0080136D">
        <w:t>$1</w:t>
      </w:r>
      <w:r w:rsidR="00FE2D11" w:rsidRPr="004951FA">
        <w:t xml:space="preserve"> </w:t>
      </w:r>
      <w:r w:rsidRPr="004951FA">
        <w:t>million and realizing gross margins of 30</w:t>
      </w:r>
      <w:r w:rsidR="00FE2D11">
        <w:t>–</w:t>
      </w:r>
      <w:r w:rsidRPr="004951FA">
        <w:t xml:space="preserve">40 per cent. </w:t>
      </w:r>
    </w:p>
    <w:p w14:paraId="5E9F23AC" w14:textId="77777777" w:rsidR="00F50251" w:rsidRPr="000A27E5" w:rsidRDefault="00F50251">
      <w:pPr>
        <w:pStyle w:val="BodyTextMain"/>
        <w:rPr>
          <w:sz w:val="18"/>
          <w:szCs w:val="18"/>
        </w:rPr>
      </w:pPr>
    </w:p>
    <w:p w14:paraId="618422CD" w14:textId="60DEB188" w:rsidR="00F50251" w:rsidRPr="004951FA" w:rsidRDefault="00F50251">
      <w:pPr>
        <w:pStyle w:val="BodyTextMain"/>
      </w:pPr>
      <w:proofErr w:type="gramStart"/>
      <w:r w:rsidRPr="004951FA">
        <w:t xml:space="preserve">The main attractions of franchising for English were </w:t>
      </w:r>
      <w:r w:rsidR="007B101F">
        <w:t>twofold</w:t>
      </w:r>
      <w:r w:rsidRPr="004951FA">
        <w:t xml:space="preserve">: Kindred did not have to make investments </w:t>
      </w:r>
      <w:r w:rsidR="006D0BE5" w:rsidRPr="004951FA">
        <w:t>up front</w:t>
      </w:r>
      <w:r w:rsidRPr="004951FA">
        <w:t xml:space="preserve"> because the start-up costs would be borne by the franchisee</w:t>
      </w:r>
      <w:r w:rsidR="007B101F">
        <w:t>,</w:t>
      </w:r>
      <w:r w:rsidRPr="004951FA">
        <w:t xml:space="preserve"> and English could also set in motion an income stream for Kindred consisting of a combination of </w:t>
      </w:r>
      <w:r w:rsidR="007B101F">
        <w:t xml:space="preserve">a </w:t>
      </w:r>
      <w:r w:rsidRPr="004951FA">
        <w:t>non-refundable franchisee fee (as the price of entry) and a percentage of annual billings (as royalty).</w:t>
      </w:r>
      <w:proofErr w:type="gramEnd"/>
      <w:r w:rsidR="004951FA">
        <w:t xml:space="preserve"> </w:t>
      </w:r>
      <w:r w:rsidR="007B101F">
        <w:rPr>
          <w:bCs/>
        </w:rPr>
        <w:t xml:space="preserve">However, Kindred </w:t>
      </w:r>
      <w:r w:rsidRPr="004951FA">
        <w:rPr>
          <w:bCs/>
        </w:rPr>
        <w:t xml:space="preserve">would not own the business of the franchisee and would </w:t>
      </w:r>
      <w:r w:rsidR="007B101F">
        <w:rPr>
          <w:bCs/>
        </w:rPr>
        <w:t xml:space="preserve">therefore </w:t>
      </w:r>
      <w:r w:rsidRPr="004951FA">
        <w:rPr>
          <w:bCs/>
        </w:rPr>
        <w:t xml:space="preserve">not be involved in </w:t>
      </w:r>
      <w:r w:rsidR="007B101F">
        <w:rPr>
          <w:bCs/>
        </w:rPr>
        <w:t>day-to-day</w:t>
      </w:r>
      <w:r w:rsidRPr="004951FA">
        <w:rPr>
          <w:bCs/>
        </w:rPr>
        <w:t xml:space="preserve"> operations. </w:t>
      </w:r>
    </w:p>
    <w:p w14:paraId="2B7A2E75" w14:textId="36800547" w:rsidR="00F50251" w:rsidRPr="0022107D" w:rsidRDefault="00F50251">
      <w:pPr>
        <w:pStyle w:val="BodyTextMain"/>
      </w:pPr>
      <w:r w:rsidRPr="004951FA">
        <w:lastRenderedPageBreak/>
        <w:t xml:space="preserve">English </w:t>
      </w:r>
      <w:r w:rsidR="007B101F">
        <w:t xml:space="preserve">also </w:t>
      </w:r>
      <w:r w:rsidRPr="004951FA">
        <w:t xml:space="preserve">had three major factors </w:t>
      </w:r>
      <w:r w:rsidR="006D0BE5">
        <w:t>to consider with</w:t>
      </w:r>
      <w:r w:rsidRPr="004951FA">
        <w:t xml:space="preserve"> franchising. </w:t>
      </w:r>
      <w:proofErr w:type="gramStart"/>
      <w:r w:rsidRPr="004951FA">
        <w:t xml:space="preserve">First, if the goal was to reach $50 million in enterprise-wide sales, franchising would likely be the fastest way to do so; but if the goal was to reach $50 million in corporate sales on Kindred’s own account, as was indeed the case, franchising would not be the </w:t>
      </w:r>
      <w:r w:rsidR="004B7283">
        <w:t xml:space="preserve">best </w:t>
      </w:r>
      <w:r w:rsidRPr="004951FA">
        <w:t>route</w:t>
      </w:r>
      <w:r w:rsidR="007B101F">
        <w:t xml:space="preserve">—that is, </w:t>
      </w:r>
      <w:r w:rsidRPr="004951FA">
        <w:t xml:space="preserve">unless the number of franchisees in the system </w:t>
      </w:r>
      <w:r w:rsidR="004B7283">
        <w:t>were</w:t>
      </w:r>
      <w:r w:rsidR="004B7283" w:rsidRPr="004951FA">
        <w:t xml:space="preserve"> </w:t>
      </w:r>
      <w:r w:rsidRPr="004951FA">
        <w:t>proportionately large.</w:t>
      </w:r>
      <w:proofErr w:type="gramEnd"/>
    </w:p>
    <w:p w14:paraId="09550C95" w14:textId="77777777" w:rsidR="00F50251" w:rsidRPr="004951FA" w:rsidRDefault="00F50251">
      <w:pPr>
        <w:pStyle w:val="BodyTextMain"/>
      </w:pPr>
    </w:p>
    <w:p w14:paraId="1ED06DF2" w14:textId="791FC6A2" w:rsidR="00F50251" w:rsidRPr="004951FA" w:rsidRDefault="00F50251">
      <w:pPr>
        <w:pStyle w:val="BodyTextMain"/>
      </w:pPr>
      <w:r w:rsidRPr="004951FA">
        <w:t xml:space="preserve">Second, franchising opportunities </w:t>
      </w:r>
      <w:proofErr w:type="gramStart"/>
      <w:r w:rsidR="007B101F">
        <w:t>could only</w:t>
      </w:r>
      <w:r w:rsidRPr="004951FA">
        <w:t xml:space="preserve"> be explored</w:t>
      </w:r>
      <w:proofErr w:type="gramEnd"/>
      <w:r w:rsidRPr="004951FA">
        <w:t xml:space="preserve"> outside of New Brunswick</w:t>
      </w:r>
      <w:r w:rsidR="00E81426">
        <w:t>.</w:t>
      </w:r>
      <w:r w:rsidRPr="004951FA">
        <w:t xml:space="preserve"> </w:t>
      </w:r>
      <w:r w:rsidR="00E81426">
        <w:t>T</w:t>
      </w:r>
      <w:r w:rsidR="007B101F">
        <w:t>hey</w:t>
      </w:r>
      <w:r w:rsidRPr="004951FA">
        <w:t xml:space="preserve"> would not work in New Brunswick </w:t>
      </w:r>
      <w:r w:rsidR="007B101F">
        <w:t>because</w:t>
      </w:r>
      <w:r w:rsidR="007B101F" w:rsidRPr="004951FA">
        <w:t xml:space="preserve"> </w:t>
      </w:r>
      <w:r w:rsidRPr="004951FA">
        <w:t>the provincial government set the bill rate</w:t>
      </w:r>
      <w:r w:rsidR="007B101F">
        <w:t>,</w:t>
      </w:r>
      <w:r w:rsidRPr="004951FA">
        <w:t xml:space="preserve"> which was also non-negotiable. The margins, already low at less than </w:t>
      </w:r>
      <w:r w:rsidR="007B101F">
        <w:t>8</w:t>
      </w:r>
      <w:r w:rsidR="007B101F" w:rsidRPr="004951FA">
        <w:t xml:space="preserve"> </w:t>
      </w:r>
      <w:r w:rsidRPr="004951FA">
        <w:t xml:space="preserve">per cent, would have to </w:t>
      </w:r>
      <w:proofErr w:type="gramStart"/>
      <w:r w:rsidRPr="004951FA">
        <w:t>be shared</w:t>
      </w:r>
      <w:proofErr w:type="gramEnd"/>
      <w:r w:rsidRPr="004951FA">
        <w:t xml:space="preserve"> with the franchisee. It was not surprising that New Brunswick did not have a single franchisor in home care.</w:t>
      </w:r>
    </w:p>
    <w:p w14:paraId="3D16B122" w14:textId="77777777" w:rsidR="00F50251" w:rsidRPr="004951FA" w:rsidRDefault="00F50251">
      <w:pPr>
        <w:pStyle w:val="BodyTextMain"/>
      </w:pPr>
    </w:p>
    <w:p w14:paraId="2A96457C" w14:textId="16ECDC39" w:rsidR="00F50251" w:rsidRPr="004951FA" w:rsidRDefault="00F50251">
      <w:pPr>
        <w:pStyle w:val="BodyTextMain"/>
      </w:pPr>
      <w:r w:rsidRPr="004951FA">
        <w:t xml:space="preserve">Nova Scotia seemed a good province for Kindred to commence its franchise model. Like New Brunswick, it was maritime and </w:t>
      </w:r>
      <w:r w:rsidR="00E81426">
        <w:t xml:space="preserve">largely </w:t>
      </w:r>
      <w:r w:rsidRPr="004951FA">
        <w:t>rural</w:t>
      </w:r>
      <w:r w:rsidR="0053435C">
        <w:t>;</w:t>
      </w:r>
      <w:r w:rsidRPr="004951FA">
        <w:t xml:space="preserve"> </w:t>
      </w:r>
      <w:r w:rsidR="0053435C">
        <w:t>unlike</w:t>
      </w:r>
      <w:r w:rsidRPr="004951FA">
        <w:t xml:space="preserve"> New Brunswick, it had better margins because of private clients. Nova Scotia would </w:t>
      </w:r>
      <w:r w:rsidR="0053435C">
        <w:t>provide</w:t>
      </w:r>
      <w:r w:rsidRPr="004951FA">
        <w:t xml:space="preserve"> a learning ground </w:t>
      </w:r>
      <w:r w:rsidR="0053435C">
        <w:t>before moving</w:t>
      </w:r>
      <w:r w:rsidRPr="004951FA">
        <w:t xml:space="preserve"> to other provinces. Ontario would be attractive because</w:t>
      </w:r>
      <w:r w:rsidR="005A1373">
        <w:t>,</w:t>
      </w:r>
      <w:r w:rsidRPr="004951FA">
        <w:t xml:space="preserve"> notwithstanding higher wage rates, the bill rate would be higher. Quebec would not be part of </w:t>
      </w:r>
      <w:r w:rsidR="005A1373">
        <w:t>English’s</w:t>
      </w:r>
      <w:r w:rsidR="005A1373" w:rsidRPr="004951FA">
        <w:t xml:space="preserve"> </w:t>
      </w:r>
      <w:r w:rsidRPr="004951FA">
        <w:t>expansion plans because of its unionized environment in which</w:t>
      </w:r>
      <w:r w:rsidR="00F20AEA">
        <w:t>,</w:t>
      </w:r>
      <w:r w:rsidRPr="004951FA">
        <w:t xml:space="preserve"> English </w:t>
      </w:r>
      <w:r w:rsidR="005A1373">
        <w:t>anticipate</w:t>
      </w:r>
      <w:r w:rsidR="00F20AEA">
        <w:t>d,</w:t>
      </w:r>
      <w:r w:rsidRPr="004951FA">
        <w:t xml:space="preserve"> client care </w:t>
      </w:r>
      <w:r w:rsidR="005A1373">
        <w:t>would</w:t>
      </w:r>
      <w:r w:rsidR="005A1373" w:rsidRPr="004951FA">
        <w:t xml:space="preserve"> </w:t>
      </w:r>
      <w:r w:rsidRPr="004951FA">
        <w:t xml:space="preserve">likely become secondary to employee welfare. </w:t>
      </w:r>
    </w:p>
    <w:p w14:paraId="61F4819C" w14:textId="77777777" w:rsidR="00F50251" w:rsidRPr="004951FA" w:rsidRDefault="00F50251">
      <w:pPr>
        <w:pStyle w:val="BodyTextMain"/>
      </w:pPr>
    </w:p>
    <w:p w14:paraId="7C1D1629" w14:textId="46057148" w:rsidR="00F50251" w:rsidRPr="004951FA" w:rsidRDefault="00E81426">
      <w:pPr>
        <w:pStyle w:val="BodyTextMain"/>
      </w:pPr>
      <w:r>
        <w:t>The t</w:t>
      </w:r>
      <w:r w:rsidR="00F50251" w:rsidRPr="004951FA">
        <w:t>hird</w:t>
      </w:r>
      <w:r>
        <w:t xml:space="preserve"> consideration was that</w:t>
      </w:r>
      <w:r w:rsidR="00F50251" w:rsidRPr="004951FA">
        <w:t xml:space="preserve"> it would normally take a year to build internal systems, develop business structures</w:t>
      </w:r>
      <w:r w:rsidR="00FF484E">
        <w:t>,</w:t>
      </w:r>
      <w:r w:rsidR="00F50251" w:rsidRPr="004951FA">
        <w:t xml:space="preserve"> and put together training manuals. It would be another year for the first few franchisees to stabilize operations and begin to grow organically. It would </w:t>
      </w:r>
      <w:r w:rsidR="00FF484E">
        <w:t>not be until</w:t>
      </w:r>
      <w:r w:rsidR="00F50251" w:rsidRPr="004951FA">
        <w:t xml:space="preserve"> the third year that the business would begin to gather momentum.</w:t>
      </w:r>
    </w:p>
    <w:p w14:paraId="02E81098" w14:textId="77777777" w:rsidR="00F50251" w:rsidRPr="004951FA" w:rsidRDefault="00F50251">
      <w:pPr>
        <w:pStyle w:val="BodyTextMain"/>
      </w:pPr>
    </w:p>
    <w:p w14:paraId="1BD147B3" w14:textId="1D25C713" w:rsidR="00F50251" w:rsidRPr="004951FA" w:rsidRDefault="00B54432">
      <w:pPr>
        <w:pStyle w:val="BodyTextMain"/>
      </w:pPr>
      <w:r>
        <w:t>However,</w:t>
      </w:r>
      <w:r w:rsidR="00F50251" w:rsidRPr="004951FA">
        <w:t xml:space="preserve"> English had an opportunity to reduce the lag to 10 months. He had been interviewing candidates for a business director </w:t>
      </w:r>
      <w:r>
        <w:t>role</w:t>
      </w:r>
      <w:r w:rsidR="00F20AEA">
        <w:t>,</w:t>
      </w:r>
      <w:r>
        <w:t xml:space="preserve"> </w:t>
      </w:r>
      <w:r w:rsidR="00F50251" w:rsidRPr="004951FA">
        <w:t xml:space="preserve">with a mandate to spearhead the business in Nova Scotia. One of the applicants he </w:t>
      </w:r>
      <w:r>
        <w:t>was</w:t>
      </w:r>
      <w:r w:rsidRPr="004951FA">
        <w:t xml:space="preserve"> </w:t>
      </w:r>
      <w:r w:rsidR="00F50251" w:rsidRPr="004951FA">
        <w:t>in touch with was Lori Mackenzie</w:t>
      </w:r>
      <w:r>
        <w:t>,</w:t>
      </w:r>
      <w:r w:rsidR="00F50251" w:rsidRPr="004951FA">
        <w:t xml:space="preserve"> who had built </w:t>
      </w:r>
      <w:r w:rsidR="00944E7A">
        <w:t xml:space="preserve">and recently sold </w:t>
      </w:r>
      <w:r w:rsidR="00F50251" w:rsidRPr="004951FA">
        <w:t>a successful 90-unit national franchise in Canada called Massage Addict</w:t>
      </w:r>
      <w:r>
        <w:t xml:space="preserve"> Inc.</w:t>
      </w:r>
      <w:r w:rsidR="00F50251" w:rsidRPr="004951FA">
        <w:t xml:space="preserve"> </w:t>
      </w:r>
    </w:p>
    <w:p w14:paraId="46B86583" w14:textId="77777777" w:rsidR="00F50251" w:rsidRPr="004951FA" w:rsidRDefault="00F50251">
      <w:pPr>
        <w:pStyle w:val="BodyTextMain"/>
      </w:pPr>
    </w:p>
    <w:p w14:paraId="2B1B2802" w14:textId="546E664D" w:rsidR="00F50251" w:rsidRPr="004951FA" w:rsidRDefault="00F50251">
      <w:pPr>
        <w:pStyle w:val="BodyTextMain"/>
      </w:pPr>
      <w:r w:rsidRPr="004951FA">
        <w:t xml:space="preserve">English saw merit in leveraging </w:t>
      </w:r>
      <w:r w:rsidR="00D13636">
        <w:t>Mackenzie’s</w:t>
      </w:r>
      <w:r w:rsidR="00D13636" w:rsidRPr="004951FA">
        <w:t xml:space="preserve"> </w:t>
      </w:r>
      <w:r w:rsidRPr="004951FA">
        <w:t>track record in franchising massage therapy</w:t>
      </w:r>
      <w:r w:rsidR="00916453">
        <w:t>—</w:t>
      </w:r>
      <w:r w:rsidRPr="004951FA">
        <w:t>a recognized health care treatment in its own right</w:t>
      </w:r>
      <w:r w:rsidR="00916453">
        <w:t>—</w:t>
      </w:r>
      <w:r w:rsidRPr="004951FA">
        <w:t xml:space="preserve">to launch Kindred’s own entry into franchising. Mackenzie would </w:t>
      </w:r>
      <w:r w:rsidR="00916453">
        <w:t>bring</w:t>
      </w:r>
      <w:r w:rsidRPr="004951FA">
        <w:t xml:space="preserve"> in her previous business partner, Chris Harker, together ensuring that the processes</w:t>
      </w:r>
      <w:r w:rsidR="00916453">
        <w:t xml:space="preserve">, </w:t>
      </w:r>
      <w:r w:rsidRPr="004951FA">
        <w:t xml:space="preserve">which </w:t>
      </w:r>
      <w:r w:rsidR="00916453">
        <w:t>seemed</w:t>
      </w:r>
      <w:r w:rsidRPr="004951FA">
        <w:t xml:space="preserve"> fully replicable</w:t>
      </w:r>
      <w:r w:rsidR="00916453">
        <w:t xml:space="preserve">, </w:t>
      </w:r>
      <w:r w:rsidRPr="004951FA">
        <w:t>were in place. The duo had also suggested that Kindred launch an independent company for the franchising business with a name that was not medical</w:t>
      </w:r>
      <w:r w:rsidR="00916453">
        <w:t>,</w:t>
      </w:r>
      <w:r w:rsidRPr="004951FA">
        <w:t xml:space="preserve"> corporate</w:t>
      </w:r>
      <w:r w:rsidR="00916453">
        <w:t>,</w:t>
      </w:r>
      <w:r w:rsidRPr="004951FA">
        <w:t xml:space="preserve"> or sterile (</w:t>
      </w:r>
      <w:r w:rsidR="00916453">
        <w:t>as</w:t>
      </w:r>
      <w:r w:rsidR="00916453" w:rsidRPr="004951FA">
        <w:t xml:space="preserve"> </w:t>
      </w:r>
      <w:proofErr w:type="gramStart"/>
      <w:r w:rsidRPr="004951FA">
        <w:t>most home care companies</w:t>
      </w:r>
      <w:proofErr w:type="gramEnd"/>
      <w:r w:rsidRPr="004951FA">
        <w:t xml:space="preserve"> were). English and Bernard, together with the duo, had decided, in consultation with a branding company in Toronto, on </w:t>
      </w:r>
      <w:r w:rsidR="00916453">
        <w:t>the name</w:t>
      </w:r>
      <w:r w:rsidRPr="004951FA">
        <w:t xml:space="preserve"> Viva Home Living</w:t>
      </w:r>
      <w:r w:rsidR="005278FF">
        <w:t xml:space="preserve"> (Viva)</w:t>
      </w:r>
      <w:r w:rsidR="00916453">
        <w:t>,</w:t>
      </w:r>
      <w:r w:rsidRPr="004951FA">
        <w:t xml:space="preserve"> which meant “long live home living” and sounded “joyful and celebratory.” </w:t>
      </w:r>
    </w:p>
    <w:p w14:paraId="4BDAB143" w14:textId="77777777" w:rsidR="00F50251" w:rsidRPr="000A27E5" w:rsidRDefault="00F50251">
      <w:pPr>
        <w:pStyle w:val="BodyTextMain"/>
        <w:rPr>
          <w:sz w:val="18"/>
          <w:szCs w:val="18"/>
        </w:rPr>
      </w:pPr>
    </w:p>
    <w:p w14:paraId="1FCF3DB2" w14:textId="5736BA26" w:rsidR="00F50251" w:rsidRPr="004951FA" w:rsidRDefault="00F50251">
      <w:pPr>
        <w:pStyle w:val="BodyTextMain"/>
      </w:pPr>
      <w:r w:rsidRPr="004951FA">
        <w:t xml:space="preserve">An important requirement was to build a software program </w:t>
      </w:r>
      <w:r w:rsidR="006A25A1" w:rsidRPr="004951FA">
        <w:t>for deployment in the franchise model</w:t>
      </w:r>
      <w:r w:rsidR="006A25A1" w:rsidRPr="004951FA" w:rsidDel="006A25A1">
        <w:t xml:space="preserve"> </w:t>
      </w:r>
      <w:r w:rsidR="006A25A1">
        <w:t>that</w:t>
      </w:r>
      <w:r w:rsidR="006A25A1" w:rsidRPr="004951FA">
        <w:t xml:space="preserve"> </w:t>
      </w:r>
      <w:r w:rsidRPr="004951FA">
        <w:t xml:space="preserve">could leverage the Salesforce platform already </w:t>
      </w:r>
      <w:proofErr w:type="gramStart"/>
      <w:r w:rsidRPr="004951FA">
        <w:t>being used</w:t>
      </w:r>
      <w:proofErr w:type="gramEnd"/>
      <w:r w:rsidRPr="004951FA">
        <w:t xml:space="preserve"> at Kindred. </w:t>
      </w:r>
      <w:r w:rsidR="006A25A1">
        <w:t>It would cost</w:t>
      </w:r>
      <w:r w:rsidRPr="004951FA">
        <w:t xml:space="preserve"> $100,000 </w:t>
      </w:r>
      <w:r w:rsidR="006A25A1">
        <w:t>to develop the software—</w:t>
      </w:r>
      <w:r w:rsidRPr="004951FA">
        <w:t xml:space="preserve">the only major investment in the new line of business. A separate subsidiary would be set up </w:t>
      </w:r>
      <w:r w:rsidR="006A25A1">
        <w:t>to</w:t>
      </w:r>
      <w:r w:rsidRPr="004951FA">
        <w:t xml:space="preserve"> own the intellectual property (IP) associated with the software</w:t>
      </w:r>
      <w:r w:rsidR="006A25A1">
        <w:t>, and the subsidiary</w:t>
      </w:r>
      <w:r w:rsidRPr="004951FA">
        <w:t xml:space="preserve"> </w:t>
      </w:r>
      <w:proofErr w:type="gramStart"/>
      <w:r w:rsidRPr="004951FA">
        <w:t>would also</w:t>
      </w:r>
      <w:proofErr w:type="gramEnd"/>
      <w:r w:rsidRPr="004951FA">
        <w:t xml:space="preserve"> be eligible for technology grants from the government. The investment in IP </w:t>
      </w:r>
      <w:proofErr w:type="gramStart"/>
      <w:r w:rsidRPr="004951FA">
        <w:t>would be recouped</w:t>
      </w:r>
      <w:proofErr w:type="gramEnd"/>
      <w:r w:rsidRPr="004951FA">
        <w:t xml:space="preserve"> through an annual technology fee of a few hundred dollars per month</w:t>
      </w:r>
      <w:r w:rsidR="006A25A1">
        <w:t>,</w:t>
      </w:r>
      <w:r w:rsidRPr="004951FA">
        <w:t xml:space="preserve"> paid by the franchisees. The one-time franchise fee would be $49,000; it would be non-refundable. </w:t>
      </w:r>
    </w:p>
    <w:p w14:paraId="6C7E8DC8" w14:textId="77777777" w:rsidR="00F50251" w:rsidRPr="000A27E5" w:rsidRDefault="00F50251">
      <w:pPr>
        <w:pStyle w:val="BodyTextMain"/>
        <w:rPr>
          <w:sz w:val="18"/>
          <w:szCs w:val="18"/>
        </w:rPr>
      </w:pPr>
    </w:p>
    <w:p w14:paraId="4E1233BB" w14:textId="53962C18" w:rsidR="00F50251" w:rsidRPr="004951FA" w:rsidRDefault="00F50251">
      <w:pPr>
        <w:pStyle w:val="BodyTextMain"/>
      </w:pPr>
      <w:r w:rsidRPr="004951FA">
        <w:t xml:space="preserve">The initial investment required on the part of a franchisee to open a single senior care franchise was between $92,500 and $143,000 </w:t>
      </w:r>
      <w:r w:rsidR="006A25A1">
        <w:t>(see Exhibit</w:t>
      </w:r>
      <w:r w:rsidRPr="004951FA">
        <w:t xml:space="preserve"> 7). Franchisees did not need office space or a lot of equipment. They could break even within six months because the </w:t>
      </w:r>
      <w:proofErr w:type="gramStart"/>
      <w:r w:rsidRPr="004951FA">
        <w:t>billing rates in Nova Scotia were not determined by the provincial government</w:t>
      </w:r>
      <w:proofErr w:type="gramEnd"/>
      <w:r w:rsidRPr="004951FA">
        <w:t xml:space="preserve">. Kindred was free to set its rate </w:t>
      </w:r>
      <w:r w:rsidR="00F20AEA">
        <w:t xml:space="preserve">such </w:t>
      </w:r>
      <w:r w:rsidRPr="004951FA">
        <w:t xml:space="preserve">that it would have </w:t>
      </w:r>
      <w:r w:rsidR="00886941">
        <w:t xml:space="preserve">a </w:t>
      </w:r>
      <w:r w:rsidRPr="004951FA">
        <w:t>30</w:t>
      </w:r>
      <w:r w:rsidR="006A25A1">
        <w:t>–</w:t>
      </w:r>
      <w:r w:rsidRPr="004951FA">
        <w:t>40 per cent gross margin. Viva could sign up one or two franchisees per month</w:t>
      </w:r>
      <w:r w:rsidR="005278FF">
        <w:t>,</w:t>
      </w:r>
      <w:r w:rsidRPr="004951FA">
        <w:t xml:space="preserve"> averaging about 20 per annum over a four-year period</w:t>
      </w:r>
      <w:r w:rsidR="005278FF">
        <w:t>, with</w:t>
      </w:r>
      <w:r w:rsidRPr="004951FA">
        <w:t xml:space="preserve"> each </w:t>
      </w:r>
      <w:r w:rsidR="005278FF">
        <w:t xml:space="preserve">franchise </w:t>
      </w:r>
      <w:r w:rsidRPr="004951FA">
        <w:t xml:space="preserve">achieving </w:t>
      </w:r>
      <w:r w:rsidR="00F20AEA">
        <w:t>$1 million</w:t>
      </w:r>
      <w:r w:rsidRPr="004951FA">
        <w:t xml:space="preserve"> in sales. </w:t>
      </w:r>
    </w:p>
    <w:p w14:paraId="54F175E0" w14:textId="2EEFEF24" w:rsidR="00F50251" w:rsidRPr="004951FA" w:rsidRDefault="00F50251">
      <w:pPr>
        <w:pStyle w:val="BodyTextMain"/>
      </w:pPr>
      <w:r w:rsidRPr="004951FA">
        <w:lastRenderedPageBreak/>
        <w:t xml:space="preserve">English was keen on selling </w:t>
      </w:r>
      <w:r w:rsidR="00F92402">
        <w:t>two to three</w:t>
      </w:r>
      <w:r w:rsidRPr="004951FA">
        <w:t xml:space="preserve"> dozen franchises and testing the model for a year in Canada before taking it to the United States. He was targeting several hundred franchises in the </w:t>
      </w:r>
      <w:proofErr w:type="gramStart"/>
      <w:r w:rsidRPr="004951FA">
        <w:t>long run</w:t>
      </w:r>
      <w:proofErr w:type="gramEnd"/>
      <w:r w:rsidRPr="004951FA">
        <w:t xml:space="preserve">. </w:t>
      </w:r>
    </w:p>
    <w:bookmarkEnd w:id="9"/>
    <w:p w14:paraId="4E43E9F7" w14:textId="4B7BFD6E" w:rsidR="00F50251" w:rsidRPr="004951FA" w:rsidRDefault="00F50251">
      <w:pPr>
        <w:pStyle w:val="BodyTextMain"/>
      </w:pPr>
    </w:p>
    <w:p w14:paraId="6EB641B8" w14:textId="77777777" w:rsidR="00F50251" w:rsidRPr="004951FA" w:rsidRDefault="00F50251">
      <w:pPr>
        <w:pStyle w:val="BodyTextMain"/>
      </w:pPr>
    </w:p>
    <w:p w14:paraId="1E738F89" w14:textId="09FF5A9D" w:rsidR="00F50251" w:rsidRPr="004951FA" w:rsidRDefault="00F92402" w:rsidP="00F50251">
      <w:pPr>
        <w:pStyle w:val="Casehead2"/>
      </w:pPr>
      <w:r>
        <w:t>Taking the Acquisition Route</w:t>
      </w:r>
    </w:p>
    <w:p w14:paraId="52563656" w14:textId="77777777" w:rsidR="00F50251" w:rsidRPr="004951FA" w:rsidRDefault="00F50251" w:rsidP="00F50251">
      <w:pPr>
        <w:pStyle w:val="BodyTextMain"/>
        <w:keepNext/>
      </w:pPr>
    </w:p>
    <w:p w14:paraId="506F6A97" w14:textId="6863FC7A" w:rsidR="00F50251" w:rsidRPr="004951FA" w:rsidRDefault="00886941" w:rsidP="004F7CAF">
      <w:pPr>
        <w:pStyle w:val="BodyTextMain"/>
      </w:pPr>
      <w:bookmarkStart w:id="10" w:name="_Hlk7270391"/>
      <w:r>
        <w:t>According to English, t</w:t>
      </w:r>
      <w:r w:rsidR="00F50251" w:rsidRPr="004951FA">
        <w:t xml:space="preserve">he home care industry was ripe for consolidation. Many business owners, usually a </w:t>
      </w:r>
      <w:r w:rsidR="00864A81">
        <w:t>husband</w:t>
      </w:r>
      <w:r w:rsidR="00862E8B">
        <w:t xml:space="preserve"> and </w:t>
      </w:r>
      <w:r w:rsidR="00864A81">
        <w:t>wife</w:t>
      </w:r>
      <w:r w:rsidR="00F50251" w:rsidRPr="004951FA">
        <w:t xml:space="preserve"> team, were in their sixties. </w:t>
      </w:r>
      <w:proofErr w:type="gramStart"/>
      <w:r w:rsidR="00F50251" w:rsidRPr="004951FA">
        <w:t>They had reached the limits of their potential, as they saw it, and were not interested in investing in technology or growing further.</w:t>
      </w:r>
      <w:proofErr w:type="gramEnd"/>
      <w:r w:rsidR="00F50251" w:rsidRPr="004951FA">
        <w:t xml:space="preserve"> </w:t>
      </w:r>
      <w:r w:rsidR="00864A81">
        <w:t xml:space="preserve">According to English, </w:t>
      </w:r>
      <w:r w:rsidR="007675F7">
        <w:t>these business owners</w:t>
      </w:r>
      <w:r w:rsidR="00F50251" w:rsidRPr="004951FA">
        <w:t xml:space="preserve"> were keen</w:t>
      </w:r>
      <w:r w:rsidR="00864A81">
        <w:t xml:space="preserve"> </w:t>
      </w:r>
      <w:r w:rsidR="00F50251" w:rsidRPr="004951FA">
        <w:t>on cashing out. His own acquisition of the company from his parents was an example.</w:t>
      </w:r>
    </w:p>
    <w:p w14:paraId="5D590B87" w14:textId="77777777" w:rsidR="00F50251" w:rsidRPr="004951FA" w:rsidRDefault="00F50251" w:rsidP="00824259">
      <w:pPr>
        <w:pStyle w:val="BodyTextMain"/>
      </w:pPr>
    </w:p>
    <w:p w14:paraId="3C1C30BB" w14:textId="68AD64E7" w:rsidR="00F50251" w:rsidRPr="004951FA" w:rsidRDefault="00F50251" w:rsidP="00824259">
      <w:pPr>
        <w:pStyle w:val="BodyTextMain"/>
      </w:pPr>
      <w:r w:rsidRPr="004951FA">
        <w:t>A home care company in Halifax</w:t>
      </w:r>
      <w:r w:rsidR="00824259">
        <w:t xml:space="preserve">, the largest </w:t>
      </w:r>
      <w:r w:rsidR="001E2765" w:rsidRPr="001E2765">
        <w:t>urban area in Atlantic Canada</w:t>
      </w:r>
      <w:r w:rsidR="00824259">
        <w:t>,</w:t>
      </w:r>
      <w:r w:rsidRPr="004951FA">
        <w:t xml:space="preserve"> with $4 million in sales would have multiple buyers</w:t>
      </w:r>
      <w:r w:rsidR="007675F7">
        <w:t>,</w:t>
      </w:r>
      <w:r w:rsidRPr="004951FA">
        <w:t xml:space="preserve"> but one that was doing $3 million in annual sales in a rural area would not have many buyers. As someone who had developed his competence in rural home care, English saw </w:t>
      </w:r>
      <w:r w:rsidR="00A128D3">
        <w:t>rural home care</w:t>
      </w:r>
      <w:r w:rsidRPr="004951FA">
        <w:t xml:space="preserve"> as an opportunity. He had reached out to brokers focused on the East Coast </w:t>
      </w:r>
      <w:r w:rsidR="007675F7" w:rsidRPr="004951FA">
        <w:t xml:space="preserve">(like Deloitte </w:t>
      </w:r>
      <w:proofErr w:type="spellStart"/>
      <w:r w:rsidR="00862E8B">
        <w:t>Touche</w:t>
      </w:r>
      <w:proofErr w:type="spellEnd"/>
      <w:r w:rsidR="00862E8B">
        <w:t xml:space="preserve"> Tohmatsu Ltd. </w:t>
      </w:r>
      <w:r w:rsidR="007675F7" w:rsidRPr="004951FA">
        <w:t>and Grant Thornton</w:t>
      </w:r>
      <w:r w:rsidR="007675F7">
        <w:t xml:space="preserve"> LLP</w:t>
      </w:r>
      <w:r w:rsidR="007675F7" w:rsidRPr="004951FA">
        <w:t>)</w:t>
      </w:r>
      <w:r w:rsidR="007675F7">
        <w:t xml:space="preserve"> </w:t>
      </w:r>
      <w:r w:rsidRPr="004951FA">
        <w:t>to let them know that Kindred was looking to make strategic acquisitions in rural areas in Nova Scotia and the United States.</w:t>
      </w:r>
    </w:p>
    <w:p w14:paraId="208644FC" w14:textId="77777777" w:rsidR="00F50251" w:rsidRPr="004951FA" w:rsidRDefault="00F50251">
      <w:pPr>
        <w:pStyle w:val="BodyTextMain"/>
      </w:pPr>
    </w:p>
    <w:p w14:paraId="5A114339" w14:textId="6B32F0A2" w:rsidR="00F50251" w:rsidRDefault="00F50251" w:rsidP="00824259">
      <w:pPr>
        <w:pStyle w:val="BodyTextMain"/>
      </w:pPr>
      <w:r w:rsidRPr="004951FA">
        <w:t>As it happened, English was soon evaluating two acquisition opportunities simultaneously</w:t>
      </w:r>
      <w:r w:rsidR="00AC1EA9">
        <w:t xml:space="preserve">. </w:t>
      </w:r>
      <w:r w:rsidRPr="004951FA">
        <w:t>One was in Halifax</w:t>
      </w:r>
      <w:proofErr w:type="gramStart"/>
      <w:r w:rsidR="00AC1EA9">
        <w:t>;</w:t>
      </w:r>
      <w:proofErr w:type="gramEnd"/>
      <w:r w:rsidRPr="004951FA">
        <w:t xml:space="preserve"> the other in New Brunswick. The former had $3.5 million in annual sales</w:t>
      </w:r>
      <w:r w:rsidR="00AC1EA9">
        <w:t>,</w:t>
      </w:r>
      <w:r w:rsidRPr="004951FA">
        <w:t xml:space="preserve"> with 150 employees and 220 customers. </w:t>
      </w:r>
      <w:r w:rsidR="00A128D3" w:rsidRPr="00A128D3">
        <w:t xml:space="preserve">The owner’s asking price was $3 million, but English was willing to pay the industry norm of three times the net earnings, which amounted to $1.6 million </w:t>
      </w:r>
      <w:r w:rsidR="00A128D3" w:rsidRPr="00A128D3">
        <w:t/>
      </w:r>
      <w:r w:rsidR="00A128D3" w:rsidRPr="00A128D3">
        <w:t>and was well within the funds he had set aside for scaling up</w:t>
      </w:r>
      <w:r w:rsidRPr="004951FA">
        <w:t>. The company in New Brunswick had annual sales of $4 million</w:t>
      </w:r>
      <w:r w:rsidR="00AC1EA9">
        <w:t>,</w:t>
      </w:r>
      <w:r w:rsidRPr="004951FA">
        <w:t xml:space="preserve"> with 180 employees and 250 customers. The owner was asking for $1 million, at three times the net earnings.</w:t>
      </w:r>
    </w:p>
    <w:p w14:paraId="000F6CD1" w14:textId="77777777" w:rsidR="00AC1EA9" w:rsidRPr="004951FA" w:rsidRDefault="00AC1EA9" w:rsidP="00824259">
      <w:pPr>
        <w:pStyle w:val="BodyTextMain"/>
      </w:pPr>
    </w:p>
    <w:p w14:paraId="634CCD14" w14:textId="2A5928EF" w:rsidR="00F50251" w:rsidRPr="004951FA" w:rsidRDefault="00E05E7B" w:rsidP="00824259">
      <w:pPr>
        <w:pStyle w:val="BodyTextMain"/>
      </w:pPr>
      <w:r>
        <w:t>English</w:t>
      </w:r>
      <w:r w:rsidRPr="004951FA">
        <w:t xml:space="preserve"> </w:t>
      </w:r>
      <w:r w:rsidR="00F50251" w:rsidRPr="004951FA">
        <w:t xml:space="preserve">was keen on moving into Nova Scotia to free </w:t>
      </w:r>
      <w:r>
        <w:t>Kindred</w:t>
      </w:r>
      <w:r w:rsidR="00AC1EA9">
        <w:t xml:space="preserve"> </w:t>
      </w:r>
      <w:r w:rsidR="00F50251" w:rsidRPr="004951FA">
        <w:t xml:space="preserve">from the stranglehold of non-negotiable bill rates in New Brunswick. </w:t>
      </w:r>
      <w:r w:rsidR="00AC1EA9">
        <w:t>English</w:t>
      </w:r>
      <w:r w:rsidR="00F50251" w:rsidRPr="004951FA">
        <w:t xml:space="preserve"> could also tap into private clients in Nova Scotia. </w:t>
      </w:r>
      <w:r w:rsidR="00AC1EA9">
        <w:t>However,</w:t>
      </w:r>
      <w:r w:rsidR="00F50251" w:rsidRPr="004951FA">
        <w:t xml:space="preserve"> in spite of the lower billing rates and margins, the new opportunity </w:t>
      </w:r>
      <w:r w:rsidR="00AC1EA9">
        <w:t>in</w:t>
      </w:r>
      <w:r w:rsidR="00AC1EA9" w:rsidRPr="004951FA">
        <w:t xml:space="preserve"> </w:t>
      </w:r>
      <w:r w:rsidR="00F50251" w:rsidRPr="004951FA">
        <w:t xml:space="preserve">New Brunswick </w:t>
      </w:r>
      <w:r w:rsidR="00AC1EA9">
        <w:t>was</w:t>
      </w:r>
      <w:r w:rsidR="00AC1EA9" w:rsidRPr="004951FA">
        <w:t xml:space="preserve"> </w:t>
      </w:r>
      <w:r w:rsidR="00F50251" w:rsidRPr="004951FA">
        <w:t xml:space="preserve">compelling because it would add $4 million in annual billings right away. </w:t>
      </w:r>
    </w:p>
    <w:p w14:paraId="14645D46" w14:textId="77777777" w:rsidR="00F50251" w:rsidRPr="000A27E5" w:rsidRDefault="00F50251" w:rsidP="00824259">
      <w:pPr>
        <w:pStyle w:val="BodyTextMain"/>
        <w:rPr>
          <w:sz w:val="18"/>
          <w:szCs w:val="18"/>
        </w:rPr>
      </w:pPr>
    </w:p>
    <w:p w14:paraId="695AF435" w14:textId="30549D48" w:rsidR="00F50251" w:rsidRPr="004951FA" w:rsidRDefault="00F20AEA" w:rsidP="00824259">
      <w:pPr>
        <w:pStyle w:val="BodyTextMain"/>
      </w:pPr>
      <w:r>
        <w:t>While</w:t>
      </w:r>
      <w:r w:rsidR="00F50251" w:rsidRPr="004951FA">
        <w:t xml:space="preserve"> he was grappling with the two choices</w:t>
      </w:r>
      <w:r>
        <w:t>,</w:t>
      </w:r>
      <w:r w:rsidR="00F50251" w:rsidRPr="004951FA">
        <w:t xml:space="preserve"> a new expansion opportunity surfaced</w:t>
      </w:r>
      <w:r w:rsidR="00581C19">
        <w:t>—</w:t>
      </w:r>
      <w:r w:rsidR="00AC1EA9">
        <w:t>with no up</w:t>
      </w:r>
      <w:r w:rsidR="00862E8B">
        <w:t xml:space="preserve"> </w:t>
      </w:r>
      <w:r w:rsidR="00AC1EA9">
        <w:t>front costs</w:t>
      </w:r>
      <w:r w:rsidR="00F50251" w:rsidRPr="004951FA">
        <w:t>.</w:t>
      </w:r>
      <w:r w:rsidR="004951FA">
        <w:t xml:space="preserve"> </w:t>
      </w:r>
      <w:r w:rsidR="00F50251" w:rsidRPr="004951FA">
        <w:t xml:space="preserve">A home care company with nationwide presence in Canada was not renewing its contract with the province of New Brunswick. The </w:t>
      </w:r>
      <w:r w:rsidR="001E5A34">
        <w:t>reason</w:t>
      </w:r>
      <w:r w:rsidR="001E5A34" w:rsidRPr="004951FA">
        <w:t xml:space="preserve"> </w:t>
      </w:r>
      <w:r w:rsidR="00F50251" w:rsidRPr="004951FA">
        <w:t xml:space="preserve">it cited </w:t>
      </w:r>
      <w:r w:rsidR="001E5A34">
        <w:t>was</w:t>
      </w:r>
      <w:r w:rsidR="001E5A34" w:rsidRPr="004951FA">
        <w:t xml:space="preserve"> </w:t>
      </w:r>
      <w:r w:rsidR="00F50251" w:rsidRPr="004951FA">
        <w:t xml:space="preserve">that the official rate was not sustainable and </w:t>
      </w:r>
      <w:r w:rsidR="00E05E7B">
        <w:t xml:space="preserve">that </w:t>
      </w:r>
      <w:r w:rsidR="00F50251" w:rsidRPr="004951FA">
        <w:t xml:space="preserve">the company was finding it difficult to hold on to its business in New Brunswick. The provincial government had asked Kindred if it would step in and fill the void. Kindred had to absorb the </w:t>
      </w:r>
      <w:r w:rsidR="001E5A34">
        <w:t>250 employees who were soon to be out of work</w:t>
      </w:r>
      <w:r w:rsidR="00F50251" w:rsidRPr="004951FA">
        <w:t xml:space="preserve"> and take over the services where the national chain had left off. </w:t>
      </w:r>
      <w:r w:rsidR="001E5A34">
        <w:t>Kindred</w:t>
      </w:r>
      <w:r w:rsidR="00F50251" w:rsidRPr="004951FA">
        <w:t xml:space="preserve"> would gain about 400 customers. English thought he could pull it off and make a </w:t>
      </w:r>
      <w:r w:rsidR="001E5A34">
        <w:t xml:space="preserve">small </w:t>
      </w:r>
      <w:r w:rsidR="00F50251" w:rsidRPr="004951FA">
        <w:t>profit</w:t>
      </w:r>
      <w:r w:rsidR="001E5A34">
        <w:t xml:space="preserve"> </w:t>
      </w:r>
      <w:r w:rsidR="00F50251" w:rsidRPr="004951FA">
        <w:t>because he knew the local market in New Brunswick</w:t>
      </w:r>
      <w:r w:rsidR="001E5A34">
        <w:t>—</w:t>
      </w:r>
      <w:r w:rsidR="00567A01">
        <w:t xml:space="preserve">a strength he </w:t>
      </w:r>
      <w:r w:rsidR="00FA0DBA">
        <w:t xml:space="preserve">could </w:t>
      </w:r>
      <w:r w:rsidR="00567A01">
        <w:t xml:space="preserve">not bring to pursuing the </w:t>
      </w:r>
      <w:r w:rsidR="00581C19">
        <w:t xml:space="preserve">option of a </w:t>
      </w:r>
      <w:r w:rsidR="00567A01">
        <w:t>national chain</w:t>
      </w:r>
      <w:r w:rsidR="00F50251" w:rsidRPr="004951FA">
        <w:t>.</w:t>
      </w:r>
    </w:p>
    <w:p w14:paraId="615794C8" w14:textId="77777777" w:rsidR="00F50251" w:rsidRPr="000A27E5" w:rsidRDefault="00F50251" w:rsidP="00824259">
      <w:pPr>
        <w:pStyle w:val="BodyTextMain"/>
        <w:rPr>
          <w:sz w:val="18"/>
          <w:szCs w:val="18"/>
        </w:rPr>
      </w:pPr>
    </w:p>
    <w:p w14:paraId="77F39C56" w14:textId="77777777" w:rsidR="00F50251" w:rsidRPr="004951FA" w:rsidRDefault="00F50251">
      <w:pPr>
        <w:pStyle w:val="BodyTextMain"/>
      </w:pPr>
      <w:r w:rsidRPr="004951FA">
        <w:t xml:space="preserve">English now had three acquisition options to choose </w:t>
      </w:r>
      <w:proofErr w:type="gramStart"/>
      <w:r w:rsidRPr="004951FA">
        <w:t>from</w:t>
      </w:r>
      <w:proofErr w:type="gramEnd"/>
      <w:r w:rsidRPr="004951FA">
        <w:t>.</w:t>
      </w:r>
    </w:p>
    <w:bookmarkEnd w:id="10"/>
    <w:p w14:paraId="57C18DB8" w14:textId="0EBC9183" w:rsidR="00F50251" w:rsidRPr="000A27E5" w:rsidRDefault="00F50251">
      <w:pPr>
        <w:pStyle w:val="BodyTextMain"/>
        <w:rPr>
          <w:sz w:val="18"/>
          <w:szCs w:val="18"/>
        </w:rPr>
      </w:pPr>
    </w:p>
    <w:p w14:paraId="7326FFD1" w14:textId="77777777" w:rsidR="00F50251" w:rsidRPr="000A27E5" w:rsidRDefault="00F50251">
      <w:pPr>
        <w:pStyle w:val="BodyTextMain"/>
        <w:rPr>
          <w:sz w:val="18"/>
          <w:szCs w:val="18"/>
        </w:rPr>
      </w:pPr>
    </w:p>
    <w:p w14:paraId="3766BD10" w14:textId="5D9AAFED" w:rsidR="00F50251" w:rsidRPr="004951FA" w:rsidRDefault="00F50251" w:rsidP="00F50251">
      <w:pPr>
        <w:pStyle w:val="Casehead2"/>
      </w:pPr>
      <w:r w:rsidRPr="004951FA">
        <w:t>Expand</w:t>
      </w:r>
      <w:r w:rsidR="00AE77EE">
        <w:t>ing</w:t>
      </w:r>
      <w:r w:rsidRPr="004951FA">
        <w:t xml:space="preserve"> into the United States </w:t>
      </w:r>
    </w:p>
    <w:p w14:paraId="7B6FD3E5" w14:textId="77777777" w:rsidR="00F50251" w:rsidRPr="000A27E5" w:rsidRDefault="00F50251" w:rsidP="00F50251">
      <w:pPr>
        <w:pStyle w:val="BodyTextMain"/>
        <w:rPr>
          <w:sz w:val="18"/>
          <w:szCs w:val="18"/>
        </w:rPr>
      </w:pPr>
    </w:p>
    <w:p w14:paraId="0C20E42B" w14:textId="6258E34D" w:rsidR="00F50251" w:rsidRPr="004951FA" w:rsidRDefault="00824259" w:rsidP="00824259">
      <w:pPr>
        <w:pStyle w:val="BodyTextMain"/>
      </w:pPr>
      <w:bookmarkStart w:id="11" w:name="_Hlk7270422"/>
      <w:r>
        <w:t>An</w:t>
      </w:r>
      <w:r w:rsidRPr="004951FA">
        <w:t xml:space="preserve"> </w:t>
      </w:r>
      <w:r w:rsidR="00F50251" w:rsidRPr="004951FA">
        <w:t xml:space="preserve">expansion into the United States would be into </w:t>
      </w:r>
      <w:r w:rsidR="00297A28">
        <w:t>the country’s</w:t>
      </w:r>
      <w:r w:rsidR="00297A28" w:rsidRPr="004951FA">
        <w:t xml:space="preserve"> </w:t>
      </w:r>
      <w:r w:rsidR="00F50251" w:rsidRPr="004951FA">
        <w:t>rural, rather than urban, communities.</w:t>
      </w:r>
      <w:r w:rsidR="004951FA">
        <w:t xml:space="preserve"> </w:t>
      </w:r>
      <w:r w:rsidR="00F50251" w:rsidRPr="004951FA">
        <w:t>The United States was a huge market</w:t>
      </w:r>
      <w:r w:rsidR="00297A28">
        <w:t>,</w:t>
      </w:r>
      <w:r w:rsidR="00F50251" w:rsidRPr="004951FA">
        <w:t xml:space="preserve"> with 1</w:t>
      </w:r>
      <w:r w:rsidR="0070732A">
        <w:t>0</w:t>
      </w:r>
      <w:r w:rsidR="00F50251" w:rsidRPr="004951FA">
        <w:t>,000 people turning age 65 each day.</w:t>
      </w:r>
      <w:r w:rsidR="0070732A">
        <w:rPr>
          <w:rStyle w:val="FootnoteReference"/>
        </w:rPr>
        <w:footnoteReference w:id="23"/>
      </w:r>
      <w:r w:rsidR="00F50251" w:rsidRPr="004951FA">
        <w:t xml:space="preserve"> Like Canada, </w:t>
      </w:r>
      <w:r w:rsidR="002062B1">
        <w:t>the United States</w:t>
      </w:r>
      <w:r w:rsidR="002062B1" w:rsidRPr="004951FA">
        <w:t xml:space="preserve"> </w:t>
      </w:r>
      <w:r w:rsidR="00F50251" w:rsidRPr="004951FA">
        <w:t>was a fragmented market</w:t>
      </w:r>
      <w:r w:rsidR="00297A28">
        <w:t>,</w:t>
      </w:r>
      <w:r w:rsidR="00F50251" w:rsidRPr="004951FA">
        <w:t xml:space="preserve"> with no major players having a dominant market share. It was also different in the sense that there was a distinction </w:t>
      </w:r>
      <w:r w:rsidR="002062B1">
        <w:t xml:space="preserve">there </w:t>
      </w:r>
      <w:r w:rsidR="00F50251" w:rsidRPr="004951FA">
        <w:t xml:space="preserve">between home care and home health care. </w:t>
      </w:r>
    </w:p>
    <w:p w14:paraId="31345691" w14:textId="338A33AF" w:rsidR="00F50251" w:rsidRDefault="00A43E8F">
      <w:pPr>
        <w:pStyle w:val="BodyTextMain"/>
      </w:pPr>
      <w:r>
        <w:lastRenderedPageBreak/>
        <w:t>The US home</w:t>
      </w:r>
      <w:r w:rsidR="00F50251" w:rsidRPr="004951FA">
        <w:t xml:space="preserve"> </w:t>
      </w:r>
      <w:r w:rsidR="00297A28">
        <w:t>care</w:t>
      </w:r>
      <w:r>
        <w:t xml:space="preserve"> industry</w:t>
      </w:r>
      <w:r w:rsidR="00F50251" w:rsidRPr="004951FA">
        <w:t xml:space="preserve">, valued at about </w:t>
      </w:r>
      <w:r w:rsidR="00A128D3">
        <w:t>US</w:t>
      </w:r>
      <w:r w:rsidR="00F50251" w:rsidRPr="004951FA">
        <w:t xml:space="preserve">$5.4 billion in 2017, was </w:t>
      </w:r>
      <w:r>
        <w:t>concerned with</w:t>
      </w:r>
      <w:r w:rsidRPr="004951FA">
        <w:t xml:space="preserve"> </w:t>
      </w:r>
      <w:r w:rsidR="00F50251" w:rsidRPr="004951FA">
        <w:t xml:space="preserve">sustaining </w:t>
      </w:r>
      <w:r>
        <w:t>people’s</w:t>
      </w:r>
      <w:r w:rsidRPr="004951FA">
        <w:t xml:space="preserve"> </w:t>
      </w:r>
      <w:r w:rsidR="00F50251" w:rsidRPr="004951FA">
        <w:t xml:space="preserve">quality of life in their homes and keeping them safe and comfortable in their natural habitats. It involved personal services </w:t>
      </w:r>
      <w:r>
        <w:t>such as help with</w:t>
      </w:r>
      <w:r w:rsidR="00F50251" w:rsidRPr="004951FA">
        <w:t xml:space="preserve"> housekeeping, </w:t>
      </w:r>
      <w:r>
        <w:t xml:space="preserve">meal preparation, </w:t>
      </w:r>
      <w:r w:rsidR="00F50251" w:rsidRPr="004951FA">
        <w:t xml:space="preserve">bathing and dressing, taking medications, and doing errands like grocery shopping. This would be Kindred’s domain. On the other hand, </w:t>
      </w:r>
      <w:r>
        <w:t xml:space="preserve">the US home health care industry </w:t>
      </w:r>
      <w:r w:rsidR="00F50251" w:rsidRPr="004951FA">
        <w:t>was a larger market</w:t>
      </w:r>
      <w:r>
        <w:t>,</w:t>
      </w:r>
      <w:r w:rsidR="00F50251" w:rsidRPr="004951FA">
        <w:t xml:space="preserve"> valued at about </w:t>
      </w:r>
      <w:r w:rsidR="00A128D3">
        <w:t>US</w:t>
      </w:r>
      <w:r w:rsidR="00F50251" w:rsidRPr="004951FA">
        <w:t xml:space="preserve">$89.2 billion in 2017. It was </w:t>
      </w:r>
      <w:r>
        <w:t>concerned with</w:t>
      </w:r>
      <w:r w:rsidRPr="004951FA">
        <w:t xml:space="preserve"> </w:t>
      </w:r>
      <w:r w:rsidR="00F50251" w:rsidRPr="004951FA">
        <w:t xml:space="preserve">helping individuals get back to normal after an event like </w:t>
      </w:r>
      <w:r>
        <w:t xml:space="preserve">a </w:t>
      </w:r>
      <w:r w:rsidR="00F50251" w:rsidRPr="004951FA">
        <w:t>hospital stay. It involved skilled nursing and physical therapy.</w:t>
      </w:r>
      <w:r w:rsidR="0070732A">
        <w:rPr>
          <w:rStyle w:val="FootnoteReference"/>
        </w:rPr>
        <w:footnoteReference w:id="24"/>
      </w:r>
    </w:p>
    <w:p w14:paraId="61D268D3" w14:textId="77777777" w:rsidR="00A43E8F" w:rsidRPr="004951FA" w:rsidRDefault="00A43E8F">
      <w:pPr>
        <w:pStyle w:val="BodyTextMain"/>
      </w:pPr>
    </w:p>
    <w:p w14:paraId="07F8E6BC" w14:textId="4BA9C42C" w:rsidR="00F50251" w:rsidRPr="008F0629" w:rsidRDefault="00F50251">
      <w:pPr>
        <w:pStyle w:val="BodyTextMain"/>
      </w:pPr>
      <w:r w:rsidRPr="008F0629">
        <w:t>The dilemma before English was whether to bide his time and take the franchising route to the United States once Viva Home Living had acquired some brand recognition in Canadian home care</w:t>
      </w:r>
      <w:r w:rsidR="00A43E8F" w:rsidRPr="008F0629">
        <w:t>,</w:t>
      </w:r>
      <w:r w:rsidRPr="008F0629">
        <w:t xml:space="preserve"> or</w:t>
      </w:r>
      <w:r w:rsidR="00A43E8F" w:rsidRPr="008F0629">
        <w:t xml:space="preserve"> </w:t>
      </w:r>
      <w:r w:rsidRPr="008F0629">
        <w:t>take the acquisition route right away. There were potential acquisitions in places like New Hampshire, Rhode Island, Vermont</w:t>
      </w:r>
      <w:r w:rsidR="00A43E8F" w:rsidRPr="008F0629">
        <w:t>,</w:t>
      </w:r>
      <w:r w:rsidRPr="008F0629">
        <w:t xml:space="preserve"> and Massachusetts. Canadian companies like Nova Leap </w:t>
      </w:r>
      <w:r w:rsidR="00A43E8F" w:rsidRPr="008F0629">
        <w:t xml:space="preserve">Health Corp. </w:t>
      </w:r>
      <w:r w:rsidRPr="008F0629">
        <w:t xml:space="preserve">had set some benchmarks with their American acquisitions. A </w:t>
      </w:r>
      <w:r w:rsidR="00A43E8F" w:rsidRPr="008F0629">
        <w:t>medium-sized</w:t>
      </w:r>
      <w:r w:rsidRPr="008F0629">
        <w:t xml:space="preserve"> home care company (with sales </w:t>
      </w:r>
      <w:r w:rsidR="00581C19" w:rsidRPr="008F0629">
        <w:t>between</w:t>
      </w:r>
      <w:r w:rsidRPr="008F0629">
        <w:t xml:space="preserve"> US$3</w:t>
      </w:r>
      <w:r w:rsidR="00581C19" w:rsidRPr="008F0629">
        <w:t xml:space="preserve"> million and $4 million</w:t>
      </w:r>
      <w:r w:rsidRPr="008F0629">
        <w:t>, 250 employees</w:t>
      </w:r>
      <w:r w:rsidR="00A43E8F" w:rsidRPr="008F0629">
        <w:t>,</w:t>
      </w:r>
      <w:r w:rsidRPr="008F0629">
        <w:t xml:space="preserve"> and 400 customers) </w:t>
      </w:r>
      <w:proofErr w:type="gramStart"/>
      <w:r w:rsidRPr="008F0629">
        <w:t>could be acquired</w:t>
      </w:r>
      <w:proofErr w:type="gramEnd"/>
      <w:r w:rsidRPr="008F0629">
        <w:t xml:space="preserve"> for </w:t>
      </w:r>
      <w:r w:rsidR="00A43E8F" w:rsidRPr="008F0629">
        <w:t xml:space="preserve">about </w:t>
      </w:r>
      <w:r w:rsidRPr="008F0629">
        <w:t xml:space="preserve">US$300,000. The </w:t>
      </w:r>
      <w:r w:rsidR="003940F8" w:rsidRPr="008F0629">
        <w:t xml:space="preserve">breakdown </w:t>
      </w:r>
      <w:r w:rsidRPr="008F0629">
        <w:t xml:space="preserve">of the cost of acquisition would be $60,000 for </w:t>
      </w:r>
      <w:r w:rsidR="003940F8" w:rsidRPr="008F0629">
        <w:t>customer lists</w:t>
      </w:r>
      <w:r w:rsidRPr="008F0629">
        <w:t>, $180,000 for goodwill</w:t>
      </w:r>
      <w:r w:rsidR="003940F8" w:rsidRPr="008F0629">
        <w:t>,</w:t>
      </w:r>
      <w:r w:rsidRPr="008F0629">
        <w:t xml:space="preserve"> and $60,000 for assets. A foothold in </w:t>
      </w:r>
      <w:r w:rsidR="00581C19" w:rsidRPr="008F0629">
        <w:t xml:space="preserve">the </w:t>
      </w:r>
      <w:r w:rsidRPr="008F0629">
        <w:t>northeastern United States could be a gateway to more prosperous geographies like Arizona, Florida</w:t>
      </w:r>
      <w:r w:rsidR="003940F8" w:rsidRPr="008F0629">
        <w:t>,</w:t>
      </w:r>
      <w:r w:rsidRPr="008F0629">
        <w:t xml:space="preserve"> and the rural Midwest</w:t>
      </w:r>
      <w:r w:rsidR="003940F8" w:rsidRPr="008F0629">
        <w:t>,</w:t>
      </w:r>
      <w:r w:rsidRPr="008F0629">
        <w:t xml:space="preserve"> </w:t>
      </w:r>
      <w:r w:rsidR="003A1BA9" w:rsidRPr="008F0629">
        <w:t xml:space="preserve">which also </w:t>
      </w:r>
      <w:r w:rsidR="00581C19" w:rsidRPr="008F0629">
        <w:t>had</w:t>
      </w:r>
      <w:r w:rsidR="003A1BA9" w:rsidRPr="008F0629">
        <w:t xml:space="preserve"> large senior populations</w:t>
      </w:r>
      <w:r w:rsidRPr="008F0629">
        <w:t>.</w:t>
      </w:r>
    </w:p>
    <w:p w14:paraId="72B85D23" w14:textId="77777777" w:rsidR="00F50251" w:rsidRPr="004951FA" w:rsidRDefault="00F50251" w:rsidP="00824259">
      <w:pPr>
        <w:pStyle w:val="BodyTextMain"/>
      </w:pPr>
    </w:p>
    <w:p w14:paraId="25D9F350" w14:textId="4AD79749" w:rsidR="00F50251" w:rsidRPr="004951FA" w:rsidRDefault="00F50251">
      <w:pPr>
        <w:pStyle w:val="BodyTextMain"/>
      </w:pPr>
      <w:r w:rsidRPr="004951FA">
        <w:t xml:space="preserve">There were some </w:t>
      </w:r>
      <w:r w:rsidR="00410B6C">
        <w:t>broad</w:t>
      </w:r>
      <w:r w:rsidR="00410B6C" w:rsidRPr="004951FA">
        <w:t xml:space="preserve"> </w:t>
      </w:r>
      <w:r w:rsidRPr="004951FA">
        <w:t>areas of concern. The United States was a more competitive market</w:t>
      </w:r>
      <w:r w:rsidR="00410B6C">
        <w:t>—</w:t>
      </w:r>
      <w:r w:rsidRPr="004951FA">
        <w:t xml:space="preserve">although the rural locations that Kindred was keen on getting into were relatively less so. The country was also litigious, and the costs of insurance </w:t>
      </w:r>
      <w:r w:rsidR="00410B6C">
        <w:t>premiums</w:t>
      </w:r>
      <w:r w:rsidR="00410B6C" w:rsidRPr="004951FA">
        <w:t xml:space="preserve"> </w:t>
      </w:r>
      <w:r w:rsidRPr="004951FA">
        <w:t xml:space="preserve">would be higher than in Canada. </w:t>
      </w:r>
      <w:r w:rsidR="00410B6C">
        <w:t xml:space="preserve">Other things to consider included different </w:t>
      </w:r>
      <w:r w:rsidR="00410B6C" w:rsidRPr="004951FA">
        <w:t>labour</w:t>
      </w:r>
      <w:r w:rsidRPr="004951FA">
        <w:t xml:space="preserve"> laws</w:t>
      </w:r>
      <w:r w:rsidR="00410B6C">
        <w:t xml:space="preserve"> and higher wage </w:t>
      </w:r>
      <w:r w:rsidRPr="004951FA">
        <w:t>rates</w:t>
      </w:r>
      <w:r w:rsidR="00410B6C">
        <w:t xml:space="preserve">—although </w:t>
      </w:r>
      <w:r w:rsidRPr="004951FA">
        <w:t xml:space="preserve">margins would be better because the billing rates would be higher. </w:t>
      </w:r>
      <w:r w:rsidR="00410B6C">
        <w:t>Billing</w:t>
      </w:r>
      <w:r w:rsidRPr="004951FA">
        <w:t xml:space="preserve"> cycles were, however, longer</w:t>
      </w:r>
      <w:r w:rsidR="00410B6C">
        <w:t>,</w:t>
      </w:r>
      <w:r w:rsidRPr="004951FA">
        <w:t xml:space="preserve"> at 3</w:t>
      </w:r>
      <w:r w:rsidR="00410B6C">
        <w:t>0–</w:t>
      </w:r>
      <w:r w:rsidRPr="004951FA">
        <w:t xml:space="preserve">60 days in contrast to the weekly </w:t>
      </w:r>
      <w:r w:rsidR="00914C33">
        <w:t xml:space="preserve">cycle </w:t>
      </w:r>
      <w:r w:rsidRPr="004951FA">
        <w:t xml:space="preserve">in New Brunswick. The American political landscape, of late, </w:t>
      </w:r>
      <w:r w:rsidR="00410B6C" w:rsidRPr="004951FA">
        <w:t>favoured</w:t>
      </w:r>
      <w:r w:rsidRPr="004951FA">
        <w:t xml:space="preserve"> protectionism</w:t>
      </w:r>
      <w:r w:rsidR="00410B6C">
        <w:t>, but</w:t>
      </w:r>
      <w:r w:rsidRPr="004951FA">
        <w:t xml:space="preserve"> </w:t>
      </w:r>
      <w:r w:rsidR="00914C33">
        <w:t>that</w:t>
      </w:r>
      <w:r w:rsidR="00914C33" w:rsidRPr="004951FA">
        <w:t xml:space="preserve"> </w:t>
      </w:r>
      <w:r w:rsidRPr="004951FA">
        <w:t xml:space="preserve">was manageable because Kindred would be employing locals and creating and sustaining American jobs. </w:t>
      </w:r>
    </w:p>
    <w:p w14:paraId="3558179C" w14:textId="77777777" w:rsidR="00F50251" w:rsidRPr="008F0629" w:rsidRDefault="00F50251" w:rsidP="00F50251">
      <w:pPr>
        <w:pStyle w:val="BodyTextMain"/>
        <w:rPr>
          <w:iCs/>
          <w:kern w:val="2"/>
          <w:sz w:val="18"/>
          <w:szCs w:val="18"/>
        </w:rPr>
      </w:pPr>
    </w:p>
    <w:p w14:paraId="03348BEC" w14:textId="77777777" w:rsidR="0070732A" w:rsidRDefault="00F50251" w:rsidP="00824259">
      <w:pPr>
        <w:pStyle w:val="BodyTextMain"/>
      </w:pPr>
      <w:r w:rsidRPr="004951FA">
        <w:t xml:space="preserve">English was cautious about the foray into the United States. He </w:t>
      </w:r>
      <w:r w:rsidR="00410B6C">
        <w:t>did not want</w:t>
      </w:r>
      <w:r w:rsidRPr="004951FA">
        <w:t xml:space="preserve"> Kindred </w:t>
      </w:r>
      <w:r w:rsidR="00410B6C">
        <w:t>to take on more than it could handle</w:t>
      </w:r>
      <w:r w:rsidRPr="004951FA">
        <w:t>.</w:t>
      </w:r>
      <w:bookmarkEnd w:id="11"/>
      <w:r w:rsidR="00914C33">
        <w:t xml:space="preserve"> </w:t>
      </w:r>
    </w:p>
    <w:p w14:paraId="753734B8" w14:textId="77777777" w:rsidR="0070732A" w:rsidRDefault="0070732A" w:rsidP="00824259">
      <w:pPr>
        <w:pStyle w:val="BodyTextMain"/>
      </w:pPr>
    </w:p>
    <w:p w14:paraId="2C183161" w14:textId="641FE910" w:rsidR="00F50251" w:rsidRPr="008F0629" w:rsidRDefault="0070732A" w:rsidP="00824259">
      <w:pPr>
        <w:pStyle w:val="BodyTextMain"/>
      </w:pPr>
      <w:r>
        <w:t>With franchising, acquisitions in Canada, and expansion into the United States all viable options, English needed to decide which route would be the best approach to scaling up Kindred now</w:t>
      </w:r>
      <w:r w:rsidR="00480137">
        <w:t>.</w:t>
      </w:r>
      <w:r w:rsidR="00F50251" w:rsidRPr="004951FA">
        <w:br w:type="page"/>
      </w:r>
    </w:p>
    <w:p w14:paraId="216A296B" w14:textId="5D26E4D5" w:rsidR="00F50251" w:rsidRPr="004951FA" w:rsidRDefault="00F50251" w:rsidP="00F50251">
      <w:pPr>
        <w:pStyle w:val="ExhibitHeading"/>
      </w:pPr>
      <w:r w:rsidRPr="004951FA">
        <w:lastRenderedPageBreak/>
        <w:t>Exhibit 1: KINDRED HOME CARE</w:t>
      </w:r>
    </w:p>
    <w:p w14:paraId="00C3A82B" w14:textId="77777777" w:rsidR="00F50251" w:rsidRPr="004951FA" w:rsidRDefault="00F50251" w:rsidP="00F50251">
      <w:pPr>
        <w:pStyle w:val="ExhibitText"/>
      </w:pPr>
    </w:p>
    <w:tbl>
      <w:tblPr>
        <w:tblW w:w="5000" w:type="pct"/>
        <w:jc w:val="center"/>
        <w:tblBorders>
          <w:top w:val="single" w:sz="4" w:space="0" w:color="auto"/>
          <w:bottom w:val="single" w:sz="4" w:space="0" w:color="auto"/>
        </w:tblBorders>
        <w:tblLayout w:type="fixed"/>
        <w:tblLook w:val="04A0" w:firstRow="1" w:lastRow="0" w:firstColumn="1" w:lastColumn="0" w:noHBand="0" w:noVBand="1"/>
      </w:tblPr>
      <w:tblGrid>
        <w:gridCol w:w="2335"/>
        <w:gridCol w:w="976"/>
        <w:gridCol w:w="977"/>
        <w:gridCol w:w="976"/>
        <w:gridCol w:w="977"/>
        <w:gridCol w:w="976"/>
        <w:gridCol w:w="977"/>
        <w:gridCol w:w="1166"/>
      </w:tblGrid>
      <w:tr w:rsidR="00622166" w:rsidRPr="00622166" w14:paraId="0012389F" w14:textId="77777777" w:rsidTr="004F7CAF">
        <w:trPr>
          <w:trHeight w:val="288"/>
          <w:jc w:val="center"/>
        </w:trPr>
        <w:tc>
          <w:tcPr>
            <w:tcW w:w="2332" w:type="dxa"/>
            <w:tcBorders>
              <w:top w:val="single" w:sz="4" w:space="0" w:color="auto"/>
              <w:bottom w:val="single" w:sz="12" w:space="0" w:color="auto"/>
            </w:tcBorders>
            <w:shd w:val="clear" w:color="auto" w:fill="auto"/>
            <w:vAlign w:val="center"/>
          </w:tcPr>
          <w:p w14:paraId="6D17393C" w14:textId="77777777" w:rsidR="00F50251" w:rsidRPr="00622166" w:rsidRDefault="00F50251" w:rsidP="003B1928">
            <w:pPr>
              <w:pStyle w:val="ExhibitText"/>
              <w:jc w:val="left"/>
              <w:rPr>
                <w:sz w:val="18"/>
                <w:szCs w:val="18"/>
              </w:rPr>
            </w:pPr>
          </w:p>
        </w:tc>
        <w:tc>
          <w:tcPr>
            <w:tcW w:w="975" w:type="dxa"/>
            <w:tcBorders>
              <w:top w:val="single" w:sz="4" w:space="0" w:color="auto"/>
              <w:bottom w:val="single" w:sz="12" w:space="0" w:color="auto"/>
            </w:tcBorders>
            <w:shd w:val="clear" w:color="auto" w:fill="auto"/>
            <w:vAlign w:val="center"/>
          </w:tcPr>
          <w:p w14:paraId="2EFB94CE" w14:textId="77777777" w:rsidR="00F50251" w:rsidRPr="00622166" w:rsidRDefault="00F50251" w:rsidP="004F7CAF">
            <w:pPr>
              <w:pStyle w:val="ExhibitText"/>
              <w:jc w:val="center"/>
              <w:rPr>
                <w:b/>
                <w:sz w:val="18"/>
                <w:szCs w:val="18"/>
              </w:rPr>
            </w:pPr>
            <w:r w:rsidRPr="00622166">
              <w:rPr>
                <w:b/>
                <w:sz w:val="18"/>
                <w:szCs w:val="18"/>
              </w:rPr>
              <w:t>2012</w:t>
            </w:r>
          </w:p>
        </w:tc>
        <w:tc>
          <w:tcPr>
            <w:tcW w:w="976" w:type="dxa"/>
            <w:tcBorders>
              <w:top w:val="single" w:sz="4" w:space="0" w:color="auto"/>
              <w:bottom w:val="single" w:sz="12" w:space="0" w:color="auto"/>
            </w:tcBorders>
            <w:shd w:val="clear" w:color="auto" w:fill="auto"/>
            <w:vAlign w:val="center"/>
          </w:tcPr>
          <w:p w14:paraId="04887855" w14:textId="77777777" w:rsidR="00F50251" w:rsidRPr="00622166" w:rsidRDefault="00F50251" w:rsidP="004F7CAF">
            <w:pPr>
              <w:pStyle w:val="ExhibitText"/>
              <w:jc w:val="center"/>
              <w:rPr>
                <w:b/>
                <w:sz w:val="18"/>
                <w:szCs w:val="18"/>
              </w:rPr>
            </w:pPr>
            <w:r w:rsidRPr="00622166">
              <w:rPr>
                <w:b/>
                <w:sz w:val="18"/>
                <w:szCs w:val="18"/>
              </w:rPr>
              <w:t>2013</w:t>
            </w:r>
          </w:p>
        </w:tc>
        <w:tc>
          <w:tcPr>
            <w:tcW w:w="975" w:type="dxa"/>
            <w:tcBorders>
              <w:top w:val="single" w:sz="4" w:space="0" w:color="auto"/>
              <w:bottom w:val="single" w:sz="12" w:space="0" w:color="auto"/>
            </w:tcBorders>
            <w:shd w:val="clear" w:color="auto" w:fill="auto"/>
            <w:vAlign w:val="center"/>
          </w:tcPr>
          <w:p w14:paraId="027D1206" w14:textId="77777777" w:rsidR="00F50251" w:rsidRPr="00622166" w:rsidRDefault="00F50251" w:rsidP="004F7CAF">
            <w:pPr>
              <w:pStyle w:val="ExhibitText"/>
              <w:jc w:val="center"/>
              <w:rPr>
                <w:b/>
                <w:sz w:val="18"/>
                <w:szCs w:val="18"/>
              </w:rPr>
            </w:pPr>
            <w:r w:rsidRPr="00622166">
              <w:rPr>
                <w:b/>
                <w:sz w:val="18"/>
                <w:szCs w:val="18"/>
              </w:rPr>
              <w:t>2014</w:t>
            </w:r>
          </w:p>
        </w:tc>
        <w:tc>
          <w:tcPr>
            <w:tcW w:w="976" w:type="dxa"/>
            <w:tcBorders>
              <w:top w:val="single" w:sz="4" w:space="0" w:color="auto"/>
              <w:bottom w:val="single" w:sz="12" w:space="0" w:color="auto"/>
            </w:tcBorders>
            <w:shd w:val="clear" w:color="auto" w:fill="auto"/>
            <w:vAlign w:val="center"/>
          </w:tcPr>
          <w:p w14:paraId="13292C0D" w14:textId="77777777" w:rsidR="00F50251" w:rsidRPr="00622166" w:rsidRDefault="00F50251" w:rsidP="004F7CAF">
            <w:pPr>
              <w:pStyle w:val="ExhibitText"/>
              <w:jc w:val="center"/>
              <w:rPr>
                <w:b/>
                <w:sz w:val="18"/>
                <w:szCs w:val="18"/>
              </w:rPr>
            </w:pPr>
            <w:r w:rsidRPr="00622166">
              <w:rPr>
                <w:b/>
                <w:sz w:val="18"/>
                <w:szCs w:val="18"/>
              </w:rPr>
              <w:t>2015</w:t>
            </w:r>
          </w:p>
        </w:tc>
        <w:tc>
          <w:tcPr>
            <w:tcW w:w="975" w:type="dxa"/>
            <w:tcBorders>
              <w:top w:val="single" w:sz="4" w:space="0" w:color="auto"/>
              <w:bottom w:val="single" w:sz="12" w:space="0" w:color="auto"/>
            </w:tcBorders>
            <w:shd w:val="clear" w:color="auto" w:fill="auto"/>
            <w:vAlign w:val="center"/>
          </w:tcPr>
          <w:p w14:paraId="2D8BA739" w14:textId="77777777" w:rsidR="00F50251" w:rsidRPr="00622166" w:rsidRDefault="00F50251" w:rsidP="004F7CAF">
            <w:pPr>
              <w:pStyle w:val="ExhibitText"/>
              <w:jc w:val="center"/>
              <w:rPr>
                <w:b/>
                <w:sz w:val="18"/>
                <w:szCs w:val="18"/>
              </w:rPr>
            </w:pPr>
            <w:r w:rsidRPr="00622166">
              <w:rPr>
                <w:b/>
                <w:sz w:val="18"/>
                <w:szCs w:val="18"/>
              </w:rPr>
              <w:t>2016</w:t>
            </w:r>
          </w:p>
        </w:tc>
        <w:tc>
          <w:tcPr>
            <w:tcW w:w="976" w:type="dxa"/>
            <w:tcBorders>
              <w:top w:val="single" w:sz="4" w:space="0" w:color="auto"/>
              <w:bottom w:val="single" w:sz="12" w:space="0" w:color="auto"/>
            </w:tcBorders>
            <w:shd w:val="clear" w:color="auto" w:fill="auto"/>
            <w:vAlign w:val="center"/>
          </w:tcPr>
          <w:p w14:paraId="619AFE89" w14:textId="77777777" w:rsidR="00F50251" w:rsidRPr="00622166" w:rsidRDefault="00F50251" w:rsidP="004F7CAF">
            <w:pPr>
              <w:pStyle w:val="ExhibitText"/>
              <w:jc w:val="center"/>
              <w:rPr>
                <w:b/>
                <w:sz w:val="18"/>
                <w:szCs w:val="18"/>
              </w:rPr>
            </w:pPr>
            <w:r w:rsidRPr="00622166">
              <w:rPr>
                <w:b/>
                <w:sz w:val="18"/>
                <w:szCs w:val="18"/>
              </w:rPr>
              <w:t>2017</w:t>
            </w:r>
          </w:p>
        </w:tc>
        <w:tc>
          <w:tcPr>
            <w:tcW w:w="1165" w:type="dxa"/>
            <w:tcBorders>
              <w:top w:val="single" w:sz="4" w:space="0" w:color="auto"/>
              <w:bottom w:val="single" w:sz="12" w:space="0" w:color="auto"/>
            </w:tcBorders>
            <w:shd w:val="clear" w:color="auto" w:fill="auto"/>
            <w:vAlign w:val="center"/>
          </w:tcPr>
          <w:p w14:paraId="1223BCE4" w14:textId="1AF9D461" w:rsidR="00F50251" w:rsidRPr="00622166" w:rsidRDefault="00F50251" w:rsidP="004F7CAF">
            <w:pPr>
              <w:pStyle w:val="ExhibitText"/>
              <w:jc w:val="center"/>
              <w:rPr>
                <w:b/>
                <w:sz w:val="18"/>
                <w:szCs w:val="18"/>
              </w:rPr>
            </w:pPr>
            <w:r w:rsidRPr="00622166">
              <w:rPr>
                <w:b/>
                <w:sz w:val="18"/>
                <w:szCs w:val="18"/>
              </w:rPr>
              <w:t>2022</w:t>
            </w:r>
            <w:r w:rsidR="00C85E79" w:rsidRPr="00622166">
              <w:rPr>
                <w:b/>
                <w:sz w:val="18"/>
                <w:szCs w:val="18"/>
              </w:rPr>
              <w:t xml:space="preserve"> (Target)</w:t>
            </w:r>
          </w:p>
        </w:tc>
      </w:tr>
      <w:tr w:rsidR="00622166" w:rsidRPr="00622166" w14:paraId="2BB377AE" w14:textId="77777777" w:rsidTr="004F7CAF">
        <w:trPr>
          <w:trHeight w:val="288"/>
          <w:jc w:val="center"/>
        </w:trPr>
        <w:tc>
          <w:tcPr>
            <w:tcW w:w="2332" w:type="dxa"/>
            <w:tcBorders>
              <w:top w:val="single" w:sz="12" w:space="0" w:color="auto"/>
              <w:bottom w:val="dotted" w:sz="4" w:space="0" w:color="auto"/>
            </w:tcBorders>
            <w:shd w:val="clear" w:color="auto" w:fill="auto"/>
            <w:vAlign w:val="center"/>
          </w:tcPr>
          <w:p w14:paraId="5612CB4E" w14:textId="59E41290" w:rsidR="00F50251" w:rsidRPr="00622166" w:rsidRDefault="00F50251" w:rsidP="003B1928">
            <w:pPr>
              <w:pStyle w:val="ExhibitText"/>
              <w:jc w:val="left"/>
              <w:rPr>
                <w:b/>
                <w:sz w:val="18"/>
                <w:szCs w:val="18"/>
              </w:rPr>
            </w:pPr>
            <w:r w:rsidRPr="00622166">
              <w:rPr>
                <w:b/>
                <w:sz w:val="18"/>
                <w:szCs w:val="18"/>
              </w:rPr>
              <w:t xml:space="preserve">Revenue </w:t>
            </w:r>
            <w:r w:rsidR="00622166">
              <w:rPr>
                <w:b/>
                <w:sz w:val="18"/>
                <w:szCs w:val="18"/>
              </w:rPr>
              <w:t>(CA$)</w:t>
            </w:r>
          </w:p>
        </w:tc>
        <w:tc>
          <w:tcPr>
            <w:tcW w:w="975" w:type="dxa"/>
            <w:tcBorders>
              <w:top w:val="single" w:sz="12" w:space="0" w:color="auto"/>
              <w:bottom w:val="dotted" w:sz="4" w:space="0" w:color="auto"/>
            </w:tcBorders>
            <w:shd w:val="clear" w:color="auto" w:fill="auto"/>
            <w:vAlign w:val="center"/>
          </w:tcPr>
          <w:p w14:paraId="2A0E5B3C" w14:textId="77777777" w:rsidR="00F50251" w:rsidRPr="00622166" w:rsidRDefault="00F50251" w:rsidP="003B1928">
            <w:pPr>
              <w:pStyle w:val="ExhibitText"/>
              <w:jc w:val="right"/>
              <w:rPr>
                <w:sz w:val="18"/>
                <w:szCs w:val="18"/>
              </w:rPr>
            </w:pPr>
            <w:r w:rsidRPr="00622166">
              <w:rPr>
                <w:sz w:val="18"/>
                <w:szCs w:val="18"/>
              </w:rPr>
              <w:t>4,422</w:t>
            </w:r>
          </w:p>
        </w:tc>
        <w:tc>
          <w:tcPr>
            <w:tcW w:w="976" w:type="dxa"/>
            <w:tcBorders>
              <w:top w:val="single" w:sz="12" w:space="0" w:color="auto"/>
              <w:bottom w:val="dotted" w:sz="4" w:space="0" w:color="auto"/>
            </w:tcBorders>
            <w:shd w:val="clear" w:color="auto" w:fill="auto"/>
            <w:vAlign w:val="center"/>
          </w:tcPr>
          <w:p w14:paraId="03CEE37E" w14:textId="77777777" w:rsidR="00F50251" w:rsidRPr="00622166" w:rsidRDefault="00F50251" w:rsidP="003B1928">
            <w:pPr>
              <w:pStyle w:val="ExhibitText"/>
              <w:jc w:val="right"/>
              <w:rPr>
                <w:sz w:val="18"/>
                <w:szCs w:val="18"/>
              </w:rPr>
            </w:pPr>
            <w:r w:rsidRPr="00622166">
              <w:rPr>
                <w:sz w:val="18"/>
                <w:szCs w:val="18"/>
              </w:rPr>
              <w:t>6,961</w:t>
            </w:r>
          </w:p>
        </w:tc>
        <w:tc>
          <w:tcPr>
            <w:tcW w:w="975" w:type="dxa"/>
            <w:tcBorders>
              <w:top w:val="single" w:sz="12" w:space="0" w:color="auto"/>
              <w:bottom w:val="dotted" w:sz="4" w:space="0" w:color="auto"/>
            </w:tcBorders>
            <w:shd w:val="clear" w:color="auto" w:fill="auto"/>
            <w:vAlign w:val="center"/>
          </w:tcPr>
          <w:p w14:paraId="32FA1252" w14:textId="77777777" w:rsidR="00F50251" w:rsidRPr="00622166" w:rsidRDefault="00F50251" w:rsidP="003B1928">
            <w:pPr>
              <w:pStyle w:val="ExhibitText"/>
              <w:jc w:val="right"/>
              <w:rPr>
                <w:sz w:val="18"/>
                <w:szCs w:val="18"/>
              </w:rPr>
            </w:pPr>
            <w:r w:rsidRPr="00622166">
              <w:rPr>
                <w:sz w:val="18"/>
                <w:szCs w:val="18"/>
              </w:rPr>
              <w:t>9,002</w:t>
            </w:r>
          </w:p>
        </w:tc>
        <w:tc>
          <w:tcPr>
            <w:tcW w:w="976" w:type="dxa"/>
            <w:tcBorders>
              <w:top w:val="single" w:sz="12" w:space="0" w:color="auto"/>
              <w:bottom w:val="dotted" w:sz="4" w:space="0" w:color="auto"/>
            </w:tcBorders>
            <w:shd w:val="clear" w:color="auto" w:fill="auto"/>
            <w:vAlign w:val="center"/>
          </w:tcPr>
          <w:p w14:paraId="3E9D9A72" w14:textId="77777777" w:rsidR="00F50251" w:rsidRPr="00622166" w:rsidRDefault="00F50251" w:rsidP="003B1928">
            <w:pPr>
              <w:pStyle w:val="ExhibitText"/>
              <w:jc w:val="right"/>
              <w:rPr>
                <w:sz w:val="18"/>
                <w:szCs w:val="18"/>
              </w:rPr>
            </w:pPr>
            <w:r w:rsidRPr="00622166">
              <w:rPr>
                <w:sz w:val="18"/>
                <w:szCs w:val="18"/>
              </w:rPr>
              <w:t>9,147</w:t>
            </w:r>
          </w:p>
        </w:tc>
        <w:tc>
          <w:tcPr>
            <w:tcW w:w="975" w:type="dxa"/>
            <w:tcBorders>
              <w:top w:val="single" w:sz="12" w:space="0" w:color="auto"/>
              <w:bottom w:val="dotted" w:sz="4" w:space="0" w:color="auto"/>
            </w:tcBorders>
            <w:shd w:val="clear" w:color="auto" w:fill="auto"/>
            <w:vAlign w:val="center"/>
          </w:tcPr>
          <w:p w14:paraId="3F3AEC45" w14:textId="77777777" w:rsidR="00F50251" w:rsidRPr="00622166" w:rsidRDefault="00F50251" w:rsidP="003B1928">
            <w:pPr>
              <w:pStyle w:val="ExhibitText"/>
              <w:jc w:val="right"/>
              <w:rPr>
                <w:sz w:val="18"/>
                <w:szCs w:val="18"/>
              </w:rPr>
            </w:pPr>
            <w:r w:rsidRPr="00622166">
              <w:rPr>
                <w:sz w:val="18"/>
                <w:szCs w:val="18"/>
              </w:rPr>
              <w:t>11,147</w:t>
            </w:r>
          </w:p>
        </w:tc>
        <w:tc>
          <w:tcPr>
            <w:tcW w:w="976" w:type="dxa"/>
            <w:tcBorders>
              <w:top w:val="single" w:sz="12" w:space="0" w:color="auto"/>
              <w:bottom w:val="dotted" w:sz="4" w:space="0" w:color="auto"/>
            </w:tcBorders>
            <w:shd w:val="clear" w:color="auto" w:fill="auto"/>
            <w:vAlign w:val="center"/>
          </w:tcPr>
          <w:p w14:paraId="5286D946" w14:textId="77777777" w:rsidR="00F50251" w:rsidRPr="00622166" w:rsidRDefault="00F50251" w:rsidP="003B1928">
            <w:pPr>
              <w:pStyle w:val="ExhibitText"/>
              <w:jc w:val="right"/>
              <w:rPr>
                <w:sz w:val="18"/>
                <w:szCs w:val="18"/>
              </w:rPr>
            </w:pPr>
            <w:r w:rsidRPr="00622166">
              <w:rPr>
                <w:sz w:val="18"/>
                <w:szCs w:val="18"/>
              </w:rPr>
              <w:t>12,482</w:t>
            </w:r>
          </w:p>
        </w:tc>
        <w:tc>
          <w:tcPr>
            <w:tcW w:w="1165" w:type="dxa"/>
            <w:tcBorders>
              <w:top w:val="single" w:sz="12" w:space="0" w:color="auto"/>
              <w:bottom w:val="dotted" w:sz="4" w:space="0" w:color="auto"/>
            </w:tcBorders>
            <w:shd w:val="clear" w:color="auto" w:fill="auto"/>
            <w:vAlign w:val="center"/>
          </w:tcPr>
          <w:p w14:paraId="1A4A33D7" w14:textId="77777777" w:rsidR="00F50251" w:rsidRPr="00622166" w:rsidRDefault="00F50251" w:rsidP="003B1928">
            <w:pPr>
              <w:pStyle w:val="ExhibitText"/>
              <w:jc w:val="right"/>
              <w:rPr>
                <w:b/>
                <w:sz w:val="18"/>
                <w:szCs w:val="18"/>
              </w:rPr>
            </w:pPr>
            <w:r w:rsidRPr="00622166">
              <w:rPr>
                <w:b/>
                <w:sz w:val="18"/>
                <w:szCs w:val="18"/>
              </w:rPr>
              <w:t>50,000,000</w:t>
            </w:r>
          </w:p>
        </w:tc>
      </w:tr>
      <w:tr w:rsidR="00622166" w:rsidRPr="00622166" w14:paraId="204F0FC3" w14:textId="77777777" w:rsidTr="001C33F3">
        <w:trPr>
          <w:trHeight w:val="288"/>
          <w:jc w:val="center"/>
        </w:trPr>
        <w:tc>
          <w:tcPr>
            <w:tcW w:w="2332" w:type="dxa"/>
            <w:tcBorders>
              <w:top w:val="dotted" w:sz="4" w:space="0" w:color="auto"/>
              <w:bottom w:val="dotted" w:sz="4" w:space="0" w:color="auto"/>
            </w:tcBorders>
            <w:shd w:val="clear" w:color="auto" w:fill="auto"/>
            <w:vAlign w:val="center"/>
          </w:tcPr>
          <w:p w14:paraId="1F030702" w14:textId="79E7D6E8" w:rsidR="00F50251" w:rsidRPr="00622166" w:rsidRDefault="00C85E79" w:rsidP="003B1928">
            <w:pPr>
              <w:pStyle w:val="ExhibitText"/>
              <w:jc w:val="left"/>
              <w:rPr>
                <w:b/>
                <w:sz w:val="18"/>
                <w:szCs w:val="18"/>
              </w:rPr>
            </w:pPr>
            <w:r w:rsidRPr="00622166">
              <w:rPr>
                <w:b/>
                <w:sz w:val="18"/>
                <w:szCs w:val="18"/>
              </w:rPr>
              <w:t>Labour</w:t>
            </w:r>
            <w:r w:rsidR="00F50251" w:rsidRPr="00622166">
              <w:rPr>
                <w:b/>
                <w:sz w:val="18"/>
                <w:szCs w:val="18"/>
              </w:rPr>
              <w:t xml:space="preserve"> </w:t>
            </w:r>
            <w:r w:rsidR="003B1928" w:rsidRPr="00622166">
              <w:rPr>
                <w:b/>
                <w:sz w:val="18"/>
                <w:szCs w:val="18"/>
              </w:rPr>
              <w:t>and other costs</w:t>
            </w:r>
            <w:r w:rsidR="00622166">
              <w:rPr>
                <w:b/>
                <w:sz w:val="18"/>
                <w:szCs w:val="18"/>
              </w:rPr>
              <w:t xml:space="preserve"> (CA$)</w:t>
            </w:r>
          </w:p>
        </w:tc>
        <w:tc>
          <w:tcPr>
            <w:tcW w:w="975" w:type="dxa"/>
            <w:tcBorders>
              <w:top w:val="dotted" w:sz="4" w:space="0" w:color="auto"/>
              <w:bottom w:val="dotted" w:sz="4" w:space="0" w:color="auto"/>
            </w:tcBorders>
            <w:shd w:val="clear" w:color="auto" w:fill="auto"/>
            <w:vAlign w:val="center"/>
          </w:tcPr>
          <w:p w14:paraId="5230A56D" w14:textId="605EE3B8" w:rsidR="00F50251" w:rsidRPr="00622166" w:rsidRDefault="00F50251" w:rsidP="003B1928">
            <w:pPr>
              <w:pStyle w:val="ExhibitText"/>
              <w:jc w:val="right"/>
              <w:rPr>
                <w:sz w:val="18"/>
                <w:szCs w:val="18"/>
              </w:rPr>
            </w:pPr>
            <w:r w:rsidRPr="00622166">
              <w:rPr>
                <w:sz w:val="18"/>
                <w:szCs w:val="18"/>
              </w:rPr>
              <w:t>4,161</w:t>
            </w:r>
          </w:p>
        </w:tc>
        <w:tc>
          <w:tcPr>
            <w:tcW w:w="976" w:type="dxa"/>
            <w:tcBorders>
              <w:top w:val="dotted" w:sz="4" w:space="0" w:color="auto"/>
              <w:bottom w:val="dotted" w:sz="4" w:space="0" w:color="auto"/>
            </w:tcBorders>
            <w:shd w:val="clear" w:color="auto" w:fill="auto"/>
            <w:vAlign w:val="center"/>
          </w:tcPr>
          <w:p w14:paraId="2F472E4D" w14:textId="732C2441" w:rsidR="00F50251" w:rsidRPr="00622166" w:rsidRDefault="006F6578" w:rsidP="003B1928">
            <w:pPr>
              <w:pStyle w:val="ExhibitText"/>
              <w:jc w:val="right"/>
              <w:rPr>
                <w:sz w:val="18"/>
                <w:szCs w:val="18"/>
              </w:rPr>
            </w:pPr>
            <w:r w:rsidRPr="00622166">
              <w:rPr>
                <w:sz w:val="18"/>
                <w:szCs w:val="18"/>
              </w:rPr>
              <w:t>…</w:t>
            </w:r>
          </w:p>
        </w:tc>
        <w:tc>
          <w:tcPr>
            <w:tcW w:w="975" w:type="dxa"/>
            <w:tcBorders>
              <w:top w:val="dotted" w:sz="4" w:space="0" w:color="auto"/>
              <w:bottom w:val="dotted" w:sz="4" w:space="0" w:color="auto"/>
            </w:tcBorders>
            <w:shd w:val="clear" w:color="auto" w:fill="auto"/>
            <w:vAlign w:val="center"/>
          </w:tcPr>
          <w:p w14:paraId="58C8026F" w14:textId="7F77D5B5" w:rsidR="00F50251" w:rsidRPr="00622166" w:rsidRDefault="006F6578" w:rsidP="003B1928">
            <w:pPr>
              <w:pStyle w:val="ExhibitText"/>
              <w:jc w:val="right"/>
              <w:rPr>
                <w:sz w:val="18"/>
                <w:szCs w:val="18"/>
              </w:rPr>
            </w:pPr>
            <w:r w:rsidRPr="00622166">
              <w:rPr>
                <w:sz w:val="18"/>
                <w:szCs w:val="18"/>
              </w:rPr>
              <w:t>…</w:t>
            </w:r>
          </w:p>
        </w:tc>
        <w:tc>
          <w:tcPr>
            <w:tcW w:w="976" w:type="dxa"/>
            <w:tcBorders>
              <w:top w:val="dotted" w:sz="4" w:space="0" w:color="auto"/>
              <w:bottom w:val="dotted" w:sz="4" w:space="0" w:color="auto"/>
            </w:tcBorders>
            <w:shd w:val="clear" w:color="auto" w:fill="auto"/>
            <w:vAlign w:val="center"/>
          </w:tcPr>
          <w:p w14:paraId="0C123A96" w14:textId="334E89F3" w:rsidR="00F50251" w:rsidRPr="00622166" w:rsidRDefault="006F6578" w:rsidP="003B1928">
            <w:pPr>
              <w:pStyle w:val="ExhibitText"/>
              <w:jc w:val="right"/>
              <w:rPr>
                <w:sz w:val="18"/>
                <w:szCs w:val="18"/>
              </w:rPr>
            </w:pPr>
            <w:r w:rsidRPr="00622166">
              <w:rPr>
                <w:sz w:val="18"/>
                <w:szCs w:val="18"/>
              </w:rPr>
              <w:t>…</w:t>
            </w:r>
          </w:p>
        </w:tc>
        <w:tc>
          <w:tcPr>
            <w:tcW w:w="975" w:type="dxa"/>
            <w:tcBorders>
              <w:top w:val="dotted" w:sz="4" w:space="0" w:color="auto"/>
              <w:bottom w:val="dotted" w:sz="4" w:space="0" w:color="auto"/>
            </w:tcBorders>
            <w:shd w:val="clear" w:color="auto" w:fill="auto"/>
            <w:vAlign w:val="center"/>
          </w:tcPr>
          <w:p w14:paraId="325E534D" w14:textId="77777777" w:rsidR="00F50251" w:rsidRPr="00622166" w:rsidRDefault="00F50251" w:rsidP="003B1928">
            <w:pPr>
              <w:pStyle w:val="ExhibitText"/>
              <w:jc w:val="right"/>
              <w:rPr>
                <w:sz w:val="18"/>
                <w:szCs w:val="18"/>
              </w:rPr>
            </w:pPr>
            <w:r w:rsidRPr="00622166">
              <w:rPr>
                <w:sz w:val="18"/>
                <w:szCs w:val="18"/>
              </w:rPr>
              <w:t>9,010</w:t>
            </w:r>
          </w:p>
        </w:tc>
        <w:tc>
          <w:tcPr>
            <w:tcW w:w="976" w:type="dxa"/>
            <w:tcBorders>
              <w:top w:val="dotted" w:sz="4" w:space="0" w:color="auto"/>
              <w:bottom w:val="dotted" w:sz="4" w:space="0" w:color="auto"/>
            </w:tcBorders>
            <w:shd w:val="clear" w:color="auto" w:fill="auto"/>
            <w:vAlign w:val="center"/>
          </w:tcPr>
          <w:p w14:paraId="67AE7D66" w14:textId="77777777" w:rsidR="00F50251" w:rsidRPr="00622166" w:rsidRDefault="00F50251" w:rsidP="003B1928">
            <w:pPr>
              <w:pStyle w:val="ExhibitText"/>
              <w:jc w:val="right"/>
              <w:rPr>
                <w:sz w:val="18"/>
                <w:szCs w:val="18"/>
              </w:rPr>
            </w:pPr>
            <w:r w:rsidRPr="00622166">
              <w:rPr>
                <w:sz w:val="18"/>
                <w:szCs w:val="18"/>
              </w:rPr>
              <w:t>11,125</w:t>
            </w:r>
          </w:p>
        </w:tc>
        <w:tc>
          <w:tcPr>
            <w:tcW w:w="1165" w:type="dxa"/>
            <w:tcBorders>
              <w:top w:val="dotted" w:sz="4" w:space="0" w:color="auto"/>
              <w:bottom w:val="dotted" w:sz="4" w:space="0" w:color="auto"/>
            </w:tcBorders>
            <w:shd w:val="clear" w:color="auto" w:fill="auto"/>
            <w:vAlign w:val="center"/>
          </w:tcPr>
          <w:p w14:paraId="2C0D9663" w14:textId="77777777" w:rsidR="00F50251" w:rsidRPr="00622166" w:rsidRDefault="00F50251" w:rsidP="003B1928">
            <w:pPr>
              <w:pStyle w:val="ExhibitText"/>
              <w:jc w:val="right"/>
              <w:rPr>
                <w:b/>
                <w:sz w:val="18"/>
                <w:szCs w:val="18"/>
              </w:rPr>
            </w:pPr>
          </w:p>
        </w:tc>
      </w:tr>
      <w:tr w:rsidR="00622166" w:rsidRPr="00622166" w14:paraId="6E9B71B7" w14:textId="77777777" w:rsidTr="001C33F3">
        <w:trPr>
          <w:trHeight w:val="288"/>
          <w:jc w:val="center"/>
        </w:trPr>
        <w:tc>
          <w:tcPr>
            <w:tcW w:w="2332" w:type="dxa"/>
            <w:tcBorders>
              <w:top w:val="dotted" w:sz="4" w:space="0" w:color="auto"/>
              <w:bottom w:val="dotted" w:sz="4" w:space="0" w:color="auto"/>
            </w:tcBorders>
            <w:shd w:val="clear" w:color="auto" w:fill="auto"/>
            <w:vAlign w:val="center"/>
          </w:tcPr>
          <w:p w14:paraId="141C5D5F" w14:textId="64579193" w:rsidR="00F50251" w:rsidRPr="00622166" w:rsidRDefault="00C85E79" w:rsidP="003B1928">
            <w:pPr>
              <w:pStyle w:val="ExhibitText"/>
              <w:jc w:val="left"/>
              <w:rPr>
                <w:b/>
                <w:sz w:val="18"/>
                <w:szCs w:val="18"/>
              </w:rPr>
            </w:pPr>
            <w:r w:rsidRPr="00622166">
              <w:rPr>
                <w:b/>
                <w:sz w:val="18"/>
                <w:szCs w:val="18"/>
              </w:rPr>
              <w:t xml:space="preserve">Labour </w:t>
            </w:r>
            <w:r w:rsidR="003B1928" w:rsidRPr="00622166">
              <w:rPr>
                <w:b/>
                <w:sz w:val="18"/>
                <w:szCs w:val="18"/>
              </w:rPr>
              <w:t>and other costs as % of revenue</w:t>
            </w:r>
          </w:p>
        </w:tc>
        <w:tc>
          <w:tcPr>
            <w:tcW w:w="975" w:type="dxa"/>
            <w:tcBorders>
              <w:top w:val="dotted" w:sz="4" w:space="0" w:color="auto"/>
              <w:bottom w:val="dotted" w:sz="4" w:space="0" w:color="auto"/>
            </w:tcBorders>
            <w:shd w:val="clear" w:color="auto" w:fill="auto"/>
            <w:vAlign w:val="center"/>
          </w:tcPr>
          <w:p w14:paraId="1F36BB76" w14:textId="77777777" w:rsidR="00F50251" w:rsidRPr="00622166" w:rsidRDefault="00F50251" w:rsidP="003B1928">
            <w:pPr>
              <w:pStyle w:val="ExhibitText"/>
              <w:jc w:val="right"/>
              <w:rPr>
                <w:sz w:val="18"/>
                <w:szCs w:val="18"/>
              </w:rPr>
            </w:pPr>
            <w:r w:rsidRPr="00622166">
              <w:rPr>
                <w:sz w:val="18"/>
                <w:szCs w:val="18"/>
              </w:rPr>
              <w:t>94</w:t>
            </w:r>
          </w:p>
        </w:tc>
        <w:tc>
          <w:tcPr>
            <w:tcW w:w="976" w:type="dxa"/>
            <w:tcBorders>
              <w:top w:val="dotted" w:sz="4" w:space="0" w:color="auto"/>
              <w:bottom w:val="dotted" w:sz="4" w:space="0" w:color="auto"/>
            </w:tcBorders>
            <w:shd w:val="clear" w:color="auto" w:fill="auto"/>
            <w:vAlign w:val="center"/>
          </w:tcPr>
          <w:p w14:paraId="11C26F51" w14:textId="670EF93B" w:rsidR="00F50251" w:rsidRPr="00622166" w:rsidRDefault="006F6578" w:rsidP="003B1928">
            <w:pPr>
              <w:pStyle w:val="ExhibitText"/>
              <w:jc w:val="right"/>
              <w:rPr>
                <w:sz w:val="18"/>
                <w:szCs w:val="18"/>
              </w:rPr>
            </w:pPr>
            <w:r w:rsidRPr="00622166">
              <w:rPr>
                <w:sz w:val="18"/>
                <w:szCs w:val="18"/>
              </w:rPr>
              <w:t>…</w:t>
            </w:r>
          </w:p>
        </w:tc>
        <w:tc>
          <w:tcPr>
            <w:tcW w:w="975" w:type="dxa"/>
            <w:tcBorders>
              <w:top w:val="dotted" w:sz="4" w:space="0" w:color="auto"/>
              <w:bottom w:val="dotted" w:sz="4" w:space="0" w:color="auto"/>
            </w:tcBorders>
            <w:shd w:val="clear" w:color="auto" w:fill="auto"/>
            <w:vAlign w:val="center"/>
          </w:tcPr>
          <w:p w14:paraId="6B353AE8" w14:textId="447C30FD" w:rsidR="00F50251" w:rsidRPr="00622166" w:rsidRDefault="006F6578" w:rsidP="003B1928">
            <w:pPr>
              <w:pStyle w:val="ExhibitText"/>
              <w:jc w:val="right"/>
              <w:rPr>
                <w:sz w:val="18"/>
                <w:szCs w:val="18"/>
              </w:rPr>
            </w:pPr>
            <w:r w:rsidRPr="00622166">
              <w:rPr>
                <w:sz w:val="18"/>
                <w:szCs w:val="18"/>
              </w:rPr>
              <w:t>…</w:t>
            </w:r>
          </w:p>
        </w:tc>
        <w:tc>
          <w:tcPr>
            <w:tcW w:w="976" w:type="dxa"/>
            <w:tcBorders>
              <w:top w:val="dotted" w:sz="4" w:space="0" w:color="auto"/>
              <w:bottom w:val="dotted" w:sz="4" w:space="0" w:color="auto"/>
            </w:tcBorders>
            <w:shd w:val="clear" w:color="auto" w:fill="auto"/>
            <w:vAlign w:val="center"/>
          </w:tcPr>
          <w:p w14:paraId="7421D73B" w14:textId="6B702A9B" w:rsidR="00F50251" w:rsidRPr="00622166" w:rsidRDefault="006F6578" w:rsidP="003B1928">
            <w:pPr>
              <w:pStyle w:val="ExhibitText"/>
              <w:jc w:val="right"/>
              <w:rPr>
                <w:sz w:val="18"/>
                <w:szCs w:val="18"/>
              </w:rPr>
            </w:pPr>
            <w:r w:rsidRPr="00622166">
              <w:rPr>
                <w:sz w:val="18"/>
                <w:szCs w:val="18"/>
              </w:rPr>
              <w:t>…</w:t>
            </w:r>
          </w:p>
        </w:tc>
        <w:tc>
          <w:tcPr>
            <w:tcW w:w="975" w:type="dxa"/>
            <w:tcBorders>
              <w:top w:val="dotted" w:sz="4" w:space="0" w:color="auto"/>
              <w:bottom w:val="dotted" w:sz="4" w:space="0" w:color="auto"/>
            </w:tcBorders>
            <w:shd w:val="clear" w:color="auto" w:fill="auto"/>
            <w:vAlign w:val="center"/>
          </w:tcPr>
          <w:p w14:paraId="514AE380" w14:textId="77777777" w:rsidR="00F50251" w:rsidRPr="00622166" w:rsidRDefault="00F50251" w:rsidP="003B1928">
            <w:pPr>
              <w:pStyle w:val="ExhibitText"/>
              <w:jc w:val="right"/>
              <w:rPr>
                <w:sz w:val="18"/>
                <w:szCs w:val="18"/>
              </w:rPr>
            </w:pPr>
            <w:r w:rsidRPr="00622166">
              <w:rPr>
                <w:sz w:val="18"/>
                <w:szCs w:val="18"/>
              </w:rPr>
              <w:t>81</w:t>
            </w:r>
          </w:p>
        </w:tc>
        <w:tc>
          <w:tcPr>
            <w:tcW w:w="976" w:type="dxa"/>
            <w:tcBorders>
              <w:top w:val="dotted" w:sz="4" w:space="0" w:color="auto"/>
              <w:bottom w:val="dotted" w:sz="4" w:space="0" w:color="auto"/>
            </w:tcBorders>
            <w:shd w:val="clear" w:color="auto" w:fill="auto"/>
            <w:vAlign w:val="center"/>
          </w:tcPr>
          <w:p w14:paraId="41068316" w14:textId="77777777" w:rsidR="00F50251" w:rsidRPr="00622166" w:rsidRDefault="00F50251" w:rsidP="003B1928">
            <w:pPr>
              <w:pStyle w:val="ExhibitText"/>
              <w:jc w:val="right"/>
              <w:rPr>
                <w:sz w:val="18"/>
                <w:szCs w:val="18"/>
              </w:rPr>
            </w:pPr>
            <w:r w:rsidRPr="00622166">
              <w:rPr>
                <w:sz w:val="18"/>
                <w:szCs w:val="18"/>
              </w:rPr>
              <w:t>84</w:t>
            </w:r>
          </w:p>
        </w:tc>
        <w:tc>
          <w:tcPr>
            <w:tcW w:w="1165" w:type="dxa"/>
            <w:tcBorders>
              <w:top w:val="dotted" w:sz="4" w:space="0" w:color="auto"/>
              <w:bottom w:val="dotted" w:sz="4" w:space="0" w:color="auto"/>
            </w:tcBorders>
            <w:shd w:val="clear" w:color="auto" w:fill="auto"/>
            <w:vAlign w:val="center"/>
          </w:tcPr>
          <w:p w14:paraId="31DFB7D0" w14:textId="77777777" w:rsidR="00F50251" w:rsidRPr="00622166" w:rsidRDefault="00F50251" w:rsidP="003B1928">
            <w:pPr>
              <w:pStyle w:val="ExhibitText"/>
              <w:jc w:val="right"/>
              <w:rPr>
                <w:b/>
                <w:sz w:val="18"/>
                <w:szCs w:val="18"/>
              </w:rPr>
            </w:pPr>
          </w:p>
        </w:tc>
      </w:tr>
      <w:tr w:rsidR="00622166" w:rsidRPr="00622166" w14:paraId="110ACA2F" w14:textId="77777777" w:rsidTr="001C33F3">
        <w:trPr>
          <w:trHeight w:val="288"/>
          <w:jc w:val="center"/>
        </w:trPr>
        <w:tc>
          <w:tcPr>
            <w:tcW w:w="2332" w:type="dxa"/>
            <w:tcBorders>
              <w:top w:val="dotted" w:sz="4" w:space="0" w:color="auto"/>
              <w:bottom w:val="dotted" w:sz="4" w:space="0" w:color="auto"/>
            </w:tcBorders>
            <w:shd w:val="clear" w:color="auto" w:fill="auto"/>
            <w:vAlign w:val="center"/>
          </w:tcPr>
          <w:p w14:paraId="5C665A70" w14:textId="085646FE" w:rsidR="00F50251" w:rsidRPr="00622166" w:rsidRDefault="00C85E79" w:rsidP="003B1928">
            <w:pPr>
              <w:pStyle w:val="ExhibitText"/>
              <w:jc w:val="left"/>
              <w:rPr>
                <w:b/>
                <w:sz w:val="18"/>
                <w:szCs w:val="18"/>
              </w:rPr>
            </w:pPr>
            <w:r w:rsidRPr="00622166">
              <w:rPr>
                <w:b/>
                <w:sz w:val="18"/>
                <w:szCs w:val="18"/>
              </w:rPr>
              <w:t xml:space="preserve">Labour </w:t>
            </w:r>
            <w:r w:rsidR="003B1928" w:rsidRPr="00622166">
              <w:rPr>
                <w:b/>
                <w:sz w:val="18"/>
                <w:szCs w:val="18"/>
              </w:rPr>
              <w:t>hours per week</w:t>
            </w:r>
            <w:r w:rsidR="00622166" w:rsidRPr="00622166">
              <w:rPr>
                <w:b/>
                <w:sz w:val="18"/>
                <w:szCs w:val="18"/>
              </w:rPr>
              <w:t>:</w:t>
            </w:r>
          </w:p>
          <w:p w14:paraId="5DA85653" w14:textId="7DB23C03" w:rsidR="00F50251" w:rsidRPr="00622166" w:rsidRDefault="00622166" w:rsidP="003B1928">
            <w:pPr>
              <w:pStyle w:val="ExhibitText"/>
              <w:jc w:val="left"/>
              <w:rPr>
                <w:b/>
                <w:sz w:val="18"/>
                <w:szCs w:val="18"/>
              </w:rPr>
            </w:pPr>
            <w:r w:rsidRPr="00622166">
              <w:rPr>
                <w:b/>
                <w:sz w:val="18"/>
                <w:szCs w:val="18"/>
              </w:rPr>
              <w:t xml:space="preserve">• </w:t>
            </w:r>
            <w:r w:rsidR="003B1928" w:rsidRPr="00622166">
              <w:rPr>
                <w:b/>
                <w:sz w:val="18"/>
                <w:szCs w:val="18"/>
              </w:rPr>
              <w:t>home care</w:t>
            </w:r>
          </w:p>
          <w:p w14:paraId="1E048D9D" w14:textId="79557179" w:rsidR="00F50251" w:rsidRPr="00622166" w:rsidRDefault="00622166" w:rsidP="003B1928">
            <w:pPr>
              <w:pStyle w:val="ExhibitText"/>
              <w:jc w:val="left"/>
              <w:rPr>
                <w:b/>
                <w:sz w:val="18"/>
                <w:szCs w:val="18"/>
              </w:rPr>
            </w:pPr>
            <w:r w:rsidRPr="00622166">
              <w:rPr>
                <w:b/>
                <w:sz w:val="18"/>
                <w:szCs w:val="18"/>
              </w:rPr>
              <w:t xml:space="preserve">• </w:t>
            </w:r>
            <w:r w:rsidR="003B1928" w:rsidRPr="00622166">
              <w:rPr>
                <w:b/>
                <w:sz w:val="18"/>
                <w:szCs w:val="18"/>
              </w:rPr>
              <w:t>family support</w:t>
            </w:r>
          </w:p>
        </w:tc>
        <w:tc>
          <w:tcPr>
            <w:tcW w:w="975" w:type="dxa"/>
            <w:tcBorders>
              <w:top w:val="dotted" w:sz="4" w:space="0" w:color="auto"/>
              <w:bottom w:val="dotted" w:sz="4" w:space="0" w:color="auto"/>
            </w:tcBorders>
            <w:shd w:val="clear" w:color="auto" w:fill="auto"/>
            <w:vAlign w:val="center"/>
          </w:tcPr>
          <w:p w14:paraId="2FB9833F" w14:textId="77777777" w:rsidR="00F50251" w:rsidRPr="00622166" w:rsidRDefault="00F50251" w:rsidP="003B1928">
            <w:pPr>
              <w:pStyle w:val="ExhibitText"/>
              <w:jc w:val="right"/>
              <w:rPr>
                <w:sz w:val="18"/>
                <w:szCs w:val="18"/>
              </w:rPr>
            </w:pPr>
            <w:r w:rsidRPr="00622166">
              <w:rPr>
                <w:sz w:val="18"/>
                <w:szCs w:val="18"/>
              </w:rPr>
              <w:t>5,634</w:t>
            </w:r>
          </w:p>
          <w:p w14:paraId="53FA23B7" w14:textId="77777777" w:rsidR="00C85E79" w:rsidRPr="00622166" w:rsidRDefault="00C85E79" w:rsidP="003B1928">
            <w:pPr>
              <w:pStyle w:val="ExhibitText"/>
              <w:jc w:val="right"/>
              <w:rPr>
                <w:sz w:val="18"/>
                <w:szCs w:val="18"/>
              </w:rPr>
            </w:pPr>
          </w:p>
          <w:p w14:paraId="7AECDF1A" w14:textId="296CF4DA" w:rsidR="00F50251" w:rsidRPr="00622166" w:rsidRDefault="00F50251" w:rsidP="003B1928">
            <w:pPr>
              <w:pStyle w:val="ExhibitText"/>
              <w:jc w:val="right"/>
              <w:rPr>
                <w:sz w:val="18"/>
                <w:szCs w:val="18"/>
              </w:rPr>
            </w:pPr>
            <w:r w:rsidRPr="00622166">
              <w:rPr>
                <w:sz w:val="18"/>
                <w:szCs w:val="18"/>
              </w:rPr>
              <w:t>5,334</w:t>
            </w:r>
          </w:p>
          <w:p w14:paraId="6C37D2C4" w14:textId="77777777" w:rsidR="00F50251" w:rsidRPr="00622166" w:rsidRDefault="00F50251" w:rsidP="003B1928">
            <w:pPr>
              <w:pStyle w:val="ExhibitText"/>
              <w:jc w:val="right"/>
              <w:rPr>
                <w:sz w:val="18"/>
                <w:szCs w:val="18"/>
              </w:rPr>
            </w:pPr>
            <w:r w:rsidRPr="00622166">
              <w:rPr>
                <w:sz w:val="18"/>
                <w:szCs w:val="18"/>
              </w:rPr>
              <w:t>300</w:t>
            </w:r>
          </w:p>
        </w:tc>
        <w:tc>
          <w:tcPr>
            <w:tcW w:w="976" w:type="dxa"/>
            <w:tcBorders>
              <w:top w:val="dotted" w:sz="4" w:space="0" w:color="auto"/>
              <w:bottom w:val="dotted" w:sz="4" w:space="0" w:color="auto"/>
            </w:tcBorders>
            <w:shd w:val="clear" w:color="auto" w:fill="auto"/>
            <w:vAlign w:val="center"/>
          </w:tcPr>
          <w:p w14:paraId="349D9FD1" w14:textId="491F6E33" w:rsidR="00F50251" w:rsidRPr="00622166" w:rsidRDefault="006F6578" w:rsidP="003B1928">
            <w:pPr>
              <w:pStyle w:val="ExhibitText"/>
              <w:jc w:val="right"/>
              <w:rPr>
                <w:sz w:val="18"/>
                <w:szCs w:val="18"/>
              </w:rPr>
            </w:pPr>
            <w:r w:rsidRPr="00622166">
              <w:rPr>
                <w:sz w:val="18"/>
                <w:szCs w:val="18"/>
              </w:rPr>
              <w:t>…</w:t>
            </w:r>
          </w:p>
        </w:tc>
        <w:tc>
          <w:tcPr>
            <w:tcW w:w="975" w:type="dxa"/>
            <w:tcBorders>
              <w:top w:val="dotted" w:sz="4" w:space="0" w:color="auto"/>
              <w:bottom w:val="dotted" w:sz="4" w:space="0" w:color="auto"/>
            </w:tcBorders>
            <w:shd w:val="clear" w:color="auto" w:fill="auto"/>
            <w:vAlign w:val="center"/>
          </w:tcPr>
          <w:p w14:paraId="1E08DD16" w14:textId="55D377F6" w:rsidR="00F50251" w:rsidRPr="00622166" w:rsidRDefault="006F6578" w:rsidP="003B1928">
            <w:pPr>
              <w:pStyle w:val="ExhibitText"/>
              <w:jc w:val="right"/>
              <w:rPr>
                <w:sz w:val="18"/>
                <w:szCs w:val="18"/>
              </w:rPr>
            </w:pPr>
            <w:r w:rsidRPr="00622166">
              <w:rPr>
                <w:sz w:val="18"/>
                <w:szCs w:val="18"/>
              </w:rPr>
              <w:t>…</w:t>
            </w:r>
          </w:p>
        </w:tc>
        <w:tc>
          <w:tcPr>
            <w:tcW w:w="976" w:type="dxa"/>
            <w:tcBorders>
              <w:top w:val="dotted" w:sz="4" w:space="0" w:color="auto"/>
              <w:bottom w:val="dotted" w:sz="4" w:space="0" w:color="auto"/>
            </w:tcBorders>
            <w:shd w:val="clear" w:color="auto" w:fill="auto"/>
            <w:vAlign w:val="center"/>
          </w:tcPr>
          <w:p w14:paraId="55164565" w14:textId="2CAE059D" w:rsidR="00F50251" w:rsidRPr="00622166" w:rsidRDefault="006F6578" w:rsidP="003B1928">
            <w:pPr>
              <w:pStyle w:val="ExhibitText"/>
              <w:jc w:val="right"/>
              <w:rPr>
                <w:sz w:val="18"/>
                <w:szCs w:val="18"/>
              </w:rPr>
            </w:pPr>
            <w:r w:rsidRPr="00622166">
              <w:rPr>
                <w:sz w:val="18"/>
                <w:szCs w:val="18"/>
              </w:rPr>
              <w:t>…</w:t>
            </w:r>
          </w:p>
        </w:tc>
        <w:tc>
          <w:tcPr>
            <w:tcW w:w="975" w:type="dxa"/>
            <w:tcBorders>
              <w:top w:val="dotted" w:sz="4" w:space="0" w:color="auto"/>
              <w:bottom w:val="dotted" w:sz="4" w:space="0" w:color="auto"/>
            </w:tcBorders>
            <w:shd w:val="clear" w:color="auto" w:fill="auto"/>
            <w:vAlign w:val="center"/>
          </w:tcPr>
          <w:p w14:paraId="52711A91" w14:textId="77777777" w:rsidR="00F50251" w:rsidRPr="00622166" w:rsidRDefault="00F50251" w:rsidP="003B1928">
            <w:pPr>
              <w:pStyle w:val="ExhibitText"/>
              <w:jc w:val="right"/>
              <w:rPr>
                <w:sz w:val="18"/>
                <w:szCs w:val="18"/>
              </w:rPr>
            </w:pPr>
            <w:r w:rsidRPr="00622166">
              <w:rPr>
                <w:sz w:val="18"/>
                <w:szCs w:val="18"/>
              </w:rPr>
              <w:t>10,558</w:t>
            </w:r>
          </w:p>
          <w:p w14:paraId="584CDC2C" w14:textId="77777777" w:rsidR="00C85E79" w:rsidRPr="00622166" w:rsidRDefault="00C85E79" w:rsidP="003B1928">
            <w:pPr>
              <w:pStyle w:val="ExhibitText"/>
              <w:jc w:val="right"/>
              <w:rPr>
                <w:sz w:val="18"/>
                <w:szCs w:val="18"/>
              </w:rPr>
            </w:pPr>
          </w:p>
          <w:p w14:paraId="58151593" w14:textId="2306D602" w:rsidR="00F50251" w:rsidRPr="00622166" w:rsidRDefault="00F50251" w:rsidP="003B1928">
            <w:pPr>
              <w:pStyle w:val="ExhibitText"/>
              <w:jc w:val="right"/>
              <w:rPr>
                <w:sz w:val="18"/>
                <w:szCs w:val="18"/>
              </w:rPr>
            </w:pPr>
            <w:r w:rsidRPr="00622166">
              <w:rPr>
                <w:sz w:val="18"/>
                <w:szCs w:val="18"/>
              </w:rPr>
              <w:t>9,908</w:t>
            </w:r>
          </w:p>
          <w:p w14:paraId="3BE98DA2" w14:textId="77777777" w:rsidR="00F50251" w:rsidRPr="00622166" w:rsidRDefault="00F50251" w:rsidP="003B1928">
            <w:pPr>
              <w:pStyle w:val="ExhibitText"/>
              <w:jc w:val="right"/>
              <w:rPr>
                <w:sz w:val="18"/>
                <w:szCs w:val="18"/>
              </w:rPr>
            </w:pPr>
            <w:r w:rsidRPr="00622166">
              <w:rPr>
                <w:sz w:val="18"/>
                <w:szCs w:val="18"/>
              </w:rPr>
              <w:t>650</w:t>
            </w:r>
          </w:p>
        </w:tc>
        <w:tc>
          <w:tcPr>
            <w:tcW w:w="976" w:type="dxa"/>
            <w:tcBorders>
              <w:top w:val="dotted" w:sz="4" w:space="0" w:color="auto"/>
              <w:bottom w:val="dotted" w:sz="4" w:space="0" w:color="auto"/>
            </w:tcBorders>
            <w:shd w:val="clear" w:color="auto" w:fill="auto"/>
            <w:vAlign w:val="center"/>
          </w:tcPr>
          <w:p w14:paraId="09EB428B" w14:textId="77777777" w:rsidR="00F50251" w:rsidRPr="00622166" w:rsidRDefault="00F50251" w:rsidP="003B1928">
            <w:pPr>
              <w:pStyle w:val="ExhibitText"/>
              <w:jc w:val="right"/>
              <w:rPr>
                <w:sz w:val="18"/>
                <w:szCs w:val="18"/>
              </w:rPr>
            </w:pPr>
            <w:r w:rsidRPr="00622166">
              <w:rPr>
                <w:sz w:val="18"/>
                <w:szCs w:val="18"/>
              </w:rPr>
              <w:t>12,327</w:t>
            </w:r>
          </w:p>
          <w:p w14:paraId="0D53BBF8" w14:textId="77777777" w:rsidR="00C85E79" w:rsidRPr="00622166" w:rsidRDefault="00C85E79" w:rsidP="003B1928">
            <w:pPr>
              <w:pStyle w:val="ExhibitText"/>
              <w:jc w:val="right"/>
              <w:rPr>
                <w:sz w:val="18"/>
                <w:szCs w:val="18"/>
              </w:rPr>
            </w:pPr>
          </w:p>
          <w:p w14:paraId="216474F0" w14:textId="17A76ED6" w:rsidR="00F50251" w:rsidRPr="00622166" w:rsidRDefault="00F50251" w:rsidP="003B1928">
            <w:pPr>
              <w:pStyle w:val="ExhibitText"/>
              <w:jc w:val="right"/>
              <w:rPr>
                <w:sz w:val="18"/>
                <w:szCs w:val="18"/>
              </w:rPr>
            </w:pPr>
            <w:r w:rsidRPr="00622166">
              <w:rPr>
                <w:sz w:val="18"/>
                <w:szCs w:val="18"/>
              </w:rPr>
              <w:t>11,627</w:t>
            </w:r>
          </w:p>
          <w:p w14:paraId="25E6D5A2" w14:textId="77777777" w:rsidR="00F50251" w:rsidRPr="00622166" w:rsidRDefault="00F50251" w:rsidP="003B1928">
            <w:pPr>
              <w:pStyle w:val="ExhibitText"/>
              <w:jc w:val="right"/>
              <w:rPr>
                <w:sz w:val="18"/>
                <w:szCs w:val="18"/>
              </w:rPr>
            </w:pPr>
            <w:r w:rsidRPr="00622166">
              <w:rPr>
                <w:sz w:val="18"/>
                <w:szCs w:val="18"/>
              </w:rPr>
              <w:t>700</w:t>
            </w:r>
          </w:p>
        </w:tc>
        <w:tc>
          <w:tcPr>
            <w:tcW w:w="1165" w:type="dxa"/>
            <w:tcBorders>
              <w:top w:val="dotted" w:sz="4" w:space="0" w:color="auto"/>
              <w:bottom w:val="dotted" w:sz="4" w:space="0" w:color="auto"/>
            </w:tcBorders>
            <w:shd w:val="clear" w:color="auto" w:fill="auto"/>
            <w:vAlign w:val="center"/>
          </w:tcPr>
          <w:p w14:paraId="239E7568" w14:textId="77777777" w:rsidR="00F50251" w:rsidRPr="00622166" w:rsidRDefault="00F50251" w:rsidP="003B1928">
            <w:pPr>
              <w:pStyle w:val="ExhibitText"/>
              <w:jc w:val="right"/>
              <w:rPr>
                <w:b/>
                <w:sz w:val="18"/>
                <w:szCs w:val="18"/>
              </w:rPr>
            </w:pPr>
            <w:r w:rsidRPr="00622166">
              <w:rPr>
                <w:b/>
                <w:sz w:val="18"/>
                <w:szCs w:val="18"/>
              </w:rPr>
              <w:t>35,000</w:t>
            </w:r>
          </w:p>
        </w:tc>
      </w:tr>
      <w:tr w:rsidR="00622166" w:rsidRPr="00622166" w14:paraId="27F35DD1" w14:textId="77777777" w:rsidTr="001C33F3">
        <w:trPr>
          <w:trHeight w:val="288"/>
          <w:jc w:val="center"/>
        </w:trPr>
        <w:tc>
          <w:tcPr>
            <w:tcW w:w="2332" w:type="dxa"/>
            <w:tcBorders>
              <w:top w:val="dotted" w:sz="4" w:space="0" w:color="auto"/>
              <w:bottom w:val="single" w:sz="4" w:space="0" w:color="auto"/>
            </w:tcBorders>
            <w:shd w:val="clear" w:color="auto" w:fill="auto"/>
            <w:vAlign w:val="center"/>
          </w:tcPr>
          <w:p w14:paraId="65FB37C7" w14:textId="0E78A938" w:rsidR="00F50251" w:rsidRPr="00622166" w:rsidRDefault="00F50251" w:rsidP="003B1928">
            <w:pPr>
              <w:pStyle w:val="ExhibitText"/>
              <w:jc w:val="left"/>
              <w:rPr>
                <w:b/>
                <w:sz w:val="18"/>
                <w:szCs w:val="18"/>
              </w:rPr>
            </w:pPr>
            <w:r w:rsidRPr="00622166">
              <w:rPr>
                <w:b/>
                <w:sz w:val="18"/>
                <w:szCs w:val="18"/>
              </w:rPr>
              <w:t xml:space="preserve">No. of </w:t>
            </w:r>
            <w:r w:rsidR="003B1928" w:rsidRPr="00622166">
              <w:rPr>
                <w:b/>
                <w:sz w:val="18"/>
                <w:szCs w:val="18"/>
              </w:rPr>
              <w:t>e</w:t>
            </w:r>
            <w:r w:rsidR="00CF3FBE" w:rsidRPr="00622166">
              <w:rPr>
                <w:b/>
                <w:sz w:val="18"/>
                <w:szCs w:val="18"/>
              </w:rPr>
              <w:t>mployees</w:t>
            </w:r>
          </w:p>
        </w:tc>
        <w:tc>
          <w:tcPr>
            <w:tcW w:w="975" w:type="dxa"/>
            <w:tcBorders>
              <w:top w:val="dotted" w:sz="4" w:space="0" w:color="auto"/>
              <w:bottom w:val="single" w:sz="4" w:space="0" w:color="auto"/>
            </w:tcBorders>
            <w:shd w:val="clear" w:color="auto" w:fill="auto"/>
            <w:vAlign w:val="center"/>
          </w:tcPr>
          <w:p w14:paraId="7197AACD" w14:textId="77777777" w:rsidR="00F50251" w:rsidRPr="00622166" w:rsidRDefault="00F50251" w:rsidP="003B1928">
            <w:pPr>
              <w:pStyle w:val="ExhibitText"/>
              <w:jc w:val="right"/>
              <w:rPr>
                <w:sz w:val="18"/>
                <w:szCs w:val="18"/>
              </w:rPr>
            </w:pPr>
            <w:r w:rsidRPr="00622166">
              <w:rPr>
                <w:sz w:val="18"/>
                <w:szCs w:val="18"/>
              </w:rPr>
              <w:t>225</w:t>
            </w:r>
          </w:p>
        </w:tc>
        <w:tc>
          <w:tcPr>
            <w:tcW w:w="976" w:type="dxa"/>
            <w:tcBorders>
              <w:top w:val="dotted" w:sz="4" w:space="0" w:color="auto"/>
              <w:bottom w:val="single" w:sz="4" w:space="0" w:color="auto"/>
            </w:tcBorders>
            <w:shd w:val="clear" w:color="auto" w:fill="auto"/>
            <w:vAlign w:val="center"/>
          </w:tcPr>
          <w:p w14:paraId="62806EAF" w14:textId="2B1A2B6F" w:rsidR="00F50251" w:rsidRPr="00622166" w:rsidRDefault="006F6578" w:rsidP="003B1928">
            <w:pPr>
              <w:pStyle w:val="ExhibitText"/>
              <w:jc w:val="right"/>
              <w:rPr>
                <w:sz w:val="18"/>
                <w:szCs w:val="18"/>
              </w:rPr>
            </w:pPr>
            <w:r w:rsidRPr="00622166">
              <w:rPr>
                <w:sz w:val="18"/>
                <w:szCs w:val="18"/>
              </w:rPr>
              <w:t>…</w:t>
            </w:r>
          </w:p>
        </w:tc>
        <w:tc>
          <w:tcPr>
            <w:tcW w:w="975" w:type="dxa"/>
            <w:tcBorders>
              <w:top w:val="dotted" w:sz="4" w:space="0" w:color="auto"/>
              <w:bottom w:val="single" w:sz="4" w:space="0" w:color="auto"/>
            </w:tcBorders>
            <w:shd w:val="clear" w:color="auto" w:fill="auto"/>
            <w:vAlign w:val="center"/>
          </w:tcPr>
          <w:p w14:paraId="74232549" w14:textId="2600FB2C" w:rsidR="00F50251" w:rsidRPr="00622166" w:rsidRDefault="006F6578" w:rsidP="003B1928">
            <w:pPr>
              <w:pStyle w:val="ExhibitText"/>
              <w:jc w:val="right"/>
              <w:rPr>
                <w:sz w:val="18"/>
                <w:szCs w:val="18"/>
              </w:rPr>
            </w:pPr>
            <w:r w:rsidRPr="00622166">
              <w:rPr>
                <w:sz w:val="18"/>
                <w:szCs w:val="18"/>
              </w:rPr>
              <w:t>…</w:t>
            </w:r>
          </w:p>
        </w:tc>
        <w:tc>
          <w:tcPr>
            <w:tcW w:w="976" w:type="dxa"/>
            <w:tcBorders>
              <w:top w:val="dotted" w:sz="4" w:space="0" w:color="auto"/>
              <w:bottom w:val="single" w:sz="4" w:space="0" w:color="auto"/>
            </w:tcBorders>
            <w:shd w:val="clear" w:color="auto" w:fill="auto"/>
            <w:vAlign w:val="center"/>
          </w:tcPr>
          <w:p w14:paraId="035A4913" w14:textId="0EB08328" w:rsidR="00F50251" w:rsidRPr="00622166" w:rsidRDefault="006F6578" w:rsidP="003B1928">
            <w:pPr>
              <w:pStyle w:val="ExhibitText"/>
              <w:jc w:val="right"/>
              <w:rPr>
                <w:sz w:val="18"/>
                <w:szCs w:val="18"/>
              </w:rPr>
            </w:pPr>
            <w:r w:rsidRPr="00622166">
              <w:rPr>
                <w:sz w:val="18"/>
                <w:szCs w:val="18"/>
              </w:rPr>
              <w:t>…</w:t>
            </w:r>
          </w:p>
        </w:tc>
        <w:tc>
          <w:tcPr>
            <w:tcW w:w="975" w:type="dxa"/>
            <w:tcBorders>
              <w:top w:val="dotted" w:sz="4" w:space="0" w:color="auto"/>
              <w:bottom w:val="single" w:sz="4" w:space="0" w:color="auto"/>
            </w:tcBorders>
            <w:shd w:val="clear" w:color="auto" w:fill="auto"/>
            <w:vAlign w:val="center"/>
          </w:tcPr>
          <w:p w14:paraId="39B21294" w14:textId="77777777" w:rsidR="00F50251" w:rsidRPr="00622166" w:rsidRDefault="00F50251" w:rsidP="003B1928">
            <w:pPr>
              <w:pStyle w:val="ExhibitText"/>
              <w:jc w:val="right"/>
              <w:rPr>
                <w:sz w:val="18"/>
                <w:szCs w:val="18"/>
              </w:rPr>
            </w:pPr>
            <w:r w:rsidRPr="00622166">
              <w:rPr>
                <w:sz w:val="18"/>
                <w:szCs w:val="18"/>
              </w:rPr>
              <w:t>420</w:t>
            </w:r>
          </w:p>
        </w:tc>
        <w:tc>
          <w:tcPr>
            <w:tcW w:w="976" w:type="dxa"/>
            <w:tcBorders>
              <w:top w:val="dotted" w:sz="4" w:space="0" w:color="auto"/>
              <w:bottom w:val="single" w:sz="4" w:space="0" w:color="auto"/>
            </w:tcBorders>
            <w:shd w:val="clear" w:color="auto" w:fill="auto"/>
            <w:vAlign w:val="center"/>
          </w:tcPr>
          <w:p w14:paraId="7F7F85D6" w14:textId="77777777" w:rsidR="00F50251" w:rsidRPr="00622166" w:rsidRDefault="00F50251" w:rsidP="003B1928">
            <w:pPr>
              <w:pStyle w:val="ExhibitText"/>
              <w:jc w:val="right"/>
              <w:rPr>
                <w:sz w:val="18"/>
                <w:szCs w:val="18"/>
              </w:rPr>
            </w:pPr>
            <w:r w:rsidRPr="00622166">
              <w:rPr>
                <w:sz w:val="18"/>
                <w:szCs w:val="18"/>
              </w:rPr>
              <w:t>490</w:t>
            </w:r>
          </w:p>
        </w:tc>
        <w:tc>
          <w:tcPr>
            <w:tcW w:w="1165" w:type="dxa"/>
            <w:tcBorders>
              <w:top w:val="dotted" w:sz="4" w:space="0" w:color="auto"/>
              <w:bottom w:val="single" w:sz="4" w:space="0" w:color="auto"/>
            </w:tcBorders>
            <w:shd w:val="clear" w:color="auto" w:fill="auto"/>
            <w:vAlign w:val="center"/>
          </w:tcPr>
          <w:p w14:paraId="5A3E6D49" w14:textId="77777777" w:rsidR="00F50251" w:rsidRPr="00622166" w:rsidRDefault="00F50251" w:rsidP="003B1928">
            <w:pPr>
              <w:pStyle w:val="ExhibitText"/>
              <w:jc w:val="right"/>
              <w:rPr>
                <w:b/>
                <w:sz w:val="18"/>
                <w:szCs w:val="18"/>
              </w:rPr>
            </w:pPr>
            <w:r w:rsidRPr="00622166">
              <w:rPr>
                <w:b/>
                <w:sz w:val="18"/>
                <w:szCs w:val="18"/>
              </w:rPr>
              <w:t>1,500</w:t>
            </w:r>
          </w:p>
        </w:tc>
      </w:tr>
    </w:tbl>
    <w:p w14:paraId="3E62DBAA" w14:textId="77777777" w:rsidR="00F50251" w:rsidRPr="004951FA" w:rsidRDefault="00F50251" w:rsidP="00F50251">
      <w:pPr>
        <w:pStyle w:val="ExhibitText"/>
      </w:pPr>
    </w:p>
    <w:p w14:paraId="7191E032" w14:textId="47C69C7E" w:rsidR="00F50251" w:rsidRPr="004951FA" w:rsidRDefault="00F50251" w:rsidP="00F50251">
      <w:pPr>
        <w:pStyle w:val="Footnote"/>
      </w:pPr>
      <w:r w:rsidRPr="004951FA">
        <w:t>Source: Company</w:t>
      </w:r>
      <w:r w:rsidR="00C85E79">
        <w:t xml:space="preserve"> files</w:t>
      </w:r>
      <w:r w:rsidRPr="004951FA">
        <w:t>.</w:t>
      </w:r>
    </w:p>
    <w:p w14:paraId="0452DD65" w14:textId="2B0A2389" w:rsidR="00F50251" w:rsidRPr="004951FA" w:rsidRDefault="00F50251" w:rsidP="00F50251">
      <w:pPr>
        <w:pStyle w:val="ExhibitText"/>
      </w:pPr>
    </w:p>
    <w:p w14:paraId="3F021AC8" w14:textId="77777777" w:rsidR="00F50251" w:rsidRPr="004951FA" w:rsidRDefault="00F50251" w:rsidP="00F50251">
      <w:pPr>
        <w:pStyle w:val="ExhibitText"/>
      </w:pPr>
    </w:p>
    <w:p w14:paraId="0DA4E9D8" w14:textId="27650B1C" w:rsidR="00F50251" w:rsidRPr="004951FA" w:rsidRDefault="00F50251" w:rsidP="00F50251">
      <w:pPr>
        <w:pStyle w:val="ExhibitHeading"/>
      </w:pPr>
      <w:r w:rsidRPr="004951FA">
        <w:t>Exhibit 2: NEW BRUNSWICK AND SURROUNDINGS</w:t>
      </w:r>
    </w:p>
    <w:p w14:paraId="0AABC4BC" w14:textId="77777777" w:rsidR="00F50251" w:rsidRPr="004951FA" w:rsidRDefault="00F50251" w:rsidP="00F50251">
      <w:pPr>
        <w:pStyle w:val="ExhibitText"/>
      </w:pPr>
    </w:p>
    <w:p w14:paraId="7AA71BC9" w14:textId="46008F1A" w:rsidR="00F50251" w:rsidRPr="004951FA" w:rsidRDefault="00D1586C" w:rsidP="00DD257D">
      <w:pPr>
        <w:pStyle w:val="ExhibitText"/>
        <w:jc w:val="center"/>
      </w:pPr>
      <w:r>
        <w:rPr>
          <w:noProof/>
          <w:lang w:eastAsia="en-CA"/>
        </w:rPr>
        <w:drawing>
          <wp:inline distT="0" distB="0" distL="0" distR="0" wp14:anchorId="796149CF" wp14:editId="759FF740">
            <wp:extent cx="5486400" cy="4243170"/>
            <wp:effectExtent l="12700" t="12700" r="12700" b="11430"/>
            <wp:docPr id="2" name="Picture 2" descr="A map of the eastern provinces of Canada and the north-eastern states of the 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ndred-Ma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243170"/>
                    </a:xfrm>
                    <a:prstGeom prst="rect">
                      <a:avLst/>
                    </a:prstGeom>
                    <a:ln w="6350">
                      <a:solidFill>
                        <a:schemeClr val="tx1"/>
                      </a:solidFill>
                    </a:ln>
                  </pic:spPr>
                </pic:pic>
              </a:graphicData>
            </a:graphic>
          </wp:inline>
        </w:drawing>
      </w:r>
    </w:p>
    <w:p w14:paraId="22C6AF0E" w14:textId="2480F56F" w:rsidR="006F6578" w:rsidRDefault="006F6578" w:rsidP="004F7CAF">
      <w:pPr>
        <w:pStyle w:val="ExhibitText"/>
      </w:pPr>
    </w:p>
    <w:p w14:paraId="09E3795D" w14:textId="359CAB9F" w:rsidR="0080133B" w:rsidRDefault="0080133B" w:rsidP="001C33F3">
      <w:pPr>
        <w:pStyle w:val="Footnote"/>
      </w:pPr>
      <w:r>
        <w:t>Note: NL = Newfoundland and Labrador, ON = Ontario, PE = Prince Edward Island, QC = Quebec, Canada</w:t>
      </w:r>
      <w:proofErr w:type="gramStart"/>
      <w:r>
        <w:t>;</w:t>
      </w:r>
      <w:proofErr w:type="gramEnd"/>
      <w:r>
        <w:t xml:space="preserve"> CT = Connecticut, MA = Massachusetts,</w:t>
      </w:r>
      <w:r w:rsidRPr="0080133B">
        <w:t xml:space="preserve"> </w:t>
      </w:r>
      <w:r>
        <w:t>NY = New York, United States.</w:t>
      </w:r>
    </w:p>
    <w:p w14:paraId="4B36F8E2" w14:textId="67502D37" w:rsidR="00F50251" w:rsidRPr="004951FA" w:rsidRDefault="006F6578" w:rsidP="001C33F3">
      <w:pPr>
        <w:pStyle w:val="Footnote"/>
        <w:rPr>
          <w:bCs/>
          <w:kern w:val="2"/>
        </w:rPr>
        <w:sectPr w:rsidR="00F50251" w:rsidRPr="004951FA" w:rsidSect="00751E0B">
          <w:headerReference w:type="default" r:id="rId10"/>
          <w:pgSz w:w="12240" w:h="15840" w:code="1"/>
          <w:pgMar w:top="1080" w:right="1440" w:bottom="1440" w:left="1440" w:header="1080" w:footer="720" w:gutter="0"/>
          <w:cols w:space="720"/>
          <w:titlePg/>
          <w:docGrid w:linePitch="360"/>
        </w:sectPr>
      </w:pPr>
      <w:r w:rsidRPr="00281175">
        <w:t xml:space="preserve">Source: </w:t>
      </w:r>
      <w:r w:rsidR="00D1586C">
        <w:t>Created by the case authors using map reproduced</w:t>
      </w:r>
      <w:r w:rsidR="00D1586C" w:rsidRPr="00D1586C">
        <w:t xml:space="preserve"> under Creative Commons licence BY-SA 4.0 from MapChart.net, accessed </w:t>
      </w:r>
      <w:r w:rsidR="00D1586C">
        <w:t>November 27, 2019</w:t>
      </w:r>
      <w:r w:rsidR="00D1586C" w:rsidRPr="00D1586C">
        <w:t>, https://mapchart.net.</w:t>
      </w:r>
      <w:r w:rsidR="00F50251" w:rsidRPr="004951FA">
        <w:rPr>
          <w:bCs/>
          <w:kern w:val="2"/>
        </w:rPr>
        <w:br w:type="page"/>
      </w:r>
    </w:p>
    <w:p w14:paraId="7925F09E" w14:textId="5DB46BA1" w:rsidR="00F50251" w:rsidRPr="004951FA" w:rsidRDefault="00F50251" w:rsidP="00F50251">
      <w:pPr>
        <w:pStyle w:val="ExhibitHeading"/>
      </w:pPr>
      <w:r w:rsidRPr="004951FA">
        <w:lastRenderedPageBreak/>
        <w:t>Exhibit 3: POPULATION, MEDIAN AGE</w:t>
      </w:r>
      <w:r w:rsidR="007B7196">
        <w:t>,</w:t>
      </w:r>
      <w:r w:rsidRPr="004951FA">
        <w:t xml:space="preserve"> AND PERCENTAGE OF SENIORS IN CANADIAN PROVINCES</w:t>
      </w:r>
    </w:p>
    <w:p w14:paraId="3F8CE0C0" w14:textId="77777777" w:rsidR="00F50251" w:rsidRPr="004951FA" w:rsidRDefault="00F50251" w:rsidP="00F50251">
      <w:pPr>
        <w:pStyle w:val="ExhibitText"/>
      </w:pPr>
    </w:p>
    <w:tbl>
      <w:tblPr>
        <w:tblW w:w="5000" w:type="pct"/>
        <w:jc w:val="center"/>
        <w:tblBorders>
          <w:top w:val="single" w:sz="4" w:space="0" w:color="auto"/>
          <w:bottom w:val="single" w:sz="4" w:space="0" w:color="auto"/>
        </w:tblBorders>
        <w:tblLayout w:type="fixed"/>
        <w:tblLook w:val="04A0" w:firstRow="1" w:lastRow="0" w:firstColumn="1" w:lastColumn="0" w:noHBand="0" w:noVBand="1"/>
      </w:tblPr>
      <w:tblGrid>
        <w:gridCol w:w="1436"/>
        <w:gridCol w:w="959"/>
        <w:gridCol w:w="960"/>
        <w:gridCol w:w="961"/>
        <w:gridCol w:w="960"/>
        <w:gridCol w:w="960"/>
        <w:gridCol w:w="961"/>
        <w:gridCol w:w="960"/>
        <w:gridCol w:w="961"/>
        <w:gridCol w:w="960"/>
        <w:gridCol w:w="961"/>
        <w:gridCol w:w="960"/>
        <w:gridCol w:w="961"/>
      </w:tblGrid>
      <w:tr w:rsidR="007B7196" w:rsidRPr="006C220B" w14:paraId="2777556C" w14:textId="77777777" w:rsidTr="006C220B">
        <w:trPr>
          <w:trHeight w:val="288"/>
          <w:jc w:val="center"/>
        </w:trPr>
        <w:tc>
          <w:tcPr>
            <w:tcW w:w="1436" w:type="dxa"/>
            <w:tcBorders>
              <w:bottom w:val="nil"/>
            </w:tcBorders>
            <w:shd w:val="clear" w:color="auto" w:fill="auto"/>
            <w:vAlign w:val="center"/>
          </w:tcPr>
          <w:p w14:paraId="1A96E943" w14:textId="77777777" w:rsidR="00F50251" w:rsidRPr="006C220B" w:rsidRDefault="00F50251" w:rsidP="004951FA">
            <w:pPr>
              <w:autoSpaceDE w:val="0"/>
              <w:autoSpaceDN w:val="0"/>
              <w:adjustRightInd w:val="0"/>
              <w:rPr>
                <w:rFonts w:ascii="Arial" w:eastAsia="Calibri" w:hAnsi="Arial" w:cs="Arial"/>
                <w:i/>
                <w:iCs/>
                <w:kern w:val="2"/>
                <w:sz w:val="18"/>
                <w:szCs w:val="18"/>
                <w:lang w:eastAsia="zh-CN"/>
              </w:rPr>
            </w:pPr>
          </w:p>
        </w:tc>
        <w:tc>
          <w:tcPr>
            <w:tcW w:w="2880" w:type="dxa"/>
            <w:gridSpan w:val="3"/>
            <w:tcBorders>
              <w:bottom w:val="nil"/>
              <w:right w:val="single" w:sz="4" w:space="0" w:color="auto"/>
            </w:tcBorders>
            <w:shd w:val="clear" w:color="auto" w:fill="auto"/>
            <w:vAlign w:val="center"/>
          </w:tcPr>
          <w:p w14:paraId="2A7F7C11" w14:textId="77777777" w:rsidR="00F50251" w:rsidRPr="006C220B" w:rsidRDefault="00F50251" w:rsidP="004951FA">
            <w:pPr>
              <w:jc w:val="center"/>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1986</w:t>
            </w:r>
          </w:p>
        </w:tc>
        <w:tc>
          <w:tcPr>
            <w:tcW w:w="2878" w:type="dxa"/>
            <w:gridSpan w:val="3"/>
            <w:tcBorders>
              <w:top w:val="single" w:sz="4" w:space="0" w:color="auto"/>
              <w:left w:val="single" w:sz="4" w:space="0" w:color="auto"/>
              <w:bottom w:val="nil"/>
              <w:right w:val="single" w:sz="4" w:space="0" w:color="auto"/>
            </w:tcBorders>
            <w:shd w:val="clear" w:color="auto" w:fill="auto"/>
            <w:vAlign w:val="center"/>
          </w:tcPr>
          <w:p w14:paraId="77C77203" w14:textId="77777777" w:rsidR="00F50251" w:rsidRPr="006C220B" w:rsidRDefault="00F50251" w:rsidP="004951FA">
            <w:pPr>
              <w:jc w:val="center"/>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1996</w:t>
            </w:r>
          </w:p>
        </w:tc>
        <w:tc>
          <w:tcPr>
            <w:tcW w:w="2878" w:type="dxa"/>
            <w:gridSpan w:val="3"/>
            <w:tcBorders>
              <w:top w:val="single" w:sz="4" w:space="0" w:color="auto"/>
              <w:left w:val="single" w:sz="4" w:space="0" w:color="auto"/>
              <w:bottom w:val="nil"/>
              <w:right w:val="single" w:sz="4" w:space="0" w:color="auto"/>
            </w:tcBorders>
            <w:shd w:val="clear" w:color="auto" w:fill="auto"/>
            <w:vAlign w:val="center"/>
          </w:tcPr>
          <w:p w14:paraId="396DD520" w14:textId="77777777" w:rsidR="00F50251" w:rsidRPr="006C220B" w:rsidRDefault="00F50251" w:rsidP="004951FA">
            <w:pPr>
              <w:jc w:val="center"/>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2006</w:t>
            </w:r>
          </w:p>
        </w:tc>
        <w:tc>
          <w:tcPr>
            <w:tcW w:w="2878" w:type="dxa"/>
            <w:gridSpan w:val="3"/>
            <w:tcBorders>
              <w:top w:val="single" w:sz="4" w:space="0" w:color="auto"/>
              <w:left w:val="single" w:sz="4" w:space="0" w:color="auto"/>
              <w:bottom w:val="nil"/>
            </w:tcBorders>
            <w:shd w:val="clear" w:color="auto" w:fill="auto"/>
            <w:vAlign w:val="center"/>
          </w:tcPr>
          <w:p w14:paraId="4596062A" w14:textId="77777777" w:rsidR="00F50251" w:rsidRPr="006C220B" w:rsidRDefault="00F50251" w:rsidP="004951FA">
            <w:pPr>
              <w:jc w:val="center"/>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2015</w:t>
            </w:r>
          </w:p>
        </w:tc>
      </w:tr>
      <w:tr w:rsidR="007B7196" w:rsidRPr="006C220B" w14:paraId="77FF97E9" w14:textId="77777777" w:rsidTr="001C33F3">
        <w:trPr>
          <w:trHeight w:val="288"/>
          <w:jc w:val="center"/>
        </w:trPr>
        <w:tc>
          <w:tcPr>
            <w:tcW w:w="1436" w:type="dxa"/>
            <w:tcBorders>
              <w:top w:val="nil"/>
              <w:bottom w:val="single" w:sz="12" w:space="0" w:color="auto"/>
            </w:tcBorders>
            <w:shd w:val="clear" w:color="auto" w:fill="auto"/>
            <w:vAlign w:val="center"/>
          </w:tcPr>
          <w:p w14:paraId="420C131D" w14:textId="1FAC98F0" w:rsidR="00F50251" w:rsidRPr="006C220B" w:rsidRDefault="00F50251" w:rsidP="0022107D">
            <w:pPr>
              <w:autoSpaceDE w:val="0"/>
              <w:autoSpaceDN w:val="0"/>
              <w:adjustRightInd w:val="0"/>
              <w:jc w:val="center"/>
              <w:rPr>
                <w:rFonts w:ascii="Arial" w:eastAsia="Calibri" w:hAnsi="Arial" w:cs="Arial"/>
                <w:b/>
                <w:bCs/>
                <w:iCs/>
                <w:kern w:val="2"/>
                <w:sz w:val="18"/>
                <w:szCs w:val="18"/>
                <w:lang w:eastAsia="zh-CN"/>
              </w:rPr>
            </w:pPr>
            <w:r w:rsidRPr="006C220B">
              <w:rPr>
                <w:rFonts w:ascii="Arial" w:eastAsia="Calibri" w:hAnsi="Arial" w:cs="Arial"/>
                <w:b/>
                <w:bCs/>
                <w:iCs/>
                <w:kern w:val="2"/>
                <w:sz w:val="18"/>
                <w:szCs w:val="18"/>
                <w:lang w:eastAsia="zh-CN"/>
              </w:rPr>
              <w:t>Province</w:t>
            </w:r>
          </w:p>
        </w:tc>
        <w:tc>
          <w:tcPr>
            <w:tcW w:w="959" w:type="dxa"/>
            <w:tcBorders>
              <w:top w:val="nil"/>
              <w:bottom w:val="single" w:sz="12" w:space="0" w:color="auto"/>
            </w:tcBorders>
            <w:shd w:val="clear" w:color="auto" w:fill="auto"/>
            <w:vAlign w:val="center"/>
          </w:tcPr>
          <w:p w14:paraId="47269A6F" w14:textId="0E62AC20" w:rsidR="007B7196" w:rsidRPr="006C220B" w:rsidRDefault="007B7196" w:rsidP="007B7196">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Pop.</w:t>
            </w:r>
            <w:r w:rsidR="00F50251" w:rsidRPr="006C220B">
              <w:rPr>
                <w:rFonts w:ascii="Arial" w:hAnsi="Arial" w:cs="Arial"/>
                <w:color w:val="242424"/>
                <w:kern w:val="2"/>
                <w:sz w:val="18"/>
                <w:szCs w:val="18"/>
              </w:rPr>
              <w:t xml:space="preserve"> </w:t>
            </w:r>
          </w:p>
          <w:p w14:paraId="203A5940" w14:textId="6815CF81" w:rsidR="00F50251" w:rsidRPr="006C220B" w:rsidRDefault="00F50251" w:rsidP="0022107D">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 xml:space="preserve">(in </w:t>
            </w:r>
            <w:r w:rsidR="006C220B">
              <w:rPr>
                <w:rFonts w:ascii="Arial" w:hAnsi="Arial" w:cs="Arial"/>
                <w:color w:val="242424"/>
                <w:kern w:val="2"/>
                <w:sz w:val="18"/>
                <w:szCs w:val="18"/>
              </w:rPr>
              <w:t>‘</w:t>
            </w:r>
            <w:r w:rsidRPr="006C220B">
              <w:rPr>
                <w:rFonts w:ascii="Arial" w:hAnsi="Arial" w:cs="Arial"/>
                <w:color w:val="242424"/>
                <w:kern w:val="2"/>
                <w:sz w:val="18"/>
                <w:szCs w:val="18"/>
              </w:rPr>
              <w:t>000s)</w:t>
            </w:r>
          </w:p>
        </w:tc>
        <w:tc>
          <w:tcPr>
            <w:tcW w:w="960" w:type="dxa"/>
            <w:tcBorders>
              <w:top w:val="nil"/>
              <w:bottom w:val="single" w:sz="12" w:space="0" w:color="auto"/>
            </w:tcBorders>
            <w:shd w:val="clear" w:color="auto" w:fill="auto"/>
            <w:vAlign w:val="center"/>
          </w:tcPr>
          <w:p w14:paraId="797EBA8C" w14:textId="7A71F69A" w:rsidR="00F50251" w:rsidRPr="006C220B" w:rsidRDefault="00F50251" w:rsidP="007C08DF">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 xml:space="preserve">Median </w:t>
            </w:r>
            <w:r w:rsidR="007B7196" w:rsidRPr="006C220B">
              <w:rPr>
                <w:rFonts w:ascii="Arial" w:hAnsi="Arial" w:cs="Arial"/>
                <w:color w:val="242424"/>
                <w:kern w:val="2"/>
                <w:sz w:val="18"/>
                <w:szCs w:val="18"/>
              </w:rPr>
              <w:t>Age</w:t>
            </w:r>
          </w:p>
          <w:p w14:paraId="0DC785F2" w14:textId="2384A81E" w:rsidR="00F50251" w:rsidRPr="006C220B" w:rsidRDefault="00F50251" w:rsidP="009C2415">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w:t>
            </w:r>
            <w:r w:rsidR="006C220B">
              <w:rPr>
                <w:rFonts w:ascii="Arial" w:hAnsi="Arial" w:cs="Arial"/>
                <w:color w:val="242424"/>
                <w:kern w:val="2"/>
                <w:sz w:val="18"/>
                <w:szCs w:val="18"/>
              </w:rPr>
              <w:t xml:space="preserve">in </w:t>
            </w:r>
            <w:r w:rsidR="000A27E5">
              <w:rPr>
                <w:rFonts w:ascii="Arial" w:hAnsi="Arial" w:cs="Arial"/>
                <w:color w:val="242424"/>
                <w:kern w:val="2"/>
                <w:sz w:val="18"/>
                <w:szCs w:val="18"/>
              </w:rPr>
              <w:t>years</w:t>
            </w:r>
            <w:r w:rsidRPr="006C220B">
              <w:rPr>
                <w:rFonts w:ascii="Arial" w:hAnsi="Arial" w:cs="Arial"/>
                <w:color w:val="242424"/>
                <w:kern w:val="2"/>
                <w:sz w:val="18"/>
                <w:szCs w:val="18"/>
              </w:rPr>
              <w:t>)</w:t>
            </w:r>
          </w:p>
        </w:tc>
        <w:tc>
          <w:tcPr>
            <w:tcW w:w="959" w:type="dxa"/>
            <w:tcBorders>
              <w:top w:val="nil"/>
              <w:bottom w:val="single" w:sz="12" w:space="0" w:color="auto"/>
              <w:right w:val="single" w:sz="4" w:space="0" w:color="auto"/>
            </w:tcBorders>
            <w:shd w:val="clear" w:color="auto" w:fill="auto"/>
            <w:vAlign w:val="center"/>
          </w:tcPr>
          <w:p w14:paraId="4C25B9A6" w14:textId="1D63DDB6" w:rsidR="00F50251" w:rsidRPr="006C220B" w:rsidRDefault="00F50251" w:rsidP="00052E5E">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Seniors (as %)</w:t>
            </w:r>
          </w:p>
        </w:tc>
        <w:tc>
          <w:tcPr>
            <w:tcW w:w="960" w:type="dxa"/>
            <w:tcBorders>
              <w:top w:val="nil"/>
              <w:left w:val="single" w:sz="4" w:space="0" w:color="auto"/>
              <w:bottom w:val="single" w:sz="12" w:space="0" w:color="auto"/>
            </w:tcBorders>
            <w:shd w:val="clear" w:color="auto" w:fill="auto"/>
            <w:vAlign w:val="center"/>
          </w:tcPr>
          <w:p w14:paraId="1AA4B6BD" w14:textId="219A1500" w:rsidR="007B7196" w:rsidRPr="006C220B" w:rsidRDefault="00F50251" w:rsidP="007B7196">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Po</w:t>
            </w:r>
            <w:r w:rsidR="007B7196" w:rsidRPr="006C220B">
              <w:rPr>
                <w:rFonts w:ascii="Arial" w:hAnsi="Arial" w:cs="Arial"/>
                <w:color w:val="242424"/>
                <w:kern w:val="2"/>
                <w:sz w:val="18"/>
                <w:szCs w:val="18"/>
              </w:rPr>
              <w:t>p.</w:t>
            </w:r>
            <w:r w:rsidRPr="006C220B">
              <w:rPr>
                <w:rFonts w:ascii="Arial" w:hAnsi="Arial" w:cs="Arial"/>
                <w:color w:val="242424"/>
                <w:kern w:val="2"/>
                <w:sz w:val="18"/>
                <w:szCs w:val="18"/>
              </w:rPr>
              <w:t xml:space="preserve"> </w:t>
            </w:r>
          </w:p>
          <w:p w14:paraId="03898023" w14:textId="254A06EE" w:rsidR="00F50251" w:rsidRPr="006C220B" w:rsidRDefault="00F50251" w:rsidP="0022107D">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 xml:space="preserve">(in </w:t>
            </w:r>
            <w:r w:rsidR="006C220B">
              <w:rPr>
                <w:rFonts w:ascii="Arial" w:hAnsi="Arial" w:cs="Arial"/>
                <w:color w:val="242424"/>
                <w:kern w:val="2"/>
                <w:sz w:val="18"/>
                <w:szCs w:val="18"/>
              </w:rPr>
              <w:t>‘</w:t>
            </w:r>
            <w:r w:rsidRPr="006C220B">
              <w:rPr>
                <w:rFonts w:ascii="Arial" w:hAnsi="Arial" w:cs="Arial"/>
                <w:color w:val="242424"/>
                <w:kern w:val="2"/>
                <w:sz w:val="18"/>
                <w:szCs w:val="18"/>
              </w:rPr>
              <w:t>000s)</w:t>
            </w:r>
          </w:p>
        </w:tc>
        <w:tc>
          <w:tcPr>
            <w:tcW w:w="959" w:type="dxa"/>
            <w:tcBorders>
              <w:top w:val="nil"/>
              <w:bottom w:val="single" w:sz="12" w:space="0" w:color="auto"/>
            </w:tcBorders>
            <w:shd w:val="clear" w:color="auto" w:fill="auto"/>
            <w:vAlign w:val="center"/>
          </w:tcPr>
          <w:p w14:paraId="4D058406" w14:textId="2F2466B0" w:rsidR="00F50251" w:rsidRPr="006C220B" w:rsidRDefault="00F50251" w:rsidP="007C08DF">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 xml:space="preserve">Median </w:t>
            </w:r>
            <w:r w:rsidR="007B7196" w:rsidRPr="006C220B">
              <w:rPr>
                <w:rFonts w:ascii="Arial" w:hAnsi="Arial" w:cs="Arial"/>
                <w:color w:val="242424"/>
                <w:kern w:val="2"/>
                <w:sz w:val="18"/>
                <w:szCs w:val="18"/>
              </w:rPr>
              <w:t>Age</w:t>
            </w:r>
          </w:p>
          <w:p w14:paraId="67A6B4B1" w14:textId="2E17EB72" w:rsidR="00F50251" w:rsidRPr="006C220B" w:rsidRDefault="00F50251" w:rsidP="009C2415">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 xml:space="preserve">(in </w:t>
            </w:r>
            <w:r w:rsidR="000A27E5">
              <w:rPr>
                <w:rFonts w:ascii="Arial" w:hAnsi="Arial" w:cs="Arial"/>
                <w:color w:val="242424"/>
                <w:kern w:val="2"/>
                <w:sz w:val="18"/>
                <w:szCs w:val="18"/>
              </w:rPr>
              <w:t>years</w:t>
            </w:r>
            <w:r w:rsidRPr="006C220B">
              <w:rPr>
                <w:rFonts w:ascii="Arial" w:hAnsi="Arial" w:cs="Arial"/>
                <w:color w:val="242424"/>
                <w:kern w:val="2"/>
                <w:sz w:val="18"/>
                <w:szCs w:val="18"/>
              </w:rPr>
              <w:t>)</w:t>
            </w:r>
          </w:p>
        </w:tc>
        <w:tc>
          <w:tcPr>
            <w:tcW w:w="960" w:type="dxa"/>
            <w:tcBorders>
              <w:top w:val="nil"/>
              <w:bottom w:val="single" w:sz="12" w:space="0" w:color="auto"/>
              <w:right w:val="single" w:sz="4" w:space="0" w:color="auto"/>
            </w:tcBorders>
            <w:shd w:val="clear" w:color="auto" w:fill="auto"/>
            <w:vAlign w:val="center"/>
          </w:tcPr>
          <w:p w14:paraId="52E07986" w14:textId="4F9675A7" w:rsidR="00F50251" w:rsidRPr="006C220B" w:rsidRDefault="00F50251" w:rsidP="00052E5E">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Seniors (as %)</w:t>
            </w:r>
          </w:p>
        </w:tc>
        <w:tc>
          <w:tcPr>
            <w:tcW w:w="959" w:type="dxa"/>
            <w:tcBorders>
              <w:top w:val="nil"/>
              <w:left w:val="single" w:sz="4" w:space="0" w:color="auto"/>
              <w:bottom w:val="single" w:sz="12" w:space="0" w:color="auto"/>
            </w:tcBorders>
            <w:shd w:val="clear" w:color="auto" w:fill="auto"/>
            <w:vAlign w:val="center"/>
          </w:tcPr>
          <w:p w14:paraId="6C9BDFE6" w14:textId="434EB23E" w:rsidR="00F50251" w:rsidRPr="006C220B" w:rsidRDefault="007B7196" w:rsidP="0022107D">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Pop.</w:t>
            </w:r>
          </w:p>
          <w:p w14:paraId="32E97C68" w14:textId="5838AE67" w:rsidR="00F50251" w:rsidRPr="006C220B" w:rsidRDefault="00F50251" w:rsidP="007C08DF">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 xml:space="preserve">(in </w:t>
            </w:r>
            <w:r w:rsidR="006C220B">
              <w:rPr>
                <w:rFonts w:ascii="Arial" w:hAnsi="Arial" w:cs="Arial"/>
                <w:color w:val="242424"/>
                <w:kern w:val="2"/>
                <w:sz w:val="18"/>
                <w:szCs w:val="18"/>
              </w:rPr>
              <w:t>‘</w:t>
            </w:r>
            <w:r w:rsidRPr="006C220B">
              <w:rPr>
                <w:rFonts w:ascii="Arial" w:hAnsi="Arial" w:cs="Arial"/>
                <w:color w:val="242424"/>
                <w:kern w:val="2"/>
                <w:sz w:val="18"/>
                <w:szCs w:val="18"/>
              </w:rPr>
              <w:t>000s)</w:t>
            </w:r>
          </w:p>
        </w:tc>
        <w:tc>
          <w:tcPr>
            <w:tcW w:w="960" w:type="dxa"/>
            <w:tcBorders>
              <w:top w:val="nil"/>
              <w:bottom w:val="single" w:sz="12" w:space="0" w:color="auto"/>
            </w:tcBorders>
            <w:shd w:val="clear" w:color="auto" w:fill="auto"/>
            <w:vAlign w:val="center"/>
          </w:tcPr>
          <w:p w14:paraId="42567361" w14:textId="3D18D179" w:rsidR="00F50251" w:rsidRPr="006C220B" w:rsidRDefault="00F50251" w:rsidP="009C2415">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 xml:space="preserve">Median </w:t>
            </w:r>
            <w:r w:rsidR="007B7196" w:rsidRPr="006C220B">
              <w:rPr>
                <w:rFonts w:ascii="Arial" w:hAnsi="Arial" w:cs="Arial"/>
                <w:color w:val="242424"/>
                <w:kern w:val="2"/>
                <w:sz w:val="18"/>
                <w:szCs w:val="18"/>
              </w:rPr>
              <w:t>Age</w:t>
            </w:r>
          </w:p>
          <w:p w14:paraId="099522AA" w14:textId="141E8C24" w:rsidR="00F50251" w:rsidRPr="006C220B" w:rsidRDefault="00F50251" w:rsidP="00052E5E">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 xml:space="preserve">(in </w:t>
            </w:r>
            <w:r w:rsidR="000A27E5">
              <w:rPr>
                <w:rFonts w:ascii="Arial" w:hAnsi="Arial" w:cs="Arial"/>
                <w:color w:val="242424"/>
                <w:kern w:val="2"/>
                <w:sz w:val="18"/>
                <w:szCs w:val="18"/>
              </w:rPr>
              <w:t>years</w:t>
            </w:r>
            <w:r w:rsidRPr="006C220B">
              <w:rPr>
                <w:rFonts w:ascii="Arial" w:hAnsi="Arial" w:cs="Arial"/>
                <w:color w:val="242424"/>
                <w:kern w:val="2"/>
                <w:sz w:val="18"/>
                <w:szCs w:val="18"/>
              </w:rPr>
              <w:t>)</w:t>
            </w:r>
          </w:p>
        </w:tc>
        <w:tc>
          <w:tcPr>
            <w:tcW w:w="959" w:type="dxa"/>
            <w:tcBorders>
              <w:top w:val="nil"/>
              <w:bottom w:val="single" w:sz="12" w:space="0" w:color="auto"/>
              <w:right w:val="single" w:sz="4" w:space="0" w:color="auto"/>
            </w:tcBorders>
            <w:shd w:val="clear" w:color="auto" w:fill="auto"/>
            <w:vAlign w:val="center"/>
          </w:tcPr>
          <w:p w14:paraId="66EFA9EA" w14:textId="029EBD95" w:rsidR="00F50251" w:rsidRPr="006C220B" w:rsidRDefault="00F50251" w:rsidP="00052E5E">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Seniors (as %)</w:t>
            </w:r>
          </w:p>
        </w:tc>
        <w:tc>
          <w:tcPr>
            <w:tcW w:w="960" w:type="dxa"/>
            <w:tcBorders>
              <w:top w:val="nil"/>
              <w:left w:val="single" w:sz="4" w:space="0" w:color="auto"/>
              <w:bottom w:val="single" w:sz="12" w:space="0" w:color="auto"/>
            </w:tcBorders>
            <w:shd w:val="clear" w:color="auto" w:fill="auto"/>
            <w:vAlign w:val="center"/>
          </w:tcPr>
          <w:p w14:paraId="1D8BCCD9" w14:textId="4777D74B" w:rsidR="007B7196" w:rsidRPr="006C220B" w:rsidRDefault="00F50251" w:rsidP="007B7196">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Pop</w:t>
            </w:r>
            <w:r w:rsidR="007B7196" w:rsidRPr="006C220B">
              <w:rPr>
                <w:rFonts w:ascii="Arial" w:hAnsi="Arial" w:cs="Arial"/>
                <w:color w:val="242424"/>
                <w:kern w:val="2"/>
                <w:sz w:val="18"/>
                <w:szCs w:val="18"/>
              </w:rPr>
              <w:t>.</w:t>
            </w:r>
            <w:r w:rsidRPr="006C220B">
              <w:rPr>
                <w:rFonts w:ascii="Arial" w:hAnsi="Arial" w:cs="Arial"/>
                <w:color w:val="242424"/>
                <w:kern w:val="2"/>
                <w:sz w:val="18"/>
                <w:szCs w:val="18"/>
              </w:rPr>
              <w:t xml:space="preserve"> </w:t>
            </w:r>
          </w:p>
          <w:p w14:paraId="00F214E9" w14:textId="66621945" w:rsidR="00F50251" w:rsidRPr="006C220B" w:rsidRDefault="00F50251" w:rsidP="0022107D">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 xml:space="preserve">(in </w:t>
            </w:r>
            <w:r w:rsidR="006C220B">
              <w:rPr>
                <w:rFonts w:ascii="Arial" w:hAnsi="Arial" w:cs="Arial"/>
                <w:color w:val="242424"/>
                <w:kern w:val="2"/>
                <w:sz w:val="18"/>
                <w:szCs w:val="18"/>
              </w:rPr>
              <w:t>‘</w:t>
            </w:r>
            <w:r w:rsidRPr="006C220B">
              <w:rPr>
                <w:rFonts w:ascii="Arial" w:hAnsi="Arial" w:cs="Arial"/>
                <w:color w:val="242424"/>
                <w:kern w:val="2"/>
                <w:sz w:val="18"/>
                <w:szCs w:val="18"/>
              </w:rPr>
              <w:t>000s)</w:t>
            </w:r>
          </w:p>
        </w:tc>
        <w:tc>
          <w:tcPr>
            <w:tcW w:w="959" w:type="dxa"/>
            <w:tcBorders>
              <w:top w:val="nil"/>
              <w:bottom w:val="single" w:sz="12" w:space="0" w:color="auto"/>
            </w:tcBorders>
            <w:shd w:val="clear" w:color="auto" w:fill="auto"/>
            <w:vAlign w:val="center"/>
          </w:tcPr>
          <w:p w14:paraId="6218EDCF" w14:textId="5B8B20DA" w:rsidR="00F50251" w:rsidRPr="006C220B" w:rsidRDefault="00F50251" w:rsidP="007C08DF">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 xml:space="preserve">Median </w:t>
            </w:r>
            <w:r w:rsidR="007B7196" w:rsidRPr="006C220B">
              <w:rPr>
                <w:rFonts w:ascii="Arial" w:hAnsi="Arial" w:cs="Arial"/>
                <w:color w:val="242424"/>
                <w:kern w:val="2"/>
                <w:sz w:val="18"/>
                <w:szCs w:val="18"/>
              </w:rPr>
              <w:t>Age</w:t>
            </w:r>
          </w:p>
          <w:p w14:paraId="7167FCC2" w14:textId="7187F01F" w:rsidR="00F50251" w:rsidRPr="006C220B" w:rsidRDefault="00F50251" w:rsidP="009C2415">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 xml:space="preserve">(in </w:t>
            </w:r>
            <w:r w:rsidR="000A27E5">
              <w:rPr>
                <w:rFonts w:ascii="Arial" w:hAnsi="Arial" w:cs="Arial"/>
                <w:color w:val="242424"/>
                <w:kern w:val="2"/>
                <w:sz w:val="18"/>
                <w:szCs w:val="18"/>
              </w:rPr>
              <w:t>years</w:t>
            </w:r>
            <w:r w:rsidRPr="006C220B">
              <w:rPr>
                <w:rFonts w:ascii="Arial" w:hAnsi="Arial" w:cs="Arial"/>
                <w:color w:val="242424"/>
                <w:kern w:val="2"/>
                <w:sz w:val="18"/>
                <w:szCs w:val="18"/>
              </w:rPr>
              <w:t>)</w:t>
            </w:r>
          </w:p>
        </w:tc>
        <w:tc>
          <w:tcPr>
            <w:tcW w:w="960" w:type="dxa"/>
            <w:tcBorders>
              <w:top w:val="nil"/>
              <w:bottom w:val="single" w:sz="12" w:space="0" w:color="auto"/>
            </w:tcBorders>
            <w:shd w:val="clear" w:color="auto" w:fill="auto"/>
            <w:vAlign w:val="center"/>
          </w:tcPr>
          <w:p w14:paraId="671DA995" w14:textId="0FFC4AEA" w:rsidR="00F50251" w:rsidRPr="006C220B" w:rsidRDefault="00F50251" w:rsidP="00052E5E">
            <w:pPr>
              <w:jc w:val="cente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Seniors (as %)</w:t>
            </w:r>
          </w:p>
        </w:tc>
      </w:tr>
      <w:tr w:rsidR="007B7196" w:rsidRPr="006C220B" w14:paraId="02A2AF2C" w14:textId="77777777" w:rsidTr="001C33F3">
        <w:trPr>
          <w:trHeight w:val="288"/>
          <w:jc w:val="center"/>
        </w:trPr>
        <w:tc>
          <w:tcPr>
            <w:tcW w:w="1436" w:type="dxa"/>
            <w:tcBorders>
              <w:top w:val="single" w:sz="12" w:space="0" w:color="auto"/>
              <w:bottom w:val="dotted" w:sz="4" w:space="0" w:color="auto"/>
            </w:tcBorders>
            <w:shd w:val="clear" w:color="auto" w:fill="auto"/>
            <w:vAlign w:val="center"/>
          </w:tcPr>
          <w:p w14:paraId="2373BD3B" w14:textId="333FFB4C" w:rsidR="00F50251" w:rsidRPr="006C220B" w:rsidRDefault="007B7196" w:rsidP="004951FA">
            <w:pPr>
              <w:textAlignment w:val="baseline"/>
              <w:outlineLvl w:val="0"/>
              <w:rPr>
                <w:rFonts w:ascii="Arial" w:hAnsi="Arial" w:cs="Arial"/>
                <w:kern w:val="2"/>
                <w:sz w:val="18"/>
                <w:szCs w:val="18"/>
              </w:rPr>
            </w:pPr>
            <w:r w:rsidRPr="006C220B">
              <w:rPr>
                <w:rFonts w:ascii="Arial" w:hAnsi="Arial" w:cs="Arial"/>
                <w:kern w:val="2"/>
                <w:sz w:val="18"/>
                <w:szCs w:val="18"/>
              </w:rPr>
              <w:t xml:space="preserve">Newfoundland </w:t>
            </w:r>
            <w:r w:rsidR="00F50251" w:rsidRPr="006C220B">
              <w:rPr>
                <w:rFonts w:ascii="Arial" w:hAnsi="Arial" w:cs="Arial"/>
                <w:kern w:val="2"/>
                <w:sz w:val="18"/>
                <w:szCs w:val="18"/>
              </w:rPr>
              <w:t>&amp; Labrador</w:t>
            </w:r>
          </w:p>
        </w:tc>
        <w:tc>
          <w:tcPr>
            <w:tcW w:w="959" w:type="dxa"/>
            <w:tcBorders>
              <w:top w:val="single" w:sz="12" w:space="0" w:color="auto"/>
              <w:bottom w:val="dotted" w:sz="4" w:space="0" w:color="auto"/>
            </w:tcBorders>
            <w:shd w:val="clear" w:color="auto" w:fill="auto"/>
            <w:vAlign w:val="center"/>
          </w:tcPr>
          <w:p w14:paraId="2A2F5661"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568.3</w:t>
            </w:r>
          </w:p>
        </w:tc>
        <w:tc>
          <w:tcPr>
            <w:tcW w:w="960" w:type="dxa"/>
            <w:tcBorders>
              <w:top w:val="single" w:sz="12" w:space="0" w:color="auto"/>
              <w:bottom w:val="dotted" w:sz="4" w:space="0" w:color="auto"/>
            </w:tcBorders>
            <w:shd w:val="clear" w:color="auto" w:fill="auto"/>
            <w:vAlign w:val="center"/>
          </w:tcPr>
          <w:p w14:paraId="751187D3"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27.9</w:t>
            </w:r>
          </w:p>
        </w:tc>
        <w:tc>
          <w:tcPr>
            <w:tcW w:w="959" w:type="dxa"/>
            <w:tcBorders>
              <w:top w:val="single" w:sz="12" w:space="0" w:color="auto"/>
              <w:bottom w:val="dotted" w:sz="4" w:space="0" w:color="auto"/>
              <w:right w:val="single" w:sz="4" w:space="0" w:color="auto"/>
            </w:tcBorders>
            <w:shd w:val="clear" w:color="auto" w:fill="auto"/>
            <w:vAlign w:val="center"/>
          </w:tcPr>
          <w:p w14:paraId="3C949985"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8.7</w:t>
            </w:r>
          </w:p>
        </w:tc>
        <w:tc>
          <w:tcPr>
            <w:tcW w:w="960" w:type="dxa"/>
            <w:tcBorders>
              <w:top w:val="single" w:sz="12" w:space="0" w:color="auto"/>
              <w:left w:val="single" w:sz="4" w:space="0" w:color="auto"/>
              <w:bottom w:val="dotted" w:sz="4" w:space="0" w:color="auto"/>
            </w:tcBorders>
            <w:shd w:val="clear" w:color="auto" w:fill="auto"/>
            <w:vAlign w:val="center"/>
          </w:tcPr>
          <w:p w14:paraId="2BD26480"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551.8</w:t>
            </w:r>
          </w:p>
        </w:tc>
        <w:tc>
          <w:tcPr>
            <w:tcW w:w="959" w:type="dxa"/>
            <w:tcBorders>
              <w:top w:val="single" w:sz="12" w:space="0" w:color="auto"/>
              <w:bottom w:val="dotted" w:sz="4" w:space="0" w:color="auto"/>
            </w:tcBorders>
            <w:shd w:val="clear" w:color="auto" w:fill="auto"/>
            <w:vAlign w:val="center"/>
          </w:tcPr>
          <w:p w14:paraId="41664C88"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34.1</w:t>
            </w:r>
          </w:p>
        </w:tc>
        <w:tc>
          <w:tcPr>
            <w:tcW w:w="960" w:type="dxa"/>
            <w:tcBorders>
              <w:top w:val="single" w:sz="12" w:space="0" w:color="auto"/>
              <w:bottom w:val="dotted" w:sz="4" w:space="0" w:color="auto"/>
              <w:right w:val="single" w:sz="4" w:space="0" w:color="auto"/>
            </w:tcBorders>
            <w:shd w:val="clear" w:color="auto" w:fill="auto"/>
            <w:vAlign w:val="center"/>
          </w:tcPr>
          <w:p w14:paraId="0C92C292"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10.7</w:t>
            </w:r>
          </w:p>
        </w:tc>
        <w:tc>
          <w:tcPr>
            <w:tcW w:w="959" w:type="dxa"/>
            <w:tcBorders>
              <w:top w:val="single" w:sz="12" w:space="0" w:color="auto"/>
              <w:left w:val="single" w:sz="4" w:space="0" w:color="auto"/>
              <w:bottom w:val="dotted" w:sz="4" w:space="0" w:color="auto"/>
            </w:tcBorders>
            <w:shd w:val="clear" w:color="auto" w:fill="auto"/>
            <w:vAlign w:val="center"/>
          </w:tcPr>
          <w:p w14:paraId="753F0140"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505.5</w:t>
            </w:r>
          </w:p>
        </w:tc>
        <w:tc>
          <w:tcPr>
            <w:tcW w:w="960" w:type="dxa"/>
            <w:tcBorders>
              <w:top w:val="single" w:sz="12" w:space="0" w:color="auto"/>
              <w:bottom w:val="dotted" w:sz="4" w:space="0" w:color="auto"/>
            </w:tcBorders>
            <w:shd w:val="clear" w:color="auto" w:fill="auto"/>
            <w:vAlign w:val="center"/>
          </w:tcPr>
          <w:p w14:paraId="0D1FE685"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41.3</w:t>
            </w:r>
          </w:p>
        </w:tc>
        <w:tc>
          <w:tcPr>
            <w:tcW w:w="959" w:type="dxa"/>
            <w:tcBorders>
              <w:top w:val="single" w:sz="12" w:space="0" w:color="auto"/>
              <w:bottom w:val="dotted" w:sz="4" w:space="0" w:color="auto"/>
              <w:right w:val="single" w:sz="4" w:space="0" w:color="auto"/>
            </w:tcBorders>
            <w:shd w:val="clear" w:color="auto" w:fill="auto"/>
            <w:vAlign w:val="center"/>
          </w:tcPr>
          <w:p w14:paraId="1BDB2FF2"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13.5</w:t>
            </w:r>
          </w:p>
        </w:tc>
        <w:tc>
          <w:tcPr>
            <w:tcW w:w="960" w:type="dxa"/>
            <w:tcBorders>
              <w:top w:val="single" w:sz="12" w:space="0" w:color="auto"/>
              <w:left w:val="single" w:sz="4" w:space="0" w:color="auto"/>
              <w:bottom w:val="dotted" w:sz="4" w:space="0" w:color="auto"/>
            </w:tcBorders>
            <w:shd w:val="clear" w:color="auto" w:fill="auto"/>
            <w:vAlign w:val="center"/>
          </w:tcPr>
          <w:p w14:paraId="42CB1029"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p>
        </w:tc>
        <w:tc>
          <w:tcPr>
            <w:tcW w:w="959" w:type="dxa"/>
            <w:tcBorders>
              <w:top w:val="single" w:sz="12" w:space="0" w:color="auto"/>
              <w:bottom w:val="dotted" w:sz="4" w:space="0" w:color="auto"/>
            </w:tcBorders>
            <w:shd w:val="clear" w:color="auto" w:fill="auto"/>
            <w:vAlign w:val="center"/>
          </w:tcPr>
          <w:p w14:paraId="0337C60C"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45.0</w:t>
            </w:r>
          </w:p>
        </w:tc>
        <w:tc>
          <w:tcPr>
            <w:tcW w:w="960" w:type="dxa"/>
            <w:tcBorders>
              <w:top w:val="single" w:sz="12" w:space="0" w:color="auto"/>
              <w:bottom w:val="dotted" w:sz="4" w:space="0" w:color="auto"/>
            </w:tcBorders>
            <w:shd w:val="clear" w:color="auto" w:fill="auto"/>
            <w:vAlign w:val="center"/>
          </w:tcPr>
          <w:p w14:paraId="0DB562F9"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18.4</w:t>
            </w:r>
          </w:p>
        </w:tc>
      </w:tr>
      <w:tr w:rsidR="007B7196" w:rsidRPr="006C220B" w14:paraId="53D78234" w14:textId="77777777" w:rsidTr="001C33F3">
        <w:trPr>
          <w:trHeight w:val="288"/>
          <w:jc w:val="center"/>
        </w:trPr>
        <w:tc>
          <w:tcPr>
            <w:tcW w:w="1436" w:type="dxa"/>
            <w:tcBorders>
              <w:top w:val="dotted" w:sz="4" w:space="0" w:color="auto"/>
              <w:bottom w:val="dotted" w:sz="4" w:space="0" w:color="auto"/>
            </w:tcBorders>
            <w:shd w:val="clear" w:color="auto" w:fill="auto"/>
            <w:vAlign w:val="center"/>
          </w:tcPr>
          <w:p w14:paraId="3626E4C1" w14:textId="38985765" w:rsidR="00F50251" w:rsidRPr="006C220B" w:rsidRDefault="00147463" w:rsidP="004951FA">
            <w:pP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Prince Edward Island</w:t>
            </w:r>
          </w:p>
        </w:tc>
        <w:tc>
          <w:tcPr>
            <w:tcW w:w="959" w:type="dxa"/>
            <w:tcBorders>
              <w:top w:val="dotted" w:sz="4" w:space="0" w:color="auto"/>
              <w:bottom w:val="dotted" w:sz="4" w:space="0" w:color="auto"/>
            </w:tcBorders>
            <w:shd w:val="clear" w:color="auto" w:fill="auto"/>
            <w:vAlign w:val="center"/>
          </w:tcPr>
          <w:p w14:paraId="0D229BAE"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126.6</w:t>
            </w:r>
          </w:p>
        </w:tc>
        <w:tc>
          <w:tcPr>
            <w:tcW w:w="960" w:type="dxa"/>
            <w:tcBorders>
              <w:top w:val="dotted" w:sz="4" w:space="0" w:color="auto"/>
              <w:bottom w:val="dotted" w:sz="4" w:space="0" w:color="auto"/>
            </w:tcBorders>
            <w:shd w:val="clear" w:color="auto" w:fill="auto"/>
            <w:vAlign w:val="center"/>
          </w:tcPr>
          <w:p w14:paraId="03BB2B58"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30.6</w:t>
            </w:r>
          </w:p>
        </w:tc>
        <w:tc>
          <w:tcPr>
            <w:tcW w:w="959" w:type="dxa"/>
            <w:tcBorders>
              <w:top w:val="dotted" w:sz="4" w:space="0" w:color="auto"/>
              <w:bottom w:val="dotted" w:sz="4" w:space="0" w:color="auto"/>
              <w:right w:val="single" w:sz="4" w:space="0" w:color="auto"/>
            </w:tcBorders>
            <w:shd w:val="clear" w:color="auto" w:fill="auto"/>
            <w:vAlign w:val="center"/>
          </w:tcPr>
          <w:p w14:paraId="3E7A8D3C"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12.6</w:t>
            </w:r>
          </w:p>
        </w:tc>
        <w:tc>
          <w:tcPr>
            <w:tcW w:w="960" w:type="dxa"/>
            <w:tcBorders>
              <w:top w:val="dotted" w:sz="4" w:space="0" w:color="auto"/>
              <w:left w:val="single" w:sz="4" w:space="0" w:color="auto"/>
              <w:bottom w:val="dotted" w:sz="4" w:space="0" w:color="auto"/>
            </w:tcBorders>
            <w:shd w:val="clear" w:color="auto" w:fill="auto"/>
            <w:vAlign w:val="center"/>
          </w:tcPr>
          <w:p w14:paraId="7E890E76"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134.6</w:t>
            </w:r>
          </w:p>
        </w:tc>
        <w:tc>
          <w:tcPr>
            <w:tcW w:w="959" w:type="dxa"/>
            <w:tcBorders>
              <w:top w:val="dotted" w:sz="4" w:space="0" w:color="auto"/>
              <w:bottom w:val="dotted" w:sz="4" w:space="0" w:color="auto"/>
            </w:tcBorders>
            <w:shd w:val="clear" w:color="auto" w:fill="auto"/>
            <w:vAlign w:val="center"/>
          </w:tcPr>
          <w:p w14:paraId="6AFCB2A3"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34.7</w:t>
            </w:r>
          </w:p>
        </w:tc>
        <w:tc>
          <w:tcPr>
            <w:tcW w:w="960" w:type="dxa"/>
            <w:tcBorders>
              <w:top w:val="dotted" w:sz="4" w:space="0" w:color="auto"/>
              <w:bottom w:val="dotted" w:sz="4" w:space="0" w:color="auto"/>
              <w:right w:val="single" w:sz="4" w:space="0" w:color="auto"/>
            </w:tcBorders>
            <w:shd w:val="clear" w:color="auto" w:fill="auto"/>
            <w:vAlign w:val="center"/>
          </w:tcPr>
          <w:p w14:paraId="7B5DF519"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12.9</w:t>
            </w:r>
          </w:p>
        </w:tc>
        <w:tc>
          <w:tcPr>
            <w:tcW w:w="959" w:type="dxa"/>
            <w:tcBorders>
              <w:top w:val="dotted" w:sz="4" w:space="0" w:color="auto"/>
              <w:left w:val="single" w:sz="4" w:space="0" w:color="auto"/>
              <w:bottom w:val="dotted" w:sz="4" w:space="0" w:color="auto"/>
            </w:tcBorders>
            <w:shd w:val="clear" w:color="auto" w:fill="auto"/>
            <w:vAlign w:val="center"/>
          </w:tcPr>
          <w:p w14:paraId="5E90B0D9"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135.8</w:t>
            </w:r>
          </w:p>
        </w:tc>
        <w:tc>
          <w:tcPr>
            <w:tcW w:w="960" w:type="dxa"/>
            <w:tcBorders>
              <w:top w:val="dotted" w:sz="4" w:space="0" w:color="auto"/>
              <w:bottom w:val="dotted" w:sz="4" w:space="0" w:color="auto"/>
            </w:tcBorders>
            <w:shd w:val="clear" w:color="auto" w:fill="auto"/>
            <w:vAlign w:val="center"/>
          </w:tcPr>
          <w:p w14:paraId="6FDD5CE8"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40.3</w:t>
            </w:r>
          </w:p>
        </w:tc>
        <w:tc>
          <w:tcPr>
            <w:tcW w:w="959" w:type="dxa"/>
            <w:tcBorders>
              <w:top w:val="dotted" w:sz="4" w:space="0" w:color="auto"/>
              <w:bottom w:val="dotted" w:sz="4" w:space="0" w:color="auto"/>
              <w:right w:val="single" w:sz="4" w:space="0" w:color="auto"/>
            </w:tcBorders>
            <w:shd w:val="clear" w:color="auto" w:fill="auto"/>
            <w:vAlign w:val="center"/>
          </w:tcPr>
          <w:p w14:paraId="1A421596"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14.6</w:t>
            </w:r>
          </w:p>
        </w:tc>
        <w:tc>
          <w:tcPr>
            <w:tcW w:w="960" w:type="dxa"/>
            <w:tcBorders>
              <w:top w:val="dotted" w:sz="4" w:space="0" w:color="auto"/>
              <w:left w:val="single" w:sz="4" w:space="0" w:color="auto"/>
              <w:bottom w:val="dotted" w:sz="4" w:space="0" w:color="auto"/>
            </w:tcBorders>
            <w:shd w:val="clear" w:color="auto" w:fill="auto"/>
            <w:vAlign w:val="center"/>
          </w:tcPr>
          <w:p w14:paraId="7442E525"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p>
        </w:tc>
        <w:tc>
          <w:tcPr>
            <w:tcW w:w="959" w:type="dxa"/>
            <w:tcBorders>
              <w:top w:val="dotted" w:sz="4" w:space="0" w:color="auto"/>
              <w:bottom w:val="dotted" w:sz="4" w:space="0" w:color="auto"/>
            </w:tcBorders>
            <w:shd w:val="clear" w:color="auto" w:fill="auto"/>
            <w:vAlign w:val="center"/>
          </w:tcPr>
          <w:p w14:paraId="455DAB7C"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43.7</w:t>
            </w:r>
          </w:p>
        </w:tc>
        <w:tc>
          <w:tcPr>
            <w:tcW w:w="960" w:type="dxa"/>
            <w:tcBorders>
              <w:top w:val="dotted" w:sz="4" w:space="0" w:color="auto"/>
              <w:bottom w:val="dotted" w:sz="4" w:space="0" w:color="auto"/>
            </w:tcBorders>
            <w:shd w:val="clear" w:color="auto" w:fill="auto"/>
            <w:vAlign w:val="center"/>
          </w:tcPr>
          <w:p w14:paraId="35889561"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18.6</w:t>
            </w:r>
          </w:p>
        </w:tc>
      </w:tr>
      <w:tr w:rsidR="007B7196" w:rsidRPr="006C220B" w14:paraId="3AA20BA6" w14:textId="77777777" w:rsidTr="001C33F3">
        <w:trPr>
          <w:trHeight w:val="288"/>
          <w:jc w:val="center"/>
        </w:trPr>
        <w:tc>
          <w:tcPr>
            <w:tcW w:w="1436" w:type="dxa"/>
            <w:tcBorders>
              <w:top w:val="dotted" w:sz="4" w:space="0" w:color="auto"/>
              <w:bottom w:val="dotted" w:sz="4" w:space="0" w:color="auto"/>
            </w:tcBorders>
            <w:shd w:val="clear" w:color="auto" w:fill="auto"/>
            <w:vAlign w:val="center"/>
          </w:tcPr>
          <w:p w14:paraId="0DAAE82D" w14:textId="77777777" w:rsidR="00F50251" w:rsidRPr="006C220B" w:rsidRDefault="00F50251" w:rsidP="004951FA">
            <w:pP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Nova Scotia</w:t>
            </w:r>
          </w:p>
        </w:tc>
        <w:tc>
          <w:tcPr>
            <w:tcW w:w="959" w:type="dxa"/>
            <w:tcBorders>
              <w:top w:val="dotted" w:sz="4" w:space="0" w:color="auto"/>
              <w:bottom w:val="dotted" w:sz="4" w:space="0" w:color="auto"/>
            </w:tcBorders>
            <w:shd w:val="clear" w:color="auto" w:fill="auto"/>
            <w:vAlign w:val="center"/>
          </w:tcPr>
          <w:p w14:paraId="7099AD4F"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873.2</w:t>
            </w:r>
          </w:p>
        </w:tc>
        <w:tc>
          <w:tcPr>
            <w:tcW w:w="960" w:type="dxa"/>
            <w:tcBorders>
              <w:top w:val="dotted" w:sz="4" w:space="0" w:color="auto"/>
              <w:bottom w:val="dotted" w:sz="4" w:space="0" w:color="auto"/>
            </w:tcBorders>
            <w:shd w:val="clear" w:color="auto" w:fill="auto"/>
            <w:vAlign w:val="center"/>
          </w:tcPr>
          <w:p w14:paraId="529A9AEC"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31.0</w:t>
            </w:r>
          </w:p>
        </w:tc>
        <w:tc>
          <w:tcPr>
            <w:tcW w:w="959" w:type="dxa"/>
            <w:tcBorders>
              <w:top w:val="dotted" w:sz="4" w:space="0" w:color="auto"/>
              <w:bottom w:val="dotted" w:sz="4" w:space="0" w:color="auto"/>
              <w:right w:val="single" w:sz="4" w:space="0" w:color="auto"/>
            </w:tcBorders>
            <w:shd w:val="clear" w:color="auto" w:fill="auto"/>
            <w:vAlign w:val="center"/>
          </w:tcPr>
          <w:p w14:paraId="103626E1"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11.8</w:t>
            </w:r>
          </w:p>
        </w:tc>
        <w:tc>
          <w:tcPr>
            <w:tcW w:w="960" w:type="dxa"/>
            <w:tcBorders>
              <w:top w:val="dotted" w:sz="4" w:space="0" w:color="auto"/>
              <w:left w:val="single" w:sz="4" w:space="0" w:color="auto"/>
              <w:bottom w:val="dotted" w:sz="4" w:space="0" w:color="auto"/>
            </w:tcBorders>
            <w:shd w:val="clear" w:color="auto" w:fill="auto"/>
            <w:vAlign w:val="center"/>
          </w:tcPr>
          <w:p w14:paraId="087E42BC"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909.3</w:t>
            </w:r>
          </w:p>
        </w:tc>
        <w:tc>
          <w:tcPr>
            <w:tcW w:w="959" w:type="dxa"/>
            <w:tcBorders>
              <w:top w:val="dotted" w:sz="4" w:space="0" w:color="auto"/>
              <w:bottom w:val="dotted" w:sz="4" w:space="0" w:color="auto"/>
            </w:tcBorders>
            <w:shd w:val="clear" w:color="auto" w:fill="auto"/>
            <w:vAlign w:val="center"/>
          </w:tcPr>
          <w:p w14:paraId="6ED2D43A"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35.7</w:t>
            </w:r>
          </w:p>
        </w:tc>
        <w:tc>
          <w:tcPr>
            <w:tcW w:w="960" w:type="dxa"/>
            <w:tcBorders>
              <w:top w:val="dotted" w:sz="4" w:space="0" w:color="auto"/>
              <w:bottom w:val="dotted" w:sz="4" w:space="0" w:color="auto"/>
              <w:right w:val="single" w:sz="4" w:space="0" w:color="auto"/>
            </w:tcBorders>
            <w:shd w:val="clear" w:color="auto" w:fill="auto"/>
            <w:vAlign w:val="center"/>
          </w:tcPr>
          <w:p w14:paraId="29249C2C" w14:textId="475D8DCA"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12.9</w:t>
            </w:r>
          </w:p>
        </w:tc>
        <w:tc>
          <w:tcPr>
            <w:tcW w:w="959" w:type="dxa"/>
            <w:tcBorders>
              <w:top w:val="dotted" w:sz="4" w:space="0" w:color="auto"/>
              <w:left w:val="single" w:sz="4" w:space="0" w:color="auto"/>
              <w:bottom w:val="dotted" w:sz="4" w:space="0" w:color="auto"/>
            </w:tcBorders>
            <w:shd w:val="clear" w:color="auto" w:fill="auto"/>
            <w:vAlign w:val="center"/>
          </w:tcPr>
          <w:p w14:paraId="7C881B6C"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913.5</w:t>
            </w:r>
          </w:p>
        </w:tc>
        <w:tc>
          <w:tcPr>
            <w:tcW w:w="960" w:type="dxa"/>
            <w:tcBorders>
              <w:top w:val="dotted" w:sz="4" w:space="0" w:color="auto"/>
              <w:bottom w:val="dotted" w:sz="4" w:space="0" w:color="auto"/>
            </w:tcBorders>
            <w:shd w:val="clear" w:color="auto" w:fill="auto"/>
            <w:vAlign w:val="center"/>
          </w:tcPr>
          <w:p w14:paraId="0C90FD77"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41.2</w:t>
            </w:r>
          </w:p>
        </w:tc>
        <w:tc>
          <w:tcPr>
            <w:tcW w:w="959" w:type="dxa"/>
            <w:tcBorders>
              <w:top w:val="dotted" w:sz="4" w:space="0" w:color="auto"/>
              <w:bottom w:val="dotted" w:sz="4" w:space="0" w:color="auto"/>
              <w:right w:val="single" w:sz="4" w:space="0" w:color="auto"/>
            </w:tcBorders>
            <w:shd w:val="clear" w:color="auto" w:fill="auto"/>
            <w:vAlign w:val="center"/>
          </w:tcPr>
          <w:p w14:paraId="31588231"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14.6</w:t>
            </w:r>
          </w:p>
        </w:tc>
        <w:tc>
          <w:tcPr>
            <w:tcW w:w="960" w:type="dxa"/>
            <w:tcBorders>
              <w:top w:val="dotted" w:sz="4" w:space="0" w:color="auto"/>
              <w:left w:val="single" w:sz="4" w:space="0" w:color="auto"/>
              <w:bottom w:val="dotted" w:sz="4" w:space="0" w:color="auto"/>
            </w:tcBorders>
            <w:shd w:val="clear" w:color="auto" w:fill="auto"/>
            <w:vAlign w:val="center"/>
          </w:tcPr>
          <w:p w14:paraId="2B8761FA"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p>
        </w:tc>
        <w:tc>
          <w:tcPr>
            <w:tcW w:w="959" w:type="dxa"/>
            <w:tcBorders>
              <w:top w:val="dotted" w:sz="4" w:space="0" w:color="auto"/>
              <w:bottom w:val="dotted" w:sz="4" w:space="0" w:color="auto"/>
            </w:tcBorders>
            <w:shd w:val="clear" w:color="auto" w:fill="auto"/>
            <w:vAlign w:val="center"/>
          </w:tcPr>
          <w:p w14:paraId="03C674F0"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44.4</w:t>
            </w:r>
          </w:p>
        </w:tc>
        <w:tc>
          <w:tcPr>
            <w:tcW w:w="960" w:type="dxa"/>
            <w:tcBorders>
              <w:top w:val="dotted" w:sz="4" w:space="0" w:color="auto"/>
              <w:bottom w:val="dotted" w:sz="4" w:space="0" w:color="auto"/>
            </w:tcBorders>
            <w:shd w:val="clear" w:color="auto" w:fill="auto"/>
            <w:vAlign w:val="center"/>
          </w:tcPr>
          <w:p w14:paraId="6F80C8BE"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18.9</w:t>
            </w:r>
          </w:p>
        </w:tc>
      </w:tr>
      <w:tr w:rsidR="007B7196" w:rsidRPr="006C220B" w14:paraId="0616FA63" w14:textId="77777777" w:rsidTr="001C33F3">
        <w:trPr>
          <w:trHeight w:val="288"/>
          <w:jc w:val="center"/>
        </w:trPr>
        <w:tc>
          <w:tcPr>
            <w:tcW w:w="1436" w:type="dxa"/>
            <w:tcBorders>
              <w:top w:val="dotted" w:sz="4" w:space="0" w:color="auto"/>
              <w:bottom w:val="dotted" w:sz="4" w:space="0" w:color="auto"/>
            </w:tcBorders>
            <w:shd w:val="clear" w:color="auto" w:fill="auto"/>
            <w:vAlign w:val="center"/>
          </w:tcPr>
          <w:p w14:paraId="75A5A50F" w14:textId="77777777" w:rsidR="00F50251" w:rsidRPr="006C220B" w:rsidRDefault="00F50251" w:rsidP="004951FA">
            <w:pPr>
              <w:textAlignment w:val="baseline"/>
              <w:outlineLvl w:val="0"/>
              <w:rPr>
                <w:rFonts w:ascii="Arial" w:hAnsi="Arial" w:cs="Arial"/>
                <w:bCs/>
                <w:color w:val="242424"/>
                <w:kern w:val="2"/>
                <w:sz w:val="18"/>
                <w:szCs w:val="18"/>
              </w:rPr>
            </w:pPr>
            <w:r w:rsidRPr="006C220B">
              <w:rPr>
                <w:rFonts w:ascii="Arial" w:hAnsi="Arial" w:cs="Arial"/>
                <w:bCs/>
                <w:color w:val="242424"/>
                <w:kern w:val="2"/>
                <w:sz w:val="18"/>
                <w:szCs w:val="18"/>
              </w:rPr>
              <w:t>New Brunswick</w:t>
            </w:r>
          </w:p>
        </w:tc>
        <w:tc>
          <w:tcPr>
            <w:tcW w:w="959" w:type="dxa"/>
            <w:tcBorders>
              <w:top w:val="dotted" w:sz="4" w:space="0" w:color="auto"/>
              <w:bottom w:val="dotted" w:sz="4" w:space="0" w:color="auto"/>
            </w:tcBorders>
            <w:shd w:val="clear" w:color="auto" w:fill="auto"/>
            <w:vAlign w:val="center"/>
          </w:tcPr>
          <w:p w14:paraId="6EBA34C5"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709.4</w:t>
            </w:r>
          </w:p>
        </w:tc>
        <w:tc>
          <w:tcPr>
            <w:tcW w:w="960" w:type="dxa"/>
            <w:tcBorders>
              <w:top w:val="dotted" w:sz="4" w:space="0" w:color="auto"/>
              <w:bottom w:val="dotted" w:sz="4" w:space="0" w:color="auto"/>
            </w:tcBorders>
            <w:shd w:val="clear" w:color="auto" w:fill="auto"/>
            <w:vAlign w:val="center"/>
          </w:tcPr>
          <w:p w14:paraId="78876160" w14:textId="77777777" w:rsidR="00F50251" w:rsidRPr="006C220B" w:rsidRDefault="00F50251" w:rsidP="006C220B">
            <w:pPr>
              <w:ind w:right="144"/>
              <w:jc w:val="right"/>
              <w:textAlignment w:val="baseline"/>
              <w:outlineLvl w:val="0"/>
              <w:rPr>
                <w:rFonts w:ascii="Arial" w:hAnsi="Arial" w:cs="Arial"/>
                <w:bCs/>
                <w:color w:val="242424"/>
                <w:kern w:val="2"/>
                <w:sz w:val="18"/>
                <w:szCs w:val="18"/>
              </w:rPr>
            </w:pPr>
            <w:r w:rsidRPr="006C220B">
              <w:rPr>
                <w:rFonts w:ascii="Arial" w:hAnsi="Arial" w:cs="Arial"/>
                <w:bCs/>
                <w:color w:val="242424"/>
                <w:kern w:val="2"/>
                <w:sz w:val="18"/>
                <w:szCs w:val="18"/>
              </w:rPr>
              <w:t>30.4</w:t>
            </w:r>
          </w:p>
        </w:tc>
        <w:tc>
          <w:tcPr>
            <w:tcW w:w="959" w:type="dxa"/>
            <w:tcBorders>
              <w:top w:val="dotted" w:sz="4" w:space="0" w:color="auto"/>
              <w:bottom w:val="dotted" w:sz="4" w:space="0" w:color="auto"/>
              <w:right w:val="single" w:sz="4" w:space="0" w:color="auto"/>
            </w:tcBorders>
            <w:shd w:val="clear" w:color="auto" w:fill="auto"/>
            <w:vAlign w:val="center"/>
          </w:tcPr>
          <w:p w14:paraId="7CAF8ACB" w14:textId="77777777" w:rsidR="00F50251" w:rsidRPr="006C220B" w:rsidRDefault="00F50251" w:rsidP="006C220B">
            <w:pPr>
              <w:ind w:right="144"/>
              <w:jc w:val="right"/>
              <w:textAlignment w:val="baseline"/>
              <w:outlineLvl w:val="0"/>
              <w:rPr>
                <w:rFonts w:ascii="Arial" w:hAnsi="Arial" w:cs="Arial"/>
                <w:bCs/>
                <w:color w:val="242424"/>
                <w:kern w:val="2"/>
                <w:sz w:val="18"/>
                <w:szCs w:val="18"/>
              </w:rPr>
            </w:pPr>
            <w:r w:rsidRPr="006C220B">
              <w:rPr>
                <w:rFonts w:ascii="Arial" w:hAnsi="Arial" w:cs="Arial"/>
                <w:bCs/>
                <w:color w:val="242424"/>
                <w:kern w:val="2"/>
                <w:sz w:val="18"/>
                <w:szCs w:val="18"/>
              </w:rPr>
              <w:t>11.0</w:t>
            </w:r>
          </w:p>
        </w:tc>
        <w:tc>
          <w:tcPr>
            <w:tcW w:w="960" w:type="dxa"/>
            <w:tcBorders>
              <w:top w:val="dotted" w:sz="4" w:space="0" w:color="auto"/>
              <w:left w:val="single" w:sz="4" w:space="0" w:color="auto"/>
              <w:bottom w:val="dotted" w:sz="4" w:space="0" w:color="auto"/>
            </w:tcBorders>
            <w:shd w:val="clear" w:color="auto" w:fill="auto"/>
            <w:vAlign w:val="center"/>
          </w:tcPr>
          <w:p w14:paraId="756C95BD"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738.1</w:t>
            </w:r>
          </w:p>
        </w:tc>
        <w:tc>
          <w:tcPr>
            <w:tcW w:w="959" w:type="dxa"/>
            <w:tcBorders>
              <w:top w:val="dotted" w:sz="4" w:space="0" w:color="auto"/>
              <w:bottom w:val="dotted" w:sz="4" w:space="0" w:color="auto"/>
            </w:tcBorders>
            <w:shd w:val="clear" w:color="auto" w:fill="auto"/>
            <w:vAlign w:val="center"/>
          </w:tcPr>
          <w:p w14:paraId="61B96793" w14:textId="77777777" w:rsidR="00F50251" w:rsidRPr="006C220B" w:rsidRDefault="00F50251" w:rsidP="006C220B">
            <w:pPr>
              <w:ind w:right="144"/>
              <w:jc w:val="right"/>
              <w:textAlignment w:val="baseline"/>
              <w:outlineLvl w:val="0"/>
              <w:rPr>
                <w:rFonts w:ascii="Arial" w:hAnsi="Arial" w:cs="Arial"/>
                <w:bCs/>
                <w:color w:val="242424"/>
                <w:kern w:val="2"/>
                <w:sz w:val="18"/>
                <w:szCs w:val="18"/>
              </w:rPr>
            </w:pPr>
            <w:r w:rsidRPr="006C220B">
              <w:rPr>
                <w:rFonts w:ascii="Arial" w:hAnsi="Arial" w:cs="Arial"/>
                <w:bCs/>
                <w:color w:val="242424"/>
                <w:kern w:val="2"/>
                <w:sz w:val="18"/>
                <w:szCs w:val="18"/>
              </w:rPr>
              <w:t>35.4</w:t>
            </w:r>
          </w:p>
        </w:tc>
        <w:tc>
          <w:tcPr>
            <w:tcW w:w="960" w:type="dxa"/>
            <w:tcBorders>
              <w:top w:val="dotted" w:sz="4" w:space="0" w:color="auto"/>
              <w:bottom w:val="dotted" w:sz="4" w:space="0" w:color="auto"/>
              <w:right w:val="single" w:sz="4" w:space="0" w:color="auto"/>
            </w:tcBorders>
            <w:shd w:val="clear" w:color="auto" w:fill="auto"/>
            <w:vAlign w:val="center"/>
          </w:tcPr>
          <w:p w14:paraId="20C74C3E" w14:textId="77777777" w:rsidR="00F50251" w:rsidRPr="006C220B" w:rsidRDefault="00F50251" w:rsidP="006C220B">
            <w:pPr>
              <w:ind w:right="144"/>
              <w:jc w:val="right"/>
              <w:textAlignment w:val="baseline"/>
              <w:outlineLvl w:val="0"/>
              <w:rPr>
                <w:rFonts w:ascii="Arial" w:hAnsi="Arial" w:cs="Arial"/>
                <w:bCs/>
                <w:color w:val="242424"/>
                <w:kern w:val="2"/>
                <w:sz w:val="18"/>
                <w:szCs w:val="18"/>
              </w:rPr>
            </w:pPr>
            <w:r w:rsidRPr="006C220B">
              <w:rPr>
                <w:rFonts w:ascii="Arial" w:hAnsi="Arial" w:cs="Arial"/>
                <w:bCs/>
                <w:color w:val="242424"/>
                <w:kern w:val="2"/>
                <w:sz w:val="18"/>
                <w:szCs w:val="18"/>
              </w:rPr>
              <w:t>12.5</w:t>
            </w:r>
          </w:p>
        </w:tc>
        <w:tc>
          <w:tcPr>
            <w:tcW w:w="959" w:type="dxa"/>
            <w:tcBorders>
              <w:top w:val="dotted" w:sz="4" w:space="0" w:color="auto"/>
              <w:left w:val="single" w:sz="4" w:space="0" w:color="auto"/>
              <w:bottom w:val="dotted" w:sz="4" w:space="0" w:color="auto"/>
            </w:tcBorders>
            <w:shd w:val="clear" w:color="auto" w:fill="auto"/>
            <w:vAlign w:val="center"/>
          </w:tcPr>
          <w:p w14:paraId="18C4B833"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730.0</w:t>
            </w:r>
          </w:p>
        </w:tc>
        <w:tc>
          <w:tcPr>
            <w:tcW w:w="960" w:type="dxa"/>
            <w:tcBorders>
              <w:top w:val="dotted" w:sz="4" w:space="0" w:color="auto"/>
              <w:bottom w:val="dotted" w:sz="4" w:space="0" w:color="auto"/>
            </w:tcBorders>
            <w:shd w:val="clear" w:color="auto" w:fill="auto"/>
            <w:vAlign w:val="center"/>
          </w:tcPr>
          <w:p w14:paraId="4DDB2F8E" w14:textId="77777777" w:rsidR="00F50251" w:rsidRPr="006C220B" w:rsidRDefault="00F50251" w:rsidP="006C220B">
            <w:pPr>
              <w:ind w:right="144"/>
              <w:jc w:val="right"/>
              <w:textAlignment w:val="baseline"/>
              <w:outlineLvl w:val="0"/>
              <w:rPr>
                <w:rFonts w:ascii="Arial" w:hAnsi="Arial" w:cs="Arial"/>
                <w:bCs/>
                <w:color w:val="242424"/>
                <w:kern w:val="2"/>
                <w:sz w:val="18"/>
                <w:szCs w:val="18"/>
              </w:rPr>
            </w:pPr>
            <w:r w:rsidRPr="006C220B">
              <w:rPr>
                <w:rFonts w:ascii="Arial" w:hAnsi="Arial" w:cs="Arial"/>
                <w:bCs/>
                <w:color w:val="242424"/>
                <w:kern w:val="2"/>
                <w:sz w:val="18"/>
                <w:szCs w:val="18"/>
              </w:rPr>
              <w:t>41.1</w:t>
            </w:r>
          </w:p>
        </w:tc>
        <w:tc>
          <w:tcPr>
            <w:tcW w:w="959" w:type="dxa"/>
            <w:tcBorders>
              <w:top w:val="dotted" w:sz="4" w:space="0" w:color="auto"/>
              <w:bottom w:val="dotted" w:sz="4" w:space="0" w:color="auto"/>
              <w:right w:val="single" w:sz="4" w:space="0" w:color="auto"/>
            </w:tcBorders>
            <w:shd w:val="clear" w:color="auto" w:fill="auto"/>
            <w:vAlign w:val="center"/>
          </w:tcPr>
          <w:p w14:paraId="6CBC28CF" w14:textId="77777777" w:rsidR="00F50251" w:rsidRPr="006C220B" w:rsidRDefault="00F50251" w:rsidP="006C220B">
            <w:pPr>
              <w:ind w:right="144"/>
              <w:jc w:val="right"/>
              <w:textAlignment w:val="baseline"/>
              <w:outlineLvl w:val="0"/>
              <w:rPr>
                <w:rFonts w:ascii="Arial" w:hAnsi="Arial" w:cs="Arial"/>
                <w:bCs/>
                <w:color w:val="242424"/>
                <w:kern w:val="2"/>
                <w:sz w:val="18"/>
                <w:szCs w:val="18"/>
              </w:rPr>
            </w:pPr>
            <w:r w:rsidRPr="006C220B">
              <w:rPr>
                <w:rFonts w:ascii="Arial" w:hAnsi="Arial" w:cs="Arial"/>
                <w:bCs/>
                <w:color w:val="242424"/>
                <w:kern w:val="2"/>
                <w:sz w:val="18"/>
                <w:szCs w:val="18"/>
              </w:rPr>
              <w:t>14.3</w:t>
            </w:r>
          </w:p>
        </w:tc>
        <w:tc>
          <w:tcPr>
            <w:tcW w:w="960" w:type="dxa"/>
            <w:tcBorders>
              <w:top w:val="dotted" w:sz="4" w:space="0" w:color="auto"/>
              <w:left w:val="single" w:sz="4" w:space="0" w:color="auto"/>
              <w:bottom w:val="dotted" w:sz="4" w:space="0" w:color="auto"/>
            </w:tcBorders>
            <w:shd w:val="clear" w:color="auto" w:fill="auto"/>
            <w:vAlign w:val="center"/>
          </w:tcPr>
          <w:p w14:paraId="09767F52"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p>
        </w:tc>
        <w:tc>
          <w:tcPr>
            <w:tcW w:w="959" w:type="dxa"/>
            <w:tcBorders>
              <w:top w:val="dotted" w:sz="4" w:space="0" w:color="auto"/>
              <w:bottom w:val="dotted" w:sz="4" w:space="0" w:color="auto"/>
            </w:tcBorders>
            <w:shd w:val="clear" w:color="auto" w:fill="auto"/>
            <w:vAlign w:val="center"/>
          </w:tcPr>
          <w:p w14:paraId="21FF127B" w14:textId="77777777" w:rsidR="00F50251" w:rsidRPr="006C220B" w:rsidRDefault="00F50251" w:rsidP="006C220B">
            <w:pPr>
              <w:ind w:right="144"/>
              <w:jc w:val="right"/>
              <w:textAlignment w:val="baseline"/>
              <w:outlineLvl w:val="0"/>
              <w:rPr>
                <w:rFonts w:ascii="Arial" w:hAnsi="Arial" w:cs="Arial"/>
                <w:bCs/>
                <w:color w:val="242424"/>
                <w:kern w:val="2"/>
                <w:sz w:val="18"/>
                <w:szCs w:val="18"/>
              </w:rPr>
            </w:pPr>
            <w:r w:rsidRPr="006C220B">
              <w:rPr>
                <w:rFonts w:ascii="Arial" w:hAnsi="Arial" w:cs="Arial"/>
                <w:bCs/>
                <w:color w:val="242424"/>
                <w:kern w:val="2"/>
                <w:sz w:val="18"/>
                <w:szCs w:val="18"/>
              </w:rPr>
              <w:t>44.8</w:t>
            </w:r>
          </w:p>
        </w:tc>
        <w:tc>
          <w:tcPr>
            <w:tcW w:w="960" w:type="dxa"/>
            <w:tcBorders>
              <w:top w:val="dotted" w:sz="4" w:space="0" w:color="auto"/>
              <w:bottom w:val="dotted" w:sz="4" w:space="0" w:color="auto"/>
            </w:tcBorders>
            <w:shd w:val="clear" w:color="auto" w:fill="auto"/>
            <w:vAlign w:val="center"/>
          </w:tcPr>
          <w:p w14:paraId="5174BA2C" w14:textId="77777777" w:rsidR="00F50251" w:rsidRPr="006C220B" w:rsidRDefault="00F50251" w:rsidP="006C220B">
            <w:pPr>
              <w:ind w:right="144"/>
              <w:jc w:val="right"/>
              <w:textAlignment w:val="baseline"/>
              <w:outlineLvl w:val="0"/>
              <w:rPr>
                <w:rFonts w:ascii="Arial" w:hAnsi="Arial" w:cs="Arial"/>
                <w:bCs/>
                <w:color w:val="242424"/>
                <w:kern w:val="2"/>
                <w:sz w:val="18"/>
                <w:szCs w:val="18"/>
              </w:rPr>
            </w:pPr>
            <w:r w:rsidRPr="006C220B">
              <w:rPr>
                <w:rFonts w:ascii="Arial" w:hAnsi="Arial" w:cs="Arial"/>
                <w:bCs/>
                <w:color w:val="242424"/>
                <w:kern w:val="2"/>
                <w:sz w:val="18"/>
                <w:szCs w:val="18"/>
              </w:rPr>
              <w:t>19.0</w:t>
            </w:r>
          </w:p>
        </w:tc>
      </w:tr>
      <w:tr w:rsidR="007B7196" w:rsidRPr="006C220B" w14:paraId="142367EF" w14:textId="77777777" w:rsidTr="001C33F3">
        <w:trPr>
          <w:trHeight w:val="288"/>
          <w:jc w:val="center"/>
        </w:trPr>
        <w:tc>
          <w:tcPr>
            <w:tcW w:w="1436" w:type="dxa"/>
            <w:tcBorders>
              <w:top w:val="dotted" w:sz="4" w:space="0" w:color="auto"/>
              <w:bottom w:val="dotted" w:sz="4" w:space="0" w:color="auto"/>
            </w:tcBorders>
            <w:shd w:val="clear" w:color="auto" w:fill="auto"/>
            <w:vAlign w:val="center"/>
          </w:tcPr>
          <w:p w14:paraId="3A90579F" w14:textId="77777777" w:rsidR="00F50251" w:rsidRPr="006C220B" w:rsidRDefault="00F50251" w:rsidP="004951FA">
            <w:pP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Quebec</w:t>
            </w:r>
          </w:p>
        </w:tc>
        <w:tc>
          <w:tcPr>
            <w:tcW w:w="959" w:type="dxa"/>
            <w:tcBorders>
              <w:top w:val="dotted" w:sz="4" w:space="0" w:color="auto"/>
              <w:bottom w:val="dotted" w:sz="4" w:space="0" w:color="auto"/>
            </w:tcBorders>
            <w:shd w:val="clear" w:color="auto" w:fill="auto"/>
            <w:vAlign w:val="center"/>
          </w:tcPr>
          <w:p w14:paraId="4E7E3651"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6,532.5</w:t>
            </w:r>
          </w:p>
        </w:tc>
        <w:tc>
          <w:tcPr>
            <w:tcW w:w="960" w:type="dxa"/>
            <w:tcBorders>
              <w:top w:val="dotted" w:sz="4" w:space="0" w:color="auto"/>
              <w:bottom w:val="dotted" w:sz="4" w:space="0" w:color="auto"/>
            </w:tcBorders>
            <w:shd w:val="clear" w:color="auto" w:fill="auto"/>
            <w:vAlign w:val="center"/>
          </w:tcPr>
          <w:p w14:paraId="5AF6AD2C"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31.8</w:t>
            </w:r>
          </w:p>
        </w:tc>
        <w:tc>
          <w:tcPr>
            <w:tcW w:w="959" w:type="dxa"/>
            <w:tcBorders>
              <w:top w:val="dotted" w:sz="4" w:space="0" w:color="auto"/>
              <w:bottom w:val="dotted" w:sz="4" w:space="0" w:color="auto"/>
              <w:right w:val="single" w:sz="4" w:space="0" w:color="auto"/>
            </w:tcBorders>
            <w:shd w:val="clear" w:color="auto" w:fill="auto"/>
            <w:vAlign w:val="center"/>
          </w:tcPr>
          <w:p w14:paraId="445E5277"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9.8</w:t>
            </w:r>
          </w:p>
        </w:tc>
        <w:tc>
          <w:tcPr>
            <w:tcW w:w="960" w:type="dxa"/>
            <w:tcBorders>
              <w:top w:val="dotted" w:sz="4" w:space="0" w:color="auto"/>
              <w:left w:val="single" w:sz="4" w:space="0" w:color="auto"/>
              <w:bottom w:val="dotted" w:sz="4" w:space="0" w:color="auto"/>
            </w:tcBorders>
            <w:shd w:val="clear" w:color="auto" w:fill="auto"/>
            <w:vAlign w:val="center"/>
          </w:tcPr>
          <w:p w14:paraId="718E8521"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7,138.8</w:t>
            </w:r>
          </w:p>
        </w:tc>
        <w:tc>
          <w:tcPr>
            <w:tcW w:w="959" w:type="dxa"/>
            <w:tcBorders>
              <w:top w:val="dotted" w:sz="4" w:space="0" w:color="auto"/>
              <w:bottom w:val="dotted" w:sz="4" w:space="0" w:color="auto"/>
            </w:tcBorders>
            <w:shd w:val="clear" w:color="auto" w:fill="auto"/>
            <w:vAlign w:val="center"/>
          </w:tcPr>
          <w:p w14:paraId="03964465"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36.1</w:t>
            </w:r>
          </w:p>
        </w:tc>
        <w:tc>
          <w:tcPr>
            <w:tcW w:w="960" w:type="dxa"/>
            <w:tcBorders>
              <w:top w:val="dotted" w:sz="4" w:space="0" w:color="auto"/>
              <w:bottom w:val="dotted" w:sz="4" w:space="0" w:color="auto"/>
              <w:right w:val="single" w:sz="4" w:space="0" w:color="auto"/>
            </w:tcBorders>
            <w:shd w:val="clear" w:color="auto" w:fill="auto"/>
            <w:vAlign w:val="center"/>
          </w:tcPr>
          <w:p w14:paraId="36CA7E7B"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12.0</w:t>
            </w:r>
          </w:p>
        </w:tc>
        <w:tc>
          <w:tcPr>
            <w:tcW w:w="959" w:type="dxa"/>
            <w:tcBorders>
              <w:top w:val="dotted" w:sz="4" w:space="0" w:color="auto"/>
              <w:left w:val="single" w:sz="4" w:space="0" w:color="auto"/>
              <w:bottom w:val="dotted" w:sz="4" w:space="0" w:color="auto"/>
            </w:tcBorders>
            <w:shd w:val="clear" w:color="auto" w:fill="auto"/>
            <w:vAlign w:val="center"/>
          </w:tcPr>
          <w:p w14:paraId="1162F979"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7,546.1</w:t>
            </w:r>
          </w:p>
        </w:tc>
        <w:tc>
          <w:tcPr>
            <w:tcW w:w="960" w:type="dxa"/>
            <w:tcBorders>
              <w:top w:val="dotted" w:sz="4" w:space="0" w:color="auto"/>
              <w:bottom w:val="dotted" w:sz="4" w:space="0" w:color="auto"/>
            </w:tcBorders>
            <w:shd w:val="clear" w:color="auto" w:fill="auto"/>
            <w:vAlign w:val="center"/>
          </w:tcPr>
          <w:p w14:paraId="1D0940B2"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40.5</w:t>
            </w:r>
          </w:p>
        </w:tc>
        <w:tc>
          <w:tcPr>
            <w:tcW w:w="959" w:type="dxa"/>
            <w:tcBorders>
              <w:top w:val="dotted" w:sz="4" w:space="0" w:color="auto"/>
              <w:bottom w:val="dotted" w:sz="4" w:space="0" w:color="auto"/>
              <w:right w:val="single" w:sz="4" w:space="0" w:color="auto"/>
            </w:tcBorders>
            <w:shd w:val="clear" w:color="auto" w:fill="auto"/>
            <w:vAlign w:val="center"/>
          </w:tcPr>
          <w:p w14:paraId="0703A6D0"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13.9</w:t>
            </w:r>
          </w:p>
        </w:tc>
        <w:tc>
          <w:tcPr>
            <w:tcW w:w="960" w:type="dxa"/>
            <w:tcBorders>
              <w:top w:val="dotted" w:sz="4" w:space="0" w:color="auto"/>
              <w:left w:val="single" w:sz="4" w:space="0" w:color="auto"/>
              <w:bottom w:val="dotted" w:sz="4" w:space="0" w:color="auto"/>
            </w:tcBorders>
            <w:shd w:val="clear" w:color="auto" w:fill="auto"/>
            <w:vAlign w:val="center"/>
          </w:tcPr>
          <w:p w14:paraId="32232B3E"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p>
        </w:tc>
        <w:tc>
          <w:tcPr>
            <w:tcW w:w="959" w:type="dxa"/>
            <w:tcBorders>
              <w:top w:val="dotted" w:sz="4" w:space="0" w:color="auto"/>
              <w:bottom w:val="dotted" w:sz="4" w:space="0" w:color="auto"/>
            </w:tcBorders>
            <w:shd w:val="clear" w:color="auto" w:fill="auto"/>
            <w:vAlign w:val="center"/>
          </w:tcPr>
          <w:p w14:paraId="0A3EAD69"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41.9</w:t>
            </w:r>
          </w:p>
        </w:tc>
        <w:tc>
          <w:tcPr>
            <w:tcW w:w="960" w:type="dxa"/>
            <w:tcBorders>
              <w:top w:val="dotted" w:sz="4" w:space="0" w:color="auto"/>
              <w:bottom w:val="dotted" w:sz="4" w:space="0" w:color="auto"/>
            </w:tcBorders>
            <w:shd w:val="clear" w:color="auto" w:fill="auto"/>
            <w:vAlign w:val="center"/>
          </w:tcPr>
          <w:p w14:paraId="218F5E5A"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17.6</w:t>
            </w:r>
          </w:p>
        </w:tc>
      </w:tr>
      <w:tr w:rsidR="007B7196" w:rsidRPr="006C220B" w14:paraId="43CE0E02" w14:textId="77777777" w:rsidTr="001C33F3">
        <w:trPr>
          <w:trHeight w:val="288"/>
          <w:jc w:val="center"/>
        </w:trPr>
        <w:tc>
          <w:tcPr>
            <w:tcW w:w="1436" w:type="dxa"/>
            <w:tcBorders>
              <w:top w:val="dotted" w:sz="4" w:space="0" w:color="auto"/>
              <w:bottom w:val="dotted" w:sz="4" w:space="0" w:color="auto"/>
            </w:tcBorders>
            <w:shd w:val="clear" w:color="auto" w:fill="auto"/>
            <w:vAlign w:val="center"/>
          </w:tcPr>
          <w:p w14:paraId="2D56E902" w14:textId="77777777" w:rsidR="00F50251" w:rsidRPr="006C220B" w:rsidRDefault="00F50251" w:rsidP="004951FA">
            <w:pP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Ontario</w:t>
            </w:r>
          </w:p>
        </w:tc>
        <w:tc>
          <w:tcPr>
            <w:tcW w:w="959" w:type="dxa"/>
            <w:tcBorders>
              <w:top w:val="dotted" w:sz="4" w:space="0" w:color="auto"/>
              <w:bottom w:val="dotted" w:sz="4" w:space="0" w:color="auto"/>
            </w:tcBorders>
            <w:shd w:val="clear" w:color="auto" w:fill="auto"/>
            <w:vAlign w:val="center"/>
          </w:tcPr>
          <w:p w14:paraId="7A35B981"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9,101.7</w:t>
            </w:r>
          </w:p>
        </w:tc>
        <w:tc>
          <w:tcPr>
            <w:tcW w:w="960" w:type="dxa"/>
            <w:tcBorders>
              <w:top w:val="dotted" w:sz="4" w:space="0" w:color="auto"/>
              <w:bottom w:val="dotted" w:sz="4" w:space="0" w:color="auto"/>
            </w:tcBorders>
            <w:shd w:val="clear" w:color="auto" w:fill="auto"/>
            <w:vAlign w:val="center"/>
          </w:tcPr>
          <w:p w14:paraId="7A1A8A83"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31.9</w:t>
            </w:r>
          </w:p>
        </w:tc>
        <w:tc>
          <w:tcPr>
            <w:tcW w:w="959" w:type="dxa"/>
            <w:tcBorders>
              <w:top w:val="dotted" w:sz="4" w:space="0" w:color="auto"/>
              <w:bottom w:val="dotted" w:sz="4" w:space="0" w:color="auto"/>
              <w:right w:val="single" w:sz="4" w:space="0" w:color="auto"/>
            </w:tcBorders>
            <w:shd w:val="clear" w:color="auto" w:fill="auto"/>
            <w:vAlign w:val="center"/>
          </w:tcPr>
          <w:p w14:paraId="6740BF25"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10.7</w:t>
            </w:r>
          </w:p>
        </w:tc>
        <w:tc>
          <w:tcPr>
            <w:tcW w:w="960" w:type="dxa"/>
            <w:tcBorders>
              <w:top w:val="dotted" w:sz="4" w:space="0" w:color="auto"/>
              <w:left w:val="single" w:sz="4" w:space="0" w:color="auto"/>
              <w:bottom w:val="dotted" w:sz="4" w:space="0" w:color="auto"/>
            </w:tcBorders>
            <w:shd w:val="clear" w:color="auto" w:fill="auto"/>
            <w:vAlign w:val="center"/>
          </w:tcPr>
          <w:p w14:paraId="39F1DC83"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10,753.6</w:t>
            </w:r>
          </w:p>
        </w:tc>
        <w:tc>
          <w:tcPr>
            <w:tcW w:w="959" w:type="dxa"/>
            <w:tcBorders>
              <w:top w:val="dotted" w:sz="4" w:space="0" w:color="auto"/>
              <w:bottom w:val="dotted" w:sz="4" w:space="0" w:color="auto"/>
            </w:tcBorders>
            <w:shd w:val="clear" w:color="auto" w:fill="auto"/>
            <w:vAlign w:val="center"/>
          </w:tcPr>
          <w:p w14:paraId="0EA560EA"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35.0</w:t>
            </w:r>
          </w:p>
        </w:tc>
        <w:tc>
          <w:tcPr>
            <w:tcW w:w="960" w:type="dxa"/>
            <w:tcBorders>
              <w:top w:val="dotted" w:sz="4" w:space="0" w:color="auto"/>
              <w:bottom w:val="dotted" w:sz="4" w:space="0" w:color="auto"/>
              <w:right w:val="single" w:sz="4" w:space="0" w:color="auto"/>
            </w:tcBorders>
            <w:shd w:val="clear" w:color="auto" w:fill="auto"/>
            <w:vAlign w:val="center"/>
          </w:tcPr>
          <w:p w14:paraId="7983A3E2"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12.2</w:t>
            </w:r>
          </w:p>
        </w:tc>
        <w:tc>
          <w:tcPr>
            <w:tcW w:w="959" w:type="dxa"/>
            <w:tcBorders>
              <w:top w:val="dotted" w:sz="4" w:space="0" w:color="auto"/>
              <w:left w:val="single" w:sz="4" w:space="0" w:color="auto"/>
              <w:bottom w:val="dotted" w:sz="4" w:space="0" w:color="auto"/>
            </w:tcBorders>
            <w:shd w:val="clear" w:color="auto" w:fill="auto"/>
            <w:vAlign w:val="center"/>
          </w:tcPr>
          <w:p w14:paraId="4A32FBC1"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12,160.3</w:t>
            </w:r>
          </w:p>
        </w:tc>
        <w:tc>
          <w:tcPr>
            <w:tcW w:w="960" w:type="dxa"/>
            <w:tcBorders>
              <w:top w:val="dotted" w:sz="4" w:space="0" w:color="auto"/>
              <w:bottom w:val="dotted" w:sz="4" w:space="0" w:color="auto"/>
            </w:tcBorders>
            <w:shd w:val="clear" w:color="auto" w:fill="auto"/>
            <w:vAlign w:val="center"/>
          </w:tcPr>
          <w:p w14:paraId="20F0EF43"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38.4</w:t>
            </w:r>
          </w:p>
        </w:tc>
        <w:tc>
          <w:tcPr>
            <w:tcW w:w="959" w:type="dxa"/>
            <w:tcBorders>
              <w:top w:val="dotted" w:sz="4" w:space="0" w:color="auto"/>
              <w:bottom w:val="dotted" w:sz="4" w:space="0" w:color="auto"/>
              <w:right w:val="single" w:sz="4" w:space="0" w:color="auto"/>
            </w:tcBorders>
            <w:shd w:val="clear" w:color="auto" w:fill="auto"/>
            <w:vAlign w:val="center"/>
          </w:tcPr>
          <w:p w14:paraId="56179024"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13.0</w:t>
            </w:r>
          </w:p>
        </w:tc>
        <w:tc>
          <w:tcPr>
            <w:tcW w:w="960" w:type="dxa"/>
            <w:tcBorders>
              <w:top w:val="dotted" w:sz="4" w:space="0" w:color="auto"/>
              <w:left w:val="single" w:sz="4" w:space="0" w:color="auto"/>
              <w:bottom w:val="dotted" w:sz="4" w:space="0" w:color="auto"/>
            </w:tcBorders>
            <w:shd w:val="clear" w:color="auto" w:fill="auto"/>
            <w:vAlign w:val="center"/>
          </w:tcPr>
          <w:p w14:paraId="610194C3"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13,448.5</w:t>
            </w:r>
          </w:p>
        </w:tc>
        <w:tc>
          <w:tcPr>
            <w:tcW w:w="959" w:type="dxa"/>
            <w:tcBorders>
              <w:top w:val="dotted" w:sz="4" w:space="0" w:color="auto"/>
              <w:bottom w:val="dotted" w:sz="4" w:space="0" w:color="auto"/>
            </w:tcBorders>
            <w:shd w:val="clear" w:color="auto" w:fill="auto"/>
            <w:vAlign w:val="center"/>
          </w:tcPr>
          <w:p w14:paraId="14B4D4F5"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40.6</w:t>
            </w:r>
          </w:p>
        </w:tc>
        <w:tc>
          <w:tcPr>
            <w:tcW w:w="960" w:type="dxa"/>
            <w:tcBorders>
              <w:top w:val="dotted" w:sz="4" w:space="0" w:color="auto"/>
              <w:bottom w:val="dotted" w:sz="4" w:space="0" w:color="auto"/>
            </w:tcBorders>
            <w:shd w:val="clear" w:color="auto" w:fill="auto"/>
            <w:vAlign w:val="center"/>
          </w:tcPr>
          <w:p w14:paraId="785A85DB"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16.0</w:t>
            </w:r>
          </w:p>
        </w:tc>
      </w:tr>
      <w:tr w:rsidR="007B7196" w:rsidRPr="006C220B" w14:paraId="527B0582" w14:textId="77777777" w:rsidTr="001C33F3">
        <w:trPr>
          <w:trHeight w:val="288"/>
          <w:jc w:val="center"/>
        </w:trPr>
        <w:tc>
          <w:tcPr>
            <w:tcW w:w="1436" w:type="dxa"/>
            <w:tcBorders>
              <w:top w:val="dotted" w:sz="4" w:space="0" w:color="auto"/>
              <w:bottom w:val="dotted" w:sz="4" w:space="0" w:color="auto"/>
            </w:tcBorders>
            <w:shd w:val="clear" w:color="auto" w:fill="auto"/>
            <w:vAlign w:val="center"/>
          </w:tcPr>
          <w:p w14:paraId="52FC287C" w14:textId="77777777" w:rsidR="00F50251" w:rsidRPr="006C220B" w:rsidRDefault="00F50251" w:rsidP="004951FA">
            <w:pP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Manitoba</w:t>
            </w:r>
          </w:p>
        </w:tc>
        <w:tc>
          <w:tcPr>
            <w:tcW w:w="959" w:type="dxa"/>
            <w:tcBorders>
              <w:top w:val="dotted" w:sz="4" w:space="0" w:color="auto"/>
              <w:bottom w:val="dotted" w:sz="4" w:space="0" w:color="auto"/>
            </w:tcBorders>
            <w:shd w:val="clear" w:color="auto" w:fill="auto"/>
            <w:vAlign w:val="center"/>
          </w:tcPr>
          <w:p w14:paraId="2EA9FB02"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1,060.0</w:t>
            </w:r>
          </w:p>
        </w:tc>
        <w:tc>
          <w:tcPr>
            <w:tcW w:w="960" w:type="dxa"/>
            <w:tcBorders>
              <w:top w:val="dotted" w:sz="4" w:space="0" w:color="auto"/>
              <w:bottom w:val="dotted" w:sz="4" w:space="0" w:color="auto"/>
            </w:tcBorders>
            <w:shd w:val="clear" w:color="auto" w:fill="auto"/>
            <w:vAlign w:val="center"/>
          </w:tcPr>
          <w:p w14:paraId="4A0F4D06"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31.1</w:t>
            </w:r>
          </w:p>
        </w:tc>
        <w:tc>
          <w:tcPr>
            <w:tcW w:w="959" w:type="dxa"/>
            <w:tcBorders>
              <w:top w:val="dotted" w:sz="4" w:space="0" w:color="auto"/>
              <w:bottom w:val="dotted" w:sz="4" w:space="0" w:color="auto"/>
              <w:right w:val="single" w:sz="4" w:space="0" w:color="auto"/>
            </w:tcBorders>
            <w:shd w:val="clear" w:color="auto" w:fill="auto"/>
            <w:vAlign w:val="center"/>
          </w:tcPr>
          <w:p w14:paraId="480ABC17"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12.4</w:t>
            </w:r>
          </w:p>
        </w:tc>
        <w:tc>
          <w:tcPr>
            <w:tcW w:w="960" w:type="dxa"/>
            <w:tcBorders>
              <w:top w:val="dotted" w:sz="4" w:space="0" w:color="auto"/>
              <w:left w:val="single" w:sz="4" w:space="0" w:color="auto"/>
              <w:bottom w:val="dotted" w:sz="4" w:space="0" w:color="auto"/>
            </w:tcBorders>
            <w:shd w:val="clear" w:color="auto" w:fill="auto"/>
            <w:vAlign w:val="center"/>
          </w:tcPr>
          <w:p w14:paraId="5EDEA12F"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1,113.9</w:t>
            </w:r>
          </w:p>
        </w:tc>
        <w:tc>
          <w:tcPr>
            <w:tcW w:w="959" w:type="dxa"/>
            <w:tcBorders>
              <w:top w:val="dotted" w:sz="4" w:space="0" w:color="auto"/>
              <w:bottom w:val="dotted" w:sz="4" w:space="0" w:color="auto"/>
            </w:tcBorders>
            <w:shd w:val="clear" w:color="auto" w:fill="auto"/>
            <w:vAlign w:val="center"/>
          </w:tcPr>
          <w:p w14:paraId="1DDA7852"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34.5</w:t>
            </w:r>
          </w:p>
        </w:tc>
        <w:tc>
          <w:tcPr>
            <w:tcW w:w="960" w:type="dxa"/>
            <w:tcBorders>
              <w:top w:val="dotted" w:sz="4" w:space="0" w:color="auto"/>
              <w:bottom w:val="dotted" w:sz="4" w:space="0" w:color="auto"/>
              <w:right w:val="single" w:sz="4" w:space="0" w:color="auto"/>
            </w:tcBorders>
            <w:shd w:val="clear" w:color="auto" w:fill="auto"/>
            <w:vAlign w:val="center"/>
          </w:tcPr>
          <w:p w14:paraId="61469902"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13.6</w:t>
            </w:r>
          </w:p>
        </w:tc>
        <w:tc>
          <w:tcPr>
            <w:tcW w:w="959" w:type="dxa"/>
            <w:tcBorders>
              <w:top w:val="dotted" w:sz="4" w:space="0" w:color="auto"/>
              <w:left w:val="single" w:sz="4" w:space="0" w:color="auto"/>
              <w:bottom w:val="dotted" w:sz="4" w:space="0" w:color="auto"/>
            </w:tcBorders>
            <w:shd w:val="clear" w:color="auto" w:fill="auto"/>
            <w:vAlign w:val="center"/>
          </w:tcPr>
          <w:p w14:paraId="6C68DCE8"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1,148.4</w:t>
            </w:r>
          </w:p>
        </w:tc>
        <w:tc>
          <w:tcPr>
            <w:tcW w:w="960" w:type="dxa"/>
            <w:tcBorders>
              <w:top w:val="dotted" w:sz="4" w:space="0" w:color="auto"/>
              <w:bottom w:val="dotted" w:sz="4" w:space="0" w:color="auto"/>
            </w:tcBorders>
            <w:shd w:val="clear" w:color="auto" w:fill="auto"/>
            <w:vAlign w:val="center"/>
          </w:tcPr>
          <w:p w14:paraId="0DEFA1CD"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37.6</w:t>
            </w:r>
          </w:p>
        </w:tc>
        <w:tc>
          <w:tcPr>
            <w:tcW w:w="959" w:type="dxa"/>
            <w:tcBorders>
              <w:top w:val="dotted" w:sz="4" w:space="0" w:color="auto"/>
              <w:bottom w:val="dotted" w:sz="4" w:space="0" w:color="auto"/>
              <w:right w:val="single" w:sz="4" w:space="0" w:color="auto"/>
            </w:tcBorders>
            <w:shd w:val="clear" w:color="auto" w:fill="auto"/>
            <w:vAlign w:val="center"/>
          </w:tcPr>
          <w:p w14:paraId="3D1EF024"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13.6</w:t>
            </w:r>
          </w:p>
        </w:tc>
        <w:tc>
          <w:tcPr>
            <w:tcW w:w="960" w:type="dxa"/>
            <w:tcBorders>
              <w:top w:val="dotted" w:sz="4" w:space="0" w:color="auto"/>
              <w:left w:val="single" w:sz="4" w:space="0" w:color="auto"/>
              <w:bottom w:val="dotted" w:sz="4" w:space="0" w:color="auto"/>
            </w:tcBorders>
            <w:shd w:val="clear" w:color="auto" w:fill="auto"/>
            <w:vAlign w:val="center"/>
          </w:tcPr>
          <w:p w14:paraId="66EF7788"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p>
        </w:tc>
        <w:tc>
          <w:tcPr>
            <w:tcW w:w="959" w:type="dxa"/>
            <w:tcBorders>
              <w:top w:val="dotted" w:sz="4" w:space="0" w:color="auto"/>
              <w:bottom w:val="dotted" w:sz="4" w:space="0" w:color="auto"/>
            </w:tcBorders>
            <w:shd w:val="clear" w:color="auto" w:fill="auto"/>
            <w:vAlign w:val="center"/>
          </w:tcPr>
          <w:p w14:paraId="0BC9902D"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37.7</w:t>
            </w:r>
          </w:p>
        </w:tc>
        <w:tc>
          <w:tcPr>
            <w:tcW w:w="960" w:type="dxa"/>
            <w:tcBorders>
              <w:top w:val="dotted" w:sz="4" w:space="0" w:color="auto"/>
              <w:bottom w:val="dotted" w:sz="4" w:space="0" w:color="auto"/>
            </w:tcBorders>
            <w:shd w:val="clear" w:color="auto" w:fill="auto"/>
            <w:vAlign w:val="center"/>
          </w:tcPr>
          <w:p w14:paraId="4EACB3D0"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14.8</w:t>
            </w:r>
          </w:p>
        </w:tc>
      </w:tr>
      <w:tr w:rsidR="007B7196" w:rsidRPr="006C220B" w14:paraId="52187C76" w14:textId="77777777" w:rsidTr="001C33F3">
        <w:trPr>
          <w:trHeight w:val="288"/>
          <w:jc w:val="center"/>
        </w:trPr>
        <w:tc>
          <w:tcPr>
            <w:tcW w:w="1436" w:type="dxa"/>
            <w:tcBorders>
              <w:top w:val="dotted" w:sz="4" w:space="0" w:color="auto"/>
              <w:bottom w:val="dotted" w:sz="4" w:space="0" w:color="auto"/>
            </w:tcBorders>
            <w:shd w:val="clear" w:color="auto" w:fill="auto"/>
            <w:vAlign w:val="center"/>
          </w:tcPr>
          <w:p w14:paraId="548F28FD" w14:textId="77777777" w:rsidR="00F50251" w:rsidRPr="006C220B" w:rsidRDefault="00F50251" w:rsidP="004951FA">
            <w:pPr>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Saskatchewan</w:t>
            </w:r>
          </w:p>
        </w:tc>
        <w:tc>
          <w:tcPr>
            <w:tcW w:w="959" w:type="dxa"/>
            <w:tcBorders>
              <w:top w:val="dotted" w:sz="4" w:space="0" w:color="auto"/>
              <w:bottom w:val="dotted" w:sz="4" w:space="0" w:color="auto"/>
            </w:tcBorders>
            <w:shd w:val="clear" w:color="auto" w:fill="auto"/>
            <w:vAlign w:val="center"/>
          </w:tcPr>
          <w:p w14:paraId="132446CF"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1,009.6</w:t>
            </w:r>
          </w:p>
        </w:tc>
        <w:tc>
          <w:tcPr>
            <w:tcW w:w="960" w:type="dxa"/>
            <w:tcBorders>
              <w:top w:val="dotted" w:sz="4" w:space="0" w:color="auto"/>
              <w:bottom w:val="dotted" w:sz="4" w:space="0" w:color="auto"/>
            </w:tcBorders>
            <w:shd w:val="clear" w:color="auto" w:fill="auto"/>
            <w:vAlign w:val="center"/>
          </w:tcPr>
          <w:p w14:paraId="71BD1EF4"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30.0</w:t>
            </w:r>
          </w:p>
        </w:tc>
        <w:tc>
          <w:tcPr>
            <w:tcW w:w="959" w:type="dxa"/>
            <w:tcBorders>
              <w:top w:val="dotted" w:sz="4" w:space="0" w:color="auto"/>
              <w:bottom w:val="dotted" w:sz="4" w:space="0" w:color="auto"/>
              <w:right w:val="single" w:sz="4" w:space="0" w:color="auto"/>
            </w:tcBorders>
            <w:shd w:val="clear" w:color="auto" w:fill="auto"/>
            <w:vAlign w:val="center"/>
          </w:tcPr>
          <w:p w14:paraId="7F5979D6"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12.6</w:t>
            </w:r>
          </w:p>
        </w:tc>
        <w:tc>
          <w:tcPr>
            <w:tcW w:w="960" w:type="dxa"/>
            <w:tcBorders>
              <w:top w:val="dotted" w:sz="4" w:space="0" w:color="auto"/>
              <w:left w:val="single" w:sz="4" w:space="0" w:color="auto"/>
              <w:bottom w:val="dotted" w:sz="4" w:space="0" w:color="auto"/>
            </w:tcBorders>
            <w:shd w:val="clear" w:color="auto" w:fill="auto"/>
            <w:vAlign w:val="center"/>
          </w:tcPr>
          <w:p w14:paraId="26A4090B"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990.2</w:t>
            </w:r>
          </w:p>
        </w:tc>
        <w:tc>
          <w:tcPr>
            <w:tcW w:w="959" w:type="dxa"/>
            <w:tcBorders>
              <w:top w:val="dotted" w:sz="4" w:space="0" w:color="auto"/>
              <w:bottom w:val="dotted" w:sz="4" w:space="0" w:color="auto"/>
            </w:tcBorders>
            <w:shd w:val="clear" w:color="auto" w:fill="auto"/>
            <w:vAlign w:val="center"/>
          </w:tcPr>
          <w:p w14:paraId="7DFBC009"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34.2</w:t>
            </w:r>
          </w:p>
        </w:tc>
        <w:tc>
          <w:tcPr>
            <w:tcW w:w="960" w:type="dxa"/>
            <w:tcBorders>
              <w:top w:val="dotted" w:sz="4" w:space="0" w:color="auto"/>
              <w:bottom w:val="dotted" w:sz="4" w:space="0" w:color="auto"/>
              <w:right w:val="single" w:sz="4" w:space="0" w:color="auto"/>
            </w:tcBorders>
            <w:shd w:val="clear" w:color="auto" w:fill="auto"/>
            <w:vAlign w:val="center"/>
          </w:tcPr>
          <w:p w14:paraId="3E031FB1"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14.5</w:t>
            </w:r>
          </w:p>
        </w:tc>
        <w:tc>
          <w:tcPr>
            <w:tcW w:w="959" w:type="dxa"/>
            <w:tcBorders>
              <w:top w:val="dotted" w:sz="4" w:space="0" w:color="auto"/>
              <w:left w:val="single" w:sz="4" w:space="0" w:color="auto"/>
              <w:bottom w:val="dotted" w:sz="4" w:space="0" w:color="auto"/>
            </w:tcBorders>
            <w:shd w:val="clear" w:color="auto" w:fill="auto"/>
            <w:vAlign w:val="center"/>
          </w:tcPr>
          <w:p w14:paraId="18E39E0C"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968.1</w:t>
            </w:r>
          </w:p>
        </w:tc>
        <w:tc>
          <w:tcPr>
            <w:tcW w:w="960" w:type="dxa"/>
            <w:tcBorders>
              <w:top w:val="dotted" w:sz="4" w:space="0" w:color="auto"/>
              <w:bottom w:val="dotted" w:sz="4" w:space="0" w:color="auto"/>
            </w:tcBorders>
            <w:shd w:val="clear" w:color="auto" w:fill="auto"/>
            <w:vAlign w:val="center"/>
          </w:tcPr>
          <w:p w14:paraId="6F32F68B"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37.9</w:t>
            </w:r>
          </w:p>
        </w:tc>
        <w:tc>
          <w:tcPr>
            <w:tcW w:w="959" w:type="dxa"/>
            <w:tcBorders>
              <w:top w:val="dotted" w:sz="4" w:space="0" w:color="auto"/>
              <w:bottom w:val="dotted" w:sz="4" w:space="0" w:color="auto"/>
              <w:right w:val="single" w:sz="4" w:space="0" w:color="auto"/>
            </w:tcBorders>
            <w:shd w:val="clear" w:color="auto" w:fill="auto"/>
            <w:vAlign w:val="center"/>
          </w:tcPr>
          <w:p w14:paraId="11291794"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14.9</w:t>
            </w:r>
          </w:p>
        </w:tc>
        <w:tc>
          <w:tcPr>
            <w:tcW w:w="960" w:type="dxa"/>
            <w:tcBorders>
              <w:top w:val="dotted" w:sz="4" w:space="0" w:color="auto"/>
              <w:left w:val="single" w:sz="4" w:space="0" w:color="auto"/>
              <w:bottom w:val="dotted" w:sz="4" w:space="0" w:color="auto"/>
            </w:tcBorders>
            <w:shd w:val="clear" w:color="auto" w:fill="auto"/>
            <w:vAlign w:val="center"/>
          </w:tcPr>
          <w:p w14:paraId="707A3D96"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p>
        </w:tc>
        <w:tc>
          <w:tcPr>
            <w:tcW w:w="959" w:type="dxa"/>
            <w:tcBorders>
              <w:top w:val="dotted" w:sz="4" w:space="0" w:color="auto"/>
              <w:bottom w:val="dotted" w:sz="4" w:space="0" w:color="auto"/>
            </w:tcBorders>
            <w:shd w:val="clear" w:color="auto" w:fill="auto"/>
            <w:vAlign w:val="center"/>
          </w:tcPr>
          <w:p w14:paraId="1C99A5DF"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37.0</w:t>
            </w:r>
          </w:p>
        </w:tc>
        <w:tc>
          <w:tcPr>
            <w:tcW w:w="960" w:type="dxa"/>
            <w:tcBorders>
              <w:top w:val="dotted" w:sz="4" w:space="0" w:color="auto"/>
              <w:bottom w:val="dotted" w:sz="4" w:space="0" w:color="auto"/>
            </w:tcBorders>
            <w:shd w:val="clear" w:color="auto" w:fill="auto"/>
            <w:vAlign w:val="center"/>
          </w:tcPr>
          <w:p w14:paraId="4D7D1196"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14.6</w:t>
            </w:r>
          </w:p>
        </w:tc>
      </w:tr>
      <w:tr w:rsidR="007B7196" w:rsidRPr="006C220B" w14:paraId="173855CD" w14:textId="77777777" w:rsidTr="001C33F3">
        <w:trPr>
          <w:trHeight w:val="288"/>
          <w:jc w:val="center"/>
        </w:trPr>
        <w:tc>
          <w:tcPr>
            <w:tcW w:w="1436" w:type="dxa"/>
            <w:tcBorders>
              <w:top w:val="dotted" w:sz="4" w:space="0" w:color="auto"/>
              <w:bottom w:val="dotted" w:sz="4" w:space="0" w:color="auto"/>
            </w:tcBorders>
            <w:shd w:val="clear" w:color="auto" w:fill="auto"/>
            <w:vAlign w:val="center"/>
          </w:tcPr>
          <w:p w14:paraId="106B93F6" w14:textId="77777777" w:rsidR="00F50251" w:rsidRPr="006C220B" w:rsidRDefault="00F50251" w:rsidP="004951FA">
            <w:pPr>
              <w:autoSpaceDE w:val="0"/>
              <w:autoSpaceDN w:val="0"/>
              <w:adjustRightInd w:val="0"/>
              <w:rPr>
                <w:rFonts w:ascii="Arial" w:eastAsia="Calibri" w:hAnsi="Arial" w:cs="Arial"/>
                <w:i/>
                <w:iCs/>
                <w:kern w:val="2"/>
                <w:sz w:val="18"/>
                <w:szCs w:val="18"/>
                <w:lang w:eastAsia="zh-CN"/>
              </w:rPr>
            </w:pPr>
            <w:r w:rsidRPr="006C220B">
              <w:rPr>
                <w:rFonts w:ascii="Arial" w:hAnsi="Arial" w:cs="Arial"/>
                <w:color w:val="242424"/>
                <w:kern w:val="2"/>
                <w:sz w:val="18"/>
                <w:szCs w:val="18"/>
              </w:rPr>
              <w:t>British Columbia</w:t>
            </w:r>
          </w:p>
        </w:tc>
        <w:tc>
          <w:tcPr>
            <w:tcW w:w="959" w:type="dxa"/>
            <w:tcBorders>
              <w:top w:val="dotted" w:sz="4" w:space="0" w:color="auto"/>
              <w:bottom w:val="dotted" w:sz="4" w:space="0" w:color="auto"/>
            </w:tcBorders>
            <w:shd w:val="clear" w:color="auto" w:fill="auto"/>
            <w:vAlign w:val="center"/>
          </w:tcPr>
          <w:p w14:paraId="0A17F6B9"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2,883.4</w:t>
            </w:r>
          </w:p>
        </w:tc>
        <w:tc>
          <w:tcPr>
            <w:tcW w:w="960" w:type="dxa"/>
            <w:tcBorders>
              <w:top w:val="dotted" w:sz="4" w:space="0" w:color="auto"/>
              <w:bottom w:val="dotted" w:sz="4" w:space="0" w:color="auto"/>
            </w:tcBorders>
            <w:shd w:val="clear" w:color="auto" w:fill="auto"/>
            <w:vAlign w:val="center"/>
          </w:tcPr>
          <w:p w14:paraId="5460CD14"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32.8</w:t>
            </w:r>
          </w:p>
        </w:tc>
        <w:tc>
          <w:tcPr>
            <w:tcW w:w="959" w:type="dxa"/>
            <w:tcBorders>
              <w:top w:val="dotted" w:sz="4" w:space="0" w:color="auto"/>
              <w:bottom w:val="dotted" w:sz="4" w:space="0" w:color="auto"/>
              <w:right w:val="single" w:sz="4" w:space="0" w:color="auto"/>
            </w:tcBorders>
            <w:shd w:val="clear" w:color="auto" w:fill="auto"/>
            <w:vAlign w:val="center"/>
          </w:tcPr>
          <w:p w14:paraId="20A8691C"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11.9</w:t>
            </w:r>
          </w:p>
        </w:tc>
        <w:tc>
          <w:tcPr>
            <w:tcW w:w="960" w:type="dxa"/>
            <w:tcBorders>
              <w:top w:val="dotted" w:sz="4" w:space="0" w:color="auto"/>
              <w:left w:val="single" w:sz="4" w:space="0" w:color="auto"/>
              <w:bottom w:val="dotted" w:sz="4" w:space="0" w:color="auto"/>
            </w:tcBorders>
            <w:shd w:val="clear" w:color="auto" w:fill="auto"/>
            <w:vAlign w:val="center"/>
          </w:tcPr>
          <w:p w14:paraId="77D51FC6"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3,724.5</w:t>
            </w:r>
          </w:p>
        </w:tc>
        <w:tc>
          <w:tcPr>
            <w:tcW w:w="959" w:type="dxa"/>
            <w:tcBorders>
              <w:top w:val="dotted" w:sz="4" w:space="0" w:color="auto"/>
              <w:bottom w:val="dotted" w:sz="4" w:space="0" w:color="auto"/>
            </w:tcBorders>
            <w:shd w:val="clear" w:color="auto" w:fill="auto"/>
            <w:vAlign w:val="center"/>
          </w:tcPr>
          <w:p w14:paraId="4630EF82"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35.4</w:t>
            </w:r>
          </w:p>
        </w:tc>
        <w:tc>
          <w:tcPr>
            <w:tcW w:w="960" w:type="dxa"/>
            <w:tcBorders>
              <w:top w:val="dotted" w:sz="4" w:space="0" w:color="auto"/>
              <w:bottom w:val="dotted" w:sz="4" w:space="0" w:color="auto"/>
              <w:right w:val="single" w:sz="4" w:space="0" w:color="auto"/>
            </w:tcBorders>
            <w:shd w:val="clear" w:color="auto" w:fill="auto"/>
            <w:vAlign w:val="center"/>
          </w:tcPr>
          <w:p w14:paraId="5E611C60"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12.5</w:t>
            </w:r>
          </w:p>
        </w:tc>
        <w:tc>
          <w:tcPr>
            <w:tcW w:w="959" w:type="dxa"/>
            <w:tcBorders>
              <w:top w:val="dotted" w:sz="4" w:space="0" w:color="auto"/>
              <w:left w:val="single" w:sz="4" w:space="0" w:color="auto"/>
              <w:bottom w:val="dotted" w:sz="4" w:space="0" w:color="auto"/>
            </w:tcBorders>
            <w:shd w:val="clear" w:color="auto" w:fill="auto"/>
            <w:vAlign w:val="center"/>
          </w:tcPr>
          <w:p w14:paraId="4E8A7A06"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4,113.5</w:t>
            </w:r>
          </w:p>
        </w:tc>
        <w:tc>
          <w:tcPr>
            <w:tcW w:w="960" w:type="dxa"/>
            <w:tcBorders>
              <w:top w:val="dotted" w:sz="4" w:space="0" w:color="auto"/>
              <w:bottom w:val="dotted" w:sz="4" w:space="0" w:color="auto"/>
            </w:tcBorders>
            <w:shd w:val="clear" w:color="auto" w:fill="auto"/>
            <w:vAlign w:val="center"/>
          </w:tcPr>
          <w:p w14:paraId="31780847"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40.1</w:t>
            </w:r>
          </w:p>
        </w:tc>
        <w:tc>
          <w:tcPr>
            <w:tcW w:w="959" w:type="dxa"/>
            <w:tcBorders>
              <w:top w:val="dotted" w:sz="4" w:space="0" w:color="auto"/>
              <w:bottom w:val="dotted" w:sz="4" w:space="0" w:color="auto"/>
              <w:right w:val="single" w:sz="4" w:space="0" w:color="auto"/>
            </w:tcBorders>
            <w:shd w:val="clear" w:color="auto" w:fill="auto"/>
            <w:vAlign w:val="center"/>
          </w:tcPr>
          <w:p w14:paraId="64E26C4C"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14.1</w:t>
            </w:r>
          </w:p>
        </w:tc>
        <w:tc>
          <w:tcPr>
            <w:tcW w:w="960" w:type="dxa"/>
            <w:tcBorders>
              <w:top w:val="dotted" w:sz="4" w:space="0" w:color="auto"/>
              <w:left w:val="single" w:sz="4" w:space="0" w:color="auto"/>
              <w:bottom w:val="dotted" w:sz="4" w:space="0" w:color="auto"/>
            </w:tcBorders>
            <w:shd w:val="clear" w:color="auto" w:fill="auto"/>
            <w:vAlign w:val="center"/>
          </w:tcPr>
          <w:p w14:paraId="5D619E03"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p>
        </w:tc>
        <w:tc>
          <w:tcPr>
            <w:tcW w:w="959" w:type="dxa"/>
            <w:tcBorders>
              <w:top w:val="dotted" w:sz="4" w:space="0" w:color="auto"/>
              <w:bottom w:val="dotted" w:sz="4" w:space="0" w:color="auto"/>
            </w:tcBorders>
            <w:shd w:val="clear" w:color="auto" w:fill="auto"/>
            <w:vAlign w:val="center"/>
          </w:tcPr>
          <w:p w14:paraId="04F7C358"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42.0</w:t>
            </w:r>
          </w:p>
        </w:tc>
        <w:tc>
          <w:tcPr>
            <w:tcW w:w="960" w:type="dxa"/>
            <w:tcBorders>
              <w:top w:val="dotted" w:sz="4" w:space="0" w:color="auto"/>
              <w:bottom w:val="dotted" w:sz="4" w:space="0" w:color="auto"/>
            </w:tcBorders>
            <w:shd w:val="clear" w:color="auto" w:fill="auto"/>
            <w:vAlign w:val="center"/>
          </w:tcPr>
          <w:p w14:paraId="300DA9D0" w14:textId="77777777" w:rsidR="00F50251" w:rsidRPr="006C220B" w:rsidRDefault="00F50251" w:rsidP="006C220B">
            <w:pPr>
              <w:ind w:right="144"/>
              <w:jc w:val="right"/>
              <w:textAlignment w:val="baseline"/>
              <w:outlineLvl w:val="0"/>
              <w:rPr>
                <w:rFonts w:ascii="Arial" w:hAnsi="Arial" w:cs="Arial"/>
                <w:color w:val="242424"/>
                <w:kern w:val="2"/>
                <w:sz w:val="18"/>
                <w:szCs w:val="18"/>
              </w:rPr>
            </w:pPr>
            <w:r w:rsidRPr="006C220B">
              <w:rPr>
                <w:rFonts w:ascii="Arial" w:hAnsi="Arial" w:cs="Arial"/>
                <w:color w:val="242424"/>
                <w:kern w:val="2"/>
                <w:sz w:val="18"/>
                <w:szCs w:val="18"/>
              </w:rPr>
              <w:t>17.5</w:t>
            </w:r>
          </w:p>
        </w:tc>
      </w:tr>
      <w:tr w:rsidR="007B7196" w:rsidRPr="006C220B" w14:paraId="0B8F42E2" w14:textId="77777777" w:rsidTr="001C33F3">
        <w:trPr>
          <w:trHeight w:val="288"/>
          <w:jc w:val="center"/>
        </w:trPr>
        <w:tc>
          <w:tcPr>
            <w:tcW w:w="1436" w:type="dxa"/>
            <w:tcBorders>
              <w:top w:val="dotted" w:sz="4" w:space="0" w:color="auto"/>
              <w:bottom w:val="dotted" w:sz="4" w:space="0" w:color="auto"/>
            </w:tcBorders>
            <w:shd w:val="clear" w:color="auto" w:fill="auto"/>
            <w:vAlign w:val="center"/>
          </w:tcPr>
          <w:p w14:paraId="674046A7" w14:textId="77777777" w:rsidR="00F50251" w:rsidRPr="006C220B" w:rsidRDefault="00F50251" w:rsidP="004951FA">
            <w:pPr>
              <w:autoSpaceDE w:val="0"/>
              <w:autoSpaceDN w:val="0"/>
              <w:adjustRightInd w:val="0"/>
              <w:rPr>
                <w:rFonts w:ascii="Arial" w:hAnsi="Arial" w:cs="Arial"/>
                <w:color w:val="242424"/>
                <w:kern w:val="2"/>
                <w:sz w:val="18"/>
                <w:szCs w:val="18"/>
              </w:rPr>
            </w:pPr>
            <w:r w:rsidRPr="006C220B">
              <w:rPr>
                <w:rFonts w:ascii="Arial" w:hAnsi="Arial" w:cs="Arial"/>
                <w:color w:val="242424"/>
                <w:kern w:val="2"/>
                <w:sz w:val="18"/>
                <w:szCs w:val="18"/>
              </w:rPr>
              <w:t>Yukon</w:t>
            </w:r>
          </w:p>
        </w:tc>
        <w:tc>
          <w:tcPr>
            <w:tcW w:w="959" w:type="dxa"/>
            <w:tcBorders>
              <w:top w:val="dotted" w:sz="4" w:space="0" w:color="auto"/>
              <w:bottom w:val="dotted" w:sz="4" w:space="0" w:color="auto"/>
            </w:tcBorders>
            <w:shd w:val="clear" w:color="auto" w:fill="auto"/>
            <w:vAlign w:val="center"/>
          </w:tcPr>
          <w:p w14:paraId="27E362D0"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23.5</w:t>
            </w:r>
          </w:p>
        </w:tc>
        <w:tc>
          <w:tcPr>
            <w:tcW w:w="960" w:type="dxa"/>
            <w:tcBorders>
              <w:top w:val="dotted" w:sz="4" w:space="0" w:color="auto"/>
              <w:bottom w:val="dotted" w:sz="4" w:space="0" w:color="auto"/>
            </w:tcBorders>
            <w:shd w:val="clear" w:color="auto" w:fill="auto"/>
            <w:vAlign w:val="center"/>
          </w:tcPr>
          <w:p w14:paraId="59529FDA" w14:textId="77777777" w:rsidR="00F50251" w:rsidRPr="006C220B" w:rsidRDefault="00F50251" w:rsidP="006C220B">
            <w:pPr>
              <w:ind w:right="144"/>
              <w:jc w:val="right"/>
              <w:textAlignment w:val="baseline"/>
              <w:outlineLvl w:val="0"/>
              <w:rPr>
                <w:rFonts w:ascii="Arial" w:hAnsi="Arial" w:cs="Arial"/>
                <w:color w:val="242424"/>
                <w:kern w:val="2"/>
                <w:sz w:val="18"/>
                <w:szCs w:val="18"/>
              </w:rPr>
            </w:pPr>
          </w:p>
        </w:tc>
        <w:tc>
          <w:tcPr>
            <w:tcW w:w="959" w:type="dxa"/>
            <w:tcBorders>
              <w:top w:val="dotted" w:sz="4" w:space="0" w:color="auto"/>
              <w:bottom w:val="dotted" w:sz="4" w:space="0" w:color="auto"/>
              <w:right w:val="single" w:sz="4" w:space="0" w:color="auto"/>
            </w:tcBorders>
            <w:shd w:val="clear" w:color="auto" w:fill="auto"/>
            <w:vAlign w:val="center"/>
          </w:tcPr>
          <w:p w14:paraId="51CB4350" w14:textId="77777777" w:rsidR="00F50251" w:rsidRPr="006C220B" w:rsidRDefault="00F50251" w:rsidP="006C220B">
            <w:pPr>
              <w:ind w:right="144"/>
              <w:jc w:val="right"/>
              <w:textAlignment w:val="baseline"/>
              <w:outlineLvl w:val="0"/>
              <w:rPr>
                <w:rFonts w:ascii="Arial" w:hAnsi="Arial" w:cs="Arial"/>
                <w:color w:val="242424"/>
                <w:kern w:val="2"/>
                <w:sz w:val="18"/>
                <w:szCs w:val="18"/>
              </w:rPr>
            </w:pPr>
          </w:p>
        </w:tc>
        <w:tc>
          <w:tcPr>
            <w:tcW w:w="960" w:type="dxa"/>
            <w:tcBorders>
              <w:top w:val="dotted" w:sz="4" w:space="0" w:color="auto"/>
              <w:left w:val="single" w:sz="4" w:space="0" w:color="auto"/>
              <w:bottom w:val="dotted" w:sz="4" w:space="0" w:color="auto"/>
            </w:tcBorders>
            <w:shd w:val="clear" w:color="auto" w:fill="auto"/>
            <w:vAlign w:val="center"/>
          </w:tcPr>
          <w:p w14:paraId="7DE23B16"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30.7</w:t>
            </w:r>
          </w:p>
        </w:tc>
        <w:tc>
          <w:tcPr>
            <w:tcW w:w="959" w:type="dxa"/>
            <w:tcBorders>
              <w:top w:val="dotted" w:sz="4" w:space="0" w:color="auto"/>
              <w:bottom w:val="dotted" w:sz="4" w:space="0" w:color="auto"/>
            </w:tcBorders>
            <w:shd w:val="clear" w:color="auto" w:fill="auto"/>
            <w:vAlign w:val="center"/>
          </w:tcPr>
          <w:p w14:paraId="6B01B1D3" w14:textId="77777777" w:rsidR="00F50251" w:rsidRPr="006C220B" w:rsidRDefault="00F50251" w:rsidP="006C220B">
            <w:pPr>
              <w:ind w:right="144"/>
              <w:jc w:val="right"/>
              <w:textAlignment w:val="baseline"/>
              <w:outlineLvl w:val="0"/>
              <w:rPr>
                <w:rFonts w:ascii="Arial" w:hAnsi="Arial" w:cs="Arial"/>
                <w:color w:val="242424"/>
                <w:kern w:val="2"/>
                <w:sz w:val="18"/>
                <w:szCs w:val="18"/>
              </w:rPr>
            </w:pPr>
          </w:p>
        </w:tc>
        <w:tc>
          <w:tcPr>
            <w:tcW w:w="960" w:type="dxa"/>
            <w:tcBorders>
              <w:top w:val="dotted" w:sz="4" w:space="0" w:color="auto"/>
              <w:bottom w:val="dotted" w:sz="4" w:space="0" w:color="auto"/>
              <w:right w:val="single" w:sz="4" w:space="0" w:color="auto"/>
            </w:tcBorders>
            <w:shd w:val="clear" w:color="auto" w:fill="auto"/>
            <w:vAlign w:val="center"/>
          </w:tcPr>
          <w:p w14:paraId="3B0FEF27" w14:textId="77777777" w:rsidR="00F50251" w:rsidRPr="006C220B" w:rsidRDefault="00F50251" w:rsidP="006C220B">
            <w:pPr>
              <w:ind w:right="144"/>
              <w:jc w:val="right"/>
              <w:textAlignment w:val="baseline"/>
              <w:outlineLvl w:val="0"/>
              <w:rPr>
                <w:rFonts w:ascii="Arial" w:hAnsi="Arial" w:cs="Arial"/>
                <w:color w:val="242424"/>
                <w:kern w:val="2"/>
                <w:sz w:val="18"/>
                <w:szCs w:val="18"/>
              </w:rPr>
            </w:pPr>
          </w:p>
        </w:tc>
        <w:tc>
          <w:tcPr>
            <w:tcW w:w="959" w:type="dxa"/>
            <w:tcBorders>
              <w:top w:val="dotted" w:sz="4" w:space="0" w:color="auto"/>
              <w:left w:val="single" w:sz="4" w:space="0" w:color="auto"/>
              <w:bottom w:val="dotted" w:sz="4" w:space="0" w:color="auto"/>
            </w:tcBorders>
            <w:shd w:val="clear" w:color="auto" w:fill="auto"/>
            <w:vAlign w:val="center"/>
          </w:tcPr>
          <w:p w14:paraId="6D567C9D"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30.4</w:t>
            </w:r>
          </w:p>
        </w:tc>
        <w:tc>
          <w:tcPr>
            <w:tcW w:w="960" w:type="dxa"/>
            <w:tcBorders>
              <w:top w:val="dotted" w:sz="4" w:space="0" w:color="auto"/>
              <w:bottom w:val="dotted" w:sz="4" w:space="0" w:color="auto"/>
            </w:tcBorders>
            <w:shd w:val="clear" w:color="auto" w:fill="auto"/>
            <w:vAlign w:val="center"/>
          </w:tcPr>
          <w:p w14:paraId="29F77DE2" w14:textId="77777777" w:rsidR="00F50251" w:rsidRPr="006C220B" w:rsidRDefault="00F50251" w:rsidP="006C220B">
            <w:pPr>
              <w:ind w:right="144"/>
              <w:jc w:val="right"/>
              <w:textAlignment w:val="baseline"/>
              <w:outlineLvl w:val="0"/>
              <w:rPr>
                <w:rFonts w:ascii="Arial" w:hAnsi="Arial" w:cs="Arial"/>
                <w:color w:val="242424"/>
                <w:kern w:val="2"/>
                <w:sz w:val="18"/>
                <w:szCs w:val="18"/>
              </w:rPr>
            </w:pPr>
          </w:p>
        </w:tc>
        <w:tc>
          <w:tcPr>
            <w:tcW w:w="959" w:type="dxa"/>
            <w:tcBorders>
              <w:top w:val="dotted" w:sz="4" w:space="0" w:color="auto"/>
              <w:bottom w:val="dotted" w:sz="4" w:space="0" w:color="auto"/>
              <w:right w:val="single" w:sz="4" w:space="0" w:color="auto"/>
            </w:tcBorders>
            <w:shd w:val="clear" w:color="auto" w:fill="auto"/>
            <w:vAlign w:val="center"/>
          </w:tcPr>
          <w:p w14:paraId="16A521D8" w14:textId="77777777" w:rsidR="00F50251" w:rsidRPr="006C220B" w:rsidRDefault="00F50251" w:rsidP="006C220B">
            <w:pPr>
              <w:ind w:right="144"/>
              <w:jc w:val="right"/>
              <w:textAlignment w:val="baseline"/>
              <w:outlineLvl w:val="0"/>
              <w:rPr>
                <w:rFonts w:ascii="Arial" w:hAnsi="Arial" w:cs="Arial"/>
                <w:color w:val="242424"/>
                <w:kern w:val="2"/>
                <w:sz w:val="18"/>
                <w:szCs w:val="18"/>
              </w:rPr>
            </w:pPr>
          </w:p>
        </w:tc>
        <w:tc>
          <w:tcPr>
            <w:tcW w:w="960" w:type="dxa"/>
            <w:tcBorders>
              <w:top w:val="dotted" w:sz="4" w:space="0" w:color="auto"/>
              <w:left w:val="single" w:sz="4" w:space="0" w:color="auto"/>
              <w:bottom w:val="dotted" w:sz="4" w:space="0" w:color="auto"/>
            </w:tcBorders>
            <w:shd w:val="clear" w:color="auto" w:fill="auto"/>
            <w:vAlign w:val="center"/>
          </w:tcPr>
          <w:p w14:paraId="58100DAB"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p>
        </w:tc>
        <w:tc>
          <w:tcPr>
            <w:tcW w:w="959" w:type="dxa"/>
            <w:tcBorders>
              <w:top w:val="dotted" w:sz="4" w:space="0" w:color="auto"/>
              <w:bottom w:val="dotted" w:sz="4" w:space="0" w:color="auto"/>
            </w:tcBorders>
            <w:shd w:val="clear" w:color="auto" w:fill="auto"/>
            <w:vAlign w:val="center"/>
          </w:tcPr>
          <w:p w14:paraId="7AE94DC8" w14:textId="77777777" w:rsidR="00F50251" w:rsidRPr="006C220B" w:rsidRDefault="00F50251" w:rsidP="006C220B">
            <w:pPr>
              <w:ind w:right="144"/>
              <w:jc w:val="right"/>
              <w:textAlignment w:val="baseline"/>
              <w:outlineLvl w:val="0"/>
              <w:rPr>
                <w:rFonts w:ascii="Arial" w:hAnsi="Arial" w:cs="Arial"/>
                <w:color w:val="242424"/>
                <w:kern w:val="2"/>
                <w:sz w:val="18"/>
                <w:szCs w:val="18"/>
              </w:rPr>
            </w:pPr>
          </w:p>
        </w:tc>
        <w:tc>
          <w:tcPr>
            <w:tcW w:w="960" w:type="dxa"/>
            <w:tcBorders>
              <w:top w:val="dotted" w:sz="4" w:space="0" w:color="auto"/>
              <w:bottom w:val="dotted" w:sz="4" w:space="0" w:color="auto"/>
            </w:tcBorders>
            <w:shd w:val="clear" w:color="auto" w:fill="auto"/>
            <w:vAlign w:val="center"/>
          </w:tcPr>
          <w:p w14:paraId="6359EABD" w14:textId="77777777" w:rsidR="00F50251" w:rsidRPr="006C220B" w:rsidRDefault="00F50251" w:rsidP="006C220B">
            <w:pPr>
              <w:ind w:right="144"/>
              <w:jc w:val="right"/>
              <w:textAlignment w:val="baseline"/>
              <w:outlineLvl w:val="0"/>
              <w:rPr>
                <w:rFonts w:ascii="Arial" w:hAnsi="Arial" w:cs="Arial"/>
                <w:color w:val="242424"/>
                <w:kern w:val="2"/>
                <w:sz w:val="18"/>
                <w:szCs w:val="18"/>
              </w:rPr>
            </w:pPr>
          </w:p>
        </w:tc>
      </w:tr>
      <w:tr w:rsidR="007B7196" w:rsidRPr="006C220B" w14:paraId="03392245" w14:textId="77777777" w:rsidTr="001C33F3">
        <w:trPr>
          <w:trHeight w:val="288"/>
          <w:jc w:val="center"/>
        </w:trPr>
        <w:tc>
          <w:tcPr>
            <w:tcW w:w="1436" w:type="dxa"/>
            <w:tcBorders>
              <w:top w:val="dotted" w:sz="4" w:space="0" w:color="auto"/>
              <w:bottom w:val="dotted" w:sz="4" w:space="0" w:color="auto"/>
            </w:tcBorders>
            <w:shd w:val="clear" w:color="auto" w:fill="auto"/>
            <w:vAlign w:val="center"/>
          </w:tcPr>
          <w:p w14:paraId="12059300" w14:textId="6B155EE3" w:rsidR="00F50251" w:rsidRPr="006C220B" w:rsidRDefault="00147463" w:rsidP="004951FA">
            <w:pPr>
              <w:autoSpaceDE w:val="0"/>
              <w:autoSpaceDN w:val="0"/>
              <w:adjustRightInd w:val="0"/>
              <w:rPr>
                <w:rFonts w:ascii="Arial" w:hAnsi="Arial" w:cs="Arial"/>
                <w:bCs/>
                <w:color w:val="242424"/>
                <w:kern w:val="2"/>
                <w:sz w:val="18"/>
                <w:szCs w:val="18"/>
              </w:rPr>
            </w:pPr>
            <w:r w:rsidRPr="006C220B">
              <w:rPr>
                <w:rFonts w:ascii="Arial" w:hAnsi="Arial" w:cs="Arial"/>
                <w:bCs/>
                <w:color w:val="242424"/>
                <w:kern w:val="2"/>
                <w:sz w:val="18"/>
                <w:szCs w:val="18"/>
              </w:rPr>
              <w:t>Northwest</w:t>
            </w:r>
            <w:r w:rsidR="00F50251" w:rsidRPr="006C220B">
              <w:rPr>
                <w:rFonts w:ascii="Arial" w:hAnsi="Arial" w:cs="Arial"/>
                <w:bCs/>
                <w:color w:val="242424"/>
                <w:kern w:val="2"/>
                <w:sz w:val="18"/>
                <w:szCs w:val="18"/>
              </w:rPr>
              <w:t xml:space="preserve"> Territories</w:t>
            </w:r>
          </w:p>
        </w:tc>
        <w:tc>
          <w:tcPr>
            <w:tcW w:w="959" w:type="dxa"/>
            <w:tcBorders>
              <w:top w:val="dotted" w:sz="4" w:space="0" w:color="auto"/>
              <w:bottom w:val="dotted" w:sz="4" w:space="0" w:color="auto"/>
            </w:tcBorders>
            <w:shd w:val="clear" w:color="auto" w:fill="auto"/>
            <w:vAlign w:val="center"/>
          </w:tcPr>
          <w:p w14:paraId="7AE511A2"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52.2</w:t>
            </w:r>
          </w:p>
        </w:tc>
        <w:tc>
          <w:tcPr>
            <w:tcW w:w="960" w:type="dxa"/>
            <w:tcBorders>
              <w:top w:val="dotted" w:sz="4" w:space="0" w:color="auto"/>
              <w:bottom w:val="dotted" w:sz="4" w:space="0" w:color="auto"/>
            </w:tcBorders>
            <w:shd w:val="clear" w:color="auto" w:fill="auto"/>
            <w:vAlign w:val="center"/>
          </w:tcPr>
          <w:p w14:paraId="40E25B41"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59" w:type="dxa"/>
            <w:tcBorders>
              <w:top w:val="dotted" w:sz="4" w:space="0" w:color="auto"/>
              <w:bottom w:val="dotted" w:sz="4" w:space="0" w:color="auto"/>
              <w:right w:val="single" w:sz="4" w:space="0" w:color="auto"/>
            </w:tcBorders>
            <w:shd w:val="clear" w:color="auto" w:fill="auto"/>
            <w:vAlign w:val="center"/>
          </w:tcPr>
          <w:p w14:paraId="46D39991"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60" w:type="dxa"/>
            <w:tcBorders>
              <w:top w:val="dotted" w:sz="4" w:space="0" w:color="auto"/>
              <w:left w:val="single" w:sz="4" w:space="0" w:color="auto"/>
              <w:bottom w:val="dotted" w:sz="4" w:space="0" w:color="auto"/>
            </w:tcBorders>
            <w:shd w:val="clear" w:color="auto" w:fill="auto"/>
            <w:vAlign w:val="center"/>
          </w:tcPr>
          <w:p w14:paraId="3EB7180F"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r w:rsidRPr="006C220B">
              <w:rPr>
                <w:rFonts w:ascii="Arial" w:eastAsia="Calibri" w:hAnsi="Arial" w:cs="Arial"/>
                <w:iCs/>
                <w:kern w:val="2"/>
                <w:sz w:val="18"/>
                <w:szCs w:val="18"/>
                <w:lang w:eastAsia="zh-CN"/>
              </w:rPr>
              <w:t>64.4</w:t>
            </w:r>
          </w:p>
        </w:tc>
        <w:tc>
          <w:tcPr>
            <w:tcW w:w="959" w:type="dxa"/>
            <w:tcBorders>
              <w:top w:val="dotted" w:sz="4" w:space="0" w:color="auto"/>
              <w:bottom w:val="dotted" w:sz="4" w:space="0" w:color="auto"/>
            </w:tcBorders>
            <w:shd w:val="clear" w:color="auto" w:fill="auto"/>
            <w:vAlign w:val="center"/>
          </w:tcPr>
          <w:p w14:paraId="1122BCC3"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60" w:type="dxa"/>
            <w:tcBorders>
              <w:top w:val="dotted" w:sz="4" w:space="0" w:color="auto"/>
              <w:bottom w:val="dotted" w:sz="4" w:space="0" w:color="auto"/>
              <w:right w:val="single" w:sz="4" w:space="0" w:color="auto"/>
            </w:tcBorders>
            <w:shd w:val="clear" w:color="auto" w:fill="auto"/>
            <w:vAlign w:val="center"/>
          </w:tcPr>
          <w:p w14:paraId="7CB038FD"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59" w:type="dxa"/>
            <w:tcBorders>
              <w:top w:val="dotted" w:sz="4" w:space="0" w:color="auto"/>
              <w:left w:val="single" w:sz="4" w:space="0" w:color="auto"/>
              <w:bottom w:val="dotted" w:sz="4" w:space="0" w:color="auto"/>
            </w:tcBorders>
            <w:shd w:val="clear" w:color="auto" w:fill="auto"/>
            <w:vAlign w:val="center"/>
          </w:tcPr>
          <w:p w14:paraId="0F872BF0"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hAnsi="Arial" w:cs="Arial"/>
                <w:bCs/>
                <w:color w:val="242424"/>
                <w:kern w:val="2"/>
                <w:sz w:val="18"/>
                <w:szCs w:val="18"/>
              </w:rPr>
              <w:t>41.4</w:t>
            </w:r>
          </w:p>
        </w:tc>
        <w:tc>
          <w:tcPr>
            <w:tcW w:w="960" w:type="dxa"/>
            <w:tcBorders>
              <w:top w:val="dotted" w:sz="4" w:space="0" w:color="auto"/>
              <w:bottom w:val="dotted" w:sz="4" w:space="0" w:color="auto"/>
            </w:tcBorders>
            <w:shd w:val="clear" w:color="auto" w:fill="auto"/>
            <w:vAlign w:val="center"/>
          </w:tcPr>
          <w:p w14:paraId="4FAD4A90" w14:textId="77777777" w:rsidR="00F50251" w:rsidRPr="006C220B" w:rsidRDefault="00F50251" w:rsidP="006C220B">
            <w:pPr>
              <w:ind w:right="144"/>
              <w:jc w:val="right"/>
              <w:textAlignment w:val="baseline"/>
              <w:outlineLvl w:val="0"/>
              <w:rPr>
                <w:rFonts w:ascii="Arial" w:hAnsi="Arial" w:cs="Arial"/>
                <w:bCs/>
                <w:color w:val="242424"/>
                <w:kern w:val="2"/>
                <w:sz w:val="18"/>
                <w:szCs w:val="18"/>
              </w:rPr>
            </w:pPr>
          </w:p>
        </w:tc>
        <w:tc>
          <w:tcPr>
            <w:tcW w:w="959" w:type="dxa"/>
            <w:tcBorders>
              <w:top w:val="dotted" w:sz="4" w:space="0" w:color="auto"/>
              <w:bottom w:val="dotted" w:sz="4" w:space="0" w:color="auto"/>
              <w:right w:val="single" w:sz="4" w:space="0" w:color="auto"/>
            </w:tcBorders>
            <w:shd w:val="clear" w:color="auto" w:fill="auto"/>
            <w:vAlign w:val="center"/>
          </w:tcPr>
          <w:p w14:paraId="46124EE1"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60" w:type="dxa"/>
            <w:tcBorders>
              <w:top w:val="dotted" w:sz="4" w:space="0" w:color="auto"/>
              <w:left w:val="single" w:sz="4" w:space="0" w:color="auto"/>
              <w:bottom w:val="dotted" w:sz="4" w:space="0" w:color="auto"/>
            </w:tcBorders>
            <w:shd w:val="clear" w:color="auto" w:fill="auto"/>
            <w:vAlign w:val="center"/>
          </w:tcPr>
          <w:p w14:paraId="4768DC0A"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p>
        </w:tc>
        <w:tc>
          <w:tcPr>
            <w:tcW w:w="959" w:type="dxa"/>
            <w:tcBorders>
              <w:top w:val="dotted" w:sz="4" w:space="0" w:color="auto"/>
              <w:bottom w:val="dotted" w:sz="4" w:space="0" w:color="auto"/>
            </w:tcBorders>
            <w:shd w:val="clear" w:color="auto" w:fill="auto"/>
            <w:vAlign w:val="center"/>
          </w:tcPr>
          <w:p w14:paraId="1CCE3E5B"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60" w:type="dxa"/>
            <w:tcBorders>
              <w:top w:val="dotted" w:sz="4" w:space="0" w:color="auto"/>
              <w:bottom w:val="dotted" w:sz="4" w:space="0" w:color="auto"/>
            </w:tcBorders>
            <w:shd w:val="clear" w:color="auto" w:fill="auto"/>
            <w:vAlign w:val="center"/>
          </w:tcPr>
          <w:p w14:paraId="2F3AF0EB"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r>
      <w:tr w:rsidR="007B7196" w:rsidRPr="006C220B" w14:paraId="3CF07C11" w14:textId="77777777" w:rsidTr="001C33F3">
        <w:trPr>
          <w:trHeight w:val="288"/>
          <w:jc w:val="center"/>
        </w:trPr>
        <w:tc>
          <w:tcPr>
            <w:tcW w:w="1436" w:type="dxa"/>
            <w:tcBorders>
              <w:top w:val="dotted" w:sz="4" w:space="0" w:color="auto"/>
              <w:bottom w:val="single" w:sz="4" w:space="0" w:color="auto"/>
            </w:tcBorders>
            <w:shd w:val="clear" w:color="auto" w:fill="auto"/>
            <w:vAlign w:val="center"/>
          </w:tcPr>
          <w:p w14:paraId="41E45BB3" w14:textId="77777777" w:rsidR="00F50251" w:rsidRPr="006C220B" w:rsidRDefault="00F50251" w:rsidP="004951FA">
            <w:pPr>
              <w:autoSpaceDE w:val="0"/>
              <w:autoSpaceDN w:val="0"/>
              <w:adjustRightInd w:val="0"/>
              <w:rPr>
                <w:rFonts w:ascii="Arial" w:hAnsi="Arial" w:cs="Arial"/>
                <w:bCs/>
                <w:color w:val="242424"/>
                <w:kern w:val="2"/>
                <w:sz w:val="18"/>
                <w:szCs w:val="18"/>
              </w:rPr>
            </w:pPr>
            <w:r w:rsidRPr="006C220B">
              <w:rPr>
                <w:rFonts w:ascii="Arial" w:hAnsi="Arial" w:cs="Arial"/>
                <w:bCs/>
                <w:color w:val="242424"/>
                <w:kern w:val="2"/>
                <w:sz w:val="18"/>
                <w:szCs w:val="18"/>
              </w:rPr>
              <w:t>Nunavut</w:t>
            </w:r>
          </w:p>
        </w:tc>
        <w:tc>
          <w:tcPr>
            <w:tcW w:w="959" w:type="dxa"/>
            <w:tcBorders>
              <w:top w:val="dotted" w:sz="4" w:space="0" w:color="auto"/>
              <w:bottom w:val="single" w:sz="4" w:space="0" w:color="auto"/>
            </w:tcBorders>
            <w:shd w:val="clear" w:color="auto" w:fill="auto"/>
            <w:vAlign w:val="center"/>
          </w:tcPr>
          <w:p w14:paraId="709EC96E"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p>
        </w:tc>
        <w:tc>
          <w:tcPr>
            <w:tcW w:w="960" w:type="dxa"/>
            <w:tcBorders>
              <w:top w:val="dotted" w:sz="4" w:space="0" w:color="auto"/>
              <w:bottom w:val="single" w:sz="4" w:space="0" w:color="auto"/>
            </w:tcBorders>
            <w:shd w:val="clear" w:color="auto" w:fill="auto"/>
            <w:vAlign w:val="center"/>
          </w:tcPr>
          <w:p w14:paraId="16A264EB"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59" w:type="dxa"/>
            <w:tcBorders>
              <w:top w:val="dotted" w:sz="4" w:space="0" w:color="auto"/>
              <w:bottom w:val="single" w:sz="4" w:space="0" w:color="auto"/>
              <w:right w:val="single" w:sz="4" w:space="0" w:color="auto"/>
            </w:tcBorders>
            <w:shd w:val="clear" w:color="auto" w:fill="auto"/>
            <w:vAlign w:val="center"/>
          </w:tcPr>
          <w:p w14:paraId="6F064AD5"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60" w:type="dxa"/>
            <w:tcBorders>
              <w:top w:val="dotted" w:sz="4" w:space="0" w:color="auto"/>
              <w:left w:val="single" w:sz="4" w:space="0" w:color="auto"/>
              <w:bottom w:val="single" w:sz="4" w:space="0" w:color="auto"/>
            </w:tcBorders>
            <w:shd w:val="clear" w:color="auto" w:fill="auto"/>
            <w:vAlign w:val="center"/>
          </w:tcPr>
          <w:p w14:paraId="5F71C7CF"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p>
        </w:tc>
        <w:tc>
          <w:tcPr>
            <w:tcW w:w="959" w:type="dxa"/>
            <w:tcBorders>
              <w:top w:val="dotted" w:sz="4" w:space="0" w:color="auto"/>
              <w:bottom w:val="single" w:sz="4" w:space="0" w:color="auto"/>
            </w:tcBorders>
            <w:shd w:val="clear" w:color="auto" w:fill="auto"/>
            <w:vAlign w:val="center"/>
          </w:tcPr>
          <w:p w14:paraId="2B0B48E9"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60" w:type="dxa"/>
            <w:tcBorders>
              <w:top w:val="dotted" w:sz="4" w:space="0" w:color="auto"/>
              <w:bottom w:val="single" w:sz="4" w:space="0" w:color="auto"/>
              <w:right w:val="single" w:sz="4" w:space="0" w:color="auto"/>
            </w:tcBorders>
            <w:shd w:val="clear" w:color="auto" w:fill="auto"/>
            <w:vAlign w:val="center"/>
          </w:tcPr>
          <w:p w14:paraId="6AF8DE05"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59" w:type="dxa"/>
            <w:tcBorders>
              <w:top w:val="dotted" w:sz="4" w:space="0" w:color="auto"/>
              <w:left w:val="single" w:sz="4" w:space="0" w:color="auto"/>
              <w:bottom w:val="single" w:sz="4" w:space="0" w:color="auto"/>
            </w:tcBorders>
            <w:shd w:val="clear" w:color="auto" w:fill="auto"/>
            <w:vAlign w:val="center"/>
          </w:tcPr>
          <w:p w14:paraId="686A5BAD"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r w:rsidRPr="006C220B">
              <w:rPr>
                <w:rFonts w:ascii="Arial" w:hAnsi="Arial" w:cs="Arial"/>
                <w:bCs/>
                <w:color w:val="242424"/>
                <w:kern w:val="2"/>
                <w:sz w:val="18"/>
                <w:szCs w:val="18"/>
              </w:rPr>
              <w:t>29.4</w:t>
            </w:r>
          </w:p>
        </w:tc>
        <w:tc>
          <w:tcPr>
            <w:tcW w:w="960" w:type="dxa"/>
            <w:tcBorders>
              <w:top w:val="dotted" w:sz="4" w:space="0" w:color="auto"/>
              <w:bottom w:val="single" w:sz="4" w:space="0" w:color="auto"/>
            </w:tcBorders>
            <w:shd w:val="clear" w:color="auto" w:fill="auto"/>
            <w:vAlign w:val="center"/>
          </w:tcPr>
          <w:p w14:paraId="534BF169" w14:textId="77777777" w:rsidR="00F50251" w:rsidRPr="006C220B" w:rsidRDefault="00F50251" w:rsidP="006C220B">
            <w:pPr>
              <w:ind w:right="144"/>
              <w:jc w:val="right"/>
              <w:textAlignment w:val="baseline"/>
              <w:outlineLvl w:val="0"/>
              <w:rPr>
                <w:rFonts w:ascii="Arial" w:hAnsi="Arial" w:cs="Arial"/>
                <w:bCs/>
                <w:color w:val="242424"/>
                <w:kern w:val="2"/>
                <w:sz w:val="18"/>
                <w:szCs w:val="18"/>
              </w:rPr>
            </w:pPr>
          </w:p>
        </w:tc>
        <w:tc>
          <w:tcPr>
            <w:tcW w:w="959" w:type="dxa"/>
            <w:tcBorders>
              <w:top w:val="dotted" w:sz="4" w:space="0" w:color="auto"/>
              <w:bottom w:val="single" w:sz="4" w:space="0" w:color="auto"/>
              <w:right w:val="single" w:sz="4" w:space="0" w:color="auto"/>
            </w:tcBorders>
            <w:shd w:val="clear" w:color="auto" w:fill="auto"/>
            <w:vAlign w:val="center"/>
          </w:tcPr>
          <w:p w14:paraId="237922C3"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60" w:type="dxa"/>
            <w:tcBorders>
              <w:top w:val="dotted" w:sz="4" w:space="0" w:color="auto"/>
              <w:left w:val="single" w:sz="4" w:space="0" w:color="auto"/>
              <w:bottom w:val="single" w:sz="4" w:space="0" w:color="auto"/>
            </w:tcBorders>
            <w:shd w:val="clear" w:color="auto" w:fill="auto"/>
            <w:vAlign w:val="center"/>
          </w:tcPr>
          <w:p w14:paraId="79374F9B" w14:textId="77777777" w:rsidR="00F50251" w:rsidRPr="006C220B" w:rsidRDefault="00F50251" w:rsidP="0022107D">
            <w:pPr>
              <w:autoSpaceDE w:val="0"/>
              <w:autoSpaceDN w:val="0"/>
              <w:adjustRightInd w:val="0"/>
              <w:jc w:val="right"/>
              <w:rPr>
                <w:rFonts w:ascii="Arial" w:eastAsia="Calibri" w:hAnsi="Arial" w:cs="Arial"/>
                <w:iCs/>
                <w:kern w:val="2"/>
                <w:sz w:val="18"/>
                <w:szCs w:val="18"/>
                <w:lang w:eastAsia="zh-CN"/>
              </w:rPr>
            </w:pPr>
          </w:p>
        </w:tc>
        <w:tc>
          <w:tcPr>
            <w:tcW w:w="959" w:type="dxa"/>
            <w:tcBorders>
              <w:top w:val="dotted" w:sz="4" w:space="0" w:color="auto"/>
              <w:bottom w:val="single" w:sz="4" w:space="0" w:color="auto"/>
            </w:tcBorders>
            <w:shd w:val="clear" w:color="auto" w:fill="auto"/>
            <w:vAlign w:val="center"/>
          </w:tcPr>
          <w:p w14:paraId="59F5D30F"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c>
          <w:tcPr>
            <w:tcW w:w="960" w:type="dxa"/>
            <w:tcBorders>
              <w:top w:val="dotted" w:sz="4" w:space="0" w:color="auto"/>
              <w:bottom w:val="single" w:sz="4" w:space="0" w:color="auto"/>
            </w:tcBorders>
            <w:shd w:val="clear" w:color="auto" w:fill="auto"/>
            <w:vAlign w:val="center"/>
          </w:tcPr>
          <w:p w14:paraId="46AEDA10"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p>
        </w:tc>
      </w:tr>
      <w:tr w:rsidR="007B7196" w:rsidRPr="006C220B" w14:paraId="63F6ADB6" w14:textId="77777777" w:rsidTr="009120FC">
        <w:trPr>
          <w:trHeight w:val="288"/>
          <w:jc w:val="center"/>
        </w:trPr>
        <w:tc>
          <w:tcPr>
            <w:tcW w:w="1436" w:type="dxa"/>
            <w:tcBorders>
              <w:top w:val="single" w:sz="4" w:space="0" w:color="auto"/>
              <w:bottom w:val="single" w:sz="4" w:space="0" w:color="auto"/>
            </w:tcBorders>
            <w:shd w:val="clear" w:color="auto" w:fill="auto"/>
            <w:vAlign w:val="center"/>
          </w:tcPr>
          <w:p w14:paraId="70D4735C" w14:textId="77777777" w:rsidR="00F50251" w:rsidRPr="006C220B" w:rsidRDefault="00F50251" w:rsidP="004951FA">
            <w:pPr>
              <w:autoSpaceDE w:val="0"/>
              <w:autoSpaceDN w:val="0"/>
              <w:adjustRightInd w:val="0"/>
              <w:rPr>
                <w:rFonts w:ascii="Arial" w:eastAsia="Calibri" w:hAnsi="Arial" w:cs="Arial"/>
                <w:i/>
                <w:iCs/>
                <w:kern w:val="2"/>
                <w:sz w:val="18"/>
                <w:szCs w:val="18"/>
                <w:lang w:eastAsia="zh-CN"/>
              </w:rPr>
            </w:pPr>
            <w:r w:rsidRPr="006C220B">
              <w:rPr>
                <w:rFonts w:ascii="Arial" w:hAnsi="Arial" w:cs="Arial"/>
                <w:b/>
                <w:bCs/>
                <w:color w:val="242424"/>
                <w:kern w:val="2"/>
                <w:sz w:val="18"/>
                <w:szCs w:val="18"/>
              </w:rPr>
              <w:t>Canada</w:t>
            </w:r>
          </w:p>
        </w:tc>
        <w:tc>
          <w:tcPr>
            <w:tcW w:w="959" w:type="dxa"/>
            <w:tcBorders>
              <w:top w:val="single" w:sz="4" w:space="0" w:color="auto"/>
              <w:bottom w:val="single" w:sz="4" w:space="0" w:color="auto"/>
            </w:tcBorders>
            <w:shd w:val="clear" w:color="auto" w:fill="auto"/>
            <w:vAlign w:val="center"/>
          </w:tcPr>
          <w:p w14:paraId="215A92CD"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p>
        </w:tc>
        <w:tc>
          <w:tcPr>
            <w:tcW w:w="960" w:type="dxa"/>
            <w:tcBorders>
              <w:top w:val="single" w:sz="4" w:space="0" w:color="auto"/>
              <w:bottom w:val="single" w:sz="4" w:space="0" w:color="auto"/>
            </w:tcBorders>
            <w:shd w:val="clear" w:color="auto" w:fill="auto"/>
            <w:vAlign w:val="center"/>
          </w:tcPr>
          <w:p w14:paraId="2ABE780C"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31.4</w:t>
            </w:r>
          </w:p>
        </w:tc>
        <w:tc>
          <w:tcPr>
            <w:tcW w:w="959" w:type="dxa"/>
            <w:tcBorders>
              <w:top w:val="single" w:sz="4" w:space="0" w:color="auto"/>
              <w:bottom w:val="single" w:sz="4" w:space="0" w:color="auto"/>
              <w:right w:val="single" w:sz="4" w:space="0" w:color="auto"/>
            </w:tcBorders>
            <w:shd w:val="clear" w:color="auto" w:fill="auto"/>
            <w:vAlign w:val="center"/>
          </w:tcPr>
          <w:p w14:paraId="68103953"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10.5</w:t>
            </w:r>
          </w:p>
        </w:tc>
        <w:tc>
          <w:tcPr>
            <w:tcW w:w="960" w:type="dxa"/>
            <w:tcBorders>
              <w:top w:val="single" w:sz="4" w:space="0" w:color="auto"/>
              <w:left w:val="single" w:sz="4" w:space="0" w:color="auto"/>
              <w:bottom w:val="single" w:sz="4" w:space="0" w:color="auto"/>
            </w:tcBorders>
            <w:shd w:val="clear" w:color="auto" w:fill="auto"/>
            <w:vAlign w:val="center"/>
          </w:tcPr>
          <w:p w14:paraId="5174249B" w14:textId="77777777" w:rsidR="00F50251" w:rsidRPr="006C220B" w:rsidRDefault="00F50251" w:rsidP="004951FA">
            <w:pPr>
              <w:autoSpaceDE w:val="0"/>
              <w:autoSpaceDN w:val="0"/>
              <w:adjustRightInd w:val="0"/>
              <w:jc w:val="right"/>
              <w:rPr>
                <w:rFonts w:ascii="Arial" w:eastAsia="Calibri" w:hAnsi="Arial" w:cs="Arial"/>
                <w:iCs/>
                <w:kern w:val="2"/>
                <w:sz w:val="18"/>
                <w:szCs w:val="18"/>
                <w:lang w:eastAsia="zh-CN"/>
              </w:rPr>
            </w:pPr>
          </w:p>
        </w:tc>
        <w:tc>
          <w:tcPr>
            <w:tcW w:w="959" w:type="dxa"/>
            <w:tcBorders>
              <w:top w:val="single" w:sz="4" w:space="0" w:color="auto"/>
              <w:bottom w:val="single" w:sz="4" w:space="0" w:color="auto"/>
            </w:tcBorders>
            <w:shd w:val="clear" w:color="auto" w:fill="auto"/>
            <w:vAlign w:val="center"/>
          </w:tcPr>
          <w:p w14:paraId="6FAD2705"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35.2</w:t>
            </w:r>
          </w:p>
        </w:tc>
        <w:tc>
          <w:tcPr>
            <w:tcW w:w="960" w:type="dxa"/>
            <w:tcBorders>
              <w:top w:val="single" w:sz="4" w:space="0" w:color="auto"/>
              <w:bottom w:val="single" w:sz="4" w:space="0" w:color="auto"/>
              <w:right w:val="single" w:sz="4" w:space="0" w:color="auto"/>
            </w:tcBorders>
            <w:shd w:val="clear" w:color="auto" w:fill="auto"/>
            <w:vAlign w:val="center"/>
          </w:tcPr>
          <w:p w14:paraId="60BEED6A"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12.1</w:t>
            </w:r>
          </w:p>
        </w:tc>
        <w:tc>
          <w:tcPr>
            <w:tcW w:w="959" w:type="dxa"/>
            <w:tcBorders>
              <w:top w:val="single" w:sz="4" w:space="0" w:color="auto"/>
              <w:left w:val="single" w:sz="4" w:space="0" w:color="auto"/>
              <w:bottom w:val="single" w:sz="4" w:space="0" w:color="auto"/>
            </w:tcBorders>
            <w:shd w:val="clear" w:color="auto" w:fill="auto"/>
            <w:vAlign w:val="center"/>
          </w:tcPr>
          <w:p w14:paraId="17A6EC6D" w14:textId="77777777" w:rsidR="00F50251" w:rsidRPr="006C220B" w:rsidRDefault="00F50251" w:rsidP="007C08DF">
            <w:pPr>
              <w:autoSpaceDE w:val="0"/>
              <w:autoSpaceDN w:val="0"/>
              <w:adjustRightInd w:val="0"/>
              <w:jc w:val="right"/>
              <w:rPr>
                <w:rFonts w:ascii="Arial" w:eastAsia="Calibri" w:hAnsi="Arial" w:cs="Arial"/>
                <w:iCs/>
                <w:kern w:val="2"/>
                <w:sz w:val="18"/>
                <w:szCs w:val="18"/>
                <w:lang w:eastAsia="zh-CN"/>
              </w:rPr>
            </w:pPr>
          </w:p>
        </w:tc>
        <w:tc>
          <w:tcPr>
            <w:tcW w:w="960" w:type="dxa"/>
            <w:tcBorders>
              <w:top w:val="single" w:sz="4" w:space="0" w:color="auto"/>
              <w:bottom w:val="single" w:sz="4" w:space="0" w:color="auto"/>
            </w:tcBorders>
            <w:shd w:val="clear" w:color="auto" w:fill="auto"/>
            <w:vAlign w:val="center"/>
          </w:tcPr>
          <w:p w14:paraId="79C8E12B"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38.9</w:t>
            </w:r>
          </w:p>
        </w:tc>
        <w:tc>
          <w:tcPr>
            <w:tcW w:w="959" w:type="dxa"/>
            <w:tcBorders>
              <w:top w:val="single" w:sz="4" w:space="0" w:color="auto"/>
              <w:bottom w:val="single" w:sz="4" w:space="0" w:color="auto"/>
              <w:right w:val="single" w:sz="4" w:space="0" w:color="auto"/>
            </w:tcBorders>
            <w:shd w:val="clear" w:color="auto" w:fill="auto"/>
            <w:vAlign w:val="center"/>
          </w:tcPr>
          <w:p w14:paraId="2A732B14"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13.2</w:t>
            </w:r>
          </w:p>
        </w:tc>
        <w:tc>
          <w:tcPr>
            <w:tcW w:w="960" w:type="dxa"/>
            <w:tcBorders>
              <w:top w:val="single" w:sz="4" w:space="0" w:color="auto"/>
              <w:left w:val="single" w:sz="4" w:space="0" w:color="auto"/>
              <w:bottom w:val="single" w:sz="4" w:space="0" w:color="auto"/>
            </w:tcBorders>
            <w:shd w:val="clear" w:color="auto" w:fill="auto"/>
            <w:vAlign w:val="center"/>
          </w:tcPr>
          <w:p w14:paraId="1F486CDE" w14:textId="77777777" w:rsidR="00F50251" w:rsidRPr="004F7CAF" w:rsidRDefault="00F50251" w:rsidP="0022107D">
            <w:pPr>
              <w:autoSpaceDE w:val="0"/>
              <w:autoSpaceDN w:val="0"/>
              <w:adjustRightInd w:val="0"/>
              <w:jc w:val="right"/>
              <w:rPr>
                <w:rFonts w:ascii="Arial" w:eastAsia="Calibri" w:hAnsi="Arial" w:cs="Arial"/>
                <w:b/>
                <w:bCs/>
                <w:iCs/>
                <w:kern w:val="2"/>
                <w:sz w:val="18"/>
                <w:szCs w:val="18"/>
                <w:lang w:eastAsia="zh-CN"/>
              </w:rPr>
            </w:pPr>
            <w:r w:rsidRPr="004F7CAF">
              <w:rPr>
                <w:rFonts w:ascii="Arial" w:eastAsia="Calibri" w:hAnsi="Arial" w:cs="Arial"/>
                <w:b/>
                <w:bCs/>
                <w:iCs/>
                <w:kern w:val="2"/>
                <w:sz w:val="18"/>
                <w:szCs w:val="18"/>
                <w:lang w:eastAsia="zh-CN"/>
              </w:rPr>
              <w:t>35,151.7</w:t>
            </w:r>
          </w:p>
        </w:tc>
        <w:tc>
          <w:tcPr>
            <w:tcW w:w="959" w:type="dxa"/>
            <w:tcBorders>
              <w:top w:val="single" w:sz="4" w:space="0" w:color="auto"/>
              <w:bottom w:val="single" w:sz="4" w:space="0" w:color="auto"/>
            </w:tcBorders>
            <w:shd w:val="clear" w:color="auto" w:fill="auto"/>
            <w:vAlign w:val="center"/>
          </w:tcPr>
          <w:p w14:paraId="388548E1"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40.5</w:t>
            </w:r>
          </w:p>
        </w:tc>
        <w:tc>
          <w:tcPr>
            <w:tcW w:w="960" w:type="dxa"/>
            <w:tcBorders>
              <w:top w:val="single" w:sz="4" w:space="0" w:color="auto"/>
              <w:bottom w:val="single" w:sz="4" w:space="0" w:color="auto"/>
            </w:tcBorders>
            <w:shd w:val="clear" w:color="auto" w:fill="auto"/>
            <w:vAlign w:val="center"/>
          </w:tcPr>
          <w:p w14:paraId="6C49BD79" w14:textId="77777777" w:rsidR="00F50251" w:rsidRPr="006C220B" w:rsidRDefault="00F50251" w:rsidP="006C220B">
            <w:pPr>
              <w:ind w:right="144"/>
              <w:jc w:val="right"/>
              <w:textAlignment w:val="baseline"/>
              <w:outlineLvl w:val="0"/>
              <w:rPr>
                <w:rFonts w:ascii="Arial" w:hAnsi="Arial" w:cs="Arial"/>
                <w:b/>
                <w:bCs/>
                <w:color w:val="242424"/>
                <w:kern w:val="2"/>
                <w:sz w:val="18"/>
                <w:szCs w:val="18"/>
              </w:rPr>
            </w:pPr>
            <w:r w:rsidRPr="006C220B">
              <w:rPr>
                <w:rFonts w:ascii="Arial" w:hAnsi="Arial" w:cs="Arial"/>
                <w:b/>
                <w:bCs/>
                <w:color w:val="242424"/>
                <w:kern w:val="2"/>
                <w:sz w:val="18"/>
                <w:szCs w:val="18"/>
              </w:rPr>
              <w:t>16.1</w:t>
            </w:r>
          </w:p>
        </w:tc>
      </w:tr>
    </w:tbl>
    <w:p w14:paraId="0E9B08D3" w14:textId="77777777" w:rsidR="00F50251" w:rsidRPr="004951FA" w:rsidRDefault="00F50251" w:rsidP="00F50251">
      <w:pPr>
        <w:pStyle w:val="ExhibitText"/>
        <w:rPr>
          <w:rFonts w:eastAsia="Calibri"/>
        </w:rPr>
      </w:pPr>
    </w:p>
    <w:p w14:paraId="3964006E" w14:textId="35EE497E" w:rsidR="007B7196" w:rsidRDefault="007B7196" w:rsidP="00F50251">
      <w:pPr>
        <w:pStyle w:val="Footnote"/>
        <w:rPr>
          <w:rFonts w:eastAsia="Calibri"/>
        </w:rPr>
      </w:pPr>
      <w:r>
        <w:rPr>
          <w:rFonts w:eastAsia="Calibri"/>
        </w:rPr>
        <w:t>Note: Pop. = population</w:t>
      </w:r>
      <w:r w:rsidR="00886941">
        <w:rPr>
          <w:rFonts w:eastAsia="Calibri"/>
        </w:rPr>
        <w:t>.</w:t>
      </w:r>
    </w:p>
    <w:p w14:paraId="74C41D02" w14:textId="76597C5F" w:rsidR="00F50251" w:rsidRPr="004951FA" w:rsidRDefault="00F50251" w:rsidP="00F50251">
      <w:pPr>
        <w:pStyle w:val="Footnote"/>
        <w:rPr>
          <w:rFonts w:eastAsia="Calibri"/>
        </w:rPr>
      </w:pPr>
      <w:r w:rsidRPr="004951FA">
        <w:rPr>
          <w:rFonts w:eastAsia="Calibri"/>
        </w:rPr>
        <w:t>Source: Statistics Canada</w:t>
      </w:r>
      <w:r w:rsidR="00147463">
        <w:rPr>
          <w:rFonts w:eastAsia="Calibri"/>
        </w:rPr>
        <w:t xml:space="preserve">, </w:t>
      </w:r>
      <w:r w:rsidR="00921E9D">
        <w:rPr>
          <w:rFonts w:eastAsia="Calibri"/>
        </w:rPr>
        <w:t>“</w:t>
      </w:r>
      <w:r w:rsidR="00921E9D" w:rsidRPr="00921E9D">
        <w:rPr>
          <w:rFonts w:eastAsia="Calibri"/>
        </w:rPr>
        <w:t xml:space="preserve">Table 17-10-0118-01: </w:t>
      </w:r>
      <w:r w:rsidR="00147463" w:rsidRPr="00921E9D">
        <w:rPr>
          <w:rFonts w:eastAsia="Calibri"/>
        </w:rPr>
        <w:t>Selected Population Characteristics, Canada, Provinces and Territories</w:t>
      </w:r>
      <w:r w:rsidR="00147463">
        <w:rPr>
          <w:rFonts w:eastAsia="Calibri"/>
        </w:rPr>
        <w:t>,</w:t>
      </w:r>
      <w:r w:rsidR="00921E9D">
        <w:rPr>
          <w:rFonts w:eastAsia="Calibri"/>
        </w:rPr>
        <w:t>” CANSIM,</w:t>
      </w:r>
      <w:r w:rsidR="00147463">
        <w:rPr>
          <w:rFonts w:eastAsia="Calibri"/>
        </w:rPr>
        <w:t xml:space="preserve"> </w:t>
      </w:r>
      <w:r w:rsidR="00147463" w:rsidRPr="004951FA">
        <w:rPr>
          <w:rFonts w:eastAsia="Calibri"/>
        </w:rPr>
        <w:t>accessed January 10, 2019</w:t>
      </w:r>
      <w:r w:rsidR="00AB7A1A">
        <w:rPr>
          <w:rFonts w:eastAsia="Calibri"/>
        </w:rPr>
        <w:t xml:space="preserve">, </w:t>
      </w:r>
      <w:r w:rsidR="00886941">
        <w:rPr>
          <w:rFonts w:eastAsia="Calibri"/>
        </w:rPr>
        <w:t>www</w:t>
      </w:r>
      <w:r w:rsidR="00AB7A1A" w:rsidRPr="00AB7A1A">
        <w:rPr>
          <w:rFonts w:eastAsia="Calibri"/>
        </w:rPr>
        <w:t>150.statcan.gc.ca</w:t>
      </w:r>
      <w:r w:rsidRPr="004951FA">
        <w:rPr>
          <w:rFonts w:eastAsia="Calibri"/>
        </w:rPr>
        <w:t>;</w:t>
      </w:r>
      <w:r w:rsidR="00921E9D">
        <w:rPr>
          <w:rFonts w:eastAsia="Calibri"/>
        </w:rPr>
        <w:t xml:space="preserve"> and</w:t>
      </w:r>
      <w:r w:rsidRPr="004951FA">
        <w:rPr>
          <w:rFonts w:eastAsia="Calibri"/>
        </w:rPr>
        <w:t xml:space="preserve"> Richard </w:t>
      </w:r>
      <w:proofErr w:type="spellStart"/>
      <w:r w:rsidRPr="004951FA">
        <w:rPr>
          <w:rFonts w:eastAsia="Calibri"/>
        </w:rPr>
        <w:t>Saillant</w:t>
      </w:r>
      <w:proofErr w:type="spellEnd"/>
      <w:r w:rsidRPr="0022107D">
        <w:rPr>
          <w:rFonts w:eastAsia="Calibri"/>
          <w:i/>
        </w:rPr>
        <w:t xml:space="preserve">, </w:t>
      </w:r>
      <w:r w:rsidR="00147463" w:rsidRPr="0022107D">
        <w:rPr>
          <w:rFonts w:eastAsia="Calibri"/>
          <w:i/>
        </w:rPr>
        <w:t>A Tale of Two Countries: How the Great Demographic Imbalance Is Pulling Canada Apart</w:t>
      </w:r>
      <w:r w:rsidR="00147463">
        <w:rPr>
          <w:rFonts w:eastAsia="Calibri"/>
        </w:rPr>
        <w:t xml:space="preserve"> (Halifax, NS: Nimbus Publishing,</w:t>
      </w:r>
      <w:r w:rsidR="00147463" w:rsidRPr="00147463" w:rsidDel="00147463">
        <w:rPr>
          <w:rFonts w:eastAsia="Calibri"/>
        </w:rPr>
        <w:t xml:space="preserve"> </w:t>
      </w:r>
      <w:r w:rsidRPr="004951FA">
        <w:rPr>
          <w:rFonts w:eastAsia="Calibri"/>
        </w:rPr>
        <w:t>2016</w:t>
      </w:r>
      <w:r w:rsidR="00147463" w:rsidRPr="008F0629">
        <w:rPr>
          <w:rFonts w:eastAsia="Calibri"/>
        </w:rPr>
        <w:t xml:space="preserve">), </w:t>
      </w:r>
      <w:r w:rsidR="00555DE2" w:rsidRPr="008F0629">
        <w:rPr>
          <w:rFonts w:eastAsia="Calibri"/>
        </w:rPr>
        <w:t>26</w:t>
      </w:r>
      <w:r w:rsidRPr="008F0629">
        <w:rPr>
          <w:rFonts w:eastAsia="Calibri"/>
        </w:rPr>
        <w:t>.</w:t>
      </w:r>
    </w:p>
    <w:p w14:paraId="09A8A1C9" w14:textId="77777777" w:rsidR="00F614FB" w:rsidRPr="004951FA" w:rsidRDefault="00F50251">
      <w:pPr>
        <w:spacing w:after="200" w:line="276" w:lineRule="auto"/>
        <w:rPr>
          <w:rFonts w:eastAsia="Calibri"/>
          <w:i/>
          <w:iCs/>
          <w:kern w:val="2"/>
          <w:lang w:eastAsia="zh-CN"/>
        </w:rPr>
        <w:sectPr w:rsidR="00F614FB" w:rsidRPr="004951FA" w:rsidSect="00F50251">
          <w:headerReference w:type="default" r:id="rId11"/>
          <w:pgSz w:w="15840" w:h="12240" w:orient="landscape" w:code="1"/>
          <w:pgMar w:top="1440" w:right="1440" w:bottom="1440" w:left="1440" w:header="1080" w:footer="720" w:gutter="0"/>
          <w:cols w:space="720"/>
          <w:docGrid w:linePitch="360"/>
        </w:sectPr>
      </w:pPr>
      <w:r w:rsidRPr="004951FA">
        <w:rPr>
          <w:rFonts w:eastAsia="Calibri"/>
          <w:i/>
          <w:iCs/>
          <w:kern w:val="2"/>
          <w:lang w:eastAsia="zh-CN"/>
        </w:rPr>
        <w:br w:type="page"/>
      </w:r>
    </w:p>
    <w:p w14:paraId="278548A9" w14:textId="1E8A5391" w:rsidR="00F50251" w:rsidRDefault="00F50251" w:rsidP="00F614FB">
      <w:pPr>
        <w:pStyle w:val="ExhibitHeading"/>
      </w:pPr>
      <w:r w:rsidRPr="004951FA">
        <w:lastRenderedPageBreak/>
        <w:t>Exhibit 4</w:t>
      </w:r>
      <w:r w:rsidR="00F614FB" w:rsidRPr="004951FA">
        <w:t xml:space="preserve">: </w:t>
      </w:r>
      <w:r w:rsidR="001B6D28" w:rsidRPr="004951FA">
        <w:t xml:space="preserve">KINDRED HOME CARE </w:t>
      </w:r>
      <w:r w:rsidRPr="004951FA">
        <w:t>INCOME STATEMENT</w:t>
      </w:r>
      <w:r w:rsidR="005248C8">
        <w:t xml:space="preserve"> (CA$)</w:t>
      </w:r>
    </w:p>
    <w:p w14:paraId="3BB4B00D" w14:textId="1DD2BC6A" w:rsidR="008624BA" w:rsidRDefault="008624BA" w:rsidP="008624BA">
      <w:pPr>
        <w:pStyle w:val="ExhibitText"/>
      </w:pPr>
    </w:p>
    <w:tbl>
      <w:tblPr>
        <w:tblW w:w="5000" w:type="pct"/>
        <w:tblLook w:val="04A0" w:firstRow="1" w:lastRow="0" w:firstColumn="1" w:lastColumn="0" w:noHBand="0" w:noVBand="1"/>
      </w:tblPr>
      <w:tblGrid>
        <w:gridCol w:w="2570"/>
        <w:gridCol w:w="1358"/>
        <w:gridCol w:w="1358"/>
        <w:gridCol w:w="1358"/>
        <w:gridCol w:w="1358"/>
        <w:gridCol w:w="1358"/>
      </w:tblGrid>
      <w:tr w:rsidR="008624BA" w14:paraId="1C799985" w14:textId="77777777" w:rsidTr="008624BA">
        <w:trPr>
          <w:trHeight w:val="280"/>
        </w:trPr>
        <w:tc>
          <w:tcPr>
            <w:tcW w:w="2460" w:type="dxa"/>
            <w:tcBorders>
              <w:top w:val="single" w:sz="8" w:space="0" w:color="auto"/>
              <w:left w:val="nil"/>
              <w:bottom w:val="single" w:sz="12" w:space="0" w:color="auto"/>
              <w:right w:val="nil"/>
            </w:tcBorders>
            <w:shd w:val="clear" w:color="auto" w:fill="auto"/>
            <w:vAlign w:val="center"/>
            <w:hideMark/>
          </w:tcPr>
          <w:p w14:paraId="17944347" w14:textId="02167729" w:rsidR="008624BA" w:rsidRDefault="00886941">
            <w:pPr>
              <w:jc w:val="right"/>
              <w:rPr>
                <w:rFonts w:ascii="Arial" w:hAnsi="Arial" w:cs="Arial"/>
                <w:color w:val="000000"/>
                <w:sz w:val="18"/>
                <w:szCs w:val="18"/>
              </w:rPr>
            </w:pPr>
            <w:r>
              <w:rPr>
                <w:rFonts w:ascii="Arial" w:hAnsi="Arial" w:cs="Arial"/>
                <w:color w:val="000000"/>
                <w:kern w:val="2"/>
                <w:sz w:val="18"/>
                <w:szCs w:val="18"/>
                <w:lang w:val="en-GB"/>
              </w:rPr>
              <w:t>Y</w:t>
            </w:r>
            <w:r w:rsidR="008624BA">
              <w:rPr>
                <w:rFonts w:ascii="Arial" w:hAnsi="Arial" w:cs="Arial"/>
                <w:color w:val="000000"/>
                <w:kern w:val="2"/>
                <w:sz w:val="18"/>
                <w:szCs w:val="18"/>
                <w:lang w:val="en-GB"/>
              </w:rPr>
              <w:t xml:space="preserve">ear </w:t>
            </w:r>
            <w:r>
              <w:rPr>
                <w:rFonts w:ascii="Arial" w:hAnsi="Arial" w:cs="Arial"/>
                <w:color w:val="000000"/>
                <w:kern w:val="2"/>
                <w:sz w:val="18"/>
                <w:szCs w:val="18"/>
                <w:lang w:val="en-GB"/>
              </w:rPr>
              <w:t>E</w:t>
            </w:r>
            <w:bookmarkStart w:id="12" w:name="_GoBack"/>
            <w:bookmarkEnd w:id="12"/>
            <w:r w:rsidR="008624BA">
              <w:rPr>
                <w:rFonts w:ascii="Arial" w:hAnsi="Arial" w:cs="Arial"/>
                <w:color w:val="000000"/>
                <w:kern w:val="2"/>
                <w:sz w:val="18"/>
                <w:szCs w:val="18"/>
                <w:lang w:val="en-GB"/>
              </w:rPr>
              <w:t>nding December</w:t>
            </w:r>
            <w:r>
              <w:rPr>
                <w:rFonts w:ascii="Arial" w:hAnsi="Arial" w:cs="Arial"/>
                <w:color w:val="000000"/>
                <w:kern w:val="2"/>
                <w:sz w:val="18"/>
                <w:szCs w:val="18"/>
                <w:lang w:val="en-GB"/>
              </w:rPr>
              <w:t xml:space="preserve"> 31</w:t>
            </w:r>
          </w:p>
        </w:tc>
        <w:tc>
          <w:tcPr>
            <w:tcW w:w="1300" w:type="dxa"/>
            <w:tcBorders>
              <w:top w:val="single" w:sz="8" w:space="0" w:color="auto"/>
              <w:left w:val="nil"/>
              <w:bottom w:val="single" w:sz="12" w:space="0" w:color="auto"/>
              <w:right w:val="nil"/>
            </w:tcBorders>
            <w:shd w:val="clear" w:color="auto" w:fill="auto"/>
            <w:vAlign w:val="center"/>
            <w:hideMark/>
          </w:tcPr>
          <w:p w14:paraId="2DE5B0D1" w14:textId="77777777" w:rsidR="008624BA" w:rsidRDefault="008624BA">
            <w:pPr>
              <w:jc w:val="center"/>
              <w:rPr>
                <w:rFonts w:ascii="Arial" w:hAnsi="Arial" w:cs="Arial"/>
                <w:b/>
                <w:bCs/>
                <w:color w:val="000000"/>
                <w:sz w:val="18"/>
                <w:szCs w:val="18"/>
              </w:rPr>
            </w:pPr>
            <w:r>
              <w:rPr>
                <w:rFonts w:ascii="Arial" w:hAnsi="Arial" w:cs="Arial"/>
                <w:b/>
                <w:bCs/>
                <w:color w:val="000000"/>
                <w:kern w:val="2"/>
                <w:sz w:val="18"/>
                <w:szCs w:val="18"/>
                <w:lang w:val="en-GB"/>
              </w:rPr>
              <w:t>2012</w:t>
            </w:r>
          </w:p>
        </w:tc>
        <w:tc>
          <w:tcPr>
            <w:tcW w:w="1300" w:type="dxa"/>
            <w:tcBorders>
              <w:top w:val="single" w:sz="8" w:space="0" w:color="auto"/>
              <w:left w:val="nil"/>
              <w:bottom w:val="single" w:sz="12" w:space="0" w:color="auto"/>
              <w:right w:val="nil"/>
            </w:tcBorders>
            <w:shd w:val="clear" w:color="auto" w:fill="auto"/>
            <w:vAlign w:val="center"/>
            <w:hideMark/>
          </w:tcPr>
          <w:p w14:paraId="5FBD1A57" w14:textId="77777777" w:rsidR="008624BA" w:rsidRDefault="008624BA">
            <w:pPr>
              <w:jc w:val="center"/>
              <w:rPr>
                <w:rFonts w:ascii="Arial" w:hAnsi="Arial" w:cs="Arial"/>
                <w:b/>
                <w:bCs/>
                <w:color w:val="000000"/>
                <w:sz w:val="18"/>
                <w:szCs w:val="18"/>
              </w:rPr>
            </w:pPr>
            <w:r>
              <w:rPr>
                <w:rFonts w:ascii="Arial" w:hAnsi="Arial" w:cs="Arial"/>
                <w:b/>
                <w:bCs/>
                <w:color w:val="000000"/>
                <w:kern w:val="2"/>
                <w:sz w:val="18"/>
                <w:szCs w:val="18"/>
                <w:lang w:val="en-GB"/>
              </w:rPr>
              <w:t>2013</w:t>
            </w:r>
          </w:p>
        </w:tc>
        <w:tc>
          <w:tcPr>
            <w:tcW w:w="1300" w:type="dxa"/>
            <w:tcBorders>
              <w:top w:val="single" w:sz="8" w:space="0" w:color="auto"/>
              <w:left w:val="nil"/>
              <w:bottom w:val="single" w:sz="12" w:space="0" w:color="auto"/>
              <w:right w:val="nil"/>
            </w:tcBorders>
            <w:shd w:val="clear" w:color="auto" w:fill="auto"/>
            <w:vAlign w:val="center"/>
            <w:hideMark/>
          </w:tcPr>
          <w:p w14:paraId="74A86254" w14:textId="77777777" w:rsidR="008624BA" w:rsidRDefault="008624BA">
            <w:pPr>
              <w:jc w:val="center"/>
              <w:rPr>
                <w:rFonts w:ascii="Arial" w:hAnsi="Arial" w:cs="Arial"/>
                <w:b/>
                <w:bCs/>
                <w:color w:val="000000"/>
                <w:sz w:val="18"/>
                <w:szCs w:val="18"/>
              </w:rPr>
            </w:pPr>
            <w:r>
              <w:rPr>
                <w:rFonts w:ascii="Arial" w:hAnsi="Arial" w:cs="Arial"/>
                <w:b/>
                <w:bCs/>
                <w:color w:val="000000"/>
                <w:kern w:val="2"/>
                <w:sz w:val="18"/>
                <w:szCs w:val="18"/>
                <w:lang w:val="en-GB"/>
              </w:rPr>
              <w:t>2014</w:t>
            </w:r>
          </w:p>
        </w:tc>
        <w:tc>
          <w:tcPr>
            <w:tcW w:w="1300" w:type="dxa"/>
            <w:tcBorders>
              <w:top w:val="single" w:sz="8" w:space="0" w:color="auto"/>
              <w:left w:val="nil"/>
              <w:bottom w:val="single" w:sz="12" w:space="0" w:color="auto"/>
              <w:right w:val="nil"/>
            </w:tcBorders>
            <w:shd w:val="clear" w:color="auto" w:fill="auto"/>
            <w:vAlign w:val="center"/>
            <w:hideMark/>
          </w:tcPr>
          <w:p w14:paraId="7AD131D7" w14:textId="77777777" w:rsidR="008624BA" w:rsidRDefault="008624BA">
            <w:pPr>
              <w:jc w:val="center"/>
              <w:rPr>
                <w:rFonts w:ascii="Arial" w:hAnsi="Arial" w:cs="Arial"/>
                <w:b/>
                <w:bCs/>
                <w:color w:val="000000"/>
                <w:sz w:val="18"/>
                <w:szCs w:val="18"/>
              </w:rPr>
            </w:pPr>
            <w:r>
              <w:rPr>
                <w:rFonts w:ascii="Arial" w:hAnsi="Arial" w:cs="Arial"/>
                <w:b/>
                <w:bCs/>
                <w:color w:val="000000"/>
                <w:kern w:val="2"/>
                <w:sz w:val="18"/>
                <w:szCs w:val="18"/>
                <w:lang w:val="en-GB"/>
              </w:rPr>
              <w:t>2015</w:t>
            </w:r>
          </w:p>
        </w:tc>
        <w:tc>
          <w:tcPr>
            <w:tcW w:w="1300" w:type="dxa"/>
            <w:tcBorders>
              <w:top w:val="single" w:sz="8" w:space="0" w:color="auto"/>
              <w:left w:val="nil"/>
              <w:bottom w:val="single" w:sz="12" w:space="0" w:color="auto"/>
              <w:right w:val="nil"/>
            </w:tcBorders>
            <w:shd w:val="clear" w:color="auto" w:fill="auto"/>
            <w:vAlign w:val="center"/>
            <w:hideMark/>
          </w:tcPr>
          <w:p w14:paraId="4671F2BA" w14:textId="77777777" w:rsidR="008624BA" w:rsidRDefault="008624BA">
            <w:pPr>
              <w:jc w:val="center"/>
              <w:rPr>
                <w:rFonts w:ascii="Arial" w:hAnsi="Arial" w:cs="Arial"/>
                <w:b/>
                <w:bCs/>
                <w:color w:val="000000"/>
                <w:sz w:val="18"/>
                <w:szCs w:val="18"/>
              </w:rPr>
            </w:pPr>
            <w:r>
              <w:rPr>
                <w:rFonts w:ascii="Arial" w:hAnsi="Arial" w:cs="Arial"/>
                <w:b/>
                <w:bCs/>
                <w:color w:val="000000"/>
                <w:kern w:val="2"/>
                <w:sz w:val="18"/>
                <w:szCs w:val="18"/>
                <w:lang w:val="en-GB"/>
              </w:rPr>
              <w:t>2016</w:t>
            </w:r>
          </w:p>
        </w:tc>
      </w:tr>
      <w:tr w:rsidR="008624BA" w14:paraId="741F6AB5" w14:textId="77777777" w:rsidTr="00301217">
        <w:trPr>
          <w:trHeight w:val="300"/>
        </w:trPr>
        <w:tc>
          <w:tcPr>
            <w:tcW w:w="2460" w:type="dxa"/>
            <w:tcBorders>
              <w:top w:val="nil"/>
              <w:left w:val="nil"/>
              <w:bottom w:val="single" w:sz="8" w:space="0" w:color="auto"/>
              <w:right w:val="nil"/>
            </w:tcBorders>
            <w:shd w:val="clear" w:color="auto" w:fill="auto"/>
            <w:vAlign w:val="center"/>
            <w:hideMark/>
          </w:tcPr>
          <w:p w14:paraId="000355E4"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Revenue</w:t>
            </w:r>
          </w:p>
        </w:tc>
        <w:tc>
          <w:tcPr>
            <w:tcW w:w="1300" w:type="dxa"/>
            <w:tcBorders>
              <w:top w:val="nil"/>
              <w:left w:val="nil"/>
              <w:bottom w:val="single" w:sz="8" w:space="0" w:color="auto"/>
              <w:right w:val="nil"/>
            </w:tcBorders>
            <w:shd w:val="clear" w:color="auto" w:fill="auto"/>
            <w:vAlign w:val="center"/>
            <w:hideMark/>
          </w:tcPr>
          <w:p w14:paraId="1B02C5C0"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4,422,251</w:t>
            </w:r>
          </w:p>
        </w:tc>
        <w:tc>
          <w:tcPr>
            <w:tcW w:w="1300" w:type="dxa"/>
            <w:tcBorders>
              <w:top w:val="nil"/>
              <w:left w:val="nil"/>
              <w:bottom w:val="single" w:sz="8" w:space="0" w:color="auto"/>
              <w:right w:val="nil"/>
            </w:tcBorders>
            <w:shd w:val="clear" w:color="auto" w:fill="auto"/>
            <w:vAlign w:val="center"/>
            <w:hideMark/>
          </w:tcPr>
          <w:p w14:paraId="546919E3"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6,961,859</w:t>
            </w:r>
          </w:p>
        </w:tc>
        <w:tc>
          <w:tcPr>
            <w:tcW w:w="1300" w:type="dxa"/>
            <w:tcBorders>
              <w:top w:val="nil"/>
              <w:left w:val="nil"/>
              <w:bottom w:val="single" w:sz="8" w:space="0" w:color="auto"/>
              <w:right w:val="nil"/>
            </w:tcBorders>
            <w:shd w:val="clear" w:color="auto" w:fill="auto"/>
            <w:vAlign w:val="center"/>
            <w:hideMark/>
          </w:tcPr>
          <w:p w14:paraId="5F12F789"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9,001,899</w:t>
            </w:r>
          </w:p>
        </w:tc>
        <w:tc>
          <w:tcPr>
            <w:tcW w:w="1300" w:type="dxa"/>
            <w:tcBorders>
              <w:top w:val="nil"/>
              <w:left w:val="nil"/>
              <w:bottom w:val="single" w:sz="8" w:space="0" w:color="auto"/>
              <w:right w:val="nil"/>
            </w:tcBorders>
            <w:shd w:val="clear" w:color="auto" w:fill="auto"/>
            <w:vAlign w:val="center"/>
            <w:hideMark/>
          </w:tcPr>
          <w:p w14:paraId="75AF31A9"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9,147,368</w:t>
            </w:r>
          </w:p>
        </w:tc>
        <w:tc>
          <w:tcPr>
            <w:tcW w:w="1300" w:type="dxa"/>
            <w:tcBorders>
              <w:top w:val="nil"/>
              <w:left w:val="nil"/>
              <w:bottom w:val="single" w:sz="8" w:space="0" w:color="auto"/>
              <w:right w:val="nil"/>
            </w:tcBorders>
            <w:shd w:val="clear" w:color="auto" w:fill="auto"/>
            <w:vAlign w:val="center"/>
            <w:hideMark/>
          </w:tcPr>
          <w:p w14:paraId="5D111A00"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11,146,572</w:t>
            </w:r>
          </w:p>
        </w:tc>
      </w:tr>
      <w:tr w:rsidR="008624BA" w14:paraId="249D3C7A" w14:textId="77777777" w:rsidTr="00301217">
        <w:trPr>
          <w:trHeight w:val="280"/>
        </w:trPr>
        <w:tc>
          <w:tcPr>
            <w:tcW w:w="2460" w:type="dxa"/>
            <w:tcBorders>
              <w:top w:val="nil"/>
              <w:left w:val="nil"/>
              <w:bottom w:val="single" w:sz="8" w:space="0" w:color="auto"/>
              <w:right w:val="nil"/>
            </w:tcBorders>
            <w:shd w:val="clear" w:color="auto" w:fill="auto"/>
            <w:vAlign w:val="center"/>
            <w:hideMark/>
          </w:tcPr>
          <w:p w14:paraId="744D937E"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Less: Direct Labour</w:t>
            </w:r>
          </w:p>
        </w:tc>
        <w:tc>
          <w:tcPr>
            <w:tcW w:w="1300" w:type="dxa"/>
            <w:tcBorders>
              <w:top w:val="nil"/>
              <w:left w:val="nil"/>
              <w:bottom w:val="single" w:sz="8" w:space="0" w:color="auto"/>
              <w:right w:val="nil"/>
            </w:tcBorders>
            <w:shd w:val="clear" w:color="auto" w:fill="auto"/>
            <w:vAlign w:val="center"/>
            <w:hideMark/>
          </w:tcPr>
          <w:p w14:paraId="5F203EC9"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NA</w:t>
            </w:r>
          </w:p>
        </w:tc>
        <w:tc>
          <w:tcPr>
            <w:tcW w:w="1300" w:type="dxa"/>
            <w:tcBorders>
              <w:top w:val="nil"/>
              <w:left w:val="nil"/>
              <w:bottom w:val="single" w:sz="8" w:space="0" w:color="auto"/>
              <w:right w:val="nil"/>
            </w:tcBorders>
            <w:shd w:val="clear" w:color="auto" w:fill="auto"/>
            <w:vAlign w:val="center"/>
            <w:hideMark/>
          </w:tcPr>
          <w:p w14:paraId="73158227"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NA</w:t>
            </w:r>
          </w:p>
        </w:tc>
        <w:tc>
          <w:tcPr>
            <w:tcW w:w="1300" w:type="dxa"/>
            <w:tcBorders>
              <w:top w:val="nil"/>
              <w:left w:val="nil"/>
              <w:bottom w:val="single" w:sz="8" w:space="0" w:color="auto"/>
              <w:right w:val="nil"/>
            </w:tcBorders>
            <w:shd w:val="clear" w:color="auto" w:fill="auto"/>
            <w:vAlign w:val="center"/>
            <w:hideMark/>
          </w:tcPr>
          <w:p w14:paraId="1B2F09E8"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7,340,207</w:t>
            </w:r>
          </w:p>
        </w:tc>
        <w:tc>
          <w:tcPr>
            <w:tcW w:w="1300" w:type="dxa"/>
            <w:tcBorders>
              <w:top w:val="nil"/>
              <w:left w:val="nil"/>
              <w:bottom w:val="single" w:sz="8" w:space="0" w:color="auto"/>
              <w:right w:val="nil"/>
            </w:tcBorders>
            <w:shd w:val="clear" w:color="auto" w:fill="auto"/>
            <w:vAlign w:val="center"/>
            <w:hideMark/>
          </w:tcPr>
          <w:p w14:paraId="769BC6F2"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7,211,203</w:t>
            </w:r>
          </w:p>
        </w:tc>
        <w:tc>
          <w:tcPr>
            <w:tcW w:w="1300" w:type="dxa"/>
            <w:tcBorders>
              <w:top w:val="nil"/>
              <w:left w:val="nil"/>
              <w:bottom w:val="single" w:sz="8" w:space="0" w:color="auto"/>
              <w:right w:val="nil"/>
            </w:tcBorders>
            <w:shd w:val="clear" w:color="auto" w:fill="auto"/>
            <w:vAlign w:val="center"/>
            <w:hideMark/>
          </w:tcPr>
          <w:p w14:paraId="512C1E8F"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9,009,963</w:t>
            </w:r>
          </w:p>
        </w:tc>
      </w:tr>
      <w:tr w:rsidR="008624BA" w14:paraId="12F6A9E8" w14:textId="77777777" w:rsidTr="00301217">
        <w:trPr>
          <w:trHeight w:val="280"/>
        </w:trPr>
        <w:tc>
          <w:tcPr>
            <w:tcW w:w="2460" w:type="dxa"/>
            <w:tcBorders>
              <w:top w:val="nil"/>
              <w:left w:val="nil"/>
              <w:bottom w:val="single" w:sz="8" w:space="0" w:color="auto"/>
              <w:right w:val="nil"/>
            </w:tcBorders>
            <w:shd w:val="clear" w:color="auto" w:fill="auto"/>
            <w:vAlign w:val="center"/>
            <w:hideMark/>
          </w:tcPr>
          <w:p w14:paraId="3F25D6B5"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Gross Profit</w:t>
            </w:r>
          </w:p>
        </w:tc>
        <w:tc>
          <w:tcPr>
            <w:tcW w:w="1300" w:type="dxa"/>
            <w:tcBorders>
              <w:top w:val="nil"/>
              <w:left w:val="nil"/>
              <w:bottom w:val="single" w:sz="8" w:space="0" w:color="auto"/>
              <w:right w:val="nil"/>
            </w:tcBorders>
            <w:shd w:val="clear" w:color="auto" w:fill="auto"/>
            <w:vAlign w:val="center"/>
            <w:hideMark/>
          </w:tcPr>
          <w:p w14:paraId="29AAB50C"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w:t>
            </w:r>
          </w:p>
        </w:tc>
        <w:tc>
          <w:tcPr>
            <w:tcW w:w="1300" w:type="dxa"/>
            <w:tcBorders>
              <w:top w:val="nil"/>
              <w:left w:val="nil"/>
              <w:bottom w:val="single" w:sz="8" w:space="0" w:color="auto"/>
              <w:right w:val="nil"/>
            </w:tcBorders>
            <w:shd w:val="clear" w:color="auto" w:fill="auto"/>
            <w:vAlign w:val="center"/>
            <w:hideMark/>
          </w:tcPr>
          <w:p w14:paraId="14F0584A"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w:t>
            </w:r>
          </w:p>
        </w:tc>
        <w:tc>
          <w:tcPr>
            <w:tcW w:w="1300" w:type="dxa"/>
            <w:tcBorders>
              <w:top w:val="nil"/>
              <w:left w:val="nil"/>
              <w:bottom w:val="single" w:sz="8" w:space="0" w:color="auto"/>
              <w:right w:val="nil"/>
            </w:tcBorders>
            <w:shd w:val="clear" w:color="auto" w:fill="auto"/>
            <w:vAlign w:val="center"/>
            <w:hideMark/>
          </w:tcPr>
          <w:p w14:paraId="6377DAEF"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1,661,692</w:t>
            </w:r>
          </w:p>
        </w:tc>
        <w:tc>
          <w:tcPr>
            <w:tcW w:w="1300" w:type="dxa"/>
            <w:tcBorders>
              <w:top w:val="nil"/>
              <w:left w:val="nil"/>
              <w:bottom w:val="single" w:sz="8" w:space="0" w:color="auto"/>
              <w:right w:val="nil"/>
            </w:tcBorders>
            <w:shd w:val="clear" w:color="auto" w:fill="auto"/>
            <w:vAlign w:val="center"/>
            <w:hideMark/>
          </w:tcPr>
          <w:p w14:paraId="0816EAAE"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1,936,165</w:t>
            </w:r>
          </w:p>
        </w:tc>
        <w:tc>
          <w:tcPr>
            <w:tcW w:w="1300" w:type="dxa"/>
            <w:tcBorders>
              <w:top w:val="nil"/>
              <w:left w:val="nil"/>
              <w:bottom w:val="single" w:sz="8" w:space="0" w:color="auto"/>
              <w:right w:val="nil"/>
            </w:tcBorders>
            <w:shd w:val="clear" w:color="auto" w:fill="auto"/>
            <w:vAlign w:val="center"/>
            <w:hideMark/>
          </w:tcPr>
          <w:p w14:paraId="7235BF3E"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2,136,609</w:t>
            </w:r>
          </w:p>
        </w:tc>
      </w:tr>
      <w:tr w:rsidR="008624BA" w14:paraId="3AA960BC" w14:textId="77777777" w:rsidTr="00301217">
        <w:trPr>
          <w:trHeight w:val="260"/>
        </w:trPr>
        <w:tc>
          <w:tcPr>
            <w:tcW w:w="2460" w:type="dxa"/>
            <w:tcBorders>
              <w:top w:val="nil"/>
              <w:left w:val="nil"/>
              <w:bottom w:val="nil"/>
              <w:right w:val="nil"/>
            </w:tcBorders>
            <w:shd w:val="clear" w:color="auto" w:fill="auto"/>
            <w:vAlign w:val="center"/>
            <w:hideMark/>
          </w:tcPr>
          <w:p w14:paraId="1BE0F0D7"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Less: Expenses</w:t>
            </w:r>
          </w:p>
        </w:tc>
        <w:tc>
          <w:tcPr>
            <w:tcW w:w="1300" w:type="dxa"/>
            <w:tcBorders>
              <w:top w:val="nil"/>
              <w:left w:val="nil"/>
              <w:bottom w:val="nil"/>
              <w:right w:val="nil"/>
            </w:tcBorders>
            <w:shd w:val="clear" w:color="auto" w:fill="auto"/>
            <w:vAlign w:val="center"/>
            <w:hideMark/>
          </w:tcPr>
          <w:p w14:paraId="1F842D7E" w14:textId="77777777" w:rsidR="008624BA" w:rsidRDefault="008624BA" w:rsidP="00301217">
            <w:pPr>
              <w:jc w:val="right"/>
              <w:rPr>
                <w:rFonts w:ascii="Arial" w:hAnsi="Arial" w:cs="Arial"/>
                <w:color w:val="000000"/>
                <w:sz w:val="18"/>
                <w:szCs w:val="18"/>
              </w:rPr>
            </w:pPr>
          </w:p>
        </w:tc>
        <w:tc>
          <w:tcPr>
            <w:tcW w:w="1300" w:type="dxa"/>
            <w:tcBorders>
              <w:top w:val="nil"/>
              <w:left w:val="nil"/>
              <w:bottom w:val="nil"/>
              <w:right w:val="nil"/>
            </w:tcBorders>
            <w:shd w:val="clear" w:color="auto" w:fill="auto"/>
            <w:vAlign w:val="center"/>
            <w:hideMark/>
          </w:tcPr>
          <w:p w14:paraId="2CD1F5E5" w14:textId="77777777" w:rsidR="008624BA" w:rsidRDefault="008624BA" w:rsidP="00301217">
            <w:pPr>
              <w:jc w:val="right"/>
              <w:rPr>
                <w:sz w:val="20"/>
                <w:szCs w:val="20"/>
              </w:rPr>
            </w:pPr>
          </w:p>
        </w:tc>
        <w:tc>
          <w:tcPr>
            <w:tcW w:w="1300" w:type="dxa"/>
            <w:tcBorders>
              <w:top w:val="nil"/>
              <w:left w:val="nil"/>
              <w:bottom w:val="nil"/>
              <w:right w:val="nil"/>
            </w:tcBorders>
            <w:shd w:val="clear" w:color="auto" w:fill="auto"/>
            <w:vAlign w:val="center"/>
            <w:hideMark/>
          </w:tcPr>
          <w:p w14:paraId="0DD311BC" w14:textId="77777777" w:rsidR="008624BA" w:rsidRDefault="008624BA" w:rsidP="00301217">
            <w:pPr>
              <w:jc w:val="right"/>
              <w:rPr>
                <w:sz w:val="20"/>
                <w:szCs w:val="20"/>
              </w:rPr>
            </w:pPr>
          </w:p>
        </w:tc>
        <w:tc>
          <w:tcPr>
            <w:tcW w:w="1300" w:type="dxa"/>
            <w:tcBorders>
              <w:top w:val="nil"/>
              <w:left w:val="nil"/>
              <w:bottom w:val="nil"/>
              <w:right w:val="nil"/>
            </w:tcBorders>
            <w:shd w:val="clear" w:color="auto" w:fill="auto"/>
            <w:vAlign w:val="center"/>
            <w:hideMark/>
          </w:tcPr>
          <w:p w14:paraId="755C0DF8" w14:textId="77777777" w:rsidR="008624BA" w:rsidRDefault="008624BA" w:rsidP="00301217">
            <w:pPr>
              <w:jc w:val="right"/>
              <w:rPr>
                <w:sz w:val="20"/>
                <w:szCs w:val="20"/>
              </w:rPr>
            </w:pPr>
          </w:p>
        </w:tc>
        <w:tc>
          <w:tcPr>
            <w:tcW w:w="1300" w:type="dxa"/>
            <w:tcBorders>
              <w:top w:val="nil"/>
              <w:left w:val="nil"/>
              <w:bottom w:val="nil"/>
              <w:right w:val="nil"/>
            </w:tcBorders>
            <w:shd w:val="clear" w:color="auto" w:fill="auto"/>
            <w:vAlign w:val="center"/>
            <w:hideMark/>
          </w:tcPr>
          <w:p w14:paraId="6790D788" w14:textId="77777777" w:rsidR="008624BA" w:rsidRDefault="008624BA" w:rsidP="00301217">
            <w:pPr>
              <w:jc w:val="right"/>
              <w:rPr>
                <w:sz w:val="20"/>
                <w:szCs w:val="20"/>
              </w:rPr>
            </w:pPr>
          </w:p>
        </w:tc>
      </w:tr>
      <w:tr w:rsidR="008624BA" w14:paraId="2E8442CF" w14:textId="77777777" w:rsidTr="00301217">
        <w:trPr>
          <w:trHeight w:val="260"/>
        </w:trPr>
        <w:tc>
          <w:tcPr>
            <w:tcW w:w="2460" w:type="dxa"/>
            <w:tcBorders>
              <w:top w:val="nil"/>
              <w:left w:val="nil"/>
              <w:bottom w:val="nil"/>
              <w:right w:val="nil"/>
            </w:tcBorders>
            <w:shd w:val="clear" w:color="auto" w:fill="auto"/>
            <w:vAlign w:val="center"/>
            <w:hideMark/>
          </w:tcPr>
          <w:p w14:paraId="0EF0EE75"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Accounting &amp; Legal</w:t>
            </w:r>
          </w:p>
        </w:tc>
        <w:tc>
          <w:tcPr>
            <w:tcW w:w="1300" w:type="dxa"/>
            <w:tcBorders>
              <w:top w:val="nil"/>
              <w:left w:val="nil"/>
              <w:bottom w:val="nil"/>
              <w:right w:val="nil"/>
            </w:tcBorders>
            <w:shd w:val="clear" w:color="auto" w:fill="auto"/>
            <w:vAlign w:val="center"/>
            <w:hideMark/>
          </w:tcPr>
          <w:p w14:paraId="4BF8B008"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7,699</w:t>
            </w:r>
          </w:p>
        </w:tc>
        <w:tc>
          <w:tcPr>
            <w:tcW w:w="1300" w:type="dxa"/>
            <w:tcBorders>
              <w:top w:val="nil"/>
              <w:left w:val="nil"/>
              <w:bottom w:val="nil"/>
              <w:right w:val="nil"/>
            </w:tcBorders>
            <w:shd w:val="clear" w:color="auto" w:fill="auto"/>
            <w:vAlign w:val="center"/>
            <w:hideMark/>
          </w:tcPr>
          <w:p w14:paraId="1E85FF38"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71,663</w:t>
            </w:r>
          </w:p>
        </w:tc>
        <w:tc>
          <w:tcPr>
            <w:tcW w:w="1300" w:type="dxa"/>
            <w:tcBorders>
              <w:top w:val="nil"/>
              <w:left w:val="nil"/>
              <w:bottom w:val="nil"/>
              <w:right w:val="nil"/>
            </w:tcBorders>
            <w:shd w:val="clear" w:color="auto" w:fill="auto"/>
            <w:vAlign w:val="center"/>
            <w:hideMark/>
          </w:tcPr>
          <w:p w14:paraId="159CD8CB"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82,865</w:t>
            </w:r>
          </w:p>
        </w:tc>
        <w:tc>
          <w:tcPr>
            <w:tcW w:w="1300" w:type="dxa"/>
            <w:tcBorders>
              <w:top w:val="nil"/>
              <w:left w:val="nil"/>
              <w:bottom w:val="nil"/>
              <w:right w:val="nil"/>
            </w:tcBorders>
            <w:shd w:val="clear" w:color="auto" w:fill="auto"/>
            <w:vAlign w:val="center"/>
            <w:hideMark/>
          </w:tcPr>
          <w:p w14:paraId="3D35A83B"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54,310</w:t>
            </w:r>
          </w:p>
        </w:tc>
        <w:tc>
          <w:tcPr>
            <w:tcW w:w="1300" w:type="dxa"/>
            <w:tcBorders>
              <w:top w:val="nil"/>
              <w:left w:val="nil"/>
              <w:bottom w:val="nil"/>
              <w:right w:val="nil"/>
            </w:tcBorders>
            <w:shd w:val="clear" w:color="auto" w:fill="auto"/>
            <w:vAlign w:val="center"/>
            <w:hideMark/>
          </w:tcPr>
          <w:p w14:paraId="4E83BA05"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82,069</w:t>
            </w:r>
          </w:p>
        </w:tc>
      </w:tr>
      <w:tr w:rsidR="008624BA" w14:paraId="4A2C536D" w14:textId="77777777" w:rsidTr="00301217">
        <w:trPr>
          <w:trHeight w:val="260"/>
        </w:trPr>
        <w:tc>
          <w:tcPr>
            <w:tcW w:w="2460" w:type="dxa"/>
            <w:tcBorders>
              <w:top w:val="nil"/>
              <w:left w:val="nil"/>
              <w:bottom w:val="nil"/>
              <w:right w:val="nil"/>
            </w:tcBorders>
            <w:shd w:val="clear" w:color="auto" w:fill="auto"/>
            <w:vAlign w:val="center"/>
            <w:hideMark/>
          </w:tcPr>
          <w:p w14:paraId="2303D5BE"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Advertising &amp; Promotion</w:t>
            </w:r>
          </w:p>
        </w:tc>
        <w:tc>
          <w:tcPr>
            <w:tcW w:w="1300" w:type="dxa"/>
            <w:tcBorders>
              <w:top w:val="nil"/>
              <w:left w:val="nil"/>
              <w:bottom w:val="nil"/>
              <w:right w:val="nil"/>
            </w:tcBorders>
            <w:shd w:val="clear" w:color="auto" w:fill="auto"/>
            <w:vAlign w:val="center"/>
            <w:hideMark/>
          </w:tcPr>
          <w:p w14:paraId="652BABFE"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22,629</w:t>
            </w:r>
          </w:p>
        </w:tc>
        <w:tc>
          <w:tcPr>
            <w:tcW w:w="1300" w:type="dxa"/>
            <w:tcBorders>
              <w:top w:val="nil"/>
              <w:left w:val="nil"/>
              <w:bottom w:val="nil"/>
              <w:right w:val="nil"/>
            </w:tcBorders>
            <w:shd w:val="clear" w:color="auto" w:fill="auto"/>
            <w:vAlign w:val="center"/>
            <w:hideMark/>
          </w:tcPr>
          <w:p w14:paraId="57722489"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34,558</w:t>
            </w:r>
          </w:p>
        </w:tc>
        <w:tc>
          <w:tcPr>
            <w:tcW w:w="1300" w:type="dxa"/>
            <w:tcBorders>
              <w:top w:val="nil"/>
              <w:left w:val="nil"/>
              <w:bottom w:val="nil"/>
              <w:right w:val="nil"/>
            </w:tcBorders>
            <w:shd w:val="clear" w:color="auto" w:fill="auto"/>
            <w:vAlign w:val="center"/>
            <w:hideMark/>
          </w:tcPr>
          <w:p w14:paraId="50F07FDF"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25,384</w:t>
            </w:r>
          </w:p>
        </w:tc>
        <w:tc>
          <w:tcPr>
            <w:tcW w:w="1300" w:type="dxa"/>
            <w:tcBorders>
              <w:top w:val="nil"/>
              <w:left w:val="nil"/>
              <w:bottom w:val="nil"/>
              <w:right w:val="nil"/>
            </w:tcBorders>
            <w:shd w:val="clear" w:color="auto" w:fill="auto"/>
            <w:vAlign w:val="center"/>
            <w:hideMark/>
          </w:tcPr>
          <w:p w14:paraId="356681A1"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32,567</w:t>
            </w:r>
          </w:p>
        </w:tc>
        <w:tc>
          <w:tcPr>
            <w:tcW w:w="1300" w:type="dxa"/>
            <w:tcBorders>
              <w:top w:val="nil"/>
              <w:left w:val="nil"/>
              <w:bottom w:val="nil"/>
              <w:right w:val="nil"/>
            </w:tcBorders>
            <w:shd w:val="clear" w:color="auto" w:fill="auto"/>
            <w:vAlign w:val="center"/>
            <w:hideMark/>
          </w:tcPr>
          <w:p w14:paraId="3887BB61"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55,394</w:t>
            </w:r>
          </w:p>
        </w:tc>
      </w:tr>
      <w:tr w:rsidR="008624BA" w14:paraId="22013DAA" w14:textId="77777777" w:rsidTr="00301217">
        <w:trPr>
          <w:trHeight w:val="260"/>
        </w:trPr>
        <w:tc>
          <w:tcPr>
            <w:tcW w:w="2460" w:type="dxa"/>
            <w:tcBorders>
              <w:top w:val="nil"/>
              <w:left w:val="nil"/>
              <w:bottom w:val="nil"/>
              <w:right w:val="nil"/>
            </w:tcBorders>
            <w:shd w:val="clear" w:color="auto" w:fill="auto"/>
            <w:vAlign w:val="center"/>
            <w:hideMark/>
          </w:tcPr>
          <w:p w14:paraId="2189589D"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Amortization</w:t>
            </w:r>
          </w:p>
        </w:tc>
        <w:tc>
          <w:tcPr>
            <w:tcW w:w="1300" w:type="dxa"/>
            <w:tcBorders>
              <w:top w:val="nil"/>
              <w:left w:val="nil"/>
              <w:bottom w:val="nil"/>
              <w:right w:val="nil"/>
            </w:tcBorders>
            <w:shd w:val="clear" w:color="auto" w:fill="auto"/>
            <w:vAlign w:val="center"/>
            <w:hideMark/>
          </w:tcPr>
          <w:p w14:paraId="2D19349C"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11,565</w:t>
            </w:r>
          </w:p>
        </w:tc>
        <w:tc>
          <w:tcPr>
            <w:tcW w:w="1300" w:type="dxa"/>
            <w:tcBorders>
              <w:top w:val="nil"/>
              <w:left w:val="nil"/>
              <w:bottom w:val="nil"/>
              <w:right w:val="nil"/>
            </w:tcBorders>
            <w:shd w:val="clear" w:color="auto" w:fill="auto"/>
            <w:vAlign w:val="center"/>
            <w:hideMark/>
          </w:tcPr>
          <w:p w14:paraId="3B0419A4"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60,475</w:t>
            </w:r>
          </w:p>
        </w:tc>
        <w:tc>
          <w:tcPr>
            <w:tcW w:w="1300" w:type="dxa"/>
            <w:tcBorders>
              <w:top w:val="nil"/>
              <w:left w:val="nil"/>
              <w:bottom w:val="nil"/>
              <w:right w:val="nil"/>
            </w:tcBorders>
            <w:shd w:val="clear" w:color="auto" w:fill="auto"/>
            <w:vAlign w:val="center"/>
            <w:hideMark/>
          </w:tcPr>
          <w:p w14:paraId="275881AB"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79,567</w:t>
            </w:r>
          </w:p>
        </w:tc>
        <w:tc>
          <w:tcPr>
            <w:tcW w:w="1300" w:type="dxa"/>
            <w:tcBorders>
              <w:top w:val="nil"/>
              <w:left w:val="nil"/>
              <w:bottom w:val="nil"/>
              <w:right w:val="nil"/>
            </w:tcBorders>
            <w:shd w:val="clear" w:color="auto" w:fill="auto"/>
            <w:vAlign w:val="center"/>
            <w:hideMark/>
          </w:tcPr>
          <w:p w14:paraId="097355D7"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83,450</w:t>
            </w:r>
          </w:p>
        </w:tc>
        <w:tc>
          <w:tcPr>
            <w:tcW w:w="1300" w:type="dxa"/>
            <w:tcBorders>
              <w:top w:val="nil"/>
              <w:left w:val="nil"/>
              <w:bottom w:val="nil"/>
              <w:right w:val="nil"/>
            </w:tcBorders>
            <w:shd w:val="clear" w:color="auto" w:fill="auto"/>
            <w:vAlign w:val="center"/>
            <w:hideMark/>
          </w:tcPr>
          <w:p w14:paraId="28B0CEFB"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72,062</w:t>
            </w:r>
          </w:p>
        </w:tc>
      </w:tr>
      <w:tr w:rsidR="008624BA" w14:paraId="6842DFA9" w14:textId="77777777" w:rsidTr="00301217">
        <w:trPr>
          <w:trHeight w:val="260"/>
        </w:trPr>
        <w:tc>
          <w:tcPr>
            <w:tcW w:w="2460" w:type="dxa"/>
            <w:tcBorders>
              <w:top w:val="nil"/>
              <w:left w:val="nil"/>
              <w:bottom w:val="nil"/>
              <w:right w:val="nil"/>
            </w:tcBorders>
            <w:shd w:val="clear" w:color="auto" w:fill="auto"/>
            <w:vAlign w:val="center"/>
            <w:hideMark/>
          </w:tcPr>
          <w:p w14:paraId="24A76B5E"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Bad Debts</w:t>
            </w:r>
          </w:p>
        </w:tc>
        <w:tc>
          <w:tcPr>
            <w:tcW w:w="1300" w:type="dxa"/>
            <w:tcBorders>
              <w:top w:val="nil"/>
              <w:left w:val="nil"/>
              <w:bottom w:val="nil"/>
              <w:right w:val="nil"/>
            </w:tcBorders>
            <w:shd w:val="clear" w:color="auto" w:fill="auto"/>
            <w:vAlign w:val="center"/>
            <w:hideMark/>
          </w:tcPr>
          <w:p w14:paraId="45CEA900"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w:t>
            </w:r>
          </w:p>
        </w:tc>
        <w:tc>
          <w:tcPr>
            <w:tcW w:w="1300" w:type="dxa"/>
            <w:tcBorders>
              <w:top w:val="nil"/>
              <w:left w:val="nil"/>
              <w:bottom w:val="nil"/>
              <w:right w:val="nil"/>
            </w:tcBorders>
            <w:shd w:val="clear" w:color="auto" w:fill="auto"/>
            <w:vAlign w:val="center"/>
            <w:hideMark/>
          </w:tcPr>
          <w:p w14:paraId="24363327"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6,643</w:t>
            </w:r>
          </w:p>
        </w:tc>
        <w:tc>
          <w:tcPr>
            <w:tcW w:w="1300" w:type="dxa"/>
            <w:tcBorders>
              <w:top w:val="nil"/>
              <w:left w:val="nil"/>
              <w:bottom w:val="nil"/>
              <w:right w:val="nil"/>
            </w:tcBorders>
            <w:shd w:val="clear" w:color="auto" w:fill="auto"/>
            <w:vAlign w:val="center"/>
            <w:hideMark/>
          </w:tcPr>
          <w:p w14:paraId="4E5523F4"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14,616</w:t>
            </w:r>
          </w:p>
        </w:tc>
        <w:tc>
          <w:tcPr>
            <w:tcW w:w="1300" w:type="dxa"/>
            <w:tcBorders>
              <w:top w:val="nil"/>
              <w:left w:val="nil"/>
              <w:bottom w:val="nil"/>
              <w:right w:val="nil"/>
            </w:tcBorders>
            <w:shd w:val="clear" w:color="auto" w:fill="auto"/>
            <w:vAlign w:val="center"/>
            <w:hideMark/>
          </w:tcPr>
          <w:p w14:paraId="335117BD"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77,286</w:t>
            </w:r>
          </w:p>
        </w:tc>
        <w:tc>
          <w:tcPr>
            <w:tcW w:w="1300" w:type="dxa"/>
            <w:tcBorders>
              <w:top w:val="nil"/>
              <w:left w:val="nil"/>
              <w:bottom w:val="nil"/>
              <w:right w:val="nil"/>
            </w:tcBorders>
            <w:shd w:val="clear" w:color="auto" w:fill="auto"/>
            <w:vAlign w:val="center"/>
            <w:hideMark/>
          </w:tcPr>
          <w:p w14:paraId="49088E2B"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58,642</w:t>
            </w:r>
          </w:p>
        </w:tc>
      </w:tr>
      <w:tr w:rsidR="008624BA" w14:paraId="2287F6F0" w14:textId="77777777" w:rsidTr="00301217">
        <w:trPr>
          <w:trHeight w:val="260"/>
        </w:trPr>
        <w:tc>
          <w:tcPr>
            <w:tcW w:w="2460" w:type="dxa"/>
            <w:tcBorders>
              <w:top w:val="nil"/>
              <w:left w:val="nil"/>
              <w:bottom w:val="nil"/>
              <w:right w:val="nil"/>
            </w:tcBorders>
            <w:shd w:val="clear" w:color="auto" w:fill="auto"/>
            <w:vAlign w:val="center"/>
            <w:hideMark/>
          </w:tcPr>
          <w:p w14:paraId="688B40A4"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Computer Expenses</w:t>
            </w:r>
          </w:p>
        </w:tc>
        <w:tc>
          <w:tcPr>
            <w:tcW w:w="1300" w:type="dxa"/>
            <w:tcBorders>
              <w:top w:val="nil"/>
              <w:left w:val="nil"/>
              <w:bottom w:val="nil"/>
              <w:right w:val="nil"/>
            </w:tcBorders>
            <w:shd w:val="clear" w:color="auto" w:fill="auto"/>
            <w:vAlign w:val="center"/>
            <w:hideMark/>
          </w:tcPr>
          <w:p w14:paraId="413BC326"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w:t>
            </w:r>
          </w:p>
        </w:tc>
        <w:tc>
          <w:tcPr>
            <w:tcW w:w="1300" w:type="dxa"/>
            <w:tcBorders>
              <w:top w:val="nil"/>
              <w:left w:val="nil"/>
              <w:bottom w:val="nil"/>
              <w:right w:val="nil"/>
            </w:tcBorders>
            <w:shd w:val="clear" w:color="auto" w:fill="auto"/>
            <w:vAlign w:val="center"/>
            <w:hideMark/>
          </w:tcPr>
          <w:p w14:paraId="2CBA4E0A"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w:t>
            </w:r>
          </w:p>
        </w:tc>
        <w:tc>
          <w:tcPr>
            <w:tcW w:w="1300" w:type="dxa"/>
            <w:tcBorders>
              <w:top w:val="nil"/>
              <w:left w:val="nil"/>
              <w:bottom w:val="nil"/>
              <w:right w:val="nil"/>
            </w:tcBorders>
            <w:shd w:val="clear" w:color="auto" w:fill="auto"/>
            <w:vAlign w:val="center"/>
            <w:hideMark/>
          </w:tcPr>
          <w:p w14:paraId="0250A92F"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w:t>
            </w:r>
          </w:p>
        </w:tc>
        <w:tc>
          <w:tcPr>
            <w:tcW w:w="1300" w:type="dxa"/>
            <w:tcBorders>
              <w:top w:val="nil"/>
              <w:left w:val="nil"/>
              <w:bottom w:val="nil"/>
              <w:right w:val="nil"/>
            </w:tcBorders>
            <w:shd w:val="clear" w:color="auto" w:fill="auto"/>
            <w:vAlign w:val="center"/>
            <w:hideMark/>
          </w:tcPr>
          <w:p w14:paraId="6B77117D"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w:t>
            </w:r>
          </w:p>
        </w:tc>
        <w:tc>
          <w:tcPr>
            <w:tcW w:w="1300" w:type="dxa"/>
            <w:tcBorders>
              <w:top w:val="nil"/>
              <w:left w:val="nil"/>
              <w:bottom w:val="nil"/>
              <w:right w:val="nil"/>
            </w:tcBorders>
            <w:shd w:val="clear" w:color="auto" w:fill="auto"/>
            <w:vAlign w:val="center"/>
            <w:hideMark/>
          </w:tcPr>
          <w:p w14:paraId="51E6E910"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175,993</w:t>
            </w:r>
          </w:p>
        </w:tc>
      </w:tr>
      <w:tr w:rsidR="008624BA" w14:paraId="3C16496B" w14:textId="77777777" w:rsidTr="00301217">
        <w:trPr>
          <w:trHeight w:val="260"/>
        </w:trPr>
        <w:tc>
          <w:tcPr>
            <w:tcW w:w="2460" w:type="dxa"/>
            <w:tcBorders>
              <w:top w:val="nil"/>
              <w:left w:val="nil"/>
              <w:bottom w:val="nil"/>
              <w:right w:val="nil"/>
            </w:tcBorders>
            <w:shd w:val="clear" w:color="auto" w:fill="auto"/>
            <w:vAlign w:val="center"/>
            <w:hideMark/>
          </w:tcPr>
          <w:p w14:paraId="55190CC9"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Insurance</w:t>
            </w:r>
          </w:p>
        </w:tc>
        <w:tc>
          <w:tcPr>
            <w:tcW w:w="1300" w:type="dxa"/>
            <w:tcBorders>
              <w:top w:val="nil"/>
              <w:left w:val="nil"/>
              <w:bottom w:val="nil"/>
              <w:right w:val="nil"/>
            </w:tcBorders>
            <w:shd w:val="clear" w:color="auto" w:fill="auto"/>
            <w:vAlign w:val="center"/>
            <w:hideMark/>
          </w:tcPr>
          <w:p w14:paraId="3D0C4C51"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8,584</w:t>
            </w:r>
          </w:p>
        </w:tc>
        <w:tc>
          <w:tcPr>
            <w:tcW w:w="1300" w:type="dxa"/>
            <w:tcBorders>
              <w:top w:val="nil"/>
              <w:left w:val="nil"/>
              <w:bottom w:val="nil"/>
              <w:right w:val="nil"/>
            </w:tcBorders>
            <w:shd w:val="clear" w:color="auto" w:fill="auto"/>
            <w:vAlign w:val="center"/>
            <w:hideMark/>
          </w:tcPr>
          <w:p w14:paraId="1BD89C57"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11,373</w:t>
            </w:r>
          </w:p>
        </w:tc>
        <w:tc>
          <w:tcPr>
            <w:tcW w:w="1300" w:type="dxa"/>
            <w:tcBorders>
              <w:top w:val="nil"/>
              <w:left w:val="nil"/>
              <w:bottom w:val="nil"/>
              <w:right w:val="nil"/>
            </w:tcBorders>
            <w:shd w:val="clear" w:color="auto" w:fill="auto"/>
            <w:vAlign w:val="center"/>
            <w:hideMark/>
          </w:tcPr>
          <w:p w14:paraId="5FF27212"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23,688</w:t>
            </w:r>
          </w:p>
        </w:tc>
        <w:tc>
          <w:tcPr>
            <w:tcW w:w="1300" w:type="dxa"/>
            <w:tcBorders>
              <w:top w:val="nil"/>
              <w:left w:val="nil"/>
              <w:bottom w:val="nil"/>
              <w:right w:val="nil"/>
            </w:tcBorders>
            <w:shd w:val="clear" w:color="auto" w:fill="auto"/>
            <w:vAlign w:val="center"/>
            <w:hideMark/>
          </w:tcPr>
          <w:p w14:paraId="730F0CC7"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23,072</w:t>
            </w:r>
          </w:p>
        </w:tc>
        <w:tc>
          <w:tcPr>
            <w:tcW w:w="1300" w:type="dxa"/>
            <w:tcBorders>
              <w:top w:val="nil"/>
              <w:left w:val="nil"/>
              <w:bottom w:val="nil"/>
              <w:right w:val="nil"/>
            </w:tcBorders>
            <w:shd w:val="clear" w:color="auto" w:fill="auto"/>
            <w:vAlign w:val="center"/>
            <w:hideMark/>
          </w:tcPr>
          <w:p w14:paraId="236A323E"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36,825</w:t>
            </w:r>
          </w:p>
        </w:tc>
      </w:tr>
      <w:tr w:rsidR="008624BA" w14:paraId="6368B91C" w14:textId="77777777" w:rsidTr="00301217">
        <w:trPr>
          <w:trHeight w:val="260"/>
        </w:trPr>
        <w:tc>
          <w:tcPr>
            <w:tcW w:w="2460" w:type="dxa"/>
            <w:tcBorders>
              <w:top w:val="nil"/>
              <w:left w:val="nil"/>
              <w:bottom w:val="nil"/>
              <w:right w:val="nil"/>
            </w:tcBorders>
            <w:shd w:val="clear" w:color="auto" w:fill="auto"/>
            <w:vAlign w:val="center"/>
            <w:hideMark/>
          </w:tcPr>
          <w:p w14:paraId="3E0B5FFE"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Interest &amp; Bank Charges</w:t>
            </w:r>
          </w:p>
        </w:tc>
        <w:tc>
          <w:tcPr>
            <w:tcW w:w="1300" w:type="dxa"/>
            <w:tcBorders>
              <w:top w:val="nil"/>
              <w:left w:val="nil"/>
              <w:bottom w:val="nil"/>
              <w:right w:val="nil"/>
            </w:tcBorders>
            <w:shd w:val="clear" w:color="auto" w:fill="auto"/>
            <w:vAlign w:val="center"/>
            <w:hideMark/>
          </w:tcPr>
          <w:p w14:paraId="556E701C"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13,887</w:t>
            </w:r>
          </w:p>
        </w:tc>
        <w:tc>
          <w:tcPr>
            <w:tcW w:w="1300" w:type="dxa"/>
            <w:tcBorders>
              <w:top w:val="nil"/>
              <w:left w:val="nil"/>
              <w:bottom w:val="nil"/>
              <w:right w:val="nil"/>
            </w:tcBorders>
            <w:shd w:val="clear" w:color="auto" w:fill="auto"/>
            <w:vAlign w:val="center"/>
            <w:hideMark/>
          </w:tcPr>
          <w:p w14:paraId="08CFBE0A"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34,121</w:t>
            </w:r>
          </w:p>
        </w:tc>
        <w:tc>
          <w:tcPr>
            <w:tcW w:w="1300" w:type="dxa"/>
            <w:tcBorders>
              <w:top w:val="nil"/>
              <w:left w:val="nil"/>
              <w:bottom w:val="nil"/>
              <w:right w:val="nil"/>
            </w:tcBorders>
            <w:shd w:val="clear" w:color="auto" w:fill="auto"/>
            <w:vAlign w:val="center"/>
            <w:hideMark/>
          </w:tcPr>
          <w:p w14:paraId="24BA2D46"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37,269</w:t>
            </w:r>
          </w:p>
        </w:tc>
        <w:tc>
          <w:tcPr>
            <w:tcW w:w="1300" w:type="dxa"/>
            <w:tcBorders>
              <w:top w:val="nil"/>
              <w:left w:val="nil"/>
              <w:bottom w:val="nil"/>
              <w:right w:val="nil"/>
            </w:tcBorders>
            <w:shd w:val="clear" w:color="auto" w:fill="auto"/>
            <w:vAlign w:val="center"/>
            <w:hideMark/>
          </w:tcPr>
          <w:p w14:paraId="15678D48"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16,904</w:t>
            </w:r>
          </w:p>
        </w:tc>
        <w:tc>
          <w:tcPr>
            <w:tcW w:w="1300" w:type="dxa"/>
            <w:tcBorders>
              <w:top w:val="nil"/>
              <w:left w:val="nil"/>
              <w:bottom w:val="nil"/>
              <w:right w:val="nil"/>
            </w:tcBorders>
            <w:shd w:val="clear" w:color="auto" w:fill="auto"/>
            <w:vAlign w:val="center"/>
            <w:hideMark/>
          </w:tcPr>
          <w:p w14:paraId="40A3B522"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12,926</w:t>
            </w:r>
          </w:p>
        </w:tc>
      </w:tr>
      <w:tr w:rsidR="008624BA" w14:paraId="6C295C59" w14:textId="77777777" w:rsidTr="00301217">
        <w:trPr>
          <w:trHeight w:val="260"/>
        </w:trPr>
        <w:tc>
          <w:tcPr>
            <w:tcW w:w="2460" w:type="dxa"/>
            <w:tcBorders>
              <w:top w:val="nil"/>
              <w:left w:val="nil"/>
              <w:bottom w:val="nil"/>
              <w:right w:val="nil"/>
            </w:tcBorders>
            <w:shd w:val="clear" w:color="auto" w:fill="auto"/>
            <w:vAlign w:val="center"/>
            <w:hideMark/>
          </w:tcPr>
          <w:p w14:paraId="43924642"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Office Expenses</w:t>
            </w:r>
          </w:p>
        </w:tc>
        <w:tc>
          <w:tcPr>
            <w:tcW w:w="1300" w:type="dxa"/>
            <w:tcBorders>
              <w:top w:val="nil"/>
              <w:left w:val="nil"/>
              <w:bottom w:val="nil"/>
              <w:right w:val="nil"/>
            </w:tcBorders>
            <w:shd w:val="clear" w:color="auto" w:fill="auto"/>
            <w:vAlign w:val="center"/>
            <w:hideMark/>
          </w:tcPr>
          <w:p w14:paraId="5D9E18B5"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36,390</w:t>
            </w:r>
          </w:p>
        </w:tc>
        <w:tc>
          <w:tcPr>
            <w:tcW w:w="1300" w:type="dxa"/>
            <w:tcBorders>
              <w:top w:val="nil"/>
              <w:left w:val="nil"/>
              <w:bottom w:val="nil"/>
              <w:right w:val="nil"/>
            </w:tcBorders>
            <w:shd w:val="clear" w:color="auto" w:fill="auto"/>
            <w:vAlign w:val="center"/>
            <w:hideMark/>
          </w:tcPr>
          <w:p w14:paraId="1526C394"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128,868</w:t>
            </w:r>
          </w:p>
        </w:tc>
        <w:tc>
          <w:tcPr>
            <w:tcW w:w="1300" w:type="dxa"/>
            <w:tcBorders>
              <w:top w:val="nil"/>
              <w:left w:val="nil"/>
              <w:bottom w:val="nil"/>
              <w:right w:val="nil"/>
            </w:tcBorders>
            <w:shd w:val="clear" w:color="auto" w:fill="auto"/>
            <w:vAlign w:val="center"/>
            <w:hideMark/>
          </w:tcPr>
          <w:p w14:paraId="0B29C6DB"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206,046</w:t>
            </w:r>
          </w:p>
        </w:tc>
        <w:tc>
          <w:tcPr>
            <w:tcW w:w="1300" w:type="dxa"/>
            <w:tcBorders>
              <w:top w:val="nil"/>
              <w:left w:val="nil"/>
              <w:bottom w:val="nil"/>
              <w:right w:val="nil"/>
            </w:tcBorders>
            <w:shd w:val="clear" w:color="auto" w:fill="auto"/>
            <w:vAlign w:val="center"/>
            <w:hideMark/>
          </w:tcPr>
          <w:p w14:paraId="5CBE7AFA"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238,772</w:t>
            </w:r>
          </w:p>
        </w:tc>
        <w:tc>
          <w:tcPr>
            <w:tcW w:w="1300" w:type="dxa"/>
            <w:tcBorders>
              <w:top w:val="nil"/>
              <w:left w:val="nil"/>
              <w:bottom w:val="nil"/>
              <w:right w:val="nil"/>
            </w:tcBorders>
            <w:shd w:val="clear" w:color="auto" w:fill="auto"/>
            <w:vAlign w:val="center"/>
            <w:hideMark/>
          </w:tcPr>
          <w:p w14:paraId="1280A43C"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49,795</w:t>
            </w:r>
          </w:p>
        </w:tc>
      </w:tr>
      <w:tr w:rsidR="008624BA" w14:paraId="34F4A8AF" w14:textId="77777777" w:rsidTr="00301217">
        <w:trPr>
          <w:trHeight w:val="260"/>
        </w:trPr>
        <w:tc>
          <w:tcPr>
            <w:tcW w:w="2460" w:type="dxa"/>
            <w:tcBorders>
              <w:top w:val="nil"/>
              <w:left w:val="nil"/>
              <w:bottom w:val="nil"/>
              <w:right w:val="nil"/>
            </w:tcBorders>
            <w:shd w:val="clear" w:color="auto" w:fill="auto"/>
            <w:vAlign w:val="center"/>
            <w:hideMark/>
          </w:tcPr>
          <w:p w14:paraId="09C8B846"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Training &amp; Development</w:t>
            </w:r>
          </w:p>
        </w:tc>
        <w:tc>
          <w:tcPr>
            <w:tcW w:w="1300" w:type="dxa"/>
            <w:tcBorders>
              <w:top w:val="nil"/>
              <w:left w:val="nil"/>
              <w:bottom w:val="nil"/>
              <w:right w:val="nil"/>
            </w:tcBorders>
            <w:shd w:val="clear" w:color="auto" w:fill="auto"/>
            <w:vAlign w:val="center"/>
            <w:hideMark/>
          </w:tcPr>
          <w:p w14:paraId="7452054E"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4,251</w:t>
            </w:r>
          </w:p>
        </w:tc>
        <w:tc>
          <w:tcPr>
            <w:tcW w:w="1300" w:type="dxa"/>
            <w:tcBorders>
              <w:top w:val="nil"/>
              <w:left w:val="nil"/>
              <w:bottom w:val="nil"/>
              <w:right w:val="nil"/>
            </w:tcBorders>
            <w:shd w:val="clear" w:color="auto" w:fill="auto"/>
            <w:vAlign w:val="center"/>
            <w:hideMark/>
          </w:tcPr>
          <w:p w14:paraId="09A2842A"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30,675</w:t>
            </w:r>
          </w:p>
        </w:tc>
        <w:tc>
          <w:tcPr>
            <w:tcW w:w="1300" w:type="dxa"/>
            <w:tcBorders>
              <w:top w:val="nil"/>
              <w:left w:val="nil"/>
              <w:bottom w:val="nil"/>
              <w:right w:val="nil"/>
            </w:tcBorders>
            <w:shd w:val="clear" w:color="auto" w:fill="auto"/>
            <w:vAlign w:val="center"/>
            <w:hideMark/>
          </w:tcPr>
          <w:p w14:paraId="3AB4F86E"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80,238</w:t>
            </w:r>
          </w:p>
        </w:tc>
        <w:tc>
          <w:tcPr>
            <w:tcW w:w="1300" w:type="dxa"/>
            <w:tcBorders>
              <w:top w:val="nil"/>
              <w:left w:val="nil"/>
              <w:bottom w:val="nil"/>
              <w:right w:val="nil"/>
            </w:tcBorders>
            <w:shd w:val="clear" w:color="auto" w:fill="auto"/>
            <w:vAlign w:val="center"/>
            <w:hideMark/>
          </w:tcPr>
          <w:p w14:paraId="4BAB5E24"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49,306</w:t>
            </w:r>
          </w:p>
        </w:tc>
        <w:tc>
          <w:tcPr>
            <w:tcW w:w="1300" w:type="dxa"/>
            <w:tcBorders>
              <w:top w:val="nil"/>
              <w:left w:val="nil"/>
              <w:bottom w:val="nil"/>
              <w:right w:val="nil"/>
            </w:tcBorders>
            <w:shd w:val="clear" w:color="auto" w:fill="auto"/>
            <w:vAlign w:val="center"/>
            <w:hideMark/>
          </w:tcPr>
          <w:p w14:paraId="08475E2D"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29,236</w:t>
            </w:r>
          </w:p>
        </w:tc>
      </w:tr>
      <w:tr w:rsidR="008624BA" w14:paraId="5A21BA69" w14:textId="77777777" w:rsidTr="00301217">
        <w:trPr>
          <w:trHeight w:val="260"/>
        </w:trPr>
        <w:tc>
          <w:tcPr>
            <w:tcW w:w="2460" w:type="dxa"/>
            <w:tcBorders>
              <w:top w:val="nil"/>
              <w:left w:val="nil"/>
              <w:bottom w:val="nil"/>
              <w:right w:val="nil"/>
            </w:tcBorders>
            <w:shd w:val="clear" w:color="auto" w:fill="auto"/>
            <w:vAlign w:val="center"/>
            <w:hideMark/>
          </w:tcPr>
          <w:p w14:paraId="28F80E3A"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Rent</w:t>
            </w:r>
          </w:p>
        </w:tc>
        <w:tc>
          <w:tcPr>
            <w:tcW w:w="1300" w:type="dxa"/>
            <w:tcBorders>
              <w:top w:val="nil"/>
              <w:left w:val="nil"/>
              <w:bottom w:val="nil"/>
              <w:right w:val="nil"/>
            </w:tcBorders>
            <w:shd w:val="clear" w:color="auto" w:fill="auto"/>
            <w:vAlign w:val="center"/>
            <w:hideMark/>
          </w:tcPr>
          <w:p w14:paraId="4F4699F1"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14,978</w:t>
            </w:r>
          </w:p>
        </w:tc>
        <w:tc>
          <w:tcPr>
            <w:tcW w:w="1300" w:type="dxa"/>
            <w:tcBorders>
              <w:top w:val="nil"/>
              <w:left w:val="nil"/>
              <w:bottom w:val="nil"/>
              <w:right w:val="nil"/>
            </w:tcBorders>
            <w:shd w:val="clear" w:color="auto" w:fill="auto"/>
            <w:vAlign w:val="center"/>
            <w:hideMark/>
          </w:tcPr>
          <w:p w14:paraId="628C8858"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19,515</w:t>
            </w:r>
          </w:p>
        </w:tc>
        <w:tc>
          <w:tcPr>
            <w:tcW w:w="1300" w:type="dxa"/>
            <w:tcBorders>
              <w:top w:val="nil"/>
              <w:left w:val="nil"/>
              <w:bottom w:val="nil"/>
              <w:right w:val="nil"/>
            </w:tcBorders>
            <w:shd w:val="clear" w:color="auto" w:fill="auto"/>
            <w:vAlign w:val="center"/>
            <w:hideMark/>
          </w:tcPr>
          <w:p w14:paraId="445770FC"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56,526</w:t>
            </w:r>
          </w:p>
        </w:tc>
        <w:tc>
          <w:tcPr>
            <w:tcW w:w="1300" w:type="dxa"/>
            <w:tcBorders>
              <w:top w:val="nil"/>
              <w:left w:val="nil"/>
              <w:bottom w:val="nil"/>
              <w:right w:val="nil"/>
            </w:tcBorders>
            <w:shd w:val="clear" w:color="auto" w:fill="auto"/>
            <w:vAlign w:val="center"/>
            <w:hideMark/>
          </w:tcPr>
          <w:p w14:paraId="6996454B"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40,568</w:t>
            </w:r>
          </w:p>
        </w:tc>
        <w:tc>
          <w:tcPr>
            <w:tcW w:w="1300" w:type="dxa"/>
            <w:tcBorders>
              <w:top w:val="nil"/>
              <w:left w:val="nil"/>
              <w:bottom w:val="nil"/>
              <w:right w:val="nil"/>
            </w:tcBorders>
            <w:shd w:val="clear" w:color="auto" w:fill="auto"/>
            <w:vAlign w:val="center"/>
            <w:hideMark/>
          </w:tcPr>
          <w:p w14:paraId="44ED2E9B"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47,950</w:t>
            </w:r>
          </w:p>
        </w:tc>
      </w:tr>
      <w:tr w:rsidR="008624BA" w14:paraId="423BA2AC" w14:textId="77777777" w:rsidTr="00301217">
        <w:trPr>
          <w:trHeight w:val="260"/>
        </w:trPr>
        <w:tc>
          <w:tcPr>
            <w:tcW w:w="2460" w:type="dxa"/>
            <w:tcBorders>
              <w:top w:val="nil"/>
              <w:left w:val="nil"/>
              <w:bottom w:val="nil"/>
              <w:right w:val="nil"/>
            </w:tcBorders>
            <w:shd w:val="clear" w:color="auto" w:fill="auto"/>
            <w:vAlign w:val="center"/>
            <w:hideMark/>
          </w:tcPr>
          <w:p w14:paraId="5AF940A2"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Repairs &amp; Maintenance</w:t>
            </w:r>
          </w:p>
        </w:tc>
        <w:tc>
          <w:tcPr>
            <w:tcW w:w="1300" w:type="dxa"/>
            <w:tcBorders>
              <w:top w:val="nil"/>
              <w:left w:val="nil"/>
              <w:bottom w:val="nil"/>
              <w:right w:val="nil"/>
            </w:tcBorders>
            <w:shd w:val="clear" w:color="auto" w:fill="auto"/>
            <w:vAlign w:val="center"/>
            <w:hideMark/>
          </w:tcPr>
          <w:p w14:paraId="273175AC"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25,360</w:t>
            </w:r>
          </w:p>
        </w:tc>
        <w:tc>
          <w:tcPr>
            <w:tcW w:w="1300" w:type="dxa"/>
            <w:tcBorders>
              <w:top w:val="nil"/>
              <w:left w:val="nil"/>
              <w:bottom w:val="nil"/>
              <w:right w:val="nil"/>
            </w:tcBorders>
            <w:shd w:val="clear" w:color="auto" w:fill="auto"/>
            <w:vAlign w:val="center"/>
            <w:hideMark/>
          </w:tcPr>
          <w:p w14:paraId="2F7C13C3"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8,822</w:t>
            </w:r>
          </w:p>
        </w:tc>
        <w:tc>
          <w:tcPr>
            <w:tcW w:w="1300" w:type="dxa"/>
            <w:tcBorders>
              <w:top w:val="nil"/>
              <w:left w:val="nil"/>
              <w:bottom w:val="nil"/>
              <w:right w:val="nil"/>
            </w:tcBorders>
            <w:shd w:val="clear" w:color="auto" w:fill="auto"/>
            <w:vAlign w:val="center"/>
            <w:hideMark/>
          </w:tcPr>
          <w:p w14:paraId="460EF63B"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7,761</w:t>
            </w:r>
          </w:p>
        </w:tc>
        <w:tc>
          <w:tcPr>
            <w:tcW w:w="1300" w:type="dxa"/>
            <w:tcBorders>
              <w:top w:val="nil"/>
              <w:left w:val="nil"/>
              <w:bottom w:val="nil"/>
              <w:right w:val="nil"/>
            </w:tcBorders>
            <w:shd w:val="clear" w:color="auto" w:fill="auto"/>
            <w:vAlign w:val="center"/>
            <w:hideMark/>
          </w:tcPr>
          <w:p w14:paraId="47091FD5"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2,822</w:t>
            </w:r>
          </w:p>
        </w:tc>
        <w:tc>
          <w:tcPr>
            <w:tcW w:w="1300" w:type="dxa"/>
            <w:tcBorders>
              <w:top w:val="nil"/>
              <w:left w:val="nil"/>
              <w:bottom w:val="nil"/>
              <w:right w:val="nil"/>
            </w:tcBorders>
            <w:shd w:val="clear" w:color="auto" w:fill="auto"/>
            <w:vAlign w:val="center"/>
            <w:hideMark/>
          </w:tcPr>
          <w:p w14:paraId="44170585"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4,389</w:t>
            </w:r>
          </w:p>
        </w:tc>
      </w:tr>
      <w:tr w:rsidR="008624BA" w14:paraId="426D9293" w14:textId="77777777" w:rsidTr="00301217">
        <w:trPr>
          <w:trHeight w:val="260"/>
        </w:trPr>
        <w:tc>
          <w:tcPr>
            <w:tcW w:w="2460" w:type="dxa"/>
            <w:tcBorders>
              <w:top w:val="nil"/>
              <w:left w:val="nil"/>
              <w:bottom w:val="nil"/>
              <w:right w:val="nil"/>
            </w:tcBorders>
            <w:shd w:val="clear" w:color="auto" w:fill="auto"/>
            <w:vAlign w:val="center"/>
            <w:hideMark/>
          </w:tcPr>
          <w:p w14:paraId="04DC74C8"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Salaries &amp; Benefits</w:t>
            </w:r>
          </w:p>
        </w:tc>
        <w:tc>
          <w:tcPr>
            <w:tcW w:w="1300" w:type="dxa"/>
            <w:tcBorders>
              <w:top w:val="nil"/>
              <w:left w:val="nil"/>
              <w:bottom w:val="nil"/>
              <w:right w:val="nil"/>
            </w:tcBorders>
            <w:shd w:val="clear" w:color="auto" w:fill="auto"/>
            <w:vAlign w:val="center"/>
            <w:hideMark/>
          </w:tcPr>
          <w:p w14:paraId="1878DD66"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3,942,332</w:t>
            </w:r>
          </w:p>
        </w:tc>
        <w:tc>
          <w:tcPr>
            <w:tcW w:w="1300" w:type="dxa"/>
            <w:tcBorders>
              <w:top w:val="nil"/>
              <w:left w:val="nil"/>
              <w:bottom w:val="nil"/>
              <w:right w:val="nil"/>
            </w:tcBorders>
            <w:shd w:val="clear" w:color="auto" w:fill="auto"/>
            <w:vAlign w:val="center"/>
            <w:hideMark/>
          </w:tcPr>
          <w:p w14:paraId="6FD24321"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6,024,521</w:t>
            </w:r>
          </w:p>
        </w:tc>
        <w:tc>
          <w:tcPr>
            <w:tcW w:w="1300" w:type="dxa"/>
            <w:tcBorders>
              <w:top w:val="nil"/>
              <w:left w:val="nil"/>
              <w:bottom w:val="nil"/>
              <w:right w:val="nil"/>
            </w:tcBorders>
            <w:shd w:val="clear" w:color="auto" w:fill="auto"/>
            <w:vAlign w:val="center"/>
            <w:hideMark/>
          </w:tcPr>
          <w:p w14:paraId="70664837"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541,489</w:t>
            </w:r>
          </w:p>
        </w:tc>
        <w:tc>
          <w:tcPr>
            <w:tcW w:w="1300" w:type="dxa"/>
            <w:tcBorders>
              <w:top w:val="nil"/>
              <w:left w:val="nil"/>
              <w:bottom w:val="nil"/>
              <w:right w:val="nil"/>
            </w:tcBorders>
            <w:shd w:val="clear" w:color="auto" w:fill="auto"/>
            <w:vAlign w:val="center"/>
            <w:hideMark/>
          </w:tcPr>
          <w:p w14:paraId="1EED504E"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532,491</w:t>
            </w:r>
          </w:p>
        </w:tc>
        <w:tc>
          <w:tcPr>
            <w:tcW w:w="1300" w:type="dxa"/>
            <w:tcBorders>
              <w:top w:val="nil"/>
              <w:left w:val="nil"/>
              <w:bottom w:val="nil"/>
              <w:right w:val="nil"/>
            </w:tcBorders>
            <w:shd w:val="clear" w:color="auto" w:fill="auto"/>
            <w:vAlign w:val="center"/>
            <w:hideMark/>
          </w:tcPr>
          <w:p w14:paraId="112E9096"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660,466</w:t>
            </w:r>
          </w:p>
        </w:tc>
      </w:tr>
      <w:tr w:rsidR="008624BA" w14:paraId="26E3FABC" w14:textId="77777777" w:rsidTr="00301217">
        <w:trPr>
          <w:trHeight w:val="260"/>
        </w:trPr>
        <w:tc>
          <w:tcPr>
            <w:tcW w:w="2460" w:type="dxa"/>
            <w:tcBorders>
              <w:top w:val="nil"/>
              <w:left w:val="nil"/>
              <w:bottom w:val="nil"/>
              <w:right w:val="nil"/>
            </w:tcBorders>
            <w:shd w:val="clear" w:color="auto" w:fill="auto"/>
            <w:vAlign w:val="center"/>
            <w:hideMark/>
          </w:tcPr>
          <w:p w14:paraId="009CE135"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Shop Supplies</w:t>
            </w:r>
          </w:p>
        </w:tc>
        <w:tc>
          <w:tcPr>
            <w:tcW w:w="1300" w:type="dxa"/>
            <w:tcBorders>
              <w:top w:val="nil"/>
              <w:left w:val="nil"/>
              <w:bottom w:val="nil"/>
              <w:right w:val="nil"/>
            </w:tcBorders>
            <w:shd w:val="clear" w:color="auto" w:fill="auto"/>
            <w:vAlign w:val="center"/>
            <w:hideMark/>
          </w:tcPr>
          <w:p w14:paraId="1D784C87"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2,907</w:t>
            </w:r>
          </w:p>
        </w:tc>
        <w:tc>
          <w:tcPr>
            <w:tcW w:w="1300" w:type="dxa"/>
            <w:tcBorders>
              <w:top w:val="nil"/>
              <w:left w:val="nil"/>
              <w:bottom w:val="nil"/>
              <w:right w:val="nil"/>
            </w:tcBorders>
            <w:shd w:val="clear" w:color="auto" w:fill="auto"/>
            <w:vAlign w:val="center"/>
            <w:hideMark/>
          </w:tcPr>
          <w:p w14:paraId="2B1C9935"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8,624</w:t>
            </w:r>
          </w:p>
        </w:tc>
        <w:tc>
          <w:tcPr>
            <w:tcW w:w="1300" w:type="dxa"/>
            <w:tcBorders>
              <w:top w:val="nil"/>
              <w:left w:val="nil"/>
              <w:bottom w:val="nil"/>
              <w:right w:val="nil"/>
            </w:tcBorders>
            <w:shd w:val="clear" w:color="auto" w:fill="auto"/>
            <w:vAlign w:val="center"/>
            <w:hideMark/>
          </w:tcPr>
          <w:p w14:paraId="032E5425"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22,178</w:t>
            </w:r>
          </w:p>
        </w:tc>
        <w:tc>
          <w:tcPr>
            <w:tcW w:w="1300" w:type="dxa"/>
            <w:tcBorders>
              <w:top w:val="nil"/>
              <w:left w:val="nil"/>
              <w:bottom w:val="nil"/>
              <w:right w:val="nil"/>
            </w:tcBorders>
            <w:shd w:val="clear" w:color="auto" w:fill="auto"/>
            <w:vAlign w:val="center"/>
            <w:hideMark/>
          </w:tcPr>
          <w:p w14:paraId="235ECF05"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38,608</w:t>
            </w:r>
          </w:p>
        </w:tc>
        <w:tc>
          <w:tcPr>
            <w:tcW w:w="1300" w:type="dxa"/>
            <w:tcBorders>
              <w:top w:val="nil"/>
              <w:left w:val="nil"/>
              <w:bottom w:val="nil"/>
              <w:right w:val="nil"/>
            </w:tcBorders>
            <w:shd w:val="clear" w:color="auto" w:fill="auto"/>
            <w:vAlign w:val="center"/>
            <w:hideMark/>
          </w:tcPr>
          <w:p w14:paraId="0738BE2A"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32,897</w:t>
            </w:r>
          </w:p>
        </w:tc>
      </w:tr>
      <w:tr w:rsidR="008624BA" w14:paraId="1BA0E37B" w14:textId="77777777" w:rsidTr="00301217">
        <w:trPr>
          <w:trHeight w:val="260"/>
        </w:trPr>
        <w:tc>
          <w:tcPr>
            <w:tcW w:w="2460" w:type="dxa"/>
            <w:tcBorders>
              <w:top w:val="nil"/>
              <w:left w:val="nil"/>
              <w:bottom w:val="nil"/>
              <w:right w:val="nil"/>
            </w:tcBorders>
            <w:shd w:val="clear" w:color="auto" w:fill="auto"/>
            <w:vAlign w:val="center"/>
            <w:hideMark/>
          </w:tcPr>
          <w:p w14:paraId="1316B33D"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Travel</w:t>
            </w:r>
          </w:p>
        </w:tc>
        <w:tc>
          <w:tcPr>
            <w:tcW w:w="1300" w:type="dxa"/>
            <w:tcBorders>
              <w:top w:val="nil"/>
              <w:left w:val="nil"/>
              <w:bottom w:val="nil"/>
              <w:right w:val="nil"/>
            </w:tcBorders>
            <w:shd w:val="clear" w:color="auto" w:fill="auto"/>
            <w:vAlign w:val="center"/>
            <w:hideMark/>
          </w:tcPr>
          <w:p w14:paraId="68E6D814"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218,563</w:t>
            </w:r>
          </w:p>
        </w:tc>
        <w:tc>
          <w:tcPr>
            <w:tcW w:w="1300" w:type="dxa"/>
            <w:tcBorders>
              <w:top w:val="nil"/>
              <w:left w:val="nil"/>
              <w:bottom w:val="nil"/>
              <w:right w:val="nil"/>
            </w:tcBorders>
            <w:shd w:val="clear" w:color="auto" w:fill="auto"/>
            <w:vAlign w:val="center"/>
            <w:hideMark/>
          </w:tcPr>
          <w:p w14:paraId="7AFC6033"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171,740</w:t>
            </w:r>
          </w:p>
        </w:tc>
        <w:tc>
          <w:tcPr>
            <w:tcW w:w="1300" w:type="dxa"/>
            <w:tcBorders>
              <w:top w:val="nil"/>
              <w:left w:val="nil"/>
              <w:bottom w:val="nil"/>
              <w:right w:val="nil"/>
            </w:tcBorders>
            <w:shd w:val="clear" w:color="auto" w:fill="auto"/>
            <w:vAlign w:val="center"/>
            <w:hideMark/>
          </w:tcPr>
          <w:p w14:paraId="3F038076"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220,753</w:t>
            </w:r>
          </w:p>
        </w:tc>
        <w:tc>
          <w:tcPr>
            <w:tcW w:w="1300" w:type="dxa"/>
            <w:tcBorders>
              <w:top w:val="nil"/>
              <w:left w:val="nil"/>
              <w:bottom w:val="nil"/>
              <w:right w:val="nil"/>
            </w:tcBorders>
            <w:shd w:val="clear" w:color="auto" w:fill="auto"/>
            <w:vAlign w:val="center"/>
            <w:hideMark/>
          </w:tcPr>
          <w:p w14:paraId="0463F321"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255,022</w:t>
            </w:r>
          </w:p>
        </w:tc>
        <w:tc>
          <w:tcPr>
            <w:tcW w:w="1300" w:type="dxa"/>
            <w:tcBorders>
              <w:top w:val="nil"/>
              <w:left w:val="nil"/>
              <w:bottom w:val="nil"/>
              <w:right w:val="nil"/>
            </w:tcBorders>
            <w:shd w:val="clear" w:color="auto" w:fill="auto"/>
            <w:vAlign w:val="center"/>
            <w:hideMark/>
          </w:tcPr>
          <w:p w14:paraId="0972FEAD"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95,224</w:t>
            </w:r>
          </w:p>
        </w:tc>
      </w:tr>
      <w:tr w:rsidR="008624BA" w14:paraId="15630437" w14:textId="77777777" w:rsidTr="00301217">
        <w:trPr>
          <w:trHeight w:val="260"/>
        </w:trPr>
        <w:tc>
          <w:tcPr>
            <w:tcW w:w="2460" w:type="dxa"/>
            <w:tcBorders>
              <w:top w:val="nil"/>
              <w:left w:val="nil"/>
              <w:bottom w:val="nil"/>
              <w:right w:val="nil"/>
            </w:tcBorders>
            <w:shd w:val="clear" w:color="auto" w:fill="auto"/>
            <w:vAlign w:val="center"/>
            <w:hideMark/>
          </w:tcPr>
          <w:p w14:paraId="064394BE"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Utilities</w:t>
            </w:r>
          </w:p>
        </w:tc>
        <w:tc>
          <w:tcPr>
            <w:tcW w:w="1300" w:type="dxa"/>
            <w:tcBorders>
              <w:top w:val="nil"/>
              <w:left w:val="nil"/>
              <w:bottom w:val="nil"/>
              <w:right w:val="nil"/>
            </w:tcBorders>
            <w:shd w:val="clear" w:color="auto" w:fill="auto"/>
            <w:vAlign w:val="center"/>
            <w:hideMark/>
          </w:tcPr>
          <w:p w14:paraId="69ADF332"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50,602</w:t>
            </w:r>
          </w:p>
        </w:tc>
        <w:tc>
          <w:tcPr>
            <w:tcW w:w="1300" w:type="dxa"/>
            <w:tcBorders>
              <w:top w:val="nil"/>
              <w:left w:val="nil"/>
              <w:bottom w:val="nil"/>
              <w:right w:val="nil"/>
            </w:tcBorders>
            <w:shd w:val="clear" w:color="auto" w:fill="auto"/>
            <w:vAlign w:val="center"/>
            <w:hideMark/>
          </w:tcPr>
          <w:p w14:paraId="5157AB84"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43,225</w:t>
            </w:r>
          </w:p>
        </w:tc>
        <w:tc>
          <w:tcPr>
            <w:tcW w:w="1300" w:type="dxa"/>
            <w:tcBorders>
              <w:top w:val="nil"/>
              <w:left w:val="nil"/>
              <w:bottom w:val="nil"/>
              <w:right w:val="nil"/>
            </w:tcBorders>
            <w:shd w:val="clear" w:color="auto" w:fill="auto"/>
            <w:vAlign w:val="center"/>
            <w:hideMark/>
          </w:tcPr>
          <w:p w14:paraId="2B5BC570"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65,422</w:t>
            </w:r>
          </w:p>
        </w:tc>
        <w:tc>
          <w:tcPr>
            <w:tcW w:w="1300" w:type="dxa"/>
            <w:tcBorders>
              <w:top w:val="nil"/>
              <w:left w:val="nil"/>
              <w:bottom w:val="nil"/>
              <w:right w:val="nil"/>
            </w:tcBorders>
            <w:shd w:val="clear" w:color="auto" w:fill="auto"/>
            <w:vAlign w:val="center"/>
            <w:hideMark/>
          </w:tcPr>
          <w:p w14:paraId="7AB23565"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48,603</w:t>
            </w:r>
          </w:p>
        </w:tc>
        <w:tc>
          <w:tcPr>
            <w:tcW w:w="1300" w:type="dxa"/>
            <w:tcBorders>
              <w:top w:val="nil"/>
              <w:left w:val="nil"/>
              <w:bottom w:val="nil"/>
              <w:right w:val="nil"/>
            </w:tcBorders>
            <w:shd w:val="clear" w:color="auto" w:fill="auto"/>
            <w:vAlign w:val="center"/>
            <w:hideMark/>
          </w:tcPr>
          <w:p w14:paraId="21B7707C"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83,336</w:t>
            </w:r>
          </w:p>
        </w:tc>
      </w:tr>
      <w:tr w:rsidR="008624BA" w14:paraId="1C4D4A68" w14:textId="77777777" w:rsidTr="00301217">
        <w:trPr>
          <w:trHeight w:val="280"/>
        </w:trPr>
        <w:tc>
          <w:tcPr>
            <w:tcW w:w="2460" w:type="dxa"/>
            <w:tcBorders>
              <w:top w:val="nil"/>
              <w:left w:val="nil"/>
              <w:bottom w:val="single" w:sz="8" w:space="0" w:color="auto"/>
              <w:right w:val="nil"/>
            </w:tcBorders>
            <w:shd w:val="clear" w:color="auto" w:fill="auto"/>
            <w:vAlign w:val="center"/>
            <w:hideMark/>
          </w:tcPr>
          <w:p w14:paraId="12A56A2E"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(Other Income)</w:t>
            </w:r>
          </w:p>
        </w:tc>
        <w:tc>
          <w:tcPr>
            <w:tcW w:w="1300" w:type="dxa"/>
            <w:tcBorders>
              <w:top w:val="nil"/>
              <w:left w:val="nil"/>
              <w:bottom w:val="single" w:sz="8" w:space="0" w:color="auto"/>
              <w:right w:val="nil"/>
            </w:tcBorders>
            <w:shd w:val="clear" w:color="auto" w:fill="auto"/>
            <w:vAlign w:val="center"/>
            <w:hideMark/>
          </w:tcPr>
          <w:p w14:paraId="6EE72307"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w:t>
            </w:r>
          </w:p>
        </w:tc>
        <w:tc>
          <w:tcPr>
            <w:tcW w:w="1300" w:type="dxa"/>
            <w:tcBorders>
              <w:top w:val="nil"/>
              <w:left w:val="nil"/>
              <w:bottom w:val="single" w:sz="8" w:space="0" w:color="auto"/>
              <w:right w:val="nil"/>
            </w:tcBorders>
            <w:shd w:val="clear" w:color="auto" w:fill="auto"/>
            <w:vAlign w:val="center"/>
            <w:hideMark/>
          </w:tcPr>
          <w:p w14:paraId="3437A5DA"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w:t>
            </w:r>
          </w:p>
        </w:tc>
        <w:tc>
          <w:tcPr>
            <w:tcW w:w="1300" w:type="dxa"/>
            <w:tcBorders>
              <w:top w:val="nil"/>
              <w:left w:val="nil"/>
              <w:bottom w:val="single" w:sz="8" w:space="0" w:color="auto"/>
              <w:right w:val="nil"/>
            </w:tcBorders>
            <w:shd w:val="clear" w:color="auto" w:fill="auto"/>
            <w:vAlign w:val="center"/>
            <w:hideMark/>
          </w:tcPr>
          <w:p w14:paraId="55E25BA9"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w:t>
            </w:r>
          </w:p>
        </w:tc>
        <w:tc>
          <w:tcPr>
            <w:tcW w:w="1300" w:type="dxa"/>
            <w:tcBorders>
              <w:top w:val="nil"/>
              <w:left w:val="nil"/>
              <w:bottom w:val="single" w:sz="8" w:space="0" w:color="auto"/>
              <w:right w:val="nil"/>
            </w:tcBorders>
            <w:shd w:val="clear" w:color="auto" w:fill="auto"/>
            <w:vAlign w:val="center"/>
            <w:hideMark/>
          </w:tcPr>
          <w:p w14:paraId="67E33676"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26,000</w:t>
            </w:r>
          </w:p>
        </w:tc>
        <w:tc>
          <w:tcPr>
            <w:tcW w:w="1300" w:type="dxa"/>
            <w:tcBorders>
              <w:top w:val="nil"/>
              <w:left w:val="nil"/>
              <w:bottom w:val="single" w:sz="8" w:space="0" w:color="auto"/>
              <w:right w:val="nil"/>
            </w:tcBorders>
            <w:shd w:val="clear" w:color="auto" w:fill="auto"/>
            <w:vAlign w:val="center"/>
            <w:hideMark/>
          </w:tcPr>
          <w:p w14:paraId="12AD456E"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12,121</w:t>
            </w:r>
          </w:p>
        </w:tc>
      </w:tr>
      <w:tr w:rsidR="008624BA" w14:paraId="2A4DDD5E" w14:textId="77777777" w:rsidTr="00301217">
        <w:trPr>
          <w:trHeight w:val="280"/>
        </w:trPr>
        <w:tc>
          <w:tcPr>
            <w:tcW w:w="2460" w:type="dxa"/>
            <w:tcBorders>
              <w:top w:val="nil"/>
              <w:left w:val="nil"/>
              <w:bottom w:val="single" w:sz="8" w:space="0" w:color="auto"/>
              <w:right w:val="nil"/>
            </w:tcBorders>
            <w:shd w:val="clear" w:color="auto" w:fill="auto"/>
            <w:vAlign w:val="center"/>
            <w:hideMark/>
          </w:tcPr>
          <w:p w14:paraId="5C2C2928"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Income before Taxes</w:t>
            </w:r>
          </w:p>
        </w:tc>
        <w:tc>
          <w:tcPr>
            <w:tcW w:w="1300" w:type="dxa"/>
            <w:tcBorders>
              <w:top w:val="nil"/>
              <w:left w:val="nil"/>
              <w:bottom w:val="single" w:sz="8" w:space="0" w:color="auto"/>
              <w:right w:val="nil"/>
            </w:tcBorders>
            <w:shd w:val="clear" w:color="auto" w:fill="auto"/>
            <w:vAlign w:val="center"/>
            <w:hideMark/>
          </w:tcPr>
          <w:p w14:paraId="2533D846"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62,504</w:t>
            </w:r>
          </w:p>
        </w:tc>
        <w:tc>
          <w:tcPr>
            <w:tcW w:w="1300" w:type="dxa"/>
            <w:tcBorders>
              <w:top w:val="nil"/>
              <w:left w:val="nil"/>
              <w:bottom w:val="single" w:sz="8" w:space="0" w:color="auto"/>
              <w:right w:val="nil"/>
            </w:tcBorders>
            <w:shd w:val="clear" w:color="auto" w:fill="auto"/>
            <w:vAlign w:val="center"/>
            <w:hideMark/>
          </w:tcPr>
          <w:p w14:paraId="50FCA8C1"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306,236</w:t>
            </w:r>
          </w:p>
        </w:tc>
        <w:tc>
          <w:tcPr>
            <w:tcW w:w="1300" w:type="dxa"/>
            <w:tcBorders>
              <w:top w:val="nil"/>
              <w:left w:val="nil"/>
              <w:bottom w:val="single" w:sz="8" w:space="0" w:color="auto"/>
              <w:right w:val="nil"/>
            </w:tcBorders>
            <w:shd w:val="clear" w:color="auto" w:fill="auto"/>
            <w:vAlign w:val="center"/>
            <w:hideMark/>
          </w:tcPr>
          <w:p w14:paraId="07E2DE37"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197,890</w:t>
            </w:r>
          </w:p>
        </w:tc>
        <w:tc>
          <w:tcPr>
            <w:tcW w:w="1300" w:type="dxa"/>
            <w:tcBorders>
              <w:top w:val="nil"/>
              <w:left w:val="nil"/>
              <w:bottom w:val="single" w:sz="8" w:space="0" w:color="auto"/>
              <w:right w:val="nil"/>
            </w:tcBorders>
            <w:shd w:val="clear" w:color="auto" w:fill="auto"/>
            <w:vAlign w:val="center"/>
            <w:hideMark/>
          </w:tcPr>
          <w:p w14:paraId="25739F40"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416,384</w:t>
            </w:r>
          </w:p>
        </w:tc>
        <w:tc>
          <w:tcPr>
            <w:tcW w:w="1300" w:type="dxa"/>
            <w:tcBorders>
              <w:top w:val="nil"/>
              <w:left w:val="nil"/>
              <w:bottom w:val="single" w:sz="8" w:space="0" w:color="auto"/>
              <w:right w:val="nil"/>
            </w:tcBorders>
            <w:shd w:val="clear" w:color="auto" w:fill="auto"/>
            <w:vAlign w:val="center"/>
            <w:hideMark/>
          </w:tcPr>
          <w:p w14:paraId="5FB127B9"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527,284</w:t>
            </w:r>
          </w:p>
        </w:tc>
      </w:tr>
      <w:tr w:rsidR="008624BA" w14:paraId="3FD53C23" w14:textId="77777777" w:rsidTr="00301217">
        <w:trPr>
          <w:trHeight w:val="280"/>
        </w:trPr>
        <w:tc>
          <w:tcPr>
            <w:tcW w:w="2460" w:type="dxa"/>
            <w:tcBorders>
              <w:top w:val="nil"/>
              <w:left w:val="nil"/>
              <w:bottom w:val="single" w:sz="8" w:space="0" w:color="auto"/>
              <w:right w:val="nil"/>
            </w:tcBorders>
            <w:shd w:val="clear" w:color="auto" w:fill="auto"/>
            <w:vAlign w:val="center"/>
            <w:hideMark/>
          </w:tcPr>
          <w:p w14:paraId="08322DFA" w14:textId="77777777" w:rsidR="008624BA" w:rsidRDefault="008624BA">
            <w:pPr>
              <w:rPr>
                <w:rFonts w:ascii="Arial" w:hAnsi="Arial" w:cs="Arial"/>
                <w:color w:val="000000"/>
                <w:sz w:val="18"/>
                <w:szCs w:val="18"/>
              </w:rPr>
            </w:pPr>
            <w:r>
              <w:rPr>
                <w:rFonts w:ascii="Arial" w:hAnsi="Arial" w:cs="Arial"/>
                <w:color w:val="000000"/>
                <w:kern w:val="2"/>
                <w:sz w:val="18"/>
                <w:szCs w:val="18"/>
                <w:lang w:val="en-GB"/>
              </w:rPr>
              <w:t>Net Income</w:t>
            </w:r>
          </w:p>
        </w:tc>
        <w:tc>
          <w:tcPr>
            <w:tcW w:w="1300" w:type="dxa"/>
            <w:tcBorders>
              <w:top w:val="nil"/>
              <w:left w:val="nil"/>
              <w:bottom w:val="single" w:sz="8" w:space="0" w:color="auto"/>
              <w:right w:val="nil"/>
            </w:tcBorders>
            <w:shd w:val="clear" w:color="auto" w:fill="auto"/>
            <w:vAlign w:val="center"/>
            <w:hideMark/>
          </w:tcPr>
          <w:p w14:paraId="081A8699"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52,342</w:t>
            </w:r>
          </w:p>
        </w:tc>
        <w:tc>
          <w:tcPr>
            <w:tcW w:w="1300" w:type="dxa"/>
            <w:tcBorders>
              <w:top w:val="nil"/>
              <w:left w:val="nil"/>
              <w:bottom w:val="single" w:sz="8" w:space="0" w:color="auto"/>
              <w:right w:val="nil"/>
            </w:tcBorders>
            <w:shd w:val="clear" w:color="auto" w:fill="auto"/>
            <w:vAlign w:val="center"/>
            <w:hideMark/>
          </w:tcPr>
          <w:p w14:paraId="7CAA4696"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249,299</w:t>
            </w:r>
          </w:p>
        </w:tc>
        <w:tc>
          <w:tcPr>
            <w:tcW w:w="1300" w:type="dxa"/>
            <w:tcBorders>
              <w:top w:val="nil"/>
              <w:left w:val="nil"/>
              <w:bottom w:val="single" w:sz="8" w:space="0" w:color="auto"/>
              <w:right w:val="nil"/>
            </w:tcBorders>
            <w:shd w:val="clear" w:color="auto" w:fill="auto"/>
            <w:vAlign w:val="center"/>
            <w:hideMark/>
          </w:tcPr>
          <w:p w14:paraId="2B62F2BD"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153,275</w:t>
            </w:r>
          </w:p>
        </w:tc>
        <w:tc>
          <w:tcPr>
            <w:tcW w:w="1300" w:type="dxa"/>
            <w:tcBorders>
              <w:top w:val="nil"/>
              <w:left w:val="nil"/>
              <w:bottom w:val="single" w:sz="8" w:space="0" w:color="auto"/>
              <w:right w:val="nil"/>
            </w:tcBorders>
            <w:shd w:val="clear" w:color="auto" w:fill="auto"/>
            <w:vAlign w:val="center"/>
            <w:hideMark/>
          </w:tcPr>
          <w:p w14:paraId="0E06F516"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367,000</w:t>
            </w:r>
          </w:p>
        </w:tc>
        <w:tc>
          <w:tcPr>
            <w:tcW w:w="1300" w:type="dxa"/>
            <w:tcBorders>
              <w:top w:val="nil"/>
              <w:left w:val="nil"/>
              <w:bottom w:val="single" w:sz="8" w:space="0" w:color="auto"/>
              <w:right w:val="nil"/>
            </w:tcBorders>
            <w:shd w:val="clear" w:color="auto" w:fill="auto"/>
            <w:vAlign w:val="center"/>
            <w:hideMark/>
          </w:tcPr>
          <w:p w14:paraId="3BF4F7DA" w14:textId="77777777" w:rsidR="008624BA" w:rsidRDefault="008624BA" w:rsidP="00301217">
            <w:pPr>
              <w:jc w:val="right"/>
              <w:rPr>
                <w:rFonts w:ascii="Arial" w:hAnsi="Arial" w:cs="Arial"/>
                <w:color w:val="000000"/>
                <w:sz w:val="18"/>
                <w:szCs w:val="18"/>
              </w:rPr>
            </w:pPr>
            <w:r>
              <w:rPr>
                <w:rFonts w:ascii="Arial" w:hAnsi="Arial" w:cs="Arial"/>
                <w:color w:val="000000"/>
                <w:kern w:val="2"/>
                <w:sz w:val="18"/>
                <w:szCs w:val="18"/>
                <w:lang w:val="en-GB"/>
              </w:rPr>
              <w:t>424,736</w:t>
            </w:r>
          </w:p>
        </w:tc>
      </w:tr>
    </w:tbl>
    <w:p w14:paraId="22AC0157" w14:textId="77777777" w:rsidR="00F50251" w:rsidRPr="004951FA" w:rsidRDefault="00F50251" w:rsidP="00301217">
      <w:pPr>
        <w:pStyle w:val="ExhibitText"/>
      </w:pPr>
    </w:p>
    <w:p w14:paraId="0C834D8C" w14:textId="27AB1FD2" w:rsidR="006F5E4C" w:rsidRDefault="006F5E4C" w:rsidP="00F614FB">
      <w:pPr>
        <w:pStyle w:val="Footnote"/>
      </w:pPr>
      <w:r>
        <w:t xml:space="preserve">Note: NA = </w:t>
      </w:r>
      <w:r w:rsidR="00480137">
        <w:t>N</w:t>
      </w:r>
      <w:r>
        <w:t xml:space="preserve">ot </w:t>
      </w:r>
      <w:r w:rsidR="00480137">
        <w:t>Available</w:t>
      </w:r>
      <w:r>
        <w:t>.</w:t>
      </w:r>
    </w:p>
    <w:p w14:paraId="3BBC3D86" w14:textId="34466AFD" w:rsidR="00F50251" w:rsidRPr="004951FA" w:rsidRDefault="00F50251" w:rsidP="00F614FB">
      <w:pPr>
        <w:pStyle w:val="Footnote"/>
      </w:pPr>
      <w:r w:rsidRPr="004951FA">
        <w:t>Source: Company</w:t>
      </w:r>
      <w:r w:rsidR="003461F1">
        <w:t xml:space="preserve"> files</w:t>
      </w:r>
      <w:r w:rsidR="00F614FB" w:rsidRPr="004951FA">
        <w:t>.</w:t>
      </w:r>
    </w:p>
    <w:p w14:paraId="0F36F6AF" w14:textId="214CB24E" w:rsidR="00301217" w:rsidRDefault="00301217">
      <w:pPr>
        <w:spacing w:after="200" w:line="276" w:lineRule="auto"/>
        <w:rPr>
          <w:rFonts w:ascii="Arial" w:hAnsi="Arial" w:cs="Arial"/>
          <w:sz w:val="20"/>
          <w:szCs w:val="20"/>
        </w:rPr>
      </w:pPr>
      <w:r>
        <w:br w:type="page"/>
      </w:r>
    </w:p>
    <w:p w14:paraId="088955EC" w14:textId="62020CAA" w:rsidR="00F50251" w:rsidRPr="004951FA" w:rsidRDefault="00F50251" w:rsidP="00F614FB">
      <w:pPr>
        <w:pStyle w:val="ExhibitHeading"/>
      </w:pPr>
      <w:r w:rsidRPr="004951FA">
        <w:lastRenderedPageBreak/>
        <w:t>Exhibit 5</w:t>
      </w:r>
      <w:r w:rsidR="00F614FB" w:rsidRPr="004951FA">
        <w:t xml:space="preserve">: </w:t>
      </w:r>
      <w:r w:rsidR="001B6D28" w:rsidRPr="004951FA">
        <w:t xml:space="preserve">KINDRED HOME CARE </w:t>
      </w:r>
      <w:r w:rsidRPr="004951FA">
        <w:t>BALANCE SHEET</w:t>
      </w:r>
      <w:r w:rsidR="00415DC6">
        <w:t xml:space="preserve"> (CA$)</w:t>
      </w:r>
    </w:p>
    <w:p w14:paraId="17B1FA61" w14:textId="766A2FBF" w:rsidR="00F50251" w:rsidRDefault="00F50251" w:rsidP="008624BA">
      <w:pPr>
        <w:pStyle w:val="ExhibitText"/>
      </w:pPr>
    </w:p>
    <w:tbl>
      <w:tblPr>
        <w:tblW w:w="5000" w:type="pct"/>
        <w:tblLook w:val="04A0" w:firstRow="1" w:lastRow="0" w:firstColumn="1" w:lastColumn="0" w:noHBand="0" w:noVBand="1"/>
      </w:tblPr>
      <w:tblGrid>
        <w:gridCol w:w="2570"/>
        <w:gridCol w:w="130"/>
        <w:gridCol w:w="1228"/>
        <w:gridCol w:w="1358"/>
        <w:gridCol w:w="1358"/>
        <w:gridCol w:w="1358"/>
        <w:gridCol w:w="1358"/>
      </w:tblGrid>
      <w:tr w:rsidR="00301217" w14:paraId="37F55692" w14:textId="77777777" w:rsidTr="00886941">
        <w:trPr>
          <w:trHeight w:val="280"/>
        </w:trPr>
        <w:tc>
          <w:tcPr>
            <w:tcW w:w="2700" w:type="dxa"/>
            <w:gridSpan w:val="2"/>
            <w:tcBorders>
              <w:top w:val="single" w:sz="8" w:space="0" w:color="auto"/>
              <w:left w:val="nil"/>
              <w:bottom w:val="single" w:sz="12" w:space="0" w:color="auto"/>
              <w:right w:val="nil"/>
            </w:tcBorders>
            <w:shd w:val="clear" w:color="auto" w:fill="auto"/>
            <w:vAlign w:val="center"/>
            <w:hideMark/>
          </w:tcPr>
          <w:p w14:paraId="237385F7" w14:textId="6D8003DA" w:rsidR="00301217" w:rsidRDefault="00886941">
            <w:pPr>
              <w:jc w:val="right"/>
              <w:rPr>
                <w:rFonts w:ascii="Arial" w:hAnsi="Arial" w:cs="Arial"/>
                <w:color w:val="000000"/>
                <w:sz w:val="18"/>
                <w:szCs w:val="18"/>
              </w:rPr>
            </w:pPr>
            <w:r>
              <w:rPr>
                <w:rFonts w:ascii="Arial" w:hAnsi="Arial" w:cs="Arial"/>
                <w:color w:val="000000"/>
                <w:kern w:val="2"/>
                <w:sz w:val="18"/>
                <w:szCs w:val="18"/>
              </w:rPr>
              <w:t xml:space="preserve">Year Ending </w:t>
            </w:r>
            <w:r w:rsidR="00301217">
              <w:rPr>
                <w:rFonts w:ascii="Arial" w:hAnsi="Arial" w:cs="Arial"/>
                <w:color w:val="000000"/>
                <w:kern w:val="2"/>
                <w:sz w:val="18"/>
                <w:szCs w:val="18"/>
              </w:rPr>
              <w:t>December 31</w:t>
            </w:r>
          </w:p>
        </w:tc>
        <w:tc>
          <w:tcPr>
            <w:tcW w:w="1228" w:type="dxa"/>
            <w:tcBorders>
              <w:top w:val="single" w:sz="8" w:space="0" w:color="auto"/>
              <w:left w:val="nil"/>
              <w:bottom w:val="single" w:sz="12" w:space="0" w:color="auto"/>
              <w:right w:val="nil"/>
            </w:tcBorders>
            <w:shd w:val="clear" w:color="auto" w:fill="auto"/>
            <w:vAlign w:val="center"/>
            <w:hideMark/>
          </w:tcPr>
          <w:p w14:paraId="21E71B17" w14:textId="77777777" w:rsidR="00301217" w:rsidRDefault="00301217">
            <w:pPr>
              <w:jc w:val="center"/>
              <w:rPr>
                <w:rFonts w:ascii="Arial" w:hAnsi="Arial" w:cs="Arial"/>
                <w:b/>
                <w:bCs/>
                <w:color w:val="000000"/>
                <w:sz w:val="18"/>
                <w:szCs w:val="18"/>
              </w:rPr>
            </w:pPr>
            <w:r>
              <w:rPr>
                <w:rFonts w:ascii="Arial" w:hAnsi="Arial" w:cs="Arial"/>
                <w:b/>
                <w:bCs/>
                <w:color w:val="000000"/>
                <w:kern w:val="2"/>
                <w:sz w:val="18"/>
                <w:szCs w:val="18"/>
              </w:rPr>
              <w:t>2012</w:t>
            </w:r>
          </w:p>
        </w:tc>
        <w:tc>
          <w:tcPr>
            <w:tcW w:w="1358" w:type="dxa"/>
            <w:tcBorders>
              <w:top w:val="single" w:sz="8" w:space="0" w:color="auto"/>
              <w:left w:val="nil"/>
              <w:bottom w:val="single" w:sz="12" w:space="0" w:color="auto"/>
              <w:right w:val="nil"/>
            </w:tcBorders>
            <w:shd w:val="clear" w:color="auto" w:fill="auto"/>
            <w:vAlign w:val="center"/>
            <w:hideMark/>
          </w:tcPr>
          <w:p w14:paraId="3A070A56" w14:textId="77777777" w:rsidR="00301217" w:rsidRDefault="00301217">
            <w:pPr>
              <w:jc w:val="center"/>
              <w:rPr>
                <w:rFonts w:ascii="Arial" w:hAnsi="Arial" w:cs="Arial"/>
                <w:b/>
                <w:bCs/>
                <w:color w:val="000000"/>
                <w:sz w:val="18"/>
                <w:szCs w:val="18"/>
              </w:rPr>
            </w:pPr>
            <w:r>
              <w:rPr>
                <w:rFonts w:ascii="Arial" w:hAnsi="Arial" w:cs="Arial"/>
                <w:b/>
                <w:bCs/>
                <w:color w:val="000000"/>
                <w:kern w:val="2"/>
                <w:sz w:val="18"/>
                <w:szCs w:val="18"/>
              </w:rPr>
              <w:t>2013</w:t>
            </w:r>
          </w:p>
        </w:tc>
        <w:tc>
          <w:tcPr>
            <w:tcW w:w="1358" w:type="dxa"/>
            <w:tcBorders>
              <w:top w:val="single" w:sz="8" w:space="0" w:color="auto"/>
              <w:left w:val="nil"/>
              <w:bottom w:val="single" w:sz="12" w:space="0" w:color="auto"/>
              <w:right w:val="nil"/>
            </w:tcBorders>
            <w:shd w:val="clear" w:color="auto" w:fill="auto"/>
            <w:vAlign w:val="center"/>
            <w:hideMark/>
          </w:tcPr>
          <w:p w14:paraId="3B245BEF" w14:textId="77777777" w:rsidR="00301217" w:rsidRDefault="00301217">
            <w:pPr>
              <w:jc w:val="center"/>
              <w:rPr>
                <w:rFonts w:ascii="Arial" w:hAnsi="Arial" w:cs="Arial"/>
                <w:b/>
                <w:bCs/>
                <w:color w:val="000000"/>
                <w:sz w:val="18"/>
                <w:szCs w:val="18"/>
              </w:rPr>
            </w:pPr>
            <w:r>
              <w:rPr>
                <w:rFonts w:ascii="Arial" w:hAnsi="Arial" w:cs="Arial"/>
                <w:b/>
                <w:bCs/>
                <w:color w:val="000000"/>
                <w:kern w:val="2"/>
                <w:sz w:val="18"/>
                <w:szCs w:val="18"/>
              </w:rPr>
              <w:t>2014</w:t>
            </w:r>
          </w:p>
        </w:tc>
        <w:tc>
          <w:tcPr>
            <w:tcW w:w="1358" w:type="dxa"/>
            <w:tcBorders>
              <w:top w:val="single" w:sz="8" w:space="0" w:color="auto"/>
              <w:left w:val="nil"/>
              <w:bottom w:val="single" w:sz="12" w:space="0" w:color="auto"/>
              <w:right w:val="nil"/>
            </w:tcBorders>
            <w:shd w:val="clear" w:color="auto" w:fill="auto"/>
            <w:vAlign w:val="center"/>
            <w:hideMark/>
          </w:tcPr>
          <w:p w14:paraId="7CE7BFBB" w14:textId="77777777" w:rsidR="00301217" w:rsidRDefault="00301217">
            <w:pPr>
              <w:jc w:val="center"/>
              <w:rPr>
                <w:rFonts w:ascii="Arial" w:hAnsi="Arial" w:cs="Arial"/>
                <w:b/>
                <w:bCs/>
                <w:color w:val="000000"/>
                <w:sz w:val="18"/>
                <w:szCs w:val="18"/>
              </w:rPr>
            </w:pPr>
            <w:r>
              <w:rPr>
                <w:rFonts w:ascii="Arial" w:hAnsi="Arial" w:cs="Arial"/>
                <w:b/>
                <w:bCs/>
                <w:color w:val="000000"/>
                <w:kern w:val="2"/>
                <w:sz w:val="18"/>
                <w:szCs w:val="18"/>
              </w:rPr>
              <w:t>2015</w:t>
            </w:r>
          </w:p>
        </w:tc>
        <w:tc>
          <w:tcPr>
            <w:tcW w:w="1358" w:type="dxa"/>
            <w:tcBorders>
              <w:top w:val="single" w:sz="8" w:space="0" w:color="auto"/>
              <w:left w:val="nil"/>
              <w:bottom w:val="single" w:sz="12" w:space="0" w:color="auto"/>
              <w:right w:val="nil"/>
            </w:tcBorders>
            <w:shd w:val="clear" w:color="auto" w:fill="auto"/>
            <w:vAlign w:val="center"/>
            <w:hideMark/>
          </w:tcPr>
          <w:p w14:paraId="61B355F4" w14:textId="77777777" w:rsidR="00301217" w:rsidRDefault="00301217">
            <w:pPr>
              <w:jc w:val="center"/>
              <w:rPr>
                <w:rFonts w:ascii="Arial" w:hAnsi="Arial" w:cs="Arial"/>
                <w:b/>
                <w:bCs/>
                <w:color w:val="000000"/>
                <w:sz w:val="18"/>
                <w:szCs w:val="18"/>
              </w:rPr>
            </w:pPr>
            <w:r>
              <w:rPr>
                <w:rFonts w:ascii="Arial" w:hAnsi="Arial" w:cs="Arial"/>
                <w:b/>
                <w:bCs/>
                <w:color w:val="000000"/>
                <w:kern w:val="2"/>
                <w:sz w:val="18"/>
                <w:szCs w:val="18"/>
              </w:rPr>
              <w:t>2016</w:t>
            </w:r>
          </w:p>
        </w:tc>
      </w:tr>
      <w:tr w:rsidR="00301217" w14:paraId="6730B601" w14:textId="77777777" w:rsidTr="004833B0">
        <w:trPr>
          <w:trHeight w:val="280"/>
        </w:trPr>
        <w:tc>
          <w:tcPr>
            <w:tcW w:w="2570" w:type="dxa"/>
            <w:tcBorders>
              <w:top w:val="nil"/>
              <w:left w:val="nil"/>
              <w:bottom w:val="nil"/>
              <w:right w:val="nil"/>
            </w:tcBorders>
            <w:shd w:val="clear" w:color="auto" w:fill="auto"/>
            <w:vAlign w:val="center"/>
            <w:hideMark/>
          </w:tcPr>
          <w:p w14:paraId="5A06EC37" w14:textId="77777777" w:rsidR="00301217" w:rsidRDefault="00301217">
            <w:pPr>
              <w:rPr>
                <w:rFonts w:ascii="Arial" w:hAnsi="Arial" w:cs="Arial"/>
                <w:b/>
                <w:bCs/>
                <w:color w:val="000000"/>
                <w:sz w:val="18"/>
                <w:szCs w:val="18"/>
              </w:rPr>
            </w:pPr>
            <w:r>
              <w:rPr>
                <w:rFonts w:ascii="Arial" w:hAnsi="Arial" w:cs="Arial"/>
                <w:b/>
                <w:bCs/>
                <w:color w:val="000000"/>
                <w:kern w:val="2"/>
                <w:sz w:val="18"/>
                <w:szCs w:val="18"/>
              </w:rPr>
              <w:t>Assets</w:t>
            </w:r>
          </w:p>
        </w:tc>
        <w:tc>
          <w:tcPr>
            <w:tcW w:w="1358" w:type="dxa"/>
            <w:gridSpan w:val="2"/>
            <w:tcBorders>
              <w:top w:val="nil"/>
              <w:left w:val="nil"/>
              <w:bottom w:val="nil"/>
              <w:right w:val="nil"/>
            </w:tcBorders>
            <w:shd w:val="clear" w:color="auto" w:fill="auto"/>
            <w:vAlign w:val="center"/>
            <w:hideMark/>
          </w:tcPr>
          <w:p w14:paraId="56A0D744" w14:textId="77777777" w:rsidR="00301217" w:rsidRDefault="00301217">
            <w:pPr>
              <w:rPr>
                <w:rFonts w:ascii="Arial" w:hAnsi="Arial" w:cs="Arial"/>
                <w:b/>
                <w:bCs/>
                <w:color w:val="000000"/>
                <w:sz w:val="18"/>
                <w:szCs w:val="18"/>
              </w:rPr>
            </w:pPr>
          </w:p>
        </w:tc>
        <w:tc>
          <w:tcPr>
            <w:tcW w:w="1358" w:type="dxa"/>
            <w:tcBorders>
              <w:top w:val="nil"/>
              <w:left w:val="nil"/>
              <w:bottom w:val="nil"/>
              <w:right w:val="nil"/>
            </w:tcBorders>
            <w:shd w:val="clear" w:color="auto" w:fill="auto"/>
            <w:vAlign w:val="center"/>
            <w:hideMark/>
          </w:tcPr>
          <w:p w14:paraId="736F2B02"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0AD1EDBB"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3299D81B"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53044DFD" w14:textId="77777777" w:rsidR="00301217" w:rsidRDefault="00301217">
            <w:pPr>
              <w:jc w:val="right"/>
              <w:rPr>
                <w:sz w:val="20"/>
                <w:szCs w:val="20"/>
              </w:rPr>
            </w:pPr>
          </w:p>
        </w:tc>
      </w:tr>
      <w:tr w:rsidR="00301217" w14:paraId="17AC1E14" w14:textId="77777777" w:rsidTr="004833B0">
        <w:trPr>
          <w:trHeight w:val="260"/>
        </w:trPr>
        <w:tc>
          <w:tcPr>
            <w:tcW w:w="2570" w:type="dxa"/>
            <w:tcBorders>
              <w:top w:val="nil"/>
              <w:left w:val="nil"/>
              <w:bottom w:val="nil"/>
              <w:right w:val="nil"/>
            </w:tcBorders>
            <w:shd w:val="clear" w:color="auto" w:fill="auto"/>
            <w:vAlign w:val="center"/>
            <w:hideMark/>
          </w:tcPr>
          <w:p w14:paraId="52C32F0F" w14:textId="77777777" w:rsidR="00301217" w:rsidRDefault="00301217">
            <w:pPr>
              <w:rPr>
                <w:rFonts w:ascii="Arial" w:hAnsi="Arial" w:cs="Arial"/>
                <w:b/>
                <w:bCs/>
                <w:i/>
                <w:iCs/>
                <w:color w:val="000000"/>
                <w:sz w:val="18"/>
                <w:szCs w:val="18"/>
              </w:rPr>
            </w:pPr>
            <w:r>
              <w:rPr>
                <w:rFonts w:ascii="Arial" w:hAnsi="Arial" w:cs="Arial"/>
                <w:b/>
                <w:bCs/>
                <w:i/>
                <w:iCs/>
                <w:color w:val="000000"/>
                <w:kern w:val="2"/>
                <w:sz w:val="18"/>
                <w:szCs w:val="18"/>
              </w:rPr>
              <w:t>Current</w:t>
            </w:r>
          </w:p>
        </w:tc>
        <w:tc>
          <w:tcPr>
            <w:tcW w:w="1358" w:type="dxa"/>
            <w:gridSpan w:val="2"/>
            <w:tcBorders>
              <w:top w:val="nil"/>
              <w:left w:val="nil"/>
              <w:bottom w:val="nil"/>
              <w:right w:val="nil"/>
            </w:tcBorders>
            <w:shd w:val="clear" w:color="auto" w:fill="auto"/>
            <w:vAlign w:val="center"/>
            <w:hideMark/>
          </w:tcPr>
          <w:p w14:paraId="24F14577" w14:textId="77777777" w:rsidR="00301217" w:rsidRDefault="00301217">
            <w:pPr>
              <w:rPr>
                <w:rFonts w:ascii="Arial" w:hAnsi="Arial" w:cs="Arial"/>
                <w:b/>
                <w:bCs/>
                <w:i/>
                <w:iCs/>
                <w:color w:val="000000"/>
                <w:sz w:val="18"/>
                <w:szCs w:val="18"/>
              </w:rPr>
            </w:pPr>
          </w:p>
        </w:tc>
        <w:tc>
          <w:tcPr>
            <w:tcW w:w="1358" w:type="dxa"/>
            <w:tcBorders>
              <w:top w:val="nil"/>
              <w:left w:val="nil"/>
              <w:bottom w:val="nil"/>
              <w:right w:val="nil"/>
            </w:tcBorders>
            <w:shd w:val="clear" w:color="auto" w:fill="auto"/>
            <w:vAlign w:val="center"/>
            <w:hideMark/>
          </w:tcPr>
          <w:p w14:paraId="5702B91A"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1E83F03E"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46A42D2D"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2365E919" w14:textId="77777777" w:rsidR="00301217" w:rsidRDefault="00301217">
            <w:pPr>
              <w:jc w:val="right"/>
              <w:rPr>
                <w:sz w:val="20"/>
                <w:szCs w:val="20"/>
              </w:rPr>
            </w:pPr>
          </w:p>
        </w:tc>
      </w:tr>
      <w:tr w:rsidR="00301217" w14:paraId="73B3D53A" w14:textId="77777777" w:rsidTr="004833B0">
        <w:trPr>
          <w:trHeight w:val="260"/>
        </w:trPr>
        <w:tc>
          <w:tcPr>
            <w:tcW w:w="2570" w:type="dxa"/>
            <w:tcBorders>
              <w:top w:val="nil"/>
              <w:left w:val="nil"/>
              <w:bottom w:val="nil"/>
              <w:right w:val="nil"/>
            </w:tcBorders>
            <w:shd w:val="clear" w:color="auto" w:fill="auto"/>
            <w:vAlign w:val="center"/>
            <w:hideMark/>
          </w:tcPr>
          <w:p w14:paraId="410AAF5F" w14:textId="77777777" w:rsidR="00301217" w:rsidRDefault="00301217">
            <w:pPr>
              <w:rPr>
                <w:rFonts w:ascii="Arial" w:hAnsi="Arial" w:cs="Arial"/>
                <w:color w:val="000000"/>
                <w:sz w:val="18"/>
                <w:szCs w:val="18"/>
              </w:rPr>
            </w:pPr>
            <w:r>
              <w:rPr>
                <w:rFonts w:ascii="Arial" w:hAnsi="Arial" w:cs="Arial"/>
                <w:color w:val="000000"/>
                <w:kern w:val="2"/>
                <w:sz w:val="18"/>
                <w:szCs w:val="18"/>
              </w:rPr>
              <w:t>Cash</w:t>
            </w:r>
          </w:p>
        </w:tc>
        <w:tc>
          <w:tcPr>
            <w:tcW w:w="1358" w:type="dxa"/>
            <w:gridSpan w:val="2"/>
            <w:tcBorders>
              <w:top w:val="nil"/>
              <w:left w:val="nil"/>
              <w:bottom w:val="nil"/>
              <w:right w:val="nil"/>
            </w:tcBorders>
            <w:shd w:val="clear" w:color="auto" w:fill="auto"/>
            <w:vAlign w:val="center"/>
            <w:hideMark/>
          </w:tcPr>
          <w:p w14:paraId="51F69BA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7CBDAB0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1357448D"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27,976</w:t>
            </w:r>
          </w:p>
        </w:tc>
        <w:tc>
          <w:tcPr>
            <w:tcW w:w="1358" w:type="dxa"/>
            <w:tcBorders>
              <w:top w:val="nil"/>
              <w:left w:val="nil"/>
              <w:bottom w:val="nil"/>
              <w:right w:val="nil"/>
            </w:tcBorders>
            <w:shd w:val="clear" w:color="auto" w:fill="auto"/>
            <w:vAlign w:val="center"/>
            <w:hideMark/>
          </w:tcPr>
          <w:p w14:paraId="15ED856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55,808</w:t>
            </w:r>
          </w:p>
        </w:tc>
        <w:tc>
          <w:tcPr>
            <w:tcW w:w="1358" w:type="dxa"/>
            <w:tcBorders>
              <w:top w:val="nil"/>
              <w:left w:val="nil"/>
              <w:bottom w:val="nil"/>
              <w:right w:val="nil"/>
            </w:tcBorders>
            <w:shd w:val="clear" w:color="auto" w:fill="auto"/>
            <w:vAlign w:val="center"/>
            <w:hideMark/>
          </w:tcPr>
          <w:p w14:paraId="5423926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1,042,747</w:t>
            </w:r>
          </w:p>
        </w:tc>
      </w:tr>
      <w:tr w:rsidR="00301217" w14:paraId="036E372A" w14:textId="77777777" w:rsidTr="004833B0">
        <w:trPr>
          <w:trHeight w:val="260"/>
        </w:trPr>
        <w:tc>
          <w:tcPr>
            <w:tcW w:w="2570" w:type="dxa"/>
            <w:tcBorders>
              <w:top w:val="nil"/>
              <w:left w:val="nil"/>
              <w:bottom w:val="nil"/>
              <w:right w:val="nil"/>
            </w:tcBorders>
            <w:shd w:val="clear" w:color="auto" w:fill="auto"/>
            <w:vAlign w:val="center"/>
            <w:hideMark/>
          </w:tcPr>
          <w:p w14:paraId="5507F62C" w14:textId="77777777" w:rsidR="00301217" w:rsidRDefault="00301217">
            <w:pPr>
              <w:rPr>
                <w:rFonts w:ascii="Arial" w:hAnsi="Arial" w:cs="Arial"/>
                <w:color w:val="000000"/>
                <w:sz w:val="18"/>
                <w:szCs w:val="18"/>
              </w:rPr>
            </w:pPr>
            <w:r>
              <w:rPr>
                <w:rFonts w:ascii="Arial" w:hAnsi="Arial" w:cs="Arial"/>
                <w:color w:val="000000"/>
                <w:kern w:val="2"/>
                <w:sz w:val="18"/>
                <w:szCs w:val="18"/>
              </w:rPr>
              <w:t>Accounts Receivables</w:t>
            </w:r>
          </w:p>
        </w:tc>
        <w:tc>
          <w:tcPr>
            <w:tcW w:w="1358" w:type="dxa"/>
            <w:gridSpan w:val="2"/>
            <w:tcBorders>
              <w:top w:val="nil"/>
              <w:left w:val="nil"/>
              <w:bottom w:val="nil"/>
              <w:right w:val="nil"/>
            </w:tcBorders>
            <w:shd w:val="clear" w:color="auto" w:fill="auto"/>
            <w:vAlign w:val="center"/>
            <w:hideMark/>
          </w:tcPr>
          <w:p w14:paraId="2D7BE99A"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656,115</w:t>
            </w:r>
          </w:p>
        </w:tc>
        <w:tc>
          <w:tcPr>
            <w:tcW w:w="1358" w:type="dxa"/>
            <w:tcBorders>
              <w:top w:val="nil"/>
              <w:left w:val="nil"/>
              <w:bottom w:val="nil"/>
              <w:right w:val="nil"/>
            </w:tcBorders>
            <w:shd w:val="clear" w:color="auto" w:fill="auto"/>
            <w:vAlign w:val="center"/>
            <w:hideMark/>
          </w:tcPr>
          <w:p w14:paraId="05BD76D7"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1,360,524</w:t>
            </w:r>
          </w:p>
        </w:tc>
        <w:tc>
          <w:tcPr>
            <w:tcW w:w="1358" w:type="dxa"/>
            <w:tcBorders>
              <w:top w:val="nil"/>
              <w:left w:val="nil"/>
              <w:bottom w:val="nil"/>
              <w:right w:val="nil"/>
            </w:tcBorders>
            <w:shd w:val="clear" w:color="auto" w:fill="auto"/>
            <w:vAlign w:val="center"/>
            <w:hideMark/>
          </w:tcPr>
          <w:p w14:paraId="5084CAE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1,168,014</w:t>
            </w:r>
          </w:p>
        </w:tc>
        <w:tc>
          <w:tcPr>
            <w:tcW w:w="1358" w:type="dxa"/>
            <w:tcBorders>
              <w:top w:val="nil"/>
              <w:left w:val="nil"/>
              <w:bottom w:val="nil"/>
              <w:right w:val="nil"/>
            </w:tcBorders>
            <w:shd w:val="clear" w:color="auto" w:fill="auto"/>
            <w:vAlign w:val="center"/>
            <w:hideMark/>
          </w:tcPr>
          <w:p w14:paraId="1169E87A"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1,055,813</w:t>
            </w:r>
          </w:p>
        </w:tc>
        <w:tc>
          <w:tcPr>
            <w:tcW w:w="1358" w:type="dxa"/>
            <w:tcBorders>
              <w:top w:val="nil"/>
              <w:left w:val="nil"/>
              <w:bottom w:val="nil"/>
              <w:right w:val="nil"/>
            </w:tcBorders>
            <w:shd w:val="clear" w:color="auto" w:fill="auto"/>
            <w:vAlign w:val="center"/>
            <w:hideMark/>
          </w:tcPr>
          <w:p w14:paraId="270845E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471,247</w:t>
            </w:r>
          </w:p>
        </w:tc>
      </w:tr>
      <w:tr w:rsidR="00301217" w14:paraId="6386AA0F" w14:textId="77777777" w:rsidTr="004833B0">
        <w:trPr>
          <w:trHeight w:val="260"/>
        </w:trPr>
        <w:tc>
          <w:tcPr>
            <w:tcW w:w="2570" w:type="dxa"/>
            <w:tcBorders>
              <w:top w:val="nil"/>
              <w:left w:val="nil"/>
              <w:bottom w:val="nil"/>
              <w:right w:val="nil"/>
            </w:tcBorders>
            <w:shd w:val="clear" w:color="auto" w:fill="auto"/>
            <w:vAlign w:val="center"/>
            <w:hideMark/>
          </w:tcPr>
          <w:p w14:paraId="3646F8FC" w14:textId="77777777" w:rsidR="00301217" w:rsidRDefault="00301217">
            <w:pPr>
              <w:rPr>
                <w:rFonts w:ascii="Arial" w:hAnsi="Arial" w:cs="Arial"/>
                <w:color w:val="000000"/>
                <w:sz w:val="18"/>
                <w:szCs w:val="18"/>
              </w:rPr>
            </w:pPr>
            <w:r>
              <w:rPr>
                <w:rFonts w:ascii="Arial" w:hAnsi="Arial" w:cs="Arial"/>
                <w:color w:val="000000"/>
                <w:kern w:val="2"/>
                <w:sz w:val="18"/>
                <w:szCs w:val="18"/>
              </w:rPr>
              <w:t>Prepaid Expenses</w:t>
            </w:r>
          </w:p>
        </w:tc>
        <w:tc>
          <w:tcPr>
            <w:tcW w:w="1358" w:type="dxa"/>
            <w:gridSpan w:val="2"/>
            <w:tcBorders>
              <w:top w:val="nil"/>
              <w:left w:val="nil"/>
              <w:bottom w:val="nil"/>
              <w:right w:val="nil"/>
            </w:tcBorders>
            <w:shd w:val="clear" w:color="auto" w:fill="auto"/>
            <w:vAlign w:val="center"/>
            <w:hideMark/>
          </w:tcPr>
          <w:p w14:paraId="5BCAB44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3,321</w:t>
            </w:r>
          </w:p>
        </w:tc>
        <w:tc>
          <w:tcPr>
            <w:tcW w:w="1358" w:type="dxa"/>
            <w:tcBorders>
              <w:top w:val="nil"/>
              <w:left w:val="nil"/>
              <w:bottom w:val="nil"/>
              <w:right w:val="nil"/>
            </w:tcBorders>
            <w:shd w:val="clear" w:color="auto" w:fill="auto"/>
            <w:vAlign w:val="center"/>
            <w:hideMark/>
          </w:tcPr>
          <w:p w14:paraId="0A724A9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3,321</w:t>
            </w:r>
          </w:p>
        </w:tc>
        <w:tc>
          <w:tcPr>
            <w:tcW w:w="1358" w:type="dxa"/>
            <w:tcBorders>
              <w:top w:val="nil"/>
              <w:left w:val="nil"/>
              <w:bottom w:val="nil"/>
              <w:right w:val="nil"/>
            </w:tcBorders>
            <w:shd w:val="clear" w:color="auto" w:fill="auto"/>
            <w:vAlign w:val="center"/>
            <w:hideMark/>
          </w:tcPr>
          <w:p w14:paraId="5DA3DA3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14,431</w:t>
            </w:r>
          </w:p>
        </w:tc>
        <w:tc>
          <w:tcPr>
            <w:tcW w:w="1358" w:type="dxa"/>
            <w:tcBorders>
              <w:top w:val="nil"/>
              <w:left w:val="nil"/>
              <w:bottom w:val="nil"/>
              <w:right w:val="nil"/>
            </w:tcBorders>
            <w:shd w:val="clear" w:color="auto" w:fill="auto"/>
            <w:vAlign w:val="center"/>
            <w:hideMark/>
          </w:tcPr>
          <w:p w14:paraId="71F86B7D"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61,935</w:t>
            </w:r>
          </w:p>
        </w:tc>
        <w:tc>
          <w:tcPr>
            <w:tcW w:w="1358" w:type="dxa"/>
            <w:tcBorders>
              <w:top w:val="nil"/>
              <w:left w:val="nil"/>
              <w:bottom w:val="nil"/>
              <w:right w:val="nil"/>
            </w:tcBorders>
            <w:shd w:val="clear" w:color="auto" w:fill="auto"/>
            <w:vAlign w:val="center"/>
            <w:hideMark/>
          </w:tcPr>
          <w:p w14:paraId="62409AFC"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43,666</w:t>
            </w:r>
          </w:p>
        </w:tc>
      </w:tr>
      <w:tr w:rsidR="00301217" w14:paraId="7885F626" w14:textId="77777777" w:rsidTr="004833B0">
        <w:trPr>
          <w:trHeight w:val="260"/>
        </w:trPr>
        <w:tc>
          <w:tcPr>
            <w:tcW w:w="2570" w:type="dxa"/>
            <w:tcBorders>
              <w:top w:val="nil"/>
              <w:left w:val="nil"/>
              <w:bottom w:val="nil"/>
              <w:right w:val="nil"/>
            </w:tcBorders>
            <w:shd w:val="clear" w:color="auto" w:fill="auto"/>
            <w:vAlign w:val="center"/>
            <w:hideMark/>
          </w:tcPr>
          <w:p w14:paraId="4036EC99" w14:textId="77777777" w:rsidR="00301217" w:rsidRDefault="00301217">
            <w:pPr>
              <w:rPr>
                <w:rFonts w:ascii="Arial" w:hAnsi="Arial" w:cs="Arial"/>
                <w:color w:val="000000"/>
                <w:sz w:val="18"/>
                <w:szCs w:val="18"/>
              </w:rPr>
            </w:pPr>
            <w:r>
              <w:rPr>
                <w:rFonts w:ascii="Arial" w:hAnsi="Arial" w:cs="Arial"/>
                <w:color w:val="000000"/>
                <w:kern w:val="2"/>
                <w:sz w:val="18"/>
                <w:szCs w:val="18"/>
              </w:rPr>
              <w:t>Due from Shareholders</w:t>
            </w:r>
          </w:p>
        </w:tc>
        <w:tc>
          <w:tcPr>
            <w:tcW w:w="1358" w:type="dxa"/>
            <w:gridSpan w:val="2"/>
            <w:tcBorders>
              <w:top w:val="nil"/>
              <w:left w:val="nil"/>
              <w:bottom w:val="nil"/>
              <w:right w:val="nil"/>
            </w:tcBorders>
            <w:shd w:val="clear" w:color="auto" w:fill="auto"/>
            <w:vAlign w:val="center"/>
            <w:hideMark/>
          </w:tcPr>
          <w:p w14:paraId="161F79AF"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22,000</w:t>
            </w:r>
          </w:p>
        </w:tc>
        <w:tc>
          <w:tcPr>
            <w:tcW w:w="1358" w:type="dxa"/>
            <w:tcBorders>
              <w:top w:val="nil"/>
              <w:left w:val="nil"/>
              <w:bottom w:val="nil"/>
              <w:right w:val="nil"/>
            </w:tcBorders>
            <w:shd w:val="clear" w:color="auto" w:fill="auto"/>
            <w:vAlign w:val="center"/>
            <w:hideMark/>
          </w:tcPr>
          <w:p w14:paraId="508BE8B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226BB2E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88,152</w:t>
            </w:r>
          </w:p>
        </w:tc>
        <w:tc>
          <w:tcPr>
            <w:tcW w:w="1358" w:type="dxa"/>
            <w:tcBorders>
              <w:top w:val="nil"/>
              <w:left w:val="nil"/>
              <w:bottom w:val="nil"/>
              <w:right w:val="nil"/>
            </w:tcBorders>
            <w:shd w:val="clear" w:color="auto" w:fill="auto"/>
            <w:vAlign w:val="center"/>
            <w:hideMark/>
          </w:tcPr>
          <w:p w14:paraId="18BA725A"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178,661</w:t>
            </w:r>
          </w:p>
        </w:tc>
        <w:tc>
          <w:tcPr>
            <w:tcW w:w="1358" w:type="dxa"/>
            <w:tcBorders>
              <w:top w:val="nil"/>
              <w:left w:val="nil"/>
              <w:bottom w:val="nil"/>
              <w:right w:val="nil"/>
            </w:tcBorders>
            <w:shd w:val="clear" w:color="auto" w:fill="auto"/>
            <w:vAlign w:val="center"/>
            <w:hideMark/>
          </w:tcPr>
          <w:p w14:paraId="43C1AFE6"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r>
      <w:tr w:rsidR="00301217" w14:paraId="33D06E60" w14:textId="77777777" w:rsidTr="004833B0">
        <w:trPr>
          <w:trHeight w:val="260"/>
        </w:trPr>
        <w:tc>
          <w:tcPr>
            <w:tcW w:w="2570" w:type="dxa"/>
            <w:tcBorders>
              <w:top w:val="nil"/>
              <w:left w:val="nil"/>
              <w:bottom w:val="nil"/>
              <w:right w:val="nil"/>
            </w:tcBorders>
            <w:shd w:val="clear" w:color="auto" w:fill="auto"/>
            <w:vAlign w:val="center"/>
            <w:hideMark/>
          </w:tcPr>
          <w:p w14:paraId="464109B7" w14:textId="77777777" w:rsidR="00301217" w:rsidRDefault="00301217">
            <w:pPr>
              <w:rPr>
                <w:rFonts w:ascii="Arial" w:hAnsi="Arial" w:cs="Arial"/>
                <w:b/>
                <w:bCs/>
                <w:i/>
                <w:iCs/>
                <w:color w:val="000000"/>
                <w:sz w:val="18"/>
                <w:szCs w:val="18"/>
              </w:rPr>
            </w:pPr>
            <w:r>
              <w:rPr>
                <w:rFonts w:ascii="Arial" w:hAnsi="Arial" w:cs="Arial"/>
                <w:b/>
                <w:bCs/>
                <w:i/>
                <w:iCs/>
                <w:color w:val="000000"/>
                <w:kern w:val="2"/>
                <w:sz w:val="18"/>
                <w:szCs w:val="18"/>
              </w:rPr>
              <w:t>Long Term</w:t>
            </w:r>
          </w:p>
        </w:tc>
        <w:tc>
          <w:tcPr>
            <w:tcW w:w="1358" w:type="dxa"/>
            <w:gridSpan w:val="2"/>
            <w:tcBorders>
              <w:top w:val="nil"/>
              <w:left w:val="nil"/>
              <w:bottom w:val="nil"/>
              <w:right w:val="nil"/>
            </w:tcBorders>
            <w:shd w:val="clear" w:color="auto" w:fill="auto"/>
            <w:vAlign w:val="center"/>
            <w:hideMark/>
          </w:tcPr>
          <w:p w14:paraId="481E7956" w14:textId="77777777" w:rsidR="00301217" w:rsidRDefault="00301217">
            <w:pPr>
              <w:rPr>
                <w:rFonts w:ascii="Arial" w:hAnsi="Arial" w:cs="Arial"/>
                <w:b/>
                <w:bCs/>
                <w:i/>
                <w:iCs/>
                <w:color w:val="000000"/>
                <w:sz w:val="18"/>
                <w:szCs w:val="18"/>
              </w:rPr>
            </w:pPr>
          </w:p>
        </w:tc>
        <w:tc>
          <w:tcPr>
            <w:tcW w:w="1358" w:type="dxa"/>
            <w:tcBorders>
              <w:top w:val="nil"/>
              <w:left w:val="nil"/>
              <w:bottom w:val="nil"/>
              <w:right w:val="nil"/>
            </w:tcBorders>
            <w:shd w:val="clear" w:color="auto" w:fill="auto"/>
            <w:vAlign w:val="center"/>
            <w:hideMark/>
          </w:tcPr>
          <w:p w14:paraId="5421B980"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2CD63480"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30A8D38A"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57C82215" w14:textId="77777777" w:rsidR="00301217" w:rsidRDefault="00301217">
            <w:pPr>
              <w:jc w:val="right"/>
              <w:rPr>
                <w:sz w:val="20"/>
                <w:szCs w:val="20"/>
              </w:rPr>
            </w:pPr>
          </w:p>
        </w:tc>
      </w:tr>
      <w:tr w:rsidR="00301217" w14:paraId="27B901CC" w14:textId="77777777" w:rsidTr="004833B0">
        <w:trPr>
          <w:trHeight w:val="260"/>
        </w:trPr>
        <w:tc>
          <w:tcPr>
            <w:tcW w:w="2570" w:type="dxa"/>
            <w:tcBorders>
              <w:top w:val="nil"/>
              <w:left w:val="nil"/>
              <w:bottom w:val="nil"/>
              <w:right w:val="nil"/>
            </w:tcBorders>
            <w:shd w:val="clear" w:color="auto" w:fill="auto"/>
            <w:vAlign w:val="center"/>
            <w:hideMark/>
          </w:tcPr>
          <w:p w14:paraId="5E271E2F" w14:textId="77777777" w:rsidR="00301217" w:rsidRDefault="00301217">
            <w:pPr>
              <w:rPr>
                <w:rFonts w:ascii="Arial" w:hAnsi="Arial" w:cs="Arial"/>
                <w:color w:val="000000"/>
                <w:sz w:val="18"/>
                <w:szCs w:val="18"/>
              </w:rPr>
            </w:pPr>
            <w:r>
              <w:rPr>
                <w:rFonts w:ascii="Arial" w:hAnsi="Arial" w:cs="Arial"/>
                <w:color w:val="000000"/>
                <w:kern w:val="2"/>
                <w:sz w:val="18"/>
                <w:szCs w:val="18"/>
              </w:rPr>
              <w:t>Investments</w:t>
            </w:r>
          </w:p>
        </w:tc>
        <w:tc>
          <w:tcPr>
            <w:tcW w:w="1358" w:type="dxa"/>
            <w:gridSpan w:val="2"/>
            <w:tcBorders>
              <w:top w:val="nil"/>
              <w:left w:val="nil"/>
              <w:bottom w:val="nil"/>
              <w:right w:val="nil"/>
            </w:tcBorders>
            <w:shd w:val="clear" w:color="auto" w:fill="auto"/>
            <w:vAlign w:val="center"/>
            <w:hideMark/>
          </w:tcPr>
          <w:p w14:paraId="1DBDCB97"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1538238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25B7599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05F5D400"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42D2B00F"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30,901</w:t>
            </w:r>
          </w:p>
        </w:tc>
      </w:tr>
      <w:tr w:rsidR="00301217" w14:paraId="703BDA08" w14:textId="77777777" w:rsidTr="004833B0">
        <w:trPr>
          <w:trHeight w:val="260"/>
        </w:trPr>
        <w:tc>
          <w:tcPr>
            <w:tcW w:w="2570" w:type="dxa"/>
            <w:tcBorders>
              <w:top w:val="nil"/>
              <w:left w:val="nil"/>
              <w:bottom w:val="nil"/>
              <w:right w:val="nil"/>
            </w:tcBorders>
            <w:shd w:val="clear" w:color="auto" w:fill="auto"/>
            <w:vAlign w:val="center"/>
            <w:hideMark/>
          </w:tcPr>
          <w:p w14:paraId="7F86BA7C" w14:textId="77777777" w:rsidR="00301217" w:rsidRDefault="00301217">
            <w:pPr>
              <w:rPr>
                <w:rFonts w:ascii="Arial" w:hAnsi="Arial" w:cs="Arial"/>
                <w:color w:val="000000"/>
                <w:sz w:val="18"/>
                <w:szCs w:val="18"/>
              </w:rPr>
            </w:pPr>
            <w:r>
              <w:rPr>
                <w:rFonts w:ascii="Arial" w:hAnsi="Arial" w:cs="Arial"/>
                <w:color w:val="000000"/>
                <w:kern w:val="2"/>
                <w:sz w:val="18"/>
                <w:szCs w:val="18"/>
              </w:rPr>
              <w:t>Due from Related Party</w:t>
            </w:r>
          </w:p>
        </w:tc>
        <w:tc>
          <w:tcPr>
            <w:tcW w:w="1358" w:type="dxa"/>
            <w:gridSpan w:val="2"/>
            <w:tcBorders>
              <w:top w:val="nil"/>
              <w:left w:val="nil"/>
              <w:bottom w:val="nil"/>
              <w:right w:val="nil"/>
            </w:tcBorders>
            <w:shd w:val="clear" w:color="auto" w:fill="auto"/>
            <w:vAlign w:val="center"/>
            <w:hideMark/>
          </w:tcPr>
          <w:p w14:paraId="6EAD1CE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023AE5D9"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28906929"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471F0DA2"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0D5AD220"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4,138</w:t>
            </w:r>
          </w:p>
        </w:tc>
      </w:tr>
      <w:tr w:rsidR="00301217" w14:paraId="0355FB92" w14:textId="77777777" w:rsidTr="004833B0">
        <w:trPr>
          <w:trHeight w:val="260"/>
        </w:trPr>
        <w:tc>
          <w:tcPr>
            <w:tcW w:w="2570" w:type="dxa"/>
            <w:tcBorders>
              <w:top w:val="nil"/>
              <w:left w:val="nil"/>
              <w:bottom w:val="nil"/>
              <w:right w:val="nil"/>
            </w:tcBorders>
            <w:shd w:val="clear" w:color="auto" w:fill="auto"/>
            <w:vAlign w:val="center"/>
            <w:hideMark/>
          </w:tcPr>
          <w:p w14:paraId="43285EE4" w14:textId="77777777" w:rsidR="00301217" w:rsidRDefault="00301217">
            <w:pPr>
              <w:rPr>
                <w:rFonts w:ascii="Arial" w:hAnsi="Arial" w:cs="Arial"/>
                <w:color w:val="000000"/>
                <w:sz w:val="18"/>
                <w:szCs w:val="18"/>
              </w:rPr>
            </w:pPr>
            <w:r>
              <w:rPr>
                <w:rFonts w:ascii="Arial" w:hAnsi="Arial" w:cs="Arial"/>
                <w:color w:val="000000"/>
                <w:kern w:val="2"/>
                <w:sz w:val="18"/>
                <w:szCs w:val="18"/>
              </w:rPr>
              <w:t>Property</w:t>
            </w:r>
          </w:p>
        </w:tc>
        <w:tc>
          <w:tcPr>
            <w:tcW w:w="1358" w:type="dxa"/>
            <w:gridSpan w:val="2"/>
            <w:tcBorders>
              <w:top w:val="nil"/>
              <w:left w:val="nil"/>
              <w:bottom w:val="nil"/>
              <w:right w:val="nil"/>
            </w:tcBorders>
            <w:shd w:val="clear" w:color="auto" w:fill="auto"/>
            <w:vAlign w:val="center"/>
            <w:hideMark/>
          </w:tcPr>
          <w:p w14:paraId="7ECD1F9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132,012</w:t>
            </w:r>
          </w:p>
        </w:tc>
        <w:tc>
          <w:tcPr>
            <w:tcW w:w="1358" w:type="dxa"/>
            <w:tcBorders>
              <w:top w:val="nil"/>
              <w:left w:val="nil"/>
              <w:bottom w:val="nil"/>
              <w:right w:val="nil"/>
            </w:tcBorders>
            <w:shd w:val="clear" w:color="auto" w:fill="auto"/>
            <w:vAlign w:val="center"/>
            <w:hideMark/>
          </w:tcPr>
          <w:p w14:paraId="1E4146F0"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133,166</w:t>
            </w:r>
          </w:p>
        </w:tc>
        <w:tc>
          <w:tcPr>
            <w:tcW w:w="1358" w:type="dxa"/>
            <w:tcBorders>
              <w:top w:val="nil"/>
              <w:left w:val="nil"/>
              <w:bottom w:val="nil"/>
              <w:right w:val="nil"/>
            </w:tcBorders>
            <w:shd w:val="clear" w:color="auto" w:fill="auto"/>
            <w:vAlign w:val="center"/>
            <w:hideMark/>
          </w:tcPr>
          <w:p w14:paraId="494B147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145,241</w:t>
            </w:r>
          </w:p>
        </w:tc>
        <w:tc>
          <w:tcPr>
            <w:tcW w:w="1358" w:type="dxa"/>
            <w:tcBorders>
              <w:top w:val="nil"/>
              <w:left w:val="nil"/>
              <w:bottom w:val="nil"/>
              <w:right w:val="nil"/>
            </w:tcBorders>
            <w:shd w:val="clear" w:color="auto" w:fill="auto"/>
            <w:vAlign w:val="center"/>
            <w:hideMark/>
          </w:tcPr>
          <w:p w14:paraId="605D0AAC"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117,787</w:t>
            </w:r>
          </w:p>
        </w:tc>
        <w:tc>
          <w:tcPr>
            <w:tcW w:w="1358" w:type="dxa"/>
            <w:tcBorders>
              <w:top w:val="nil"/>
              <w:left w:val="nil"/>
              <w:bottom w:val="nil"/>
              <w:right w:val="nil"/>
            </w:tcBorders>
            <w:shd w:val="clear" w:color="auto" w:fill="auto"/>
            <w:vAlign w:val="center"/>
            <w:hideMark/>
          </w:tcPr>
          <w:p w14:paraId="6C6F4279"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170,016</w:t>
            </w:r>
          </w:p>
        </w:tc>
      </w:tr>
      <w:tr w:rsidR="00301217" w14:paraId="4FDA9E6C" w14:textId="77777777" w:rsidTr="004833B0">
        <w:trPr>
          <w:trHeight w:val="260"/>
        </w:trPr>
        <w:tc>
          <w:tcPr>
            <w:tcW w:w="2570" w:type="dxa"/>
            <w:tcBorders>
              <w:top w:val="nil"/>
              <w:left w:val="nil"/>
              <w:bottom w:val="nil"/>
              <w:right w:val="nil"/>
            </w:tcBorders>
            <w:shd w:val="clear" w:color="auto" w:fill="auto"/>
            <w:vAlign w:val="center"/>
            <w:hideMark/>
          </w:tcPr>
          <w:p w14:paraId="14A0BAD3" w14:textId="77777777" w:rsidR="00301217" w:rsidRDefault="00301217">
            <w:pPr>
              <w:rPr>
                <w:rFonts w:ascii="Arial" w:hAnsi="Arial" w:cs="Arial"/>
                <w:color w:val="000000"/>
                <w:sz w:val="18"/>
                <w:szCs w:val="18"/>
              </w:rPr>
            </w:pPr>
            <w:r>
              <w:rPr>
                <w:rFonts w:ascii="Arial" w:hAnsi="Arial" w:cs="Arial"/>
                <w:color w:val="000000"/>
                <w:kern w:val="2"/>
                <w:sz w:val="18"/>
                <w:szCs w:val="18"/>
              </w:rPr>
              <w:t>Goodwill</w:t>
            </w:r>
          </w:p>
        </w:tc>
        <w:tc>
          <w:tcPr>
            <w:tcW w:w="1358" w:type="dxa"/>
            <w:gridSpan w:val="2"/>
            <w:tcBorders>
              <w:top w:val="nil"/>
              <w:left w:val="nil"/>
              <w:bottom w:val="nil"/>
              <w:right w:val="nil"/>
            </w:tcBorders>
            <w:shd w:val="clear" w:color="auto" w:fill="auto"/>
            <w:vAlign w:val="center"/>
            <w:hideMark/>
          </w:tcPr>
          <w:p w14:paraId="752BFFA0"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w:t>
            </w:r>
          </w:p>
        </w:tc>
        <w:tc>
          <w:tcPr>
            <w:tcW w:w="1358" w:type="dxa"/>
            <w:tcBorders>
              <w:top w:val="nil"/>
              <w:left w:val="nil"/>
              <w:bottom w:val="nil"/>
              <w:right w:val="nil"/>
            </w:tcBorders>
            <w:shd w:val="clear" w:color="auto" w:fill="auto"/>
            <w:vAlign w:val="center"/>
            <w:hideMark/>
          </w:tcPr>
          <w:p w14:paraId="33FA883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145,001</w:t>
            </w:r>
          </w:p>
        </w:tc>
        <w:tc>
          <w:tcPr>
            <w:tcW w:w="1358" w:type="dxa"/>
            <w:tcBorders>
              <w:top w:val="nil"/>
              <w:left w:val="nil"/>
              <w:bottom w:val="nil"/>
              <w:right w:val="nil"/>
            </w:tcBorders>
            <w:shd w:val="clear" w:color="auto" w:fill="auto"/>
            <w:vAlign w:val="center"/>
            <w:hideMark/>
          </w:tcPr>
          <w:p w14:paraId="2D47D5BC"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145,001</w:t>
            </w:r>
          </w:p>
        </w:tc>
        <w:tc>
          <w:tcPr>
            <w:tcW w:w="1358" w:type="dxa"/>
            <w:tcBorders>
              <w:top w:val="nil"/>
              <w:left w:val="nil"/>
              <w:bottom w:val="nil"/>
              <w:right w:val="nil"/>
            </w:tcBorders>
            <w:shd w:val="clear" w:color="auto" w:fill="auto"/>
            <w:vAlign w:val="center"/>
            <w:hideMark/>
          </w:tcPr>
          <w:p w14:paraId="37DF528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145,001</w:t>
            </w:r>
          </w:p>
        </w:tc>
        <w:tc>
          <w:tcPr>
            <w:tcW w:w="1358" w:type="dxa"/>
            <w:tcBorders>
              <w:top w:val="nil"/>
              <w:left w:val="nil"/>
              <w:bottom w:val="nil"/>
              <w:right w:val="nil"/>
            </w:tcBorders>
            <w:shd w:val="clear" w:color="auto" w:fill="auto"/>
            <w:vAlign w:val="center"/>
            <w:hideMark/>
          </w:tcPr>
          <w:p w14:paraId="0D6DFEF4"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145,001</w:t>
            </w:r>
          </w:p>
        </w:tc>
      </w:tr>
      <w:tr w:rsidR="00301217" w14:paraId="2A14D208" w14:textId="77777777" w:rsidTr="004833B0">
        <w:trPr>
          <w:trHeight w:val="260"/>
        </w:trPr>
        <w:tc>
          <w:tcPr>
            <w:tcW w:w="2570" w:type="dxa"/>
            <w:tcBorders>
              <w:top w:val="nil"/>
              <w:left w:val="nil"/>
              <w:bottom w:val="nil"/>
              <w:right w:val="nil"/>
            </w:tcBorders>
            <w:shd w:val="clear" w:color="auto" w:fill="auto"/>
            <w:vAlign w:val="center"/>
            <w:hideMark/>
          </w:tcPr>
          <w:p w14:paraId="10FC6F87" w14:textId="77777777" w:rsidR="00301217" w:rsidRDefault="00301217">
            <w:pPr>
              <w:rPr>
                <w:rFonts w:ascii="Arial" w:hAnsi="Arial" w:cs="Arial"/>
                <w:color w:val="000000"/>
                <w:sz w:val="18"/>
                <w:szCs w:val="18"/>
              </w:rPr>
            </w:pPr>
            <w:r>
              <w:rPr>
                <w:rFonts w:ascii="Arial" w:hAnsi="Arial" w:cs="Arial"/>
                <w:color w:val="000000"/>
                <w:kern w:val="2"/>
                <w:sz w:val="18"/>
                <w:szCs w:val="18"/>
              </w:rPr>
              <w:t>Other Assets</w:t>
            </w:r>
          </w:p>
        </w:tc>
        <w:tc>
          <w:tcPr>
            <w:tcW w:w="1358" w:type="dxa"/>
            <w:gridSpan w:val="2"/>
            <w:tcBorders>
              <w:top w:val="nil"/>
              <w:left w:val="nil"/>
              <w:bottom w:val="nil"/>
              <w:right w:val="nil"/>
            </w:tcBorders>
            <w:shd w:val="clear" w:color="auto" w:fill="auto"/>
            <w:vAlign w:val="center"/>
            <w:hideMark/>
          </w:tcPr>
          <w:p w14:paraId="3F4F3CCC"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135,621</w:t>
            </w:r>
          </w:p>
        </w:tc>
        <w:tc>
          <w:tcPr>
            <w:tcW w:w="1358" w:type="dxa"/>
            <w:tcBorders>
              <w:top w:val="nil"/>
              <w:left w:val="nil"/>
              <w:bottom w:val="nil"/>
              <w:right w:val="nil"/>
            </w:tcBorders>
            <w:shd w:val="clear" w:color="auto" w:fill="auto"/>
            <w:vAlign w:val="center"/>
            <w:hideMark/>
          </w:tcPr>
          <w:p w14:paraId="5DDC4522"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234,309</w:t>
            </w:r>
          </w:p>
        </w:tc>
        <w:tc>
          <w:tcPr>
            <w:tcW w:w="1358" w:type="dxa"/>
            <w:tcBorders>
              <w:top w:val="nil"/>
              <w:left w:val="nil"/>
              <w:bottom w:val="nil"/>
              <w:right w:val="nil"/>
            </w:tcBorders>
            <w:shd w:val="clear" w:color="auto" w:fill="auto"/>
            <w:vAlign w:val="center"/>
            <w:hideMark/>
          </w:tcPr>
          <w:p w14:paraId="66552030"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165,662</w:t>
            </w:r>
          </w:p>
        </w:tc>
        <w:tc>
          <w:tcPr>
            <w:tcW w:w="1358" w:type="dxa"/>
            <w:tcBorders>
              <w:top w:val="nil"/>
              <w:left w:val="nil"/>
              <w:bottom w:val="nil"/>
              <w:right w:val="nil"/>
            </w:tcBorders>
            <w:shd w:val="clear" w:color="auto" w:fill="auto"/>
            <w:vAlign w:val="center"/>
            <w:hideMark/>
          </w:tcPr>
          <w:p w14:paraId="6AC0AE6C"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108,747</w:t>
            </w:r>
          </w:p>
        </w:tc>
        <w:tc>
          <w:tcPr>
            <w:tcW w:w="1358" w:type="dxa"/>
            <w:tcBorders>
              <w:top w:val="nil"/>
              <w:left w:val="nil"/>
              <w:bottom w:val="nil"/>
              <w:right w:val="nil"/>
            </w:tcBorders>
            <w:shd w:val="clear" w:color="auto" w:fill="auto"/>
            <w:vAlign w:val="center"/>
            <w:hideMark/>
          </w:tcPr>
          <w:p w14:paraId="7CF04F0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18,125</w:t>
            </w:r>
          </w:p>
        </w:tc>
      </w:tr>
      <w:tr w:rsidR="00301217" w14:paraId="1B23ECFD" w14:textId="77777777" w:rsidTr="004833B0">
        <w:trPr>
          <w:trHeight w:val="280"/>
        </w:trPr>
        <w:tc>
          <w:tcPr>
            <w:tcW w:w="2570" w:type="dxa"/>
            <w:tcBorders>
              <w:top w:val="nil"/>
              <w:left w:val="nil"/>
              <w:bottom w:val="single" w:sz="8" w:space="0" w:color="auto"/>
              <w:right w:val="nil"/>
            </w:tcBorders>
            <w:shd w:val="clear" w:color="auto" w:fill="auto"/>
            <w:vAlign w:val="center"/>
            <w:hideMark/>
          </w:tcPr>
          <w:p w14:paraId="7BCA3493" w14:textId="77777777" w:rsidR="00301217" w:rsidRDefault="00301217">
            <w:pPr>
              <w:rPr>
                <w:rFonts w:ascii="Arial" w:hAnsi="Arial" w:cs="Arial"/>
                <w:color w:val="000000"/>
                <w:sz w:val="18"/>
                <w:szCs w:val="18"/>
              </w:rPr>
            </w:pPr>
            <w:r>
              <w:rPr>
                <w:rFonts w:ascii="Arial" w:hAnsi="Arial" w:cs="Arial"/>
                <w:color w:val="000000"/>
                <w:kern w:val="2"/>
                <w:sz w:val="18"/>
                <w:szCs w:val="18"/>
              </w:rPr>
              <w:t>Future Income Taxes</w:t>
            </w:r>
          </w:p>
        </w:tc>
        <w:tc>
          <w:tcPr>
            <w:tcW w:w="1358" w:type="dxa"/>
            <w:gridSpan w:val="2"/>
            <w:tcBorders>
              <w:top w:val="nil"/>
              <w:left w:val="nil"/>
              <w:bottom w:val="single" w:sz="8" w:space="0" w:color="auto"/>
              <w:right w:val="nil"/>
            </w:tcBorders>
            <w:shd w:val="clear" w:color="auto" w:fill="auto"/>
            <w:vAlign w:val="center"/>
            <w:hideMark/>
          </w:tcPr>
          <w:p w14:paraId="174FEA09"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single" w:sz="8" w:space="0" w:color="auto"/>
              <w:right w:val="nil"/>
            </w:tcBorders>
            <w:shd w:val="clear" w:color="auto" w:fill="auto"/>
            <w:vAlign w:val="center"/>
            <w:hideMark/>
          </w:tcPr>
          <w:p w14:paraId="6FD20DD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single" w:sz="8" w:space="0" w:color="auto"/>
              <w:right w:val="nil"/>
            </w:tcBorders>
            <w:shd w:val="clear" w:color="auto" w:fill="auto"/>
            <w:vAlign w:val="center"/>
            <w:hideMark/>
          </w:tcPr>
          <w:p w14:paraId="686A089C"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single" w:sz="8" w:space="0" w:color="auto"/>
              <w:right w:val="nil"/>
            </w:tcBorders>
            <w:shd w:val="clear" w:color="auto" w:fill="auto"/>
            <w:vAlign w:val="center"/>
            <w:hideMark/>
          </w:tcPr>
          <w:p w14:paraId="46D92D4D"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25,807</w:t>
            </w:r>
          </w:p>
        </w:tc>
        <w:tc>
          <w:tcPr>
            <w:tcW w:w="1358" w:type="dxa"/>
            <w:tcBorders>
              <w:top w:val="nil"/>
              <w:left w:val="nil"/>
              <w:bottom w:val="single" w:sz="8" w:space="0" w:color="auto"/>
              <w:right w:val="nil"/>
            </w:tcBorders>
            <w:shd w:val="clear" w:color="auto" w:fill="auto"/>
            <w:vAlign w:val="center"/>
            <w:hideMark/>
          </w:tcPr>
          <w:p w14:paraId="14ABBAA4"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20,031</w:t>
            </w:r>
          </w:p>
        </w:tc>
      </w:tr>
      <w:tr w:rsidR="00301217" w14:paraId="6725FB19" w14:textId="77777777" w:rsidTr="004833B0">
        <w:trPr>
          <w:trHeight w:val="280"/>
        </w:trPr>
        <w:tc>
          <w:tcPr>
            <w:tcW w:w="2570" w:type="dxa"/>
            <w:tcBorders>
              <w:top w:val="nil"/>
              <w:left w:val="nil"/>
              <w:bottom w:val="single" w:sz="8" w:space="0" w:color="auto"/>
              <w:right w:val="nil"/>
            </w:tcBorders>
            <w:shd w:val="clear" w:color="auto" w:fill="auto"/>
            <w:vAlign w:val="center"/>
            <w:hideMark/>
          </w:tcPr>
          <w:p w14:paraId="4C475D5B" w14:textId="77777777" w:rsidR="00301217" w:rsidRDefault="00301217">
            <w:pPr>
              <w:rPr>
                <w:rFonts w:ascii="Arial" w:hAnsi="Arial" w:cs="Arial"/>
                <w:b/>
                <w:bCs/>
                <w:color w:val="000000"/>
                <w:sz w:val="18"/>
                <w:szCs w:val="18"/>
              </w:rPr>
            </w:pPr>
            <w:r>
              <w:rPr>
                <w:rFonts w:ascii="Arial" w:hAnsi="Arial" w:cs="Arial"/>
                <w:b/>
                <w:bCs/>
                <w:color w:val="000000"/>
                <w:kern w:val="2"/>
                <w:sz w:val="18"/>
                <w:szCs w:val="18"/>
              </w:rPr>
              <w:t>Total Assets</w:t>
            </w:r>
          </w:p>
        </w:tc>
        <w:tc>
          <w:tcPr>
            <w:tcW w:w="1358" w:type="dxa"/>
            <w:gridSpan w:val="2"/>
            <w:tcBorders>
              <w:top w:val="nil"/>
              <w:left w:val="nil"/>
              <w:bottom w:val="single" w:sz="8" w:space="0" w:color="auto"/>
              <w:right w:val="nil"/>
            </w:tcBorders>
            <w:shd w:val="clear" w:color="auto" w:fill="auto"/>
            <w:vAlign w:val="center"/>
            <w:hideMark/>
          </w:tcPr>
          <w:p w14:paraId="68D555C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949,070</w:t>
            </w:r>
          </w:p>
        </w:tc>
        <w:tc>
          <w:tcPr>
            <w:tcW w:w="1358" w:type="dxa"/>
            <w:tcBorders>
              <w:top w:val="nil"/>
              <w:left w:val="nil"/>
              <w:bottom w:val="single" w:sz="8" w:space="0" w:color="auto"/>
              <w:right w:val="nil"/>
            </w:tcBorders>
            <w:shd w:val="clear" w:color="auto" w:fill="auto"/>
            <w:vAlign w:val="center"/>
            <w:hideMark/>
          </w:tcPr>
          <w:p w14:paraId="5B48BECF"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1,876,321</w:t>
            </w:r>
          </w:p>
        </w:tc>
        <w:tc>
          <w:tcPr>
            <w:tcW w:w="1358" w:type="dxa"/>
            <w:tcBorders>
              <w:top w:val="nil"/>
              <w:left w:val="nil"/>
              <w:bottom w:val="single" w:sz="8" w:space="0" w:color="auto"/>
              <w:right w:val="nil"/>
            </w:tcBorders>
            <w:shd w:val="clear" w:color="auto" w:fill="auto"/>
            <w:vAlign w:val="center"/>
            <w:hideMark/>
          </w:tcPr>
          <w:p w14:paraId="10CCED49"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1,754,477</w:t>
            </w:r>
          </w:p>
        </w:tc>
        <w:tc>
          <w:tcPr>
            <w:tcW w:w="1358" w:type="dxa"/>
            <w:tcBorders>
              <w:top w:val="nil"/>
              <w:left w:val="nil"/>
              <w:bottom w:val="single" w:sz="8" w:space="0" w:color="auto"/>
              <w:right w:val="nil"/>
            </w:tcBorders>
            <w:shd w:val="clear" w:color="auto" w:fill="auto"/>
            <w:vAlign w:val="center"/>
            <w:hideMark/>
          </w:tcPr>
          <w:p w14:paraId="20B7B41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1,749,559</w:t>
            </w:r>
          </w:p>
        </w:tc>
        <w:tc>
          <w:tcPr>
            <w:tcW w:w="1358" w:type="dxa"/>
            <w:tcBorders>
              <w:top w:val="nil"/>
              <w:left w:val="nil"/>
              <w:bottom w:val="single" w:sz="8" w:space="0" w:color="auto"/>
              <w:right w:val="nil"/>
            </w:tcBorders>
            <w:shd w:val="clear" w:color="auto" w:fill="auto"/>
            <w:vAlign w:val="center"/>
            <w:hideMark/>
          </w:tcPr>
          <w:p w14:paraId="428443B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1,945,962</w:t>
            </w:r>
          </w:p>
        </w:tc>
      </w:tr>
      <w:tr w:rsidR="00301217" w14:paraId="3A15F89D" w14:textId="77777777" w:rsidTr="004833B0">
        <w:trPr>
          <w:trHeight w:val="260"/>
        </w:trPr>
        <w:tc>
          <w:tcPr>
            <w:tcW w:w="2570" w:type="dxa"/>
            <w:tcBorders>
              <w:top w:val="nil"/>
              <w:left w:val="nil"/>
              <w:bottom w:val="nil"/>
              <w:right w:val="nil"/>
            </w:tcBorders>
            <w:shd w:val="clear" w:color="auto" w:fill="auto"/>
            <w:vAlign w:val="center"/>
            <w:hideMark/>
          </w:tcPr>
          <w:p w14:paraId="371EDC74" w14:textId="77777777" w:rsidR="00301217" w:rsidRDefault="00301217">
            <w:pPr>
              <w:rPr>
                <w:rFonts w:ascii="Arial" w:hAnsi="Arial" w:cs="Arial"/>
                <w:b/>
                <w:bCs/>
                <w:color w:val="000000"/>
                <w:sz w:val="18"/>
                <w:szCs w:val="18"/>
              </w:rPr>
            </w:pPr>
            <w:r>
              <w:rPr>
                <w:rFonts w:ascii="Arial" w:hAnsi="Arial" w:cs="Arial"/>
                <w:b/>
                <w:bCs/>
                <w:color w:val="000000"/>
                <w:kern w:val="2"/>
                <w:sz w:val="18"/>
                <w:szCs w:val="18"/>
              </w:rPr>
              <w:t>Liabilities</w:t>
            </w:r>
          </w:p>
        </w:tc>
        <w:tc>
          <w:tcPr>
            <w:tcW w:w="1358" w:type="dxa"/>
            <w:gridSpan w:val="2"/>
            <w:tcBorders>
              <w:top w:val="nil"/>
              <w:left w:val="nil"/>
              <w:bottom w:val="nil"/>
              <w:right w:val="nil"/>
            </w:tcBorders>
            <w:shd w:val="clear" w:color="auto" w:fill="auto"/>
            <w:vAlign w:val="center"/>
            <w:hideMark/>
          </w:tcPr>
          <w:p w14:paraId="35FC16F9" w14:textId="77777777" w:rsidR="00301217" w:rsidRDefault="00301217">
            <w:pPr>
              <w:rPr>
                <w:rFonts w:ascii="Arial" w:hAnsi="Arial" w:cs="Arial"/>
                <w:b/>
                <w:bCs/>
                <w:color w:val="000000"/>
                <w:sz w:val="18"/>
                <w:szCs w:val="18"/>
              </w:rPr>
            </w:pPr>
          </w:p>
        </w:tc>
        <w:tc>
          <w:tcPr>
            <w:tcW w:w="1358" w:type="dxa"/>
            <w:tcBorders>
              <w:top w:val="nil"/>
              <w:left w:val="nil"/>
              <w:bottom w:val="nil"/>
              <w:right w:val="nil"/>
            </w:tcBorders>
            <w:shd w:val="clear" w:color="auto" w:fill="auto"/>
            <w:vAlign w:val="center"/>
            <w:hideMark/>
          </w:tcPr>
          <w:p w14:paraId="230A1737"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55295AC4"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2E8BFD7A"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4B87F6DA" w14:textId="77777777" w:rsidR="00301217" w:rsidRDefault="00301217">
            <w:pPr>
              <w:jc w:val="right"/>
              <w:rPr>
                <w:sz w:val="20"/>
                <w:szCs w:val="20"/>
              </w:rPr>
            </w:pPr>
          </w:p>
        </w:tc>
      </w:tr>
      <w:tr w:rsidR="00301217" w14:paraId="4C8EF55E" w14:textId="77777777" w:rsidTr="004833B0">
        <w:trPr>
          <w:trHeight w:val="260"/>
        </w:trPr>
        <w:tc>
          <w:tcPr>
            <w:tcW w:w="2570" w:type="dxa"/>
            <w:tcBorders>
              <w:top w:val="nil"/>
              <w:left w:val="nil"/>
              <w:bottom w:val="nil"/>
              <w:right w:val="nil"/>
            </w:tcBorders>
            <w:shd w:val="clear" w:color="auto" w:fill="auto"/>
            <w:vAlign w:val="center"/>
            <w:hideMark/>
          </w:tcPr>
          <w:p w14:paraId="77EF7CB1" w14:textId="77777777" w:rsidR="00301217" w:rsidRDefault="00301217">
            <w:pPr>
              <w:rPr>
                <w:rFonts w:ascii="Arial" w:hAnsi="Arial" w:cs="Arial"/>
                <w:b/>
                <w:bCs/>
                <w:i/>
                <w:iCs/>
                <w:color w:val="000000"/>
                <w:sz w:val="18"/>
                <w:szCs w:val="18"/>
              </w:rPr>
            </w:pPr>
            <w:r>
              <w:rPr>
                <w:rFonts w:ascii="Arial" w:hAnsi="Arial" w:cs="Arial"/>
                <w:b/>
                <w:bCs/>
                <w:i/>
                <w:iCs/>
                <w:color w:val="000000"/>
                <w:kern w:val="2"/>
                <w:sz w:val="18"/>
                <w:szCs w:val="18"/>
              </w:rPr>
              <w:t>Current</w:t>
            </w:r>
          </w:p>
        </w:tc>
        <w:tc>
          <w:tcPr>
            <w:tcW w:w="1358" w:type="dxa"/>
            <w:gridSpan w:val="2"/>
            <w:tcBorders>
              <w:top w:val="nil"/>
              <w:left w:val="nil"/>
              <w:bottom w:val="nil"/>
              <w:right w:val="nil"/>
            </w:tcBorders>
            <w:shd w:val="clear" w:color="auto" w:fill="auto"/>
            <w:vAlign w:val="center"/>
            <w:hideMark/>
          </w:tcPr>
          <w:p w14:paraId="398F9474" w14:textId="77777777" w:rsidR="00301217" w:rsidRDefault="00301217">
            <w:pPr>
              <w:rPr>
                <w:rFonts w:ascii="Arial" w:hAnsi="Arial" w:cs="Arial"/>
                <w:b/>
                <w:bCs/>
                <w:i/>
                <w:iCs/>
                <w:color w:val="000000"/>
                <w:sz w:val="18"/>
                <w:szCs w:val="18"/>
              </w:rPr>
            </w:pPr>
          </w:p>
        </w:tc>
        <w:tc>
          <w:tcPr>
            <w:tcW w:w="1358" w:type="dxa"/>
            <w:tcBorders>
              <w:top w:val="nil"/>
              <w:left w:val="nil"/>
              <w:bottom w:val="nil"/>
              <w:right w:val="nil"/>
            </w:tcBorders>
            <w:shd w:val="clear" w:color="auto" w:fill="auto"/>
            <w:vAlign w:val="center"/>
            <w:hideMark/>
          </w:tcPr>
          <w:p w14:paraId="543EED3F"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0D207231"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30C96F49"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3ABF00D0" w14:textId="783D03DB" w:rsidR="00301217" w:rsidRDefault="00301217">
            <w:pPr>
              <w:jc w:val="right"/>
              <w:rPr>
                <w:rFonts w:ascii="Arial" w:hAnsi="Arial" w:cs="Arial"/>
                <w:color w:val="00FF00"/>
                <w:sz w:val="18"/>
                <w:szCs w:val="18"/>
                <w:u w:val="single"/>
              </w:rPr>
            </w:pPr>
          </w:p>
        </w:tc>
      </w:tr>
      <w:tr w:rsidR="00301217" w14:paraId="37BBDA50" w14:textId="77777777" w:rsidTr="004833B0">
        <w:trPr>
          <w:trHeight w:val="260"/>
        </w:trPr>
        <w:tc>
          <w:tcPr>
            <w:tcW w:w="2570" w:type="dxa"/>
            <w:tcBorders>
              <w:top w:val="nil"/>
              <w:left w:val="nil"/>
              <w:bottom w:val="nil"/>
              <w:right w:val="nil"/>
            </w:tcBorders>
            <w:shd w:val="clear" w:color="auto" w:fill="auto"/>
            <w:vAlign w:val="center"/>
            <w:hideMark/>
          </w:tcPr>
          <w:p w14:paraId="2367EDC5" w14:textId="77777777" w:rsidR="00301217" w:rsidRDefault="00301217">
            <w:pPr>
              <w:rPr>
                <w:rFonts w:ascii="Arial" w:hAnsi="Arial" w:cs="Arial"/>
                <w:color w:val="000000"/>
                <w:sz w:val="18"/>
                <w:szCs w:val="18"/>
              </w:rPr>
            </w:pPr>
            <w:r>
              <w:rPr>
                <w:rFonts w:ascii="Arial" w:hAnsi="Arial" w:cs="Arial"/>
                <w:color w:val="000000"/>
                <w:kern w:val="2"/>
                <w:sz w:val="18"/>
                <w:szCs w:val="18"/>
              </w:rPr>
              <w:t>Bank Indebtedness</w:t>
            </w:r>
          </w:p>
        </w:tc>
        <w:tc>
          <w:tcPr>
            <w:tcW w:w="1358" w:type="dxa"/>
            <w:gridSpan w:val="2"/>
            <w:tcBorders>
              <w:top w:val="nil"/>
              <w:left w:val="nil"/>
              <w:bottom w:val="nil"/>
              <w:right w:val="nil"/>
            </w:tcBorders>
            <w:shd w:val="clear" w:color="auto" w:fill="auto"/>
            <w:vAlign w:val="center"/>
            <w:hideMark/>
          </w:tcPr>
          <w:p w14:paraId="65195124"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48,174</w:t>
            </w:r>
          </w:p>
        </w:tc>
        <w:tc>
          <w:tcPr>
            <w:tcW w:w="1358" w:type="dxa"/>
            <w:tcBorders>
              <w:top w:val="nil"/>
              <w:left w:val="nil"/>
              <w:bottom w:val="nil"/>
              <w:right w:val="nil"/>
            </w:tcBorders>
            <w:shd w:val="clear" w:color="auto" w:fill="auto"/>
            <w:vAlign w:val="center"/>
            <w:hideMark/>
          </w:tcPr>
          <w:p w14:paraId="174AC339"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92,996</w:t>
            </w:r>
          </w:p>
        </w:tc>
        <w:tc>
          <w:tcPr>
            <w:tcW w:w="1358" w:type="dxa"/>
            <w:tcBorders>
              <w:top w:val="nil"/>
              <w:left w:val="nil"/>
              <w:bottom w:val="nil"/>
              <w:right w:val="nil"/>
            </w:tcBorders>
            <w:shd w:val="clear" w:color="auto" w:fill="auto"/>
            <w:vAlign w:val="center"/>
            <w:hideMark/>
          </w:tcPr>
          <w:p w14:paraId="2A301FD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1341AB6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59589E40"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r>
      <w:tr w:rsidR="00301217" w14:paraId="39DAF6FD" w14:textId="77777777" w:rsidTr="004833B0">
        <w:trPr>
          <w:trHeight w:val="260"/>
        </w:trPr>
        <w:tc>
          <w:tcPr>
            <w:tcW w:w="2570" w:type="dxa"/>
            <w:tcBorders>
              <w:top w:val="nil"/>
              <w:left w:val="nil"/>
              <w:bottom w:val="nil"/>
              <w:right w:val="nil"/>
            </w:tcBorders>
            <w:shd w:val="clear" w:color="auto" w:fill="auto"/>
            <w:vAlign w:val="center"/>
            <w:hideMark/>
          </w:tcPr>
          <w:p w14:paraId="3CB2F978" w14:textId="77777777" w:rsidR="00301217" w:rsidRDefault="00301217">
            <w:pPr>
              <w:rPr>
                <w:rFonts w:ascii="Arial" w:hAnsi="Arial" w:cs="Arial"/>
                <w:color w:val="000000"/>
                <w:sz w:val="18"/>
                <w:szCs w:val="18"/>
              </w:rPr>
            </w:pPr>
            <w:r>
              <w:rPr>
                <w:rFonts w:ascii="Arial" w:hAnsi="Arial" w:cs="Arial"/>
                <w:color w:val="000000"/>
                <w:kern w:val="2"/>
                <w:sz w:val="18"/>
                <w:szCs w:val="18"/>
              </w:rPr>
              <w:t>Accounts Payable</w:t>
            </w:r>
          </w:p>
        </w:tc>
        <w:tc>
          <w:tcPr>
            <w:tcW w:w="1358" w:type="dxa"/>
            <w:gridSpan w:val="2"/>
            <w:tcBorders>
              <w:top w:val="nil"/>
              <w:left w:val="nil"/>
              <w:bottom w:val="nil"/>
              <w:right w:val="nil"/>
            </w:tcBorders>
            <w:shd w:val="clear" w:color="auto" w:fill="auto"/>
            <w:vAlign w:val="center"/>
            <w:hideMark/>
          </w:tcPr>
          <w:p w14:paraId="3919323B"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124,656</w:t>
            </w:r>
          </w:p>
        </w:tc>
        <w:tc>
          <w:tcPr>
            <w:tcW w:w="1358" w:type="dxa"/>
            <w:tcBorders>
              <w:top w:val="nil"/>
              <w:left w:val="nil"/>
              <w:bottom w:val="nil"/>
              <w:right w:val="nil"/>
            </w:tcBorders>
            <w:shd w:val="clear" w:color="auto" w:fill="auto"/>
            <w:vAlign w:val="center"/>
            <w:hideMark/>
          </w:tcPr>
          <w:p w14:paraId="16A8DFC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245,399</w:t>
            </w:r>
          </w:p>
        </w:tc>
        <w:tc>
          <w:tcPr>
            <w:tcW w:w="1358" w:type="dxa"/>
            <w:tcBorders>
              <w:top w:val="nil"/>
              <w:left w:val="nil"/>
              <w:bottom w:val="nil"/>
              <w:right w:val="nil"/>
            </w:tcBorders>
            <w:shd w:val="clear" w:color="auto" w:fill="auto"/>
            <w:vAlign w:val="center"/>
            <w:hideMark/>
          </w:tcPr>
          <w:p w14:paraId="679D5657"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388,155</w:t>
            </w:r>
          </w:p>
        </w:tc>
        <w:tc>
          <w:tcPr>
            <w:tcW w:w="1358" w:type="dxa"/>
            <w:tcBorders>
              <w:top w:val="nil"/>
              <w:left w:val="nil"/>
              <w:bottom w:val="nil"/>
              <w:right w:val="nil"/>
            </w:tcBorders>
            <w:shd w:val="clear" w:color="auto" w:fill="auto"/>
            <w:vAlign w:val="center"/>
            <w:hideMark/>
          </w:tcPr>
          <w:p w14:paraId="1A063647"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500,147</w:t>
            </w:r>
          </w:p>
        </w:tc>
        <w:tc>
          <w:tcPr>
            <w:tcW w:w="1358" w:type="dxa"/>
            <w:tcBorders>
              <w:top w:val="nil"/>
              <w:left w:val="nil"/>
              <w:bottom w:val="nil"/>
              <w:right w:val="nil"/>
            </w:tcBorders>
            <w:shd w:val="clear" w:color="auto" w:fill="auto"/>
            <w:vAlign w:val="center"/>
            <w:hideMark/>
          </w:tcPr>
          <w:p w14:paraId="7B5D0021"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586,000</w:t>
            </w:r>
          </w:p>
        </w:tc>
      </w:tr>
      <w:tr w:rsidR="00301217" w14:paraId="5A2325A8" w14:textId="77777777" w:rsidTr="004833B0">
        <w:trPr>
          <w:trHeight w:val="260"/>
        </w:trPr>
        <w:tc>
          <w:tcPr>
            <w:tcW w:w="2570" w:type="dxa"/>
            <w:tcBorders>
              <w:top w:val="nil"/>
              <w:left w:val="nil"/>
              <w:bottom w:val="nil"/>
              <w:right w:val="nil"/>
            </w:tcBorders>
            <w:shd w:val="clear" w:color="auto" w:fill="auto"/>
            <w:vAlign w:val="center"/>
            <w:hideMark/>
          </w:tcPr>
          <w:p w14:paraId="20420B46" w14:textId="77777777" w:rsidR="00301217" w:rsidRDefault="00301217">
            <w:pPr>
              <w:rPr>
                <w:rFonts w:ascii="Arial" w:hAnsi="Arial" w:cs="Arial"/>
                <w:color w:val="000000"/>
                <w:sz w:val="18"/>
                <w:szCs w:val="18"/>
              </w:rPr>
            </w:pPr>
            <w:r>
              <w:rPr>
                <w:rFonts w:ascii="Arial" w:hAnsi="Arial" w:cs="Arial"/>
                <w:color w:val="000000"/>
                <w:kern w:val="2"/>
                <w:sz w:val="18"/>
                <w:szCs w:val="18"/>
              </w:rPr>
              <w:t>Unearned Revenue</w:t>
            </w:r>
          </w:p>
        </w:tc>
        <w:tc>
          <w:tcPr>
            <w:tcW w:w="1358" w:type="dxa"/>
            <w:gridSpan w:val="2"/>
            <w:tcBorders>
              <w:top w:val="nil"/>
              <w:left w:val="nil"/>
              <w:bottom w:val="nil"/>
              <w:right w:val="nil"/>
            </w:tcBorders>
            <w:shd w:val="clear" w:color="auto" w:fill="auto"/>
            <w:vAlign w:val="center"/>
            <w:hideMark/>
          </w:tcPr>
          <w:p w14:paraId="20B73B39"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3067B56D"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15A7E786"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6569B9BF"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1,198</w:t>
            </w:r>
          </w:p>
        </w:tc>
        <w:tc>
          <w:tcPr>
            <w:tcW w:w="1358" w:type="dxa"/>
            <w:tcBorders>
              <w:top w:val="nil"/>
              <w:left w:val="nil"/>
              <w:bottom w:val="nil"/>
              <w:right w:val="nil"/>
            </w:tcBorders>
            <w:shd w:val="clear" w:color="auto" w:fill="auto"/>
            <w:vAlign w:val="center"/>
            <w:hideMark/>
          </w:tcPr>
          <w:p w14:paraId="2407CBD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33,109</w:t>
            </w:r>
          </w:p>
        </w:tc>
      </w:tr>
      <w:tr w:rsidR="00301217" w14:paraId="47F97973" w14:textId="77777777" w:rsidTr="004833B0">
        <w:trPr>
          <w:trHeight w:val="260"/>
        </w:trPr>
        <w:tc>
          <w:tcPr>
            <w:tcW w:w="2570" w:type="dxa"/>
            <w:tcBorders>
              <w:top w:val="nil"/>
              <w:left w:val="nil"/>
              <w:bottom w:val="nil"/>
              <w:right w:val="nil"/>
            </w:tcBorders>
            <w:shd w:val="clear" w:color="auto" w:fill="auto"/>
            <w:vAlign w:val="center"/>
            <w:hideMark/>
          </w:tcPr>
          <w:p w14:paraId="11688D3A" w14:textId="77777777" w:rsidR="00301217" w:rsidRDefault="00301217">
            <w:pPr>
              <w:rPr>
                <w:rFonts w:ascii="Arial" w:hAnsi="Arial" w:cs="Arial"/>
                <w:color w:val="000000"/>
                <w:sz w:val="18"/>
                <w:szCs w:val="18"/>
              </w:rPr>
            </w:pPr>
            <w:r>
              <w:rPr>
                <w:rFonts w:ascii="Arial" w:hAnsi="Arial" w:cs="Arial"/>
                <w:color w:val="000000"/>
                <w:kern w:val="2"/>
                <w:sz w:val="18"/>
                <w:szCs w:val="18"/>
              </w:rPr>
              <w:t>Line of Credit</w:t>
            </w:r>
          </w:p>
        </w:tc>
        <w:tc>
          <w:tcPr>
            <w:tcW w:w="1358" w:type="dxa"/>
            <w:gridSpan w:val="2"/>
            <w:tcBorders>
              <w:top w:val="nil"/>
              <w:left w:val="nil"/>
              <w:bottom w:val="nil"/>
              <w:right w:val="nil"/>
            </w:tcBorders>
            <w:shd w:val="clear" w:color="auto" w:fill="auto"/>
            <w:vAlign w:val="center"/>
            <w:hideMark/>
          </w:tcPr>
          <w:p w14:paraId="72FEB2D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322,000</w:t>
            </w:r>
          </w:p>
        </w:tc>
        <w:tc>
          <w:tcPr>
            <w:tcW w:w="1358" w:type="dxa"/>
            <w:tcBorders>
              <w:top w:val="nil"/>
              <w:left w:val="nil"/>
              <w:bottom w:val="nil"/>
              <w:right w:val="nil"/>
            </w:tcBorders>
            <w:shd w:val="clear" w:color="auto" w:fill="auto"/>
            <w:vAlign w:val="center"/>
            <w:hideMark/>
          </w:tcPr>
          <w:p w14:paraId="301F30C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476,000</w:t>
            </w:r>
          </w:p>
        </w:tc>
        <w:tc>
          <w:tcPr>
            <w:tcW w:w="1358" w:type="dxa"/>
            <w:tcBorders>
              <w:top w:val="nil"/>
              <w:left w:val="nil"/>
              <w:bottom w:val="nil"/>
              <w:right w:val="nil"/>
            </w:tcBorders>
            <w:shd w:val="clear" w:color="auto" w:fill="auto"/>
            <w:vAlign w:val="center"/>
            <w:hideMark/>
          </w:tcPr>
          <w:p w14:paraId="37A014E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233,000</w:t>
            </w:r>
          </w:p>
        </w:tc>
        <w:tc>
          <w:tcPr>
            <w:tcW w:w="1358" w:type="dxa"/>
            <w:tcBorders>
              <w:top w:val="nil"/>
              <w:left w:val="nil"/>
              <w:bottom w:val="nil"/>
              <w:right w:val="nil"/>
            </w:tcBorders>
            <w:shd w:val="clear" w:color="auto" w:fill="auto"/>
            <w:vAlign w:val="center"/>
            <w:hideMark/>
          </w:tcPr>
          <w:p w14:paraId="134E68AA"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42120292"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r>
      <w:tr w:rsidR="00301217" w14:paraId="18B7470C" w14:textId="77777777" w:rsidTr="004833B0">
        <w:trPr>
          <w:trHeight w:val="260"/>
        </w:trPr>
        <w:tc>
          <w:tcPr>
            <w:tcW w:w="2570" w:type="dxa"/>
            <w:tcBorders>
              <w:top w:val="nil"/>
              <w:left w:val="nil"/>
              <w:bottom w:val="nil"/>
              <w:right w:val="nil"/>
            </w:tcBorders>
            <w:shd w:val="clear" w:color="auto" w:fill="auto"/>
            <w:vAlign w:val="center"/>
            <w:hideMark/>
          </w:tcPr>
          <w:p w14:paraId="48B50585" w14:textId="77777777" w:rsidR="00301217" w:rsidRDefault="00301217">
            <w:pPr>
              <w:rPr>
                <w:rFonts w:ascii="Arial" w:hAnsi="Arial" w:cs="Arial"/>
                <w:color w:val="000000"/>
                <w:sz w:val="18"/>
                <w:szCs w:val="18"/>
              </w:rPr>
            </w:pPr>
            <w:r>
              <w:rPr>
                <w:rFonts w:ascii="Arial" w:hAnsi="Arial" w:cs="Arial"/>
                <w:color w:val="000000"/>
                <w:kern w:val="2"/>
                <w:sz w:val="18"/>
                <w:szCs w:val="18"/>
              </w:rPr>
              <w:t>Note Payable</w:t>
            </w:r>
          </w:p>
        </w:tc>
        <w:tc>
          <w:tcPr>
            <w:tcW w:w="1358" w:type="dxa"/>
            <w:gridSpan w:val="2"/>
            <w:tcBorders>
              <w:top w:val="nil"/>
              <w:left w:val="nil"/>
              <w:bottom w:val="nil"/>
              <w:right w:val="nil"/>
            </w:tcBorders>
            <w:shd w:val="clear" w:color="auto" w:fill="auto"/>
            <w:vAlign w:val="center"/>
            <w:hideMark/>
          </w:tcPr>
          <w:p w14:paraId="63A1A9DD"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4BFE685D"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100,000</w:t>
            </w:r>
          </w:p>
        </w:tc>
        <w:tc>
          <w:tcPr>
            <w:tcW w:w="1358" w:type="dxa"/>
            <w:tcBorders>
              <w:top w:val="nil"/>
              <w:left w:val="nil"/>
              <w:bottom w:val="nil"/>
              <w:right w:val="nil"/>
            </w:tcBorders>
            <w:shd w:val="clear" w:color="auto" w:fill="auto"/>
            <w:vAlign w:val="center"/>
            <w:hideMark/>
          </w:tcPr>
          <w:p w14:paraId="79F692E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036E569A"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3AFD0BB7"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r>
      <w:tr w:rsidR="00301217" w14:paraId="78C5B45C" w14:textId="77777777" w:rsidTr="004833B0">
        <w:trPr>
          <w:trHeight w:val="260"/>
        </w:trPr>
        <w:tc>
          <w:tcPr>
            <w:tcW w:w="2570" w:type="dxa"/>
            <w:tcBorders>
              <w:top w:val="nil"/>
              <w:left w:val="nil"/>
              <w:bottom w:val="nil"/>
              <w:right w:val="nil"/>
            </w:tcBorders>
            <w:shd w:val="clear" w:color="auto" w:fill="auto"/>
            <w:vAlign w:val="center"/>
            <w:hideMark/>
          </w:tcPr>
          <w:p w14:paraId="4A2D497C" w14:textId="77777777" w:rsidR="00301217" w:rsidRDefault="00301217">
            <w:pPr>
              <w:rPr>
                <w:rFonts w:ascii="Arial" w:hAnsi="Arial" w:cs="Arial"/>
                <w:color w:val="000000"/>
                <w:sz w:val="18"/>
                <w:szCs w:val="18"/>
              </w:rPr>
            </w:pPr>
            <w:r>
              <w:rPr>
                <w:rFonts w:ascii="Arial" w:hAnsi="Arial" w:cs="Arial"/>
                <w:color w:val="000000"/>
                <w:kern w:val="2"/>
                <w:sz w:val="18"/>
                <w:szCs w:val="18"/>
              </w:rPr>
              <w:t>Income Tax Payable</w:t>
            </w:r>
          </w:p>
        </w:tc>
        <w:tc>
          <w:tcPr>
            <w:tcW w:w="1358" w:type="dxa"/>
            <w:gridSpan w:val="2"/>
            <w:tcBorders>
              <w:top w:val="nil"/>
              <w:left w:val="nil"/>
              <w:bottom w:val="nil"/>
              <w:right w:val="nil"/>
            </w:tcBorders>
            <w:shd w:val="clear" w:color="auto" w:fill="auto"/>
            <w:vAlign w:val="center"/>
            <w:hideMark/>
          </w:tcPr>
          <w:p w14:paraId="466907B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9,649</w:t>
            </w:r>
          </w:p>
        </w:tc>
        <w:tc>
          <w:tcPr>
            <w:tcW w:w="1358" w:type="dxa"/>
            <w:tcBorders>
              <w:top w:val="nil"/>
              <w:left w:val="nil"/>
              <w:bottom w:val="nil"/>
              <w:right w:val="nil"/>
            </w:tcBorders>
            <w:shd w:val="clear" w:color="auto" w:fill="auto"/>
            <w:vAlign w:val="center"/>
            <w:hideMark/>
          </w:tcPr>
          <w:p w14:paraId="465ADAD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56,637</w:t>
            </w:r>
          </w:p>
        </w:tc>
        <w:tc>
          <w:tcPr>
            <w:tcW w:w="1358" w:type="dxa"/>
            <w:tcBorders>
              <w:top w:val="nil"/>
              <w:left w:val="nil"/>
              <w:bottom w:val="nil"/>
              <w:right w:val="nil"/>
            </w:tcBorders>
            <w:shd w:val="clear" w:color="auto" w:fill="auto"/>
            <w:vAlign w:val="center"/>
            <w:hideMark/>
          </w:tcPr>
          <w:p w14:paraId="268B3E22"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69,344</w:t>
            </w:r>
          </w:p>
        </w:tc>
        <w:tc>
          <w:tcPr>
            <w:tcW w:w="1358" w:type="dxa"/>
            <w:tcBorders>
              <w:top w:val="nil"/>
              <w:left w:val="nil"/>
              <w:bottom w:val="nil"/>
              <w:right w:val="nil"/>
            </w:tcBorders>
            <w:shd w:val="clear" w:color="auto" w:fill="auto"/>
            <w:vAlign w:val="center"/>
            <w:hideMark/>
          </w:tcPr>
          <w:p w14:paraId="46DB5CC4"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79,226</w:t>
            </w:r>
          </w:p>
        </w:tc>
        <w:tc>
          <w:tcPr>
            <w:tcW w:w="1358" w:type="dxa"/>
            <w:tcBorders>
              <w:top w:val="nil"/>
              <w:left w:val="nil"/>
              <w:bottom w:val="nil"/>
              <w:right w:val="nil"/>
            </w:tcBorders>
            <w:shd w:val="clear" w:color="auto" w:fill="auto"/>
            <w:vAlign w:val="center"/>
            <w:hideMark/>
          </w:tcPr>
          <w:p w14:paraId="6882B0C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96,772</w:t>
            </w:r>
          </w:p>
        </w:tc>
      </w:tr>
      <w:tr w:rsidR="00301217" w14:paraId="1B0E4C6B" w14:textId="77777777" w:rsidTr="004833B0">
        <w:trPr>
          <w:trHeight w:val="260"/>
        </w:trPr>
        <w:tc>
          <w:tcPr>
            <w:tcW w:w="2570" w:type="dxa"/>
            <w:tcBorders>
              <w:top w:val="nil"/>
              <w:left w:val="nil"/>
              <w:bottom w:val="nil"/>
              <w:right w:val="nil"/>
            </w:tcBorders>
            <w:shd w:val="clear" w:color="auto" w:fill="auto"/>
            <w:vAlign w:val="center"/>
            <w:hideMark/>
          </w:tcPr>
          <w:p w14:paraId="53A53258" w14:textId="77777777" w:rsidR="00301217" w:rsidRDefault="00301217">
            <w:pPr>
              <w:rPr>
                <w:rFonts w:ascii="Arial" w:hAnsi="Arial" w:cs="Arial"/>
                <w:color w:val="000000"/>
                <w:sz w:val="18"/>
                <w:szCs w:val="18"/>
              </w:rPr>
            </w:pPr>
            <w:r>
              <w:rPr>
                <w:rFonts w:ascii="Arial" w:hAnsi="Arial" w:cs="Arial"/>
                <w:color w:val="000000"/>
                <w:kern w:val="2"/>
                <w:sz w:val="18"/>
                <w:szCs w:val="18"/>
              </w:rPr>
              <w:t>Due to Shareholder</w:t>
            </w:r>
          </w:p>
        </w:tc>
        <w:tc>
          <w:tcPr>
            <w:tcW w:w="1358" w:type="dxa"/>
            <w:gridSpan w:val="2"/>
            <w:tcBorders>
              <w:top w:val="nil"/>
              <w:left w:val="nil"/>
              <w:bottom w:val="nil"/>
              <w:right w:val="nil"/>
            </w:tcBorders>
            <w:shd w:val="clear" w:color="auto" w:fill="auto"/>
            <w:vAlign w:val="center"/>
            <w:hideMark/>
          </w:tcPr>
          <w:p w14:paraId="03893CC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42EE4E5A"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21,399</w:t>
            </w:r>
          </w:p>
        </w:tc>
        <w:tc>
          <w:tcPr>
            <w:tcW w:w="1358" w:type="dxa"/>
            <w:tcBorders>
              <w:top w:val="nil"/>
              <w:left w:val="nil"/>
              <w:bottom w:val="nil"/>
              <w:right w:val="nil"/>
            </w:tcBorders>
            <w:shd w:val="clear" w:color="auto" w:fill="auto"/>
            <w:vAlign w:val="center"/>
            <w:hideMark/>
          </w:tcPr>
          <w:p w14:paraId="4B40B04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0BB78EFB"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1BF4D7FA"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r>
      <w:tr w:rsidR="00301217" w14:paraId="264F7C56" w14:textId="77777777" w:rsidTr="004833B0">
        <w:trPr>
          <w:trHeight w:val="260"/>
        </w:trPr>
        <w:tc>
          <w:tcPr>
            <w:tcW w:w="2570" w:type="dxa"/>
            <w:tcBorders>
              <w:top w:val="nil"/>
              <w:left w:val="nil"/>
              <w:bottom w:val="nil"/>
              <w:right w:val="nil"/>
            </w:tcBorders>
            <w:shd w:val="clear" w:color="auto" w:fill="auto"/>
            <w:vAlign w:val="center"/>
            <w:hideMark/>
          </w:tcPr>
          <w:p w14:paraId="0E965A00" w14:textId="77777777" w:rsidR="00301217" w:rsidRDefault="00301217">
            <w:pPr>
              <w:rPr>
                <w:rFonts w:ascii="Arial" w:hAnsi="Arial" w:cs="Arial"/>
                <w:color w:val="000000"/>
                <w:sz w:val="18"/>
                <w:szCs w:val="18"/>
              </w:rPr>
            </w:pPr>
            <w:r>
              <w:rPr>
                <w:rFonts w:ascii="Arial" w:hAnsi="Arial" w:cs="Arial"/>
                <w:color w:val="000000"/>
                <w:kern w:val="2"/>
                <w:sz w:val="18"/>
                <w:szCs w:val="18"/>
              </w:rPr>
              <w:t>Current Portion of Debt</w:t>
            </w:r>
          </w:p>
        </w:tc>
        <w:tc>
          <w:tcPr>
            <w:tcW w:w="1358" w:type="dxa"/>
            <w:gridSpan w:val="2"/>
            <w:tcBorders>
              <w:top w:val="nil"/>
              <w:left w:val="nil"/>
              <w:bottom w:val="nil"/>
              <w:right w:val="nil"/>
            </w:tcBorders>
            <w:shd w:val="clear" w:color="auto" w:fill="auto"/>
            <w:vAlign w:val="center"/>
            <w:hideMark/>
          </w:tcPr>
          <w:p w14:paraId="39075D29"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6A8DB95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75,000</w:t>
            </w:r>
          </w:p>
        </w:tc>
        <w:tc>
          <w:tcPr>
            <w:tcW w:w="1358" w:type="dxa"/>
            <w:tcBorders>
              <w:top w:val="nil"/>
              <w:left w:val="nil"/>
              <w:bottom w:val="nil"/>
              <w:right w:val="nil"/>
            </w:tcBorders>
            <w:shd w:val="clear" w:color="auto" w:fill="auto"/>
            <w:vAlign w:val="center"/>
            <w:hideMark/>
          </w:tcPr>
          <w:p w14:paraId="5A0C61CC"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135,531</w:t>
            </w:r>
          </w:p>
        </w:tc>
        <w:tc>
          <w:tcPr>
            <w:tcW w:w="1358" w:type="dxa"/>
            <w:tcBorders>
              <w:top w:val="nil"/>
              <w:left w:val="nil"/>
              <w:bottom w:val="nil"/>
              <w:right w:val="nil"/>
            </w:tcBorders>
            <w:shd w:val="clear" w:color="auto" w:fill="auto"/>
            <w:vAlign w:val="center"/>
            <w:hideMark/>
          </w:tcPr>
          <w:p w14:paraId="2810C07A"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50,000</w:t>
            </w:r>
          </w:p>
        </w:tc>
        <w:tc>
          <w:tcPr>
            <w:tcW w:w="1358" w:type="dxa"/>
            <w:tcBorders>
              <w:top w:val="nil"/>
              <w:left w:val="nil"/>
              <w:bottom w:val="nil"/>
              <w:right w:val="nil"/>
            </w:tcBorders>
            <w:shd w:val="clear" w:color="auto" w:fill="auto"/>
            <w:vAlign w:val="center"/>
            <w:hideMark/>
          </w:tcPr>
          <w:p w14:paraId="25B4DB5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r>
      <w:tr w:rsidR="00301217" w14:paraId="31DAF412" w14:textId="77777777" w:rsidTr="004833B0">
        <w:trPr>
          <w:trHeight w:val="260"/>
        </w:trPr>
        <w:tc>
          <w:tcPr>
            <w:tcW w:w="2570" w:type="dxa"/>
            <w:tcBorders>
              <w:top w:val="nil"/>
              <w:left w:val="nil"/>
              <w:bottom w:val="nil"/>
              <w:right w:val="nil"/>
            </w:tcBorders>
            <w:shd w:val="clear" w:color="auto" w:fill="auto"/>
            <w:vAlign w:val="center"/>
            <w:hideMark/>
          </w:tcPr>
          <w:p w14:paraId="5261C004" w14:textId="77777777" w:rsidR="00301217" w:rsidRDefault="00301217">
            <w:pPr>
              <w:rPr>
                <w:rFonts w:ascii="Arial" w:hAnsi="Arial" w:cs="Arial"/>
                <w:b/>
                <w:bCs/>
                <w:i/>
                <w:iCs/>
                <w:color w:val="000000"/>
                <w:sz w:val="18"/>
                <w:szCs w:val="18"/>
              </w:rPr>
            </w:pPr>
            <w:r>
              <w:rPr>
                <w:rFonts w:ascii="Arial" w:hAnsi="Arial" w:cs="Arial"/>
                <w:b/>
                <w:bCs/>
                <w:i/>
                <w:iCs/>
                <w:color w:val="000000"/>
                <w:kern w:val="2"/>
                <w:sz w:val="18"/>
                <w:szCs w:val="18"/>
              </w:rPr>
              <w:t>Long Term</w:t>
            </w:r>
          </w:p>
        </w:tc>
        <w:tc>
          <w:tcPr>
            <w:tcW w:w="1358" w:type="dxa"/>
            <w:gridSpan w:val="2"/>
            <w:tcBorders>
              <w:top w:val="nil"/>
              <w:left w:val="nil"/>
              <w:bottom w:val="nil"/>
              <w:right w:val="nil"/>
            </w:tcBorders>
            <w:shd w:val="clear" w:color="auto" w:fill="auto"/>
            <w:vAlign w:val="center"/>
            <w:hideMark/>
          </w:tcPr>
          <w:p w14:paraId="0B102BF4" w14:textId="77777777" w:rsidR="00301217" w:rsidRDefault="00301217">
            <w:pPr>
              <w:rPr>
                <w:rFonts w:ascii="Arial" w:hAnsi="Arial" w:cs="Arial"/>
                <w:b/>
                <w:bCs/>
                <w:i/>
                <w:iCs/>
                <w:color w:val="000000"/>
                <w:sz w:val="18"/>
                <w:szCs w:val="18"/>
              </w:rPr>
            </w:pPr>
          </w:p>
        </w:tc>
        <w:tc>
          <w:tcPr>
            <w:tcW w:w="1358" w:type="dxa"/>
            <w:tcBorders>
              <w:top w:val="nil"/>
              <w:left w:val="nil"/>
              <w:bottom w:val="nil"/>
              <w:right w:val="nil"/>
            </w:tcBorders>
            <w:shd w:val="clear" w:color="auto" w:fill="auto"/>
            <w:vAlign w:val="center"/>
            <w:hideMark/>
          </w:tcPr>
          <w:p w14:paraId="0672E299"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006BA87B"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3D2B2032"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3A7EE9C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r>
      <w:tr w:rsidR="00301217" w14:paraId="77EA60B3" w14:textId="77777777" w:rsidTr="004833B0">
        <w:trPr>
          <w:trHeight w:val="260"/>
        </w:trPr>
        <w:tc>
          <w:tcPr>
            <w:tcW w:w="2570" w:type="dxa"/>
            <w:tcBorders>
              <w:top w:val="nil"/>
              <w:left w:val="nil"/>
              <w:bottom w:val="nil"/>
              <w:right w:val="nil"/>
            </w:tcBorders>
            <w:shd w:val="clear" w:color="auto" w:fill="auto"/>
            <w:vAlign w:val="center"/>
            <w:hideMark/>
          </w:tcPr>
          <w:p w14:paraId="37D237A6" w14:textId="77777777" w:rsidR="00301217" w:rsidRDefault="00301217">
            <w:pPr>
              <w:rPr>
                <w:rFonts w:ascii="Arial" w:hAnsi="Arial" w:cs="Arial"/>
                <w:color w:val="000000"/>
                <w:sz w:val="18"/>
                <w:szCs w:val="18"/>
              </w:rPr>
            </w:pPr>
            <w:r>
              <w:rPr>
                <w:rFonts w:ascii="Arial" w:hAnsi="Arial" w:cs="Arial"/>
                <w:color w:val="000000"/>
                <w:kern w:val="2"/>
                <w:sz w:val="18"/>
                <w:szCs w:val="18"/>
              </w:rPr>
              <w:t>Long-Term Debt</w:t>
            </w:r>
          </w:p>
        </w:tc>
        <w:tc>
          <w:tcPr>
            <w:tcW w:w="1358" w:type="dxa"/>
            <w:gridSpan w:val="2"/>
            <w:tcBorders>
              <w:top w:val="nil"/>
              <w:left w:val="nil"/>
              <w:bottom w:val="nil"/>
              <w:right w:val="nil"/>
            </w:tcBorders>
            <w:shd w:val="clear" w:color="auto" w:fill="auto"/>
            <w:vAlign w:val="center"/>
            <w:hideMark/>
          </w:tcPr>
          <w:p w14:paraId="16AD9E5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1DA1456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115,000</w:t>
            </w:r>
          </w:p>
        </w:tc>
        <w:tc>
          <w:tcPr>
            <w:tcW w:w="1358" w:type="dxa"/>
            <w:tcBorders>
              <w:top w:val="nil"/>
              <w:left w:val="nil"/>
              <w:bottom w:val="nil"/>
              <w:right w:val="nil"/>
            </w:tcBorders>
            <w:shd w:val="clear" w:color="auto" w:fill="auto"/>
            <w:vAlign w:val="center"/>
            <w:hideMark/>
          </w:tcPr>
          <w:p w14:paraId="4EF1592A"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81,275</w:t>
            </w:r>
          </w:p>
        </w:tc>
        <w:tc>
          <w:tcPr>
            <w:tcW w:w="1358" w:type="dxa"/>
            <w:tcBorders>
              <w:top w:val="nil"/>
              <w:left w:val="nil"/>
              <w:bottom w:val="nil"/>
              <w:right w:val="nil"/>
            </w:tcBorders>
            <w:shd w:val="clear" w:color="auto" w:fill="auto"/>
            <w:vAlign w:val="center"/>
            <w:hideMark/>
          </w:tcPr>
          <w:p w14:paraId="1BF66FAF"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nil"/>
              <w:right w:val="nil"/>
            </w:tcBorders>
            <w:shd w:val="clear" w:color="auto" w:fill="auto"/>
            <w:vAlign w:val="center"/>
            <w:hideMark/>
          </w:tcPr>
          <w:p w14:paraId="582754BB"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186,357</w:t>
            </w:r>
          </w:p>
        </w:tc>
      </w:tr>
      <w:tr w:rsidR="00301217" w14:paraId="6778DF39" w14:textId="77777777" w:rsidTr="004833B0">
        <w:trPr>
          <w:trHeight w:val="280"/>
        </w:trPr>
        <w:tc>
          <w:tcPr>
            <w:tcW w:w="2570" w:type="dxa"/>
            <w:tcBorders>
              <w:top w:val="nil"/>
              <w:left w:val="nil"/>
              <w:bottom w:val="single" w:sz="8" w:space="0" w:color="auto"/>
              <w:right w:val="nil"/>
            </w:tcBorders>
            <w:shd w:val="clear" w:color="auto" w:fill="auto"/>
            <w:vAlign w:val="center"/>
            <w:hideMark/>
          </w:tcPr>
          <w:p w14:paraId="758C99E7" w14:textId="77777777" w:rsidR="00301217" w:rsidRDefault="00301217">
            <w:pPr>
              <w:rPr>
                <w:rFonts w:ascii="Arial" w:hAnsi="Arial" w:cs="Arial"/>
                <w:color w:val="000000"/>
                <w:sz w:val="18"/>
                <w:szCs w:val="18"/>
              </w:rPr>
            </w:pPr>
            <w:r>
              <w:rPr>
                <w:rFonts w:ascii="Arial" w:hAnsi="Arial" w:cs="Arial"/>
                <w:color w:val="000000"/>
                <w:kern w:val="2"/>
                <w:sz w:val="18"/>
                <w:szCs w:val="18"/>
              </w:rPr>
              <w:t>Future Income Taxes</w:t>
            </w:r>
          </w:p>
        </w:tc>
        <w:tc>
          <w:tcPr>
            <w:tcW w:w="1358" w:type="dxa"/>
            <w:gridSpan w:val="2"/>
            <w:tcBorders>
              <w:top w:val="nil"/>
              <w:left w:val="nil"/>
              <w:bottom w:val="single" w:sz="8" w:space="0" w:color="auto"/>
              <w:right w:val="nil"/>
            </w:tcBorders>
            <w:shd w:val="clear" w:color="auto" w:fill="auto"/>
            <w:vAlign w:val="center"/>
            <w:hideMark/>
          </w:tcPr>
          <w:p w14:paraId="2DF91BE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5,184</w:t>
            </w:r>
          </w:p>
        </w:tc>
        <w:tc>
          <w:tcPr>
            <w:tcW w:w="1358" w:type="dxa"/>
            <w:tcBorders>
              <w:top w:val="nil"/>
              <w:left w:val="nil"/>
              <w:bottom w:val="single" w:sz="8" w:space="0" w:color="auto"/>
              <w:right w:val="nil"/>
            </w:tcBorders>
            <w:shd w:val="clear" w:color="auto" w:fill="auto"/>
            <w:vAlign w:val="center"/>
            <w:hideMark/>
          </w:tcPr>
          <w:p w14:paraId="48AFE619"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5,184</w:t>
            </w:r>
          </w:p>
        </w:tc>
        <w:tc>
          <w:tcPr>
            <w:tcW w:w="1358" w:type="dxa"/>
            <w:tcBorders>
              <w:top w:val="nil"/>
              <w:left w:val="nil"/>
              <w:bottom w:val="single" w:sz="8" w:space="0" w:color="auto"/>
              <w:right w:val="nil"/>
            </w:tcBorders>
            <w:shd w:val="clear" w:color="auto" w:fill="auto"/>
            <w:vAlign w:val="center"/>
            <w:hideMark/>
          </w:tcPr>
          <w:p w14:paraId="1F1B38FB"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5,184</w:t>
            </w:r>
          </w:p>
        </w:tc>
        <w:tc>
          <w:tcPr>
            <w:tcW w:w="1358" w:type="dxa"/>
            <w:tcBorders>
              <w:top w:val="nil"/>
              <w:left w:val="nil"/>
              <w:bottom w:val="single" w:sz="8" w:space="0" w:color="auto"/>
              <w:right w:val="nil"/>
            </w:tcBorders>
            <w:shd w:val="clear" w:color="auto" w:fill="auto"/>
            <w:vAlign w:val="center"/>
            <w:hideMark/>
          </w:tcPr>
          <w:p w14:paraId="7265BE3C"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w:t>
            </w:r>
          </w:p>
        </w:tc>
        <w:tc>
          <w:tcPr>
            <w:tcW w:w="1358" w:type="dxa"/>
            <w:tcBorders>
              <w:top w:val="nil"/>
              <w:left w:val="nil"/>
              <w:bottom w:val="single" w:sz="8" w:space="0" w:color="auto"/>
              <w:right w:val="nil"/>
            </w:tcBorders>
            <w:shd w:val="clear" w:color="auto" w:fill="auto"/>
            <w:vAlign w:val="center"/>
            <w:hideMark/>
          </w:tcPr>
          <w:p w14:paraId="444007D2" w14:textId="77777777" w:rsidR="00301217" w:rsidRDefault="00301217">
            <w:pPr>
              <w:rPr>
                <w:rFonts w:ascii="Calibri" w:hAnsi="Calibri" w:cs="Calibri"/>
                <w:color w:val="000000"/>
                <w:sz w:val="18"/>
                <w:szCs w:val="18"/>
              </w:rPr>
            </w:pPr>
            <w:r>
              <w:rPr>
                <w:rFonts w:ascii="Calibri" w:hAnsi="Calibri" w:cs="Calibri"/>
                <w:color w:val="000000"/>
                <w:sz w:val="18"/>
                <w:szCs w:val="18"/>
              </w:rPr>
              <w:t> </w:t>
            </w:r>
          </w:p>
        </w:tc>
      </w:tr>
      <w:tr w:rsidR="00301217" w14:paraId="2094D3DB" w14:textId="77777777" w:rsidTr="004833B0">
        <w:trPr>
          <w:trHeight w:val="260"/>
        </w:trPr>
        <w:tc>
          <w:tcPr>
            <w:tcW w:w="2570" w:type="dxa"/>
            <w:tcBorders>
              <w:top w:val="nil"/>
              <w:left w:val="nil"/>
              <w:bottom w:val="single" w:sz="8" w:space="0" w:color="auto"/>
              <w:right w:val="nil"/>
            </w:tcBorders>
            <w:shd w:val="clear" w:color="auto" w:fill="auto"/>
            <w:vAlign w:val="center"/>
            <w:hideMark/>
          </w:tcPr>
          <w:p w14:paraId="2318890B" w14:textId="77777777" w:rsidR="00301217" w:rsidRDefault="00301217">
            <w:pPr>
              <w:rPr>
                <w:rFonts w:ascii="Arial" w:hAnsi="Arial" w:cs="Arial"/>
                <w:b/>
                <w:bCs/>
                <w:color w:val="000000"/>
                <w:sz w:val="18"/>
                <w:szCs w:val="18"/>
              </w:rPr>
            </w:pPr>
            <w:r>
              <w:rPr>
                <w:rFonts w:ascii="Arial" w:hAnsi="Arial" w:cs="Arial"/>
                <w:b/>
                <w:bCs/>
                <w:color w:val="000000"/>
                <w:kern w:val="2"/>
                <w:sz w:val="18"/>
                <w:szCs w:val="18"/>
              </w:rPr>
              <w:t> </w:t>
            </w:r>
          </w:p>
        </w:tc>
        <w:tc>
          <w:tcPr>
            <w:tcW w:w="1358" w:type="dxa"/>
            <w:gridSpan w:val="2"/>
            <w:tcBorders>
              <w:top w:val="nil"/>
              <w:left w:val="nil"/>
              <w:bottom w:val="single" w:sz="8" w:space="0" w:color="auto"/>
              <w:right w:val="nil"/>
            </w:tcBorders>
            <w:shd w:val="clear" w:color="auto" w:fill="auto"/>
            <w:vAlign w:val="center"/>
            <w:hideMark/>
          </w:tcPr>
          <w:p w14:paraId="7F4E1DB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509,663</w:t>
            </w:r>
          </w:p>
        </w:tc>
        <w:tc>
          <w:tcPr>
            <w:tcW w:w="1358" w:type="dxa"/>
            <w:tcBorders>
              <w:top w:val="nil"/>
              <w:left w:val="nil"/>
              <w:bottom w:val="single" w:sz="8" w:space="0" w:color="auto"/>
              <w:right w:val="nil"/>
            </w:tcBorders>
            <w:shd w:val="clear" w:color="auto" w:fill="auto"/>
            <w:vAlign w:val="center"/>
            <w:hideMark/>
          </w:tcPr>
          <w:p w14:paraId="72D71AEB"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1,187,615</w:t>
            </w:r>
          </w:p>
        </w:tc>
        <w:tc>
          <w:tcPr>
            <w:tcW w:w="1358" w:type="dxa"/>
            <w:tcBorders>
              <w:top w:val="nil"/>
              <w:left w:val="nil"/>
              <w:bottom w:val="single" w:sz="8" w:space="0" w:color="auto"/>
              <w:right w:val="nil"/>
            </w:tcBorders>
            <w:shd w:val="clear" w:color="auto" w:fill="auto"/>
            <w:vAlign w:val="center"/>
            <w:hideMark/>
          </w:tcPr>
          <w:p w14:paraId="4130ABF9"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912,489</w:t>
            </w:r>
          </w:p>
        </w:tc>
        <w:tc>
          <w:tcPr>
            <w:tcW w:w="1358" w:type="dxa"/>
            <w:tcBorders>
              <w:top w:val="nil"/>
              <w:left w:val="nil"/>
              <w:bottom w:val="single" w:sz="8" w:space="0" w:color="auto"/>
              <w:right w:val="nil"/>
            </w:tcBorders>
            <w:shd w:val="clear" w:color="auto" w:fill="auto"/>
            <w:vAlign w:val="center"/>
            <w:hideMark/>
          </w:tcPr>
          <w:p w14:paraId="03423A04"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630,571</w:t>
            </w:r>
          </w:p>
        </w:tc>
        <w:tc>
          <w:tcPr>
            <w:tcW w:w="1358" w:type="dxa"/>
            <w:tcBorders>
              <w:top w:val="nil"/>
              <w:left w:val="nil"/>
              <w:bottom w:val="single" w:sz="8" w:space="0" w:color="auto"/>
              <w:right w:val="nil"/>
            </w:tcBorders>
            <w:shd w:val="clear" w:color="auto" w:fill="auto"/>
            <w:vAlign w:val="center"/>
            <w:hideMark/>
          </w:tcPr>
          <w:p w14:paraId="1EB854AB"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902,238</w:t>
            </w:r>
          </w:p>
        </w:tc>
      </w:tr>
      <w:tr w:rsidR="00301217" w14:paraId="3300BD39" w14:textId="77777777" w:rsidTr="004833B0">
        <w:trPr>
          <w:trHeight w:val="260"/>
        </w:trPr>
        <w:tc>
          <w:tcPr>
            <w:tcW w:w="2570" w:type="dxa"/>
            <w:tcBorders>
              <w:top w:val="nil"/>
              <w:left w:val="nil"/>
              <w:bottom w:val="nil"/>
              <w:right w:val="nil"/>
            </w:tcBorders>
            <w:shd w:val="clear" w:color="auto" w:fill="auto"/>
            <w:vAlign w:val="center"/>
            <w:hideMark/>
          </w:tcPr>
          <w:p w14:paraId="089037BA" w14:textId="77777777" w:rsidR="00301217" w:rsidRDefault="00301217">
            <w:pPr>
              <w:rPr>
                <w:rFonts w:ascii="Arial" w:hAnsi="Arial" w:cs="Arial"/>
                <w:b/>
                <w:bCs/>
                <w:color w:val="000000"/>
                <w:sz w:val="18"/>
                <w:szCs w:val="18"/>
              </w:rPr>
            </w:pPr>
            <w:r>
              <w:rPr>
                <w:rFonts w:ascii="Arial" w:hAnsi="Arial" w:cs="Arial"/>
                <w:b/>
                <w:bCs/>
                <w:color w:val="000000"/>
                <w:kern w:val="2"/>
                <w:sz w:val="18"/>
                <w:szCs w:val="18"/>
              </w:rPr>
              <w:t>Shareholder Equity</w:t>
            </w:r>
          </w:p>
        </w:tc>
        <w:tc>
          <w:tcPr>
            <w:tcW w:w="1358" w:type="dxa"/>
            <w:gridSpan w:val="2"/>
            <w:tcBorders>
              <w:top w:val="nil"/>
              <w:left w:val="nil"/>
              <w:bottom w:val="nil"/>
              <w:right w:val="nil"/>
            </w:tcBorders>
            <w:shd w:val="clear" w:color="auto" w:fill="auto"/>
            <w:vAlign w:val="center"/>
            <w:hideMark/>
          </w:tcPr>
          <w:p w14:paraId="1FB692C5" w14:textId="77777777" w:rsidR="00301217" w:rsidRDefault="00301217">
            <w:pPr>
              <w:rPr>
                <w:rFonts w:ascii="Arial" w:hAnsi="Arial" w:cs="Arial"/>
                <w:b/>
                <w:bCs/>
                <w:color w:val="000000"/>
                <w:sz w:val="18"/>
                <w:szCs w:val="18"/>
              </w:rPr>
            </w:pPr>
          </w:p>
        </w:tc>
        <w:tc>
          <w:tcPr>
            <w:tcW w:w="1358" w:type="dxa"/>
            <w:tcBorders>
              <w:top w:val="nil"/>
              <w:left w:val="nil"/>
              <w:bottom w:val="nil"/>
              <w:right w:val="nil"/>
            </w:tcBorders>
            <w:shd w:val="clear" w:color="auto" w:fill="auto"/>
            <w:vAlign w:val="center"/>
            <w:hideMark/>
          </w:tcPr>
          <w:p w14:paraId="3A294BE2"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5D50FF68"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07631E9D" w14:textId="77777777" w:rsidR="00301217" w:rsidRDefault="00301217">
            <w:pPr>
              <w:jc w:val="right"/>
              <w:rPr>
                <w:sz w:val="20"/>
                <w:szCs w:val="20"/>
              </w:rPr>
            </w:pPr>
          </w:p>
        </w:tc>
        <w:tc>
          <w:tcPr>
            <w:tcW w:w="1358" w:type="dxa"/>
            <w:tcBorders>
              <w:top w:val="nil"/>
              <w:left w:val="nil"/>
              <w:bottom w:val="nil"/>
              <w:right w:val="nil"/>
            </w:tcBorders>
            <w:shd w:val="clear" w:color="auto" w:fill="auto"/>
            <w:vAlign w:val="center"/>
            <w:hideMark/>
          </w:tcPr>
          <w:p w14:paraId="009A1ABF" w14:textId="77777777" w:rsidR="00301217" w:rsidRDefault="00301217">
            <w:pPr>
              <w:jc w:val="right"/>
              <w:rPr>
                <w:sz w:val="20"/>
                <w:szCs w:val="20"/>
              </w:rPr>
            </w:pPr>
          </w:p>
        </w:tc>
      </w:tr>
      <w:tr w:rsidR="00301217" w14:paraId="1DA32A34" w14:textId="77777777" w:rsidTr="004833B0">
        <w:trPr>
          <w:trHeight w:val="260"/>
        </w:trPr>
        <w:tc>
          <w:tcPr>
            <w:tcW w:w="2570" w:type="dxa"/>
            <w:tcBorders>
              <w:top w:val="nil"/>
              <w:left w:val="nil"/>
              <w:bottom w:val="nil"/>
              <w:right w:val="nil"/>
            </w:tcBorders>
            <w:shd w:val="clear" w:color="auto" w:fill="auto"/>
            <w:vAlign w:val="center"/>
            <w:hideMark/>
          </w:tcPr>
          <w:p w14:paraId="3E67F126" w14:textId="77777777" w:rsidR="00301217" w:rsidRDefault="00301217">
            <w:pPr>
              <w:rPr>
                <w:rFonts w:ascii="Arial" w:hAnsi="Arial" w:cs="Arial"/>
                <w:color w:val="000000"/>
                <w:sz w:val="18"/>
                <w:szCs w:val="18"/>
              </w:rPr>
            </w:pPr>
            <w:r>
              <w:rPr>
                <w:rFonts w:ascii="Arial" w:hAnsi="Arial" w:cs="Arial"/>
                <w:color w:val="000000"/>
                <w:kern w:val="2"/>
                <w:sz w:val="18"/>
                <w:szCs w:val="18"/>
              </w:rPr>
              <w:t>Share Capital</w:t>
            </w:r>
          </w:p>
        </w:tc>
        <w:tc>
          <w:tcPr>
            <w:tcW w:w="1358" w:type="dxa"/>
            <w:gridSpan w:val="2"/>
            <w:tcBorders>
              <w:top w:val="nil"/>
              <w:left w:val="nil"/>
              <w:bottom w:val="nil"/>
              <w:right w:val="nil"/>
            </w:tcBorders>
            <w:shd w:val="clear" w:color="auto" w:fill="auto"/>
            <w:vAlign w:val="center"/>
            <w:hideMark/>
          </w:tcPr>
          <w:p w14:paraId="349B220C"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2</w:t>
            </w:r>
          </w:p>
        </w:tc>
        <w:tc>
          <w:tcPr>
            <w:tcW w:w="1358" w:type="dxa"/>
            <w:tcBorders>
              <w:top w:val="nil"/>
              <w:left w:val="nil"/>
              <w:bottom w:val="nil"/>
              <w:right w:val="nil"/>
            </w:tcBorders>
            <w:shd w:val="clear" w:color="auto" w:fill="auto"/>
            <w:vAlign w:val="center"/>
            <w:hideMark/>
          </w:tcPr>
          <w:p w14:paraId="3E76036C"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2</w:t>
            </w:r>
          </w:p>
        </w:tc>
        <w:tc>
          <w:tcPr>
            <w:tcW w:w="1358" w:type="dxa"/>
            <w:tcBorders>
              <w:top w:val="nil"/>
              <w:left w:val="nil"/>
              <w:bottom w:val="nil"/>
              <w:right w:val="nil"/>
            </w:tcBorders>
            <w:shd w:val="clear" w:color="auto" w:fill="auto"/>
            <w:vAlign w:val="center"/>
            <w:hideMark/>
          </w:tcPr>
          <w:p w14:paraId="506E10A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9</w:t>
            </w:r>
          </w:p>
        </w:tc>
        <w:tc>
          <w:tcPr>
            <w:tcW w:w="1358" w:type="dxa"/>
            <w:tcBorders>
              <w:top w:val="nil"/>
              <w:left w:val="nil"/>
              <w:bottom w:val="nil"/>
              <w:right w:val="nil"/>
            </w:tcBorders>
            <w:shd w:val="clear" w:color="auto" w:fill="auto"/>
            <w:vAlign w:val="center"/>
            <w:hideMark/>
          </w:tcPr>
          <w:p w14:paraId="2981253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9</w:t>
            </w:r>
          </w:p>
        </w:tc>
        <w:tc>
          <w:tcPr>
            <w:tcW w:w="1358" w:type="dxa"/>
            <w:tcBorders>
              <w:top w:val="nil"/>
              <w:left w:val="nil"/>
              <w:bottom w:val="nil"/>
              <w:right w:val="nil"/>
            </w:tcBorders>
            <w:shd w:val="clear" w:color="auto" w:fill="auto"/>
            <w:vAlign w:val="center"/>
            <w:hideMark/>
          </w:tcPr>
          <w:p w14:paraId="5A7D8D50"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9</w:t>
            </w:r>
          </w:p>
        </w:tc>
      </w:tr>
      <w:tr w:rsidR="00301217" w14:paraId="7736DC5C" w14:textId="77777777" w:rsidTr="004833B0">
        <w:trPr>
          <w:trHeight w:val="280"/>
        </w:trPr>
        <w:tc>
          <w:tcPr>
            <w:tcW w:w="2570" w:type="dxa"/>
            <w:tcBorders>
              <w:top w:val="nil"/>
              <w:left w:val="nil"/>
              <w:bottom w:val="single" w:sz="8" w:space="0" w:color="auto"/>
              <w:right w:val="nil"/>
            </w:tcBorders>
            <w:shd w:val="clear" w:color="auto" w:fill="auto"/>
            <w:vAlign w:val="center"/>
            <w:hideMark/>
          </w:tcPr>
          <w:p w14:paraId="1796D533" w14:textId="77777777" w:rsidR="00301217" w:rsidRDefault="00301217">
            <w:pPr>
              <w:rPr>
                <w:rFonts w:ascii="Arial" w:hAnsi="Arial" w:cs="Arial"/>
                <w:color w:val="000000"/>
                <w:sz w:val="18"/>
                <w:szCs w:val="18"/>
              </w:rPr>
            </w:pPr>
            <w:r>
              <w:rPr>
                <w:rFonts w:ascii="Arial" w:hAnsi="Arial" w:cs="Arial"/>
                <w:color w:val="000000"/>
                <w:kern w:val="2"/>
                <w:sz w:val="18"/>
                <w:szCs w:val="18"/>
              </w:rPr>
              <w:t>Retained Earnings</w:t>
            </w:r>
          </w:p>
        </w:tc>
        <w:tc>
          <w:tcPr>
            <w:tcW w:w="1358" w:type="dxa"/>
            <w:gridSpan w:val="2"/>
            <w:tcBorders>
              <w:top w:val="nil"/>
              <w:left w:val="nil"/>
              <w:bottom w:val="single" w:sz="8" w:space="0" w:color="auto"/>
              <w:right w:val="nil"/>
            </w:tcBorders>
            <w:shd w:val="clear" w:color="auto" w:fill="auto"/>
            <w:vAlign w:val="center"/>
            <w:hideMark/>
          </w:tcPr>
          <w:p w14:paraId="107DC3DF"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439,405</w:t>
            </w:r>
          </w:p>
        </w:tc>
        <w:tc>
          <w:tcPr>
            <w:tcW w:w="1358" w:type="dxa"/>
            <w:tcBorders>
              <w:top w:val="nil"/>
              <w:left w:val="nil"/>
              <w:bottom w:val="single" w:sz="8" w:space="0" w:color="auto"/>
              <w:right w:val="nil"/>
            </w:tcBorders>
            <w:shd w:val="clear" w:color="auto" w:fill="auto"/>
            <w:vAlign w:val="center"/>
            <w:hideMark/>
          </w:tcPr>
          <w:p w14:paraId="43CFFA48"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688,704</w:t>
            </w:r>
          </w:p>
        </w:tc>
        <w:tc>
          <w:tcPr>
            <w:tcW w:w="1358" w:type="dxa"/>
            <w:tcBorders>
              <w:top w:val="nil"/>
              <w:left w:val="nil"/>
              <w:bottom w:val="single" w:sz="8" w:space="0" w:color="auto"/>
              <w:right w:val="nil"/>
            </w:tcBorders>
            <w:shd w:val="clear" w:color="auto" w:fill="auto"/>
            <w:vAlign w:val="center"/>
            <w:hideMark/>
          </w:tcPr>
          <w:p w14:paraId="1CC185CF"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841,979</w:t>
            </w:r>
          </w:p>
        </w:tc>
        <w:tc>
          <w:tcPr>
            <w:tcW w:w="1358" w:type="dxa"/>
            <w:tcBorders>
              <w:top w:val="nil"/>
              <w:left w:val="nil"/>
              <w:bottom w:val="single" w:sz="8" w:space="0" w:color="auto"/>
              <w:right w:val="nil"/>
            </w:tcBorders>
            <w:shd w:val="clear" w:color="auto" w:fill="auto"/>
            <w:vAlign w:val="center"/>
            <w:hideMark/>
          </w:tcPr>
          <w:p w14:paraId="47370E0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1,118,979</w:t>
            </w:r>
          </w:p>
        </w:tc>
        <w:tc>
          <w:tcPr>
            <w:tcW w:w="1358" w:type="dxa"/>
            <w:tcBorders>
              <w:top w:val="nil"/>
              <w:left w:val="nil"/>
              <w:bottom w:val="single" w:sz="8" w:space="0" w:color="auto"/>
              <w:right w:val="nil"/>
            </w:tcBorders>
            <w:shd w:val="clear" w:color="auto" w:fill="auto"/>
            <w:vAlign w:val="center"/>
            <w:hideMark/>
          </w:tcPr>
          <w:p w14:paraId="2621BC0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1,043,715</w:t>
            </w:r>
          </w:p>
        </w:tc>
      </w:tr>
      <w:tr w:rsidR="00301217" w14:paraId="03849F8A" w14:textId="77777777" w:rsidTr="004833B0">
        <w:trPr>
          <w:trHeight w:val="260"/>
        </w:trPr>
        <w:tc>
          <w:tcPr>
            <w:tcW w:w="2570" w:type="dxa"/>
            <w:tcBorders>
              <w:top w:val="nil"/>
              <w:left w:val="nil"/>
              <w:bottom w:val="single" w:sz="8" w:space="0" w:color="auto"/>
              <w:right w:val="nil"/>
            </w:tcBorders>
            <w:shd w:val="clear" w:color="auto" w:fill="auto"/>
            <w:vAlign w:val="center"/>
            <w:hideMark/>
          </w:tcPr>
          <w:p w14:paraId="0EB0BFBE" w14:textId="77777777" w:rsidR="00301217" w:rsidRDefault="00301217">
            <w:pPr>
              <w:rPr>
                <w:rFonts w:ascii="Arial" w:hAnsi="Arial" w:cs="Arial"/>
                <w:color w:val="000000"/>
                <w:sz w:val="18"/>
                <w:szCs w:val="18"/>
              </w:rPr>
            </w:pPr>
            <w:r>
              <w:rPr>
                <w:rFonts w:ascii="Arial" w:hAnsi="Arial" w:cs="Arial"/>
                <w:color w:val="000000"/>
                <w:kern w:val="2"/>
                <w:sz w:val="18"/>
                <w:szCs w:val="18"/>
              </w:rPr>
              <w:t> </w:t>
            </w:r>
          </w:p>
        </w:tc>
        <w:tc>
          <w:tcPr>
            <w:tcW w:w="1358" w:type="dxa"/>
            <w:gridSpan w:val="2"/>
            <w:tcBorders>
              <w:top w:val="nil"/>
              <w:left w:val="nil"/>
              <w:bottom w:val="single" w:sz="8" w:space="0" w:color="auto"/>
              <w:right w:val="nil"/>
            </w:tcBorders>
            <w:shd w:val="clear" w:color="auto" w:fill="auto"/>
            <w:vAlign w:val="center"/>
            <w:hideMark/>
          </w:tcPr>
          <w:p w14:paraId="2DB89B7D"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439,407</w:t>
            </w:r>
          </w:p>
        </w:tc>
        <w:tc>
          <w:tcPr>
            <w:tcW w:w="1358" w:type="dxa"/>
            <w:tcBorders>
              <w:top w:val="nil"/>
              <w:left w:val="nil"/>
              <w:bottom w:val="single" w:sz="8" w:space="0" w:color="auto"/>
              <w:right w:val="nil"/>
            </w:tcBorders>
            <w:shd w:val="clear" w:color="auto" w:fill="auto"/>
            <w:vAlign w:val="center"/>
            <w:hideMark/>
          </w:tcPr>
          <w:p w14:paraId="1E31DE7B"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688,706</w:t>
            </w:r>
          </w:p>
        </w:tc>
        <w:tc>
          <w:tcPr>
            <w:tcW w:w="1358" w:type="dxa"/>
            <w:tcBorders>
              <w:top w:val="nil"/>
              <w:left w:val="nil"/>
              <w:bottom w:val="single" w:sz="8" w:space="0" w:color="auto"/>
              <w:right w:val="nil"/>
            </w:tcBorders>
            <w:shd w:val="clear" w:color="auto" w:fill="auto"/>
            <w:vAlign w:val="center"/>
            <w:hideMark/>
          </w:tcPr>
          <w:p w14:paraId="7A30E6E0"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841,988</w:t>
            </w:r>
          </w:p>
        </w:tc>
        <w:tc>
          <w:tcPr>
            <w:tcW w:w="1358" w:type="dxa"/>
            <w:tcBorders>
              <w:top w:val="nil"/>
              <w:left w:val="nil"/>
              <w:bottom w:val="single" w:sz="8" w:space="0" w:color="auto"/>
              <w:right w:val="nil"/>
            </w:tcBorders>
            <w:shd w:val="clear" w:color="auto" w:fill="auto"/>
            <w:vAlign w:val="center"/>
            <w:hideMark/>
          </w:tcPr>
          <w:p w14:paraId="4116298B"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1,118,988</w:t>
            </w:r>
          </w:p>
        </w:tc>
        <w:tc>
          <w:tcPr>
            <w:tcW w:w="1358" w:type="dxa"/>
            <w:tcBorders>
              <w:top w:val="nil"/>
              <w:left w:val="nil"/>
              <w:bottom w:val="single" w:sz="8" w:space="0" w:color="auto"/>
              <w:right w:val="nil"/>
            </w:tcBorders>
            <w:shd w:val="clear" w:color="auto" w:fill="auto"/>
            <w:vAlign w:val="center"/>
            <w:hideMark/>
          </w:tcPr>
          <w:p w14:paraId="0A44913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1,043,724</w:t>
            </w:r>
          </w:p>
        </w:tc>
      </w:tr>
      <w:tr w:rsidR="00301217" w14:paraId="3838DB2C" w14:textId="77777777" w:rsidTr="004833B0">
        <w:trPr>
          <w:trHeight w:val="280"/>
        </w:trPr>
        <w:tc>
          <w:tcPr>
            <w:tcW w:w="2570" w:type="dxa"/>
            <w:tcBorders>
              <w:top w:val="nil"/>
              <w:left w:val="nil"/>
              <w:bottom w:val="single" w:sz="8" w:space="0" w:color="auto"/>
              <w:right w:val="nil"/>
            </w:tcBorders>
            <w:shd w:val="clear" w:color="auto" w:fill="auto"/>
            <w:vAlign w:val="center"/>
            <w:hideMark/>
          </w:tcPr>
          <w:p w14:paraId="11E92476" w14:textId="77777777" w:rsidR="00301217" w:rsidRDefault="00301217">
            <w:pPr>
              <w:rPr>
                <w:rFonts w:ascii="Arial" w:hAnsi="Arial" w:cs="Arial"/>
                <w:color w:val="000000"/>
                <w:sz w:val="18"/>
                <w:szCs w:val="18"/>
              </w:rPr>
            </w:pPr>
            <w:r>
              <w:rPr>
                <w:rFonts w:ascii="Arial" w:hAnsi="Arial" w:cs="Arial"/>
                <w:color w:val="000000"/>
                <w:kern w:val="2"/>
                <w:sz w:val="18"/>
                <w:szCs w:val="18"/>
              </w:rPr>
              <w:t>Total Liabilities</w:t>
            </w:r>
          </w:p>
        </w:tc>
        <w:tc>
          <w:tcPr>
            <w:tcW w:w="1358" w:type="dxa"/>
            <w:gridSpan w:val="2"/>
            <w:tcBorders>
              <w:top w:val="nil"/>
              <w:left w:val="nil"/>
              <w:bottom w:val="single" w:sz="8" w:space="0" w:color="auto"/>
              <w:right w:val="nil"/>
            </w:tcBorders>
            <w:shd w:val="clear" w:color="auto" w:fill="auto"/>
            <w:vAlign w:val="center"/>
            <w:hideMark/>
          </w:tcPr>
          <w:p w14:paraId="3828869A"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949,070</w:t>
            </w:r>
          </w:p>
        </w:tc>
        <w:tc>
          <w:tcPr>
            <w:tcW w:w="1358" w:type="dxa"/>
            <w:tcBorders>
              <w:top w:val="nil"/>
              <w:left w:val="nil"/>
              <w:bottom w:val="single" w:sz="8" w:space="0" w:color="auto"/>
              <w:right w:val="nil"/>
            </w:tcBorders>
            <w:shd w:val="clear" w:color="auto" w:fill="auto"/>
            <w:vAlign w:val="center"/>
            <w:hideMark/>
          </w:tcPr>
          <w:p w14:paraId="05C0A395"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1,876,321</w:t>
            </w:r>
          </w:p>
        </w:tc>
        <w:tc>
          <w:tcPr>
            <w:tcW w:w="1358" w:type="dxa"/>
            <w:tcBorders>
              <w:top w:val="nil"/>
              <w:left w:val="nil"/>
              <w:bottom w:val="single" w:sz="8" w:space="0" w:color="auto"/>
              <w:right w:val="nil"/>
            </w:tcBorders>
            <w:shd w:val="clear" w:color="auto" w:fill="auto"/>
            <w:vAlign w:val="center"/>
            <w:hideMark/>
          </w:tcPr>
          <w:p w14:paraId="4A50323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1,754,477</w:t>
            </w:r>
          </w:p>
        </w:tc>
        <w:tc>
          <w:tcPr>
            <w:tcW w:w="1358" w:type="dxa"/>
            <w:tcBorders>
              <w:top w:val="nil"/>
              <w:left w:val="nil"/>
              <w:bottom w:val="single" w:sz="8" w:space="0" w:color="auto"/>
              <w:right w:val="nil"/>
            </w:tcBorders>
            <w:shd w:val="clear" w:color="auto" w:fill="auto"/>
            <w:vAlign w:val="center"/>
            <w:hideMark/>
          </w:tcPr>
          <w:p w14:paraId="01A44753"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1,749,559</w:t>
            </w:r>
          </w:p>
        </w:tc>
        <w:tc>
          <w:tcPr>
            <w:tcW w:w="1358" w:type="dxa"/>
            <w:tcBorders>
              <w:top w:val="nil"/>
              <w:left w:val="nil"/>
              <w:bottom w:val="single" w:sz="8" w:space="0" w:color="auto"/>
              <w:right w:val="nil"/>
            </w:tcBorders>
            <w:shd w:val="clear" w:color="auto" w:fill="auto"/>
            <w:vAlign w:val="center"/>
            <w:hideMark/>
          </w:tcPr>
          <w:p w14:paraId="1650E39E" w14:textId="77777777" w:rsidR="00301217" w:rsidRDefault="00301217">
            <w:pPr>
              <w:jc w:val="right"/>
              <w:rPr>
                <w:rFonts w:ascii="Arial" w:hAnsi="Arial" w:cs="Arial"/>
                <w:color w:val="000000"/>
                <w:sz w:val="18"/>
                <w:szCs w:val="18"/>
              </w:rPr>
            </w:pPr>
            <w:r>
              <w:rPr>
                <w:rFonts w:ascii="Arial" w:hAnsi="Arial" w:cs="Arial"/>
                <w:color w:val="000000"/>
                <w:kern w:val="2"/>
                <w:sz w:val="18"/>
                <w:szCs w:val="18"/>
              </w:rPr>
              <w:t>1,945,962</w:t>
            </w:r>
          </w:p>
        </w:tc>
      </w:tr>
    </w:tbl>
    <w:p w14:paraId="11A0906D" w14:textId="77777777" w:rsidR="00F50251" w:rsidRPr="004951FA" w:rsidRDefault="00F50251" w:rsidP="00301217">
      <w:pPr>
        <w:pStyle w:val="ExhibitText"/>
      </w:pPr>
    </w:p>
    <w:p w14:paraId="4A9E95F2" w14:textId="77777777" w:rsidR="008F0629" w:rsidRPr="00111748" w:rsidRDefault="00415DC6" w:rsidP="00111748">
      <w:pPr>
        <w:pStyle w:val="Footnote"/>
      </w:pPr>
      <w:r w:rsidRPr="00111748">
        <w:t>Source: Company files.</w:t>
      </w:r>
    </w:p>
    <w:p w14:paraId="35D25440" w14:textId="1604C131" w:rsidR="00301217" w:rsidRDefault="00301217">
      <w:pPr>
        <w:spacing w:after="200" w:line="276" w:lineRule="auto"/>
        <w:rPr>
          <w:rStyle w:val="FootnoteChar"/>
          <w:b/>
          <w:caps/>
        </w:rPr>
      </w:pPr>
      <w:r>
        <w:rPr>
          <w:rStyle w:val="FootnoteChar"/>
          <w:b/>
          <w:caps/>
        </w:rPr>
        <w:br w:type="page"/>
      </w:r>
    </w:p>
    <w:p w14:paraId="7C33E681" w14:textId="426308FB" w:rsidR="00F50251" w:rsidRPr="004951FA" w:rsidRDefault="00F50251" w:rsidP="00052E5E">
      <w:pPr>
        <w:pStyle w:val="ExhibitHeading"/>
      </w:pPr>
      <w:r w:rsidRPr="004951FA">
        <w:lastRenderedPageBreak/>
        <w:t>Exhibit 6</w:t>
      </w:r>
      <w:r w:rsidR="001B6D28" w:rsidRPr="004951FA">
        <w:t xml:space="preserve">: </w:t>
      </w:r>
      <w:r w:rsidRPr="004951FA">
        <w:t>KIN</w:t>
      </w:r>
      <w:r w:rsidR="001B6D28" w:rsidRPr="004951FA">
        <w:t xml:space="preserve">DRED HOME CARE </w:t>
      </w:r>
      <w:r w:rsidRPr="004951FA">
        <w:t>CASH FLOW STATEMENT</w:t>
      </w:r>
      <w:r w:rsidR="009A23F8">
        <w:t xml:space="preserve"> (CA$)</w:t>
      </w:r>
    </w:p>
    <w:p w14:paraId="6E1EEA1B" w14:textId="113FCB5A" w:rsidR="00F50251" w:rsidRPr="005847DB" w:rsidRDefault="00F50251" w:rsidP="004A7A17">
      <w:pPr>
        <w:pStyle w:val="ExhibitText"/>
        <w:rPr>
          <w:sz w:val="12"/>
          <w:szCs w:val="12"/>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05"/>
        <w:gridCol w:w="1349"/>
        <w:gridCol w:w="1349"/>
        <w:gridCol w:w="1349"/>
        <w:gridCol w:w="1349"/>
        <w:gridCol w:w="1349"/>
      </w:tblGrid>
      <w:tr w:rsidR="004833B0" w:rsidRPr="004833B0" w14:paraId="5170A95E" w14:textId="77777777" w:rsidTr="005847DB">
        <w:trPr>
          <w:trHeight w:val="115"/>
        </w:trPr>
        <w:tc>
          <w:tcPr>
            <w:tcW w:w="2610" w:type="dxa"/>
            <w:tcBorders>
              <w:top w:val="single" w:sz="4" w:space="0" w:color="auto"/>
              <w:bottom w:val="single" w:sz="4" w:space="0" w:color="auto"/>
            </w:tcBorders>
            <w:shd w:val="clear" w:color="auto" w:fill="auto"/>
            <w:vAlign w:val="center"/>
            <w:hideMark/>
          </w:tcPr>
          <w:p w14:paraId="67CCBC53" w14:textId="04720B12" w:rsidR="004833B0" w:rsidRPr="004833B0" w:rsidRDefault="005847DB" w:rsidP="004833B0">
            <w:pPr>
              <w:jc w:val="right"/>
              <w:rPr>
                <w:rFonts w:ascii="Arial" w:hAnsi="Arial" w:cs="Arial"/>
                <w:color w:val="000000"/>
                <w:sz w:val="18"/>
                <w:szCs w:val="18"/>
              </w:rPr>
            </w:pPr>
            <w:r>
              <w:rPr>
                <w:rFonts w:ascii="Arial" w:hAnsi="Arial" w:cs="Arial"/>
                <w:color w:val="000000"/>
                <w:kern w:val="2"/>
                <w:sz w:val="18"/>
                <w:szCs w:val="18"/>
              </w:rPr>
              <w:t>Y</w:t>
            </w:r>
            <w:r w:rsidR="004833B0" w:rsidRPr="004833B0">
              <w:rPr>
                <w:rFonts w:ascii="Arial" w:hAnsi="Arial" w:cs="Arial"/>
                <w:color w:val="000000"/>
                <w:kern w:val="2"/>
                <w:sz w:val="18"/>
                <w:szCs w:val="18"/>
              </w:rPr>
              <w:t xml:space="preserve">ear </w:t>
            </w:r>
            <w:r>
              <w:rPr>
                <w:rFonts w:ascii="Arial" w:hAnsi="Arial" w:cs="Arial"/>
                <w:color w:val="000000"/>
                <w:kern w:val="2"/>
                <w:sz w:val="18"/>
                <w:szCs w:val="18"/>
              </w:rPr>
              <w:t>E</w:t>
            </w:r>
            <w:r w:rsidR="004833B0" w:rsidRPr="004833B0">
              <w:rPr>
                <w:rFonts w:ascii="Arial" w:hAnsi="Arial" w:cs="Arial"/>
                <w:color w:val="000000"/>
                <w:kern w:val="2"/>
                <w:sz w:val="18"/>
                <w:szCs w:val="18"/>
              </w:rPr>
              <w:t>nding December</w:t>
            </w:r>
            <w:r w:rsidR="00886941">
              <w:rPr>
                <w:rFonts w:ascii="Arial" w:hAnsi="Arial" w:cs="Arial"/>
                <w:color w:val="000000"/>
                <w:kern w:val="2"/>
                <w:sz w:val="18"/>
                <w:szCs w:val="18"/>
              </w:rPr>
              <w:t xml:space="preserve"> 31</w:t>
            </w:r>
          </w:p>
        </w:tc>
        <w:tc>
          <w:tcPr>
            <w:tcW w:w="1350" w:type="dxa"/>
            <w:tcBorders>
              <w:top w:val="single" w:sz="4" w:space="0" w:color="auto"/>
              <w:bottom w:val="single" w:sz="4" w:space="0" w:color="auto"/>
            </w:tcBorders>
            <w:shd w:val="clear" w:color="auto" w:fill="auto"/>
            <w:vAlign w:val="center"/>
            <w:hideMark/>
          </w:tcPr>
          <w:p w14:paraId="3461B90F" w14:textId="77777777" w:rsidR="004833B0" w:rsidRPr="004833B0" w:rsidRDefault="004833B0" w:rsidP="004833B0">
            <w:pPr>
              <w:jc w:val="center"/>
              <w:rPr>
                <w:rFonts w:ascii="Arial" w:hAnsi="Arial" w:cs="Arial"/>
                <w:b/>
                <w:bCs/>
                <w:color w:val="000000"/>
                <w:sz w:val="18"/>
                <w:szCs w:val="18"/>
              </w:rPr>
            </w:pPr>
            <w:r w:rsidRPr="004833B0">
              <w:rPr>
                <w:rFonts w:ascii="Arial" w:hAnsi="Arial" w:cs="Arial"/>
                <w:b/>
                <w:bCs/>
                <w:color w:val="000000"/>
                <w:kern w:val="2"/>
                <w:sz w:val="18"/>
                <w:szCs w:val="18"/>
              </w:rPr>
              <w:t>2012</w:t>
            </w:r>
          </w:p>
        </w:tc>
        <w:tc>
          <w:tcPr>
            <w:tcW w:w="1350" w:type="dxa"/>
            <w:tcBorders>
              <w:top w:val="single" w:sz="4" w:space="0" w:color="auto"/>
              <w:bottom w:val="single" w:sz="4" w:space="0" w:color="auto"/>
            </w:tcBorders>
            <w:shd w:val="clear" w:color="auto" w:fill="auto"/>
            <w:vAlign w:val="center"/>
            <w:hideMark/>
          </w:tcPr>
          <w:p w14:paraId="2405466C" w14:textId="77777777" w:rsidR="004833B0" w:rsidRPr="004833B0" w:rsidRDefault="004833B0" w:rsidP="004833B0">
            <w:pPr>
              <w:jc w:val="center"/>
              <w:rPr>
                <w:rFonts w:ascii="Arial" w:hAnsi="Arial" w:cs="Arial"/>
                <w:b/>
                <w:bCs/>
                <w:color w:val="000000"/>
                <w:sz w:val="18"/>
                <w:szCs w:val="18"/>
              </w:rPr>
            </w:pPr>
            <w:r w:rsidRPr="004833B0">
              <w:rPr>
                <w:rFonts w:ascii="Arial" w:hAnsi="Arial" w:cs="Arial"/>
                <w:b/>
                <w:bCs/>
                <w:color w:val="000000"/>
                <w:kern w:val="2"/>
                <w:sz w:val="18"/>
                <w:szCs w:val="18"/>
              </w:rPr>
              <w:t>2013</w:t>
            </w:r>
          </w:p>
        </w:tc>
        <w:tc>
          <w:tcPr>
            <w:tcW w:w="1350" w:type="dxa"/>
            <w:tcBorders>
              <w:top w:val="single" w:sz="4" w:space="0" w:color="auto"/>
              <w:bottom w:val="single" w:sz="4" w:space="0" w:color="auto"/>
            </w:tcBorders>
            <w:shd w:val="clear" w:color="auto" w:fill="auto"/>
            <w:vAlign w:val="center"/>
            <w:hideMark/>
          </w:tcPr>
          <w:p w14:paraId="796B6C21" w14:textId="77777777" w:rsidR="004833B0" w:rsidRPr="004833B0" w:rsidRDefault="004833B0" w:rsidP="004833B0">
            <w:pPr>
              <w:jc w:val="center"/>
              <w:rPr>
                <w:rFonts w:ascii="Arial" w:hAnsi="Arial" w:cs="Arial"/>
                <w:b/>
                <w:bCs/>
                <w:color w:val="000000"/>
                <w:sz w:val="18"/>
                <w:szCs w:val="18"/>
              </w:rPr>
            </w:pPr>
            <w:r w:rsidRPr="004833B0">
              <w:rPr>
                <w:rFonts w:ascii="Arial" w:hAnsi="Arial" w:cs="Arial"/>
                <w:b/>
                <w:bCs/>
                <w:color w:val="000000"/>
                <w:kern w:val="2"/>
                <w:sz w:val="18"/>
                <w:szCs w:val="18"/>
              </w:rPr>
              <w:t>2014</w:t>
            </w:r>
          </w:p>
        </w:tc>
        <w:tc>
          <w:tcPr>
            <w:tcW w:w="1350" w:type="dxa"/>
            <w:tcBorders>
              <w:top w:val="single" w:sz="4" w:space="0" w:color="auto"/>
              <w:bottom w:val="single" w:sz="4" w:space="0" w:color="auto"/>
            </w:tcBorders>
            <w:shd w:val="clear" w:color="auto" w:fill="auto"/>
            <w:vAlign w:val="center"/>
            <w:hideMark/>
          </w:tcPr>
          <w:p w14:paraId="29203875" w14:textId="77777777" w:rsidR="004833B0" w:rsidRPr="004833B0" w:rsidRDefault="004833B0" w:rsidP="004833B0">
            <w:pPr>
              <w:jc w:val="center"/>
              <w:rPr>
                <w:rFonts w:ascii="Arial" w:hAnsi="Arial" w:cs="Arial"/>
                <w:b/>
                <w:bCs/>
                <w:color w:val="000000"/>
                <w:sz w:val="18"/>
                <w:szCs w:val="18"/>
              </w:rPr>
            </w:pPr>
            <w:r w:rsidRPr="004833B0">
              <w:rPr>
                <w:rFonts w:ascii="Arial" w:hAnsi="Arial" w:cs="Arial"/>
                <w:b/>
                <w:bCs/>
                <w:color w:val="000000"/>
                <w:kern w:val="2"/>
                <w:sz w:val="18"/>
                <w:szCs w:val="18"/>
              </w:rPr>
              <w:t>2015</w:t>
            </w:r>
          </w:p>
        </w:tc>
        <w:tc>
          <w:tcPr>
            <w:tcW w:w="1350" w:type="dxa"/>
            <w:tcBorders>
              <w:top w:val="single" w:sz="4" w:space="0" w:color="auto"/>
              <w:bottom w:val="single" w:sz="4" w:space="0" w:color="auto"/>
            </w:tcBorders>
            <w:shd w:val="clear" w:color="auto" w:fill="auto"/>
            <w:vAlign w:val="center"/>
            <w:hideMark/>
          </w:tcPr>
          <w:p w14:paraId="5422ADC1" w14:textId="77777777" w:rsidR="004833B0" w:rsidRPr="004833B0" w:rsidRDefault="004833B0" w:rsidP="004833B0">
            <w:pPr>
              <w:jc w:val="center"/>
              <w:rPr>
                <w:rFonts w:ascii="Arial" w:hAnsi="Arial" w:cs="Arial"/>
                <w:b/>
                <w:bCs/>
                <w:color w:val="000000"/>
                <w:sz w:val="18"/>
                <w:szCs w:val="18"/>
              </w:rPr>
            </w:pPr>
            <w:r w:rsidRPr="004833B0">
              <w:rPr>
                <w:rFonts w:ascii="Arial" w:hAnsi="Arial" w:cs="Arial"/>
                <w:b/>
                <w:bCs/>
                <w:color w:val="000000"/>
                <w:kern w:val="2"/>
                <w:sz w:val="18"/>
                <w:szCs w:val="18"/>
              </w:rPr>
              <w:t>2016</w:t>
            </w:r>
          </w:p>
        </w:tc>
      </w:tr>
      <w:tr w:rsidR="004833B0" w:rsidRPr="004833B0" w14:paraId="18BD67BC" w14:textId="77777777" w:rsidTr="005847DB">
        <w:trPr>
          <w:trHeight w:val="89"/>
        </w:trPr>
        <w:tc>
          <w:tcPr>
            <w:tcW w:w="2610" w:type="dxa"/>
            <w:tcBorders>
              <w:top w:val="single" w:sz="4" w:space="0" w:color="auto"/>
            </w:tcBorders>
            <w:shd w:val="clear" w:color="auto" w:fill="auto"/>
            <w:vAlign w:val="center"/>
            <w:hideMark/>
          </w:tcPr>
          <w:p w14:paraId="6A1E5655" w14:textId="77777777" w:rsidR="004833B0" w:rsidRPr="004833B0" w:rsidRDefault="004833B0" w:rsidP="004833B0">
            <w:pPr>
              <w:rPr>
                <w:rFonts w:ascii="Arial" w:hAnsi="Arial" w:cs="Arial"/>
                <w:b/>
                <w:bCs/>
                <w:color w:val="000000"/>
                <w:sz w:val="18"/>
                <w:szCs w:val="18"/>
              </w:rPr>
            </w:pPr>
            <w:r w:rsidRPr="004833B0">
              <w:rPr>
                <w:rFonts w:ascii="Arial" w:hAnsi="Arial" w:cs="Arial"/>
                <w:b/>
                <w:bCs/>
                <w:color w:val="000000"/>
                <w:kern w:val="2"/>
                <w:sz w:val="18"/>
                <w:szCs w:val="18"/>
              </w:rPr>
              <w:t>Operating</w:t>
            </w:r>
          </w:p>
        </w:tc>
        <w:tc>
          <w:tcPr>
            <w:tcW w:w="1350" w:type="dxa"/>
            <w:tcBorders>
              <w:top w:val="single" w:sz="4" w:space="0" w:color="auto"/>
            </w:tcBorders>
            <w:shd w:val="clear" w:color="auto" w:fill="auto"/>
            <w:vAlign w:val="center"/>
            <w:hideMark/>
          </w:tcPr>
          <w:p w14:paraId="28E2FD42" w14:textId="77777777" w:rsidR="004833B0" w:rsidRPr="004833B0" w:rsidRDefault="004833B0" w:rsidP="004833B0">
            <w:pPr>
              <w:rPr>
                <w:rFonts w:ascii="Arial" w:hAnsi="Arial" w:cs="Arial"/>
                <w:b/>
                <w:bCs/>
                <w:color w:val="000000"/>
                <w:sz w:val="18"/>
                <w:szCs w:val="18"/>
              </w:rPr>
            </w:pPr>
          </w:p>
        </w:tc>
        <w:tc>
          <w:tcPr>
            <w:tcW w:w="1350" w:type="dxa"/>
            <w:tcBorders>
              <w:top w:val="single" w:sz="4" w:space="0" w:color="auto"/>
            </w:tcBorders>
            <w:shd w:val="clear" w:color="auto" w:fill="auto"/>
            <w:vAlign w:val="center"/>
            <w:hideMark/>
          </w:tcPr>
          <w:p w14:paraId="271A828D" w14:textId="77777777" w:rsidR="004833B0" w:rsidRPr="004833B0" w:rsidRDefault="004833B0" w:rsidP="004833B0">
            <w:pPr>
              <w:jc w:val="right"/>
              <w:rPr>
                <w:sz w:val="20"/>
                <w:szCs w:val="20"/>
              </w:rPr>
            </w:pPr>
          </w:p>
        </w:tc>
        <w:tc>
          <w:tcPr>
            <w:tcW w:w="1350" w:type="dxa"/>
            <w:tcBorders>
              <w:top w:val="single" w:sz="4" w:space="0" w:color="auto"/>
            </w:tcBorders>
            <w:shd w:val="clear" w:color="auto" w:fill="auto"/>
            <w:vAlign w:val="center"/>
            <w:hideMark/>
          </w:tcPr>
          <w:p w14:paraId="3F0F3031" w14:textId="77777777" w:rsidR="004833B0" w:rsidRPr="004833B0" w:rsidRDefault="004833B0" w:rsidP="004833B0">
            <w:pPr>
              <w:jc w:val="right"/>
              <w:rPr>
                <w:sz w:val="20"/>
                <w:szCs w:val="20"/>
              </w:rPr>
            </w:pPr>
          </w:p>
        </w:tc>
        <w:tc>
          <w:tcPr>
            <w:tcW w:w="1350" w:type="dxa"/>
            <w:tcBorders>
              <w:top w:val="single" w:sz="4" w:space="0" w:color="auto"/>
            </w:tcBorders>
            <w:shd w:val="clear" w:color="auto" w:fill="auto"/>
            <w:vAlign w:val="center"/>
            <w:hideMark/>
          </w:tcPr>
          <w:p w14:paraId="44B8A0E4" w14:textId="77777777" w:rsidR="004833B0" w:rsidRPr="004833B0" w:rsidRDefault="004833B0" w:rsidP="004833B0">
            <w:pPr>
              <w:jc w:val="right"/>
              <w:rPr>
                <w:sz w:val="20"/>
                <w:szCs w:val="20"/>
              </w:rPr>
            </w:pPr>
          </w:p>
        </w:tc>
        <w:tc>
          <w:tcPr>
            <w:tcW w:w="1350" w:type="dxa"/>
            <w:tcBorders>
              <w:top w:val="single" w:sz="4" w:space="0" w:color="auto"/>
            </w:tcBorders>
            <w:shd w:val="clear" w:color="auto" w:fill="auto"/>
            <w:vAlign w:val="center"/>
            <w:hideMark/>
          </w:tcPr>
          <w:p w14:paraId="7A01238A" w14:textId="77777777" w:rsidR="004833B0" w:rsidRPr="004833B0" w:rsidRDefault="004833B0" w:rsidP="004833B0">
            <w:pPr>
              <w:jc w:val="right"/>
              <w:rPr>
                <w:sz w:val="20"/>
                <w:szCs w:val="20"/>
              </w:rPr>
            </w:pPr>
          </w:p>
        </w:tc>
      </w:tr>
      <w:tr w:rsidR="004833B0" w:rsidRPr="004833B0" w14:paraId="21C96528" w14:textId="77777777" w:rsidTr="005847DB">
        <w:trPr>
          <w:trHeight w:val="56"/>
        </w:trPr>
        <w:tc>
          <w:tcPr>
            <w:tcW w:w="2610" w:type="dxa"/>
            <w:shd w:val="clear" w:color="auto" w:fill="auto"/>
            <w:vAlign w:val="center"/>
            <w:hideMark/>
          </w:tcPr>
          <w:p w14:paraId="354161DA"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Net Income</w:t>
            </w:r>
          </w:p>
        </w:tc>
        <w:tc>
          <w:tcPr>
            <w:tcW w:w="1350" w:type="dxa"/>
            <w:shd w:val="clear" w:color="auto" w:fill="auto"/>
            <w:vAlign w:val="center"/>
            <w:hideMark/>
          </w:tcPr>
          <w:p w14:paraId="2853B7C5" w14:textId="45D51EE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52,342 </w:t>
            </w:r>
          </w:p>
        </w:tc>
        <w:tc>
          <w:tcPr>
            <w:tcW w:w="1350" w:type="dxa"/>
            <w:shd w:val="clear" w:color="auto" w:fill="auto"/>
            <w:vAlign w:val="center"/>
            <w:hideMark/>
          </w:tcPr>
          <w:p w14:paraId="2EBDD6A9" w14:textId="1C0F6421"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249,299 </w:t>
            </w:r>
          </w:p>
        </w:tc>
        <w:tc>
          <w:tcPr>
            <w:tcW w:w="1350" w:type="dxa"/>
            <w:shd w:val="clear" w:color="auto" w:fill="auto"/>
            <w:vAlign w:val="center"/>
            <w:hideMark/>
          </w:tcPr>
          <w:p w14:paraId="43E0DFEB" w14:textId="15810229"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153,275 </w:t>
            </w:r>
          </w:p>
        </w:tc>
        <w:tc>
          <w:tcPr>
            <w:tcW w:w="1350" w:type="dxa"/>
            <w:shd w:val="clear" w:color="auto" w:fill="auto"/>
            <w:vAlign w:val="center"/>
            <w:hideMark/>
          </w:tcPr>
          <w:p w14:paraId="24FB2200" w14:textId="113C8CE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367,000 </w:t>
            </w:r>
          </w:p>
        </w:tc>
        <w:tc>
          <w:tcPr>
            <w:tcW w:w="1350" w:type="dxa"/>
            <w:shd w:val="clear" w:color="auto" w:fill="auto"/>
            <w:vAlign w:val="center"/>
            <w:hideMark/>
          </w:tcPr>
          <w:p w14:paraId="5154157E" w14:textId="5AF6419F"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424,736 </w:t>
            </w:r>
          </w:p>
        </w:tc>
      </w:tr>
      <w:tr w:rsidR="004833B0" w:rsidRPr="004833B0" w14:paraId="11CAA46A" w14:textId="77777777" w:rsidTr="005847DB">
        <w:trPr>
          <w:trHeight w:val="56"/>
        </w:trPr>
        <w:tc>
          <w:tcPr>
            <w:tcW w:w="2610" w:type="dxa"/>
            <w:shd w:val="clear" w:color="auto" w:fill="auto"/>
            <w:vAlign w:val="center"/>
            <w:hideMark/>
          </w:tcPr>
          <w:p w14:paraId="463A75F7"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Items Not Affecting Cash</w:t>
            </w:r>
          </w:p>
        </w:tc>
        <w:tc>
          <w:tcPr>
            <w:tcW w:w="1350" w:type="dxa"/>
            <w:shd w:val="clear" w:color="auto" w:fill="auto"/>
            <w:vAlign w:val="center"/>
            <w:hideMark/>
          </w:tcPr>
          <w:p w14:paraId="4BCC54AE" w14:textId="77777777" w:rsidR="004833B0" w:rsidRPr="004833B0" w:rsidRDefault="004833B0" w:rsidP="004833B0">
            <w:pPr>
              <w:rPr>
                <w:rFonts w:ascii="Arial" w:hAnsi="Arial" w:cs="Arial"/>
                <w:color w:val="000000"/>
                <w:sz w:val="18"/>
                <w:szCs w:val="18"/>
              </w:rPr>
            </w:pPr>
          </w:p>
        </w:tc>
        <w:tc>
          <w:tcPr>
            <w:tcW w:w="1350" w:type="dxa"/>
            <w:shd w:val="clear" w:color="auto" w:fill="auto"/>
            <w:vAlign w:val="center"/>
            <w:hideMark/>
          </w:tcPr>
          <w:p w14:paraId="78D969C7" w14:textId="77777777" w:rsidR="004833B0" w:rsidRPr="004833B0" w:rsidRDefault="004833B0" w:rsidP="004833B0">
            <w:pPr>
              <w:jc w:val="right"/>
              <w:rPr>
                <w:sz w:val="20"/>
                <w:szCs w:val="20"/>
              </w:rPr>
            </w:pPr>
          </w:p>
        </w:tc>
        <w:tc>
          <w:tcPr>
            <w:tcW w:w="1350" w:type="dxa"/>
            <w:shd w:val="clear" w:color="auto" w:fill="auto"/>
            <w:vAlign w:val="center"/>
            <w:hideMark/>
          </w:tcPr>
          <w:p w14:paraId="47BBFDF0" w14:textId="77777777" w:rsidR="004833B0" w:rsidRPr="004833B0" w:rsidRDefault="004833B0" w:rsidP="004833B0">
            <w:pPr>
              <w:jc w:val="right"/>
              <w:rPr>
                <w:sz w:val="20"/>
                <w:szCs w:val="20"/>
              </w:rPr>
            </w:pPr>
          </w:p>
        </w:tc>
        <w:tc>
          <w:tcPr>
            <w:tcW w:w="1350" w:type="dxa"/>
            <w:shd w:val="clear" w:color="auto" w:fill="auto"/>
            <w:vAlign w:val="center"/>
            <w:hideMark/>
          </w:tcPr>
          <w:p w14:paraId="1209C9C4" w14:textId="77777777" w:rsidR="004833B0" w:rsidRPr="004833B0" w:rsidRDefault="004833B0" w:rsidP="004833B0">
            <w:pPr>
              <w:jc w:val="right"/>
              <w:rPr>
                <w:sz w:val="20"/>
                <w:szCs w:val="20"/>
              </w:rPr>
            </w:pPr>
          </w:p>
        </w:tc>
        <w:tc>
          <w:tcPr>
            <w:tcW w:w="1350" w:type="dxa"/>
            <w:shd w:val="clear" w:color="auto" w:fill="auto"/>
            <w:vAlign w:val="center"/>
            <w:hideMark/>
          </w:tcPr>
          <w:p w14:paraId="1C8E150F" w14:textId="77777777" w:rsidR="004833B0" w:rsidRPr="004833B0" w:rsidRDefault="004833B0" w:rsidP="004833B0">
            <w:pPr>
              <w:jc w:val="right"/>
              <w:rPr>
                <w:sz w:val="20"/>
                <w:szCs w:val="20"/>
              </w:rPr>
            </w:pPr>
          </w:p>
        </w:tc>
      </w:tr>
      <w:tr w:rsidR="004833B0" w:rsidRPr="004833B0" w14:paraId="402D0DEE" w14:textId="77777777" w:rsidTr="005847DB">
        <w:trPr>
          <w:trHeight w:val="56"/>
        </w:trPr>
        <w:tc>
          <w:tcPr>
            <w:tcW w:w="2610" w:type="dxa"/>
            <w:shd w:val="clear" w:color="auto" w:fill="auto"/>
            <w:vAlign w:val="center"/>
            <w:hideMark/>
          </w:tcPr>
          <w:p w14:paraId="26122052" w14:textId="6C200BAC" w:rsidR="004833B0" w:rsidRPr="004833B0" w:rsidRDefault="004833B0" w:rsidP="004833B0">
            <w:pPr>
              <w:pStyle w:val="ListParagraph"/>
              <w:numPr>
                <w:ilvl w:val="0"/>
                <w:numId w:val="29"/>
              </w:numPr>
              <w:rPr>
                <w:rFonts w:ascii="Cambria" w:hAnsi="Cambria" w:cs="Calibri"/>
                <w:color w:val="000000"/>
                <w:sz w:val="18"/>
                <w:szCs w:val="18"/>
              </w:rPr>
            </w:pPr>
            <w:r w:rsidRPr="004833B0">
              <w:rPr>
                <w:rFonts w:ascii="Arial" w:hAnsi="Arial" w:cs="Arial"/>
                <w:color w:val="000000"/>
                <w:sz w:val="18"/>
                <w:szCs w:val="18"/>
              </w:rPr>
              <w:t>Amortization</w:t>
            </w:r>
          </w:p>
        </w:tc>
        <w:tc>
          <w:tcPr>
            <w:tcW w:w="1350" w:type="dxa"/>
            <w:shd w:val="clear" w:color="auto" w:fill="auto"/>
            <w:vAlign w:val="center"/>
            <w:hideMark/>
          </w:tcPr>
          <w:p w14:paraId="206EAAE7" w14:textId="34406A72"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11,565 </w:t>
            </w:r>
          </w:p>
        </w:tc>
        <w:tc>
          <w:tcPr>
            <w:tcW w:w="1350" w:type="dxa"/>
            <w:shd w:val="clear" w:color="auto" w:fill="auto"/>
            <w:vAlign w:val="center"/>
            <w:hideMark/>
          </w:tcPr>
          <w:p w14:paraId="509F33D6" w14:textId="264070A8"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60,475 </w:t>
            </w:r>
          </w:p>
        </w:tc>
        <w:tc>
          <w:tcPr>
            <w:tcW w:w="1350" w:type="dxa"/>
            <w:shd w:val="clear" w:color="auto" w:fill="auto"/>
            <w:vAlign w:val="center"/>
            <w:hideMark/>
          </w:tcPr>
          <w:p w14:paraId="0694835E" w14:textId="112E9D53"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79,567 </w:t>
            </w:r>
          </w:p>
        </w:tc>
        <w:tc>
          <w:tcPr>
            <w:tcW w:w="1350" w:type="dxa"/>
            <w:shd w:val="clear" w:color="auto" w:fill="auto"/>
            <w:vAlign w:val="center"/>
            <w:hideMark/>
          </w:tcPr>
          <w:p w14:paraId="0A8072D6" w14:textId="445626C9"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83,450 </w:t>
            </w:r>
          </w:p>
        </w:tc>
        <w:tc>
          <w:tcPr>
            <w:tcW w:w="1350" w:type="dxa"/>
            <w:shd w:val="clear" w:color="auto" w:fill="auto"/>
            <w:vAlign w:val="center"/>
            <w:hideMark/>
          </w:tcPr>
          <w:p w14:paraId="7CC22C5E" w14:textId="381AB840"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72,062 </w:t>
            </w:r>
          </w:p>
        </w:tc>
      </w:tr>
      <w:tr w:rsidR="004833B0" w:rsidRPr="004833B0" w14:paraId="50AF9A53" w14:textId="77777777" w:rsidTr="005847DB">
        <w:trPr>
          <w:trHeight w:val="56"/>
        </w:trPr>
        <w:tc>
          <w:tcPr>
            <w:tcW w:w="2610" w:type="dxa"/>
            <w:shd w:val="clear" w:color="auto" w:fill="auto"/>
            <w:vAlign w:val="center"/>
            <w:hideMark/>
          </w:tcPr>
          <w:p w14:paraId="1B7C4000" w14:textId="246CA791" w:rsidR="004833B0" w:rsidRPr="004833B0" w:rsidRDefault="004833B0" w:rsidP="004833B0">
            <w:pPr>
              <w:pStyle w:val="ListParagraph"/>
              <w:numPr>
                <w:ilvl w:val="0"/>
                <w:numId w:val="29"/>
              </w:numPr>
              <w:rPr>
                <w:rFonts w:ascii="Cambria" w:hAnsi="Cambria" w:cs="Calibri"/>
                <w:color w:val="000000"/>
                <w:sz w:val="18"/>
                <w:szCs w:val="18"/>
              </w:rPr>
            </w:pPr>
            <w:r w:rsidRPr="004833B0">
              <w:rPr>
                <w:rFonts w:ascii="Arial" w:hAnsi="Arial" w:cs="Arial"/>
                <w:color w:val="000000"/>
                <w:sz w:val="18"/>
                <w:szCs w:val="18"/>
              </w:rPr>
              <w:t>Future Income Taxes</w:t>
            </w:r>
          </w:p>
        </w:tc>
        <w:tc>
          <w:tcPr>
            <w:tcW w:w="1350" w:type="dxa"/>
            <w:shd w:val="clear" w:color="auto" w:fill="auto"/>
            <w:vAlign w:val="center"/>
            <w:hideMark/>
          </w:tcPr>
          <w:p w14:paraId="08AFFFFE" w14:textId="741B30CF"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513 </w:t>
            </w:r>
          </w:p>
        </w:tc>
        <w:tc>
          <w:tcPr>
            <w:tcW w:w="1350" w:type="dxa"/>
            <w:shd w:val="clear" w:color="auto" w:fill="auto"/>
            <w:vAlign w:val="center"/>
            <w:hideMark/>
          </w:tcPr>
          <w:p w14:paraId="62FC6B65"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08B0DD68"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042A9ED9" w14:textId="522C72EE"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(30,991)</w:t>
            </w:r>
          </w:p>
        </w:tc>
        <w:tc>
          <w:tcPr>
            <w:tcW w:w="1350" w:type="dxa"/>
            <w:shd w:val="clear" w:color="auto" w:fill="auto"/>
            <w:vAlign w:val="center"/>
            <w:hideMark/>
          </w:tcPr>
          <w:p w14:paraId="721CA9EB" w14:textId="0E41E683"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5,776 </w:t>
            </w:r>
          </w:p>
        </w:tc>
      </w:tr>
      <w:tr w:rsidR="004833B0" w:rsidRPr="004833B0" w14:paraId="2D67DEED" w14:textId="77777777" w:rsidTr="005847DB">
        <w:trPr>
          <w:trHeight w:val="56"/>
        </w:trPr>
        <w:tc>
          <w:tcPr>
            <w:tcW w:w="2610" w:type="dxa"/>
            <w:shd w:val="clear" w:color="auto" w:fill="auto"/>
            <w:vAlign w:val="center"/>
            <w:hideMark/>
          </w:tcPr>
          <w:p w14:paraId="7BC04907" w14:textId="2C86A989" w:rsidR="004833B0" w:rsidRPr="004833B0" w:rsidRDefault="004833B0" w:rsidP="004833B0">
            <w:pPr>
              <w:pStyle w:val="ListParagraph"/>
              <w:numPr>
                <w:ilvl w:val="0"/>
                <w:numId w:val="29"/>
              </w:numPr>
              <w:rPr>
                <w:rFonts w:ascii="Cambria" w:hAnsi="Cambria" w:cs="Calibri"/>
                <w:color w:val="000000"/>
                <w:sz w:val="18"/>
                <w:szCs w:val="18"/>
              </w:rPr>
            </w:pPr>
            <w:r w:rsidRPr="004833B0">
              <w:rPr>
                <w:rFonts w:ascii="Arial" w:hAnsi="Arial" w:cs="Arial"/>
                <w:color w:val="000000"/>
                <w:sz w:val="18"/>
                <w:szCs w:val="18"/>
              </w:rPr>
              <w:t>Impairment Loss</w:t>
            </w:r>
          </w:p>
        </w:tc>
        <w:tc>
          <w:tcPr>
            <w:tcW w:w="1350" w:type="dxa"/>
            <w:shd w:val="clear" w:color="auto" w:fill="auto"/>
            <w:vAlign w:val="center"/>
            <w:hideMark/>
          </w:tcPr>
          <w:p w14:paraId="1ABE7A72" w14:textId="77777777" w:rsidR="004833B0" w:rsidRPr="004833B0" w:rsidRDefault="004833B0" w:rsidP="004833B0">
            <w:pPr>
              <w:rPr>
                <w:rFonts w:ascii="Calibri" w:hAnsi="Calibri" w:cs="Calibri"/>
                <w:color w:val="000000"/>
                <w:sz w:val="18"/>
                <w:szCs w:val="18"/>
              </w:rPr>
            </w:pPr>
            <w:r w:rsidRPr="004833B0">
              <w:rPr>
                <w:rFonts w:ascii="Calibri" w:hAnsi="Calibri" w:cs="Calibri"/>
                <w:color w:val="000000"/>
                <w:sz w:val="18"/>
                <w:szCs w:val="18"/>
              </w:rPr>
              <w:t> </w:t>
            </w:r>
          </w:p>
        </w:tc>
        <w:tc>
          <w:tcPr>
            <w:tcW w:w="1350" w:type="dxa"/>
            <w:shd w:val="clear" w:color="auto" w:fill="auto"/>
            <w:vAlign w:val="center"/>
            <w:hideMark/>
          </w:tcPr>
          <w:p w14:paraId="186C2648" w14:textId="77777777" w:rsidR="004833B0" w:rsidRPr="004833B0" w:rsidRDefault="004833B0" w:rsidP="004833B0">
            <w:pPr>
              <w:rPr>
                <w:rFonts w:ascii="Calibri" w:hAnsi="Calibri" w:cs="Calibri"/>
                <w:color w:val="000000"/>
                <w:sz w:val="18"/>
                <w:szCs w:val="18"/>
              </w:rPr>
            </w:pPr>
            <w:r w:rsidRPr="004833B0">
              <w:rPr>
                <w:rFonts w:ascii="Calibri" w:hAnsi="Calibri" w:cs="Calibri"/>
                <w:color w:val="000000"/>
                <w:sz w:val="18"/>
                <w:szCs w:val="18"/>
              </w:rPr>
              <w:t> </w:t>
            </w:r>
          </w:p>
        </w:tc>
        <w:tc>
          <w:tcPr>
            <w:tcW w:w="1350" w:type="dxa"/>
            <w:shd w:val="clear" w:color="auto" w:fill="auto"/>
            <w:vAlign w:val="center"/>
            <w:hideMark/>
          </w:tcPr>
          <w:p w14:paraId="08055AD9" w14:textId="77777777" w:rsidR="004833B0" w:rsidRPr="004833B0" w:rsidRDefault="004833B0" w:rsidP="004833B0">
            <w:pPr>
              <w:rPr>
                <w:rFonts w:ascii="Calibri" w:hAnsi="Calibri" w:cs="Calibri"/>
                <w:color w:val="000000"/>
                <w:sz w:val="18"/>
                <w:szCs w:val="18"/>
              </w:rPr>
            </w:pPr>
            <w:r w:rsidRPr="004833B0">
              <w:rPr>
                <w:rFonts w:ascii="Calibri" w:hAnsi="Calibri" w:cs="Calibri"/>
                <w:color w:val="000000"/>
                <w:sz w:val="18"/>
                <w:szCs w:val="18"/>
              </w:rPr>
              <w:t> </w:t>
            </w:r>
          </w:p>
        </w:tc>
        <w:tc>
          <w:tcPr>
            <w:tcW w:w="1350" w:type="dxa"/>
            <w:shd w:val="clear" w:color="auto" w:fill="auto"/>
            <w:vAlign w:val="center"/>
            <w:hideMark/>
          </w:tcPr>
          <w:p w14:paraId="507ADD45" w14:textId="1134DF19"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26,000 </w:t>
            </w:r>
          </w:p>
        </w:tc>
        <w:tc>
          <w:tcPr>
            <w:tcW w:w="1350" w:type="dxa"/>
            <w:shd w:val="clear" w:color="auto" w:fill="auto"/>
            <w:vAlign w:val="center"/>
            <w:hideMark/>
          </w:tcPr>
          <w:p w14:paraId="148780E0" w14:textId="345F7BB4"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12,121 </w:t>
            </w:r>
          </w:p>
        </w:tc>
      </w:tr>
      <w:tr w:rsidR="004833B0" w:rsidRPr="004833B0" w14:paraId="79876A44" w14:textId="77777777" w:rsidTr="005847DB">
        <w:trPr>
          <w:trHeight w:val="56"/>
        </w:trPr>
        <w:tc>
          <w:tcPr>
            <w:tcW w:w="2610" w:type="dxa"/>
            <w:shd w:val="clear" w:color="auto" w:fill="auto"/>
            <w:vAlign w:val="center"/>
            <w:hideMark/>
          </w:tcPr>
          <w:p w14:paraId="04E003DE"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 </w:t>
            </w:r>
          </w:p>
        </w:tc>
        <w:tc>
          <w:tcPr>
            <w:tcW w:w="1350" w:type="dxa"/>
            <w:shd w:val="clear" w:color="auto" w:fill="auto"/>
            <w:vAlign w:val="center"/>
            <w:hideMark/>
          </w:tcPr>
          <w:p w14:paraId="2100FFFE" w14:textId="4E197604"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64,420 </w:t>
            </w:r>
          </w:p>
        </w:tc>
        <w:tc>
          <w:tcPr>
            <w:tcW w:w="1350" w:type="dxa"/>
            <w:shd w:val="clear" w:color="auto" w:fill="auto"/>
            <w:vAlign w:val="center"/>
            <w:hideMark/>
          </w:tcPr>
          <w:p w14:paraId="3E696A6C" w14:textId="41D15830"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309,774 </w:t>
            </w:r>
          </w:p>
        </w:tc>
        <w:tc>
          <w:tcPr>
            <w:tcW w:w="1350" w:type="dxa"/>
            <w:shd w:val="clear" w:color="auto" w:fill="auto"/>
            <w:vAlign w:val="center"/>
            <w:hideMark/>
          </w:tcPr>
          <w:p w14:paraId="6D247F15" w14:textId="1730F006"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232,842 </w:t>
            </w:r>
          </w:p>
        </w:tc>
        <w:tc>
          <w:tcPr>
            <w:tcW w:w="1350" w:type="dxa"/>
            <w:shd w:val="clear" w:color="auto" w:fill="auto"/>
            <w:vAlign w:val="center"/>
            <w:hideMark/>
          </w:tcPr>
          <w:p w14:paraId="2C2C3E45" w14:textId="4B74CDB4"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445,459 </w:t>
            </w:r>
          </w:p>
        </w:tc>
        <w:tc>
          <w:tcPr>
            <w:tcW w:w="1350" w:type="dxa"/>
            <w:shd w:val="clear" w:color="auto" w:fill="auto"/>
            <w:vAlign w:val="center"/>
            <w:hideMark/>
          </w:tcPr>
          <w:p w14:paraId="385D9770" w14:textId="5B043CB8"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514,695 </w:t>
            </w:r>
          </w:p>
        </w:tc>
      </w:tr>
      <w:tr w:rsidR="004833B0" w:rsidRPr="004833B0" w14:paraId="71F3CC25" w14:textId="77777777" w:rsidTr="005847DB">
        <w:trPr>
          <w:trHeight w:val="56"/>
        </w:trPr>
        <w:tc>
          <w:tcPr>
            <w:tcW w:w="2610" w:type="dxa"/>
            <w:shd w:val="clear" w:color="auto" w:fill="auto"/>
            <w:vAlign w:val="center"/>
            <w:hideMark/>
          </w:tcPr>
          <w:p w14:paraId="5B04B6F3"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Change in Non-Cash Items</w:t>
            </w:r>
          </w:p>
        </w:tc>
        <w:tc>
          <w:tcPr>
            <w:tcW w:w="1350" w:type="dxa"/>
            <w:shd w:val="clear" w:color="auto" w:fill="auto"/>
            <w:vAlign w:val="center"/>
            <w:hideMark/>
          </w:tcPr>
          <w:p w14:paraId="5EEB790B" w14:textId="77777777" w:rsidR="004833B0" w:rsidRPr="004833B0" w:rsidRDefault="004833B0" w:rsidP="004833B0">
            <w:pPr>
              <w:rPr>
                <w:rFonts w:ascii="Arial" w:hAnsi="Arial" w:cs="Arial"/>
                <w:color w:val="000000"/>
                <w:sz w:val="18"/>
                <w:szCs w:val="18"/>
              </w:rPr>
            </w:pPr>
          </w:p>
        </w:tc>
        <w:tc>
          <w:tcPr>
            <w:tcW w:w="1350" w:type="dxa"/>
            <w:shd w:val="clear" w:color="auto" w:fill="auto"/>
            <w:vAlign w:val="center"/>
            <w:hideMark/>
          </w:tcPr>
          <w:p w14:paraId="0A8F8300" w14:textId="77777777" w:rsidR="004833B0" w:rsidRPr="004833B0" w:rsidRDefault="004833B0" w:rsidP="004833B0">
            <w:pPr>
              <w:jc w:val="right"/>
              <w:rPr>
                <w:sz w:val="20"/>
                <w:szCs w:val="20"/>
              </w:rPr>
            </w:pPr>
          </w:p>
        </w:tc>
        <w:tc>
          <w:tcPr>
            <w:tcW w:w="1350" w:type="dxa"/>
            <w:shd w:val="clear" w:color="auto" w:fill="auto"/>
            <w:vAlign w:val="center"/>
            <w:hideMark/>
          </w:tcPr>
          <w:p w14:paraId="3EA14EF9" w14:textId="77777777" w:rsidR="004833B0" w:rsidRPr="004833B0" w:rsidRDefault="004833B0" w:rsidP="004833B0">
            <w:pPr>
              <w:jc w:val="right"/>
              <w:rPr>
                <w:sz w:val="20"/>
                <w:szCs w:val="20"/>
              </w:rPr>
            </w:pPr>
          </w:p>
        </w:tc>
        <w:tc>
          <w:tcPr>
            <w:tcW w:w="1350" w:type="dxa"/>
            <w:shd w:val="clear" w:color="auto" w:fill="auto"/>
            <w:vAlign w:val="center"/>
            <w:hideMark/>
          </w:tcPr>
          <w:p w14:paraId="4D5F743B" w14:textId="77777777" w:rsidR="004833B0" w:rsidRPr="004833B0" w:rsidRDefault="004833B0" w:rsidP="004833B0">
            <w:pPr>
              <w:jc w:val="right"/>
              <w:rPr>
                <w:sz w:val="20"/>
                <w:szCs w:val="20"/>
              </w:rPr>
            </w:pPr>
          </w:p>
        </w:tc>
        <w:tc>
          <w:tcPr>
            <w:tcW w:w="1350" w:type="dxa"/>
            <w:shd w:val="clear" w:color="auto" w:fill="auto"/>
            <w:vAlign w:val="center"/>
            <w:hideMark/>
          </w:tcPr>
          <w:p w14:paraId="61FAEA1A" w14:textId="77777777" w:rsidR="004833B0" w:rsidRPr="004833B0" w:rsidRDefault="004833B0" w:rsidP="004833B0">
            <w:pPr>
              <w:jc w:val="right"/>
              <w:rPr>
                <w:sz w:val="20"/>
                <w:szCs w:val="20"/>
              </w:rPr>
            </w:pPr>
          </w:p>
        </w:tc>
      </w:tr>
      <w:tr w:rsidR="004833B0" w:rsidRPr="004833B0" w14:paraId="0D5BC427" w14:textId="77777777" w:rsidTr="005847DB">
        <w:trPr>
          <w:trHeight w:val="56"/>
        </w:trPr>
        <w:tc>
          <w:tcPr>
            <w:tcW w:w="2610" w:type="dxa"/>
            <w:shd w:val="clear" w:color="auto" w:fill="auto"/>
            <w:vAlign w:val="center"/>
            <w:hideMark/>
          </w:tcPr>
          <w:p w14:paraId="30EBAC71"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Accounts Receivable</w:t>
            </w:r>
          </w:p>
        </w:tc>
        <w:tc>
          <w:tcPr>
            <w:tcW w:w="1350" w:type="dxa"/>
            <w:shd w:val="clear" w:color="auto" w:fill="auto"/>
            <w:vAlign w:val="center"/>
            <w:hideMark/>
          </w:tcPr>
          <w:p w14:paraId="5C432E69" w14:textId="4C9A3FE0"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(121,066)</w:t>
            </w:r>
          </w:p>
        </w:tc>
        <w:tc>
          <w:tcPr>
            <w:tcW w:w="1350" w:type="dxa"/>
            <w:shd w:val="clear" w:color="auto" w:fill="auto"/>
            <w:vAlign w:val="center"/>
            <w:hideMark/>
          </w:tcPr>
          <w:p w14:paraId="1858574D" w14:textId="549156D4"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(704,409)</w:t>
            </w:r>
          </w:p>
        </w:tc>
        <w:tc>
          <w:tcPr>
            <w:tcW w:w="1350" w:type="dxa"/>
            <w:shd w:val="clear" w:color="auto" w:fill="auto"/>
            <w:vAlign w:val="center"/>
            <w:hideMark/>
          </w:tcPr>
          <w:p w14:paraId="1019E0B2" w14:textId="66BCF6C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192,510 </w:t>
            </w:r>
          </w:p>
        </w:tc>
        <w:tc>
          <w:tcPr>
            <w:tcW w:w="1350" w:type="dxa"/>
            <w:shd w:val="clear" w:color="auto" w:fill="auto"/>
            <w:vAlign w:val="center"/>
            <w:hideMark/>
          </w:tcPr>
          <w:p w14:paraId="4BCDB739" w14:textId="7A54227B"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112,201 </w:t>
            </w:r>
          </w:p>
        </w:tc>
        <w:tc>
          <w:tcPr>
            <w:tcW w:w="1350" w:type="dxa"/>
            <w:shd w:val="clear" w:color="auto" w:fill="auto"/>
            <w:vAlign w:val="center"/>
            <w:hideMark/>
          </w:tcPr>
          <w:p w14:paraId="2DFAE624" w14:textId="08BBC1FF"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584,566 </w:t>
            </w:r>
          </w:p>
        </w:tc>
      </w:tr>
      <w:tr w:rsidR="004833B0" w:rsidRPr="004833B0" w14:paraId="110A79B0" w14:textId="77777777" w:rsidTr="005847DB">
        <w:trPr>
          <w:trHeight w:val="56"/>
        </w:trPr>
        <w:tc>
          <w:tcPr>
            <w:tcW w:w="2610" w:type="dxa"/>
            <w:shd w:val="clear" w:color="auto" w:fill="auto"/>
            <w:vAlign w:val="center"/>
            <w:hideMark/>
          </w:tcPr>
          <w:p w14:paraId="1480D42D"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Prepaid Expenses</w:t>
            </w:r>
          </w:p>
        </w:tc>
        <w:tc>
          <w:tcPr>
            <w:tcW w:w="1350" w:type="dxa"/>
            <w:shd w:val="clear" w:color="auto" w:fill="auto"/>
            <w:vAlign w:val="center"/>
            <w:hideMark/>
          </w:tcPr>
          <w:p w14:paraId="2D588B2E" w14:textId="260E0A1D"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(3,321)</w:t>
            </w:r>
          </w:p>
        </w:tc>
        <w:tc>
          <w:tcPr>
            <w:tcW w:w="1350" w:type="dxa"/>
            <w:shd w:val="clear" w:color="auto" w:fill="auto"/>
            <w:vAlign w:val="center"/>
            <w:hideMark/>
          </w:tcPr>
          <w:p w14:paraId="38E02C78"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0B16B962" w14:textId="03A6B00A"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(11,110)</w:t>
            </w:r>
          </w:p>
        </w:tc>
        <w:tc>
          <w:tcPr>
            <w:tcW w:w="1350" w:type="dxa"/>
            <w:shd w:val="clear" w:color="auto" w:fill="auto"/>
            <w:vAlign w:val="center"/>
            <w:hideMark/>
          </w:tcPr>
          <w:p w14:paraId="01D2AA84" w14:textId="2CBC1745"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(47,504)</w:t>
            </w:r>
          </w:p>
        </w:tc>
        <w:tc>
          <w:tcPr>
            <w:tcW w:w="1350" w:type="dxa"/>
            <w:shd w:val="clear" w:color="auto" w:fill="auto"/>
            <w:vAlign w:val="center"/>
            <w:hideMark/>
          </w:tcPr>
          <w:p w14:paraId="09E42920" w14:textId="46D58F4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18,269 </w:t>
            </w:r>
          </w:p>
        </w:tc>
      </w:tr>
      <w:tr w:rsidR="004833B0" w:rsidRPr="004833B0" w14:paraId="142DFEEB" w14:textId="77777777" w:rsidTr="005847DB">
        <w:trPr>
          <w:trHeight w:val="56"/>
        </w:trPr>
        <w:tc>
          <w:tcPr>
            <w:tcW w:w="2610" w:type="dxa"/>
            <w:shd w:val="clear" w:color="auto" w:fill="auto"/>
            <w:vAlign w:val="center"/>
            <w:hideMark/>
          </w:tcPr>
          <w:p w14:paraId="59EAFCDD"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Accounts Payable</w:t>
            </w:r>
          </w:p>
        </w:tc>
        <w:tc>
          <w:tcPr>
            <w:tcW w:w="1350" w:type="dxa"/>
            <w:shd w:val="clear" w:color="auto" w:fill="auto"/>
            <w:vAlign w:val="center"/>
            <w:hideMark/>
          </w:tcPr>
          <w:p w14:paraId="26F39420" w14:textId="09E66F23"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33,480 </w:t>
            </w:r>
          </w:p>
        </w:tc>
        <w:tc>
          <w:tcPr>
            <w:tcW w:w="1350" w:type="dxa"/>
            <w:shd w:val="clear" w:color="auto" w:fill="auto"/>
            <w:vAlign w:val="center"/>
            <w:hideMark/>
          </w:tcPr>
          <w:p w14:paraId="698645B9" w14:textId="68424B1C"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120,743 </w:t>
            </w:r>
          </w:p>
        </w:tc>
        <w:tc>
          <w:tcPr>
            <w:tcW w:w="1350" w:type="dxa"/>
            <w:shd w:val="clear" w:color="auto" w:fill="auto"/>
            <w:vAlign w:val="center"/>
            <w:hideMark/>
          </w:tcPr>
          <w:p w14:paraId="5F2DA997" w14:textId="52485041"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142,756 </w:t>
            </w:r>
          </w:p>
        </w:tc>
        <w:tc>
          <w:tcPr>
            <w:tcW w:w="1350" w:type="dxa"/>
            <w:shd w:val="clear" w:color="auto" w:fill="auto"/>
            <w:vAlign w:val="center"/>
            <w:hideMark/>
          </w:tcPr>
          <w:p w14:paraId="75CFE875" w14:textId="3B3BBAB6"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111,992 </w:t>
            </w:r>
          </w:p>
        </w:tc>
        <w:tc>
          <w:tcPr>
            <w:tcW w:w="1350" w:type="dxa"/>
            <w:shd w:val="clear" w:color="auto" w:fill="auto"/>
            <w:vAlign w:val="center"/>
            <w:hideMark/>
          </w:tcPr>
          <w:p w14:paraId="4415D234" w14:textId="7D769D93"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85,853 </w:t>
            </w:r>
          </w:p>
        </w:tc>
      </w:tr>
      <w:tr w:rsidR="004833B0" w:rsidRPr="004833B0" w14:paraId="4260C907" w14:textId="77777777" w:rsidTr="005847DB">
        <w:trPr>
          <w:trHeight w:val="56"/>
        </w:trPr>
        <w:tc>
          <w:tcPr>
            <w:tcW w:w="2610" w:type="dxa"/>
            <w:shd w:val="clear" w:color="auto" w:fill="auto"/>
            <w:vAlign w:val="center"/>
            <w:hideMark/>
          </w:tcPr>
          <w:p w14:paraId="439931AC"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Unearned Revenue</w:t>
            </w:r>
          </w:p>
        </w:tc>
        <w:tc>
          <w:tcPr>
            <w:tcW w:w="1350" w:type="dxa"/>
            <w:shd w:val="clear" w:color="auto" w:fill="auto"/>
            <w:vAlign w:val="center"/>
            <w:hideMark/>
          </w:tcPr>
          <w:p w14:paraId="67136514"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6E19A90C"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69772A11"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1B95BFFF" w14:textId="4A87F8DA"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1,198 </w:t>
            </w:r>
          </w:p>
        </w:tc>
        <w:tc>
          <w:tcPr>
            <w:tcW w:w="1350" w:type="dxa"/>
            <w:shd w:val="clear" w:color="auto" w:fill="auto"/>
            <w:vAlign w:val="center"/>
            <w:hideMark/>
          </w:tcPr>
          <w:p w14:paraId="5AF349BD" w14:textId="5D62A520"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31,911 </w:t>
            </w:r>
          </w:p>
        </w:tc>
      </w:tr>
      <w:tr w:rsidR="004833B0" w:rsidRPr="004833B0" w14:paraId="73DF56C2" w14:textId="77777777" w:rsidTr="005847DB">
        <w:trPr>
          <w:trHeight w:val="56"/>
        </w:trPr>
        <w:tc>
          <w:tcPr>
            <w:tcW w:w="2610" w:type="dxa"/>
            <w:shd w:val="clear" w:color="auto" w:fill="auto"/>
            <w:vAlign w:val="center"/>
            <w:hideMark/>
          </w:tcPr>
          <w:p w14:paraId="160CE491"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Note Payable</w:t>
            </w:r>
          </w:p>
        </w:tc>
        <w:tc>
          <w:tcPr>
            <w:tcW w:w="1350" w:type="dxa"/>
            <w:shd w:val="clear" w:color="auto" w:fill="auto"/>
            <w:vAlign w:val="center"/>
            <w:hideMark/>
          </w:tcPr>
          <w:p w14:paraId="07A94C0C"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04D712C6" w14:textId="2C65A5FA"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100,000 </w:t>
            </w:r>
          </w:p>
        </w:tc>
        <w:tc>
          <w:tcPr>
            <w:tcW w:w="1350" w:type="dxa"/>
            <w:shd w:val="clear" w:color="auto" w:fill="auto"/>
            <w:vAlign w:val="center"/>
            <w:hideMark/>
          </w:tcPr>
          <w:p w14:paraId="49F7E210" w14:textId="529D2A22"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(100,000)</w:t>
            </w:r>
          </w:p>
        </w:tc>
        <w:tc>
          <w:tcPr>
            <w:tcW w:w="1350" w:type="dxa"/>
            <w:shd w:val="clear" w:color="auto" w:fill="auto"/>
            <w:vAlign w:val="center"/>
            <w:hideMark/>
          </w:tcPr>
          <w:p w14:paraId="45A85921"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66700E3E"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r>
      <w:tr w:rsidR="004833B0" w:rsidRPr="004833B0" w14:paraId="3A63AE8A" w14:textId="77777777" w:rsidTr="005847DB">
        <w:trPr>
          <w:trHeight w:val="56"/>
        </w:trPr>
        <w:tc>
          <w:tcPr>
            <w:tcW w:w="2610" w:type="dxa"/>
            <w:tcBorders>
              <w:bottom w:val="single" w:sz="4" w:space="0" w:color="auto"/>
            </w:tcBorders>
            <w:shd w:val="clear" w:color="auto" w:fill="auto"/>
            <w:vAlign w:val="center"/>
            <w:hideMark/>
          </w:tcPr>
          <w:p w14:paraId="5A104271"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Income Taxes</w:t>
            </w:r>
          </w:p>
        </w:tc>
        <w:tc>
          <w:tcPr>
            <w:tcW w:w="1350" w:type="dxa"/>
            <w:tcBorders>
              <w:bottom w:val="single" w:sz="4" w:space="0" w:color="auto"/>
            </w:tcBorders>
            <w:shd w:val="clear" w:color="auto" w:fill="auto"/>
            <w:vAlign w:val="center"/>
            <w:hideMark/>
          </w:tcPr>
          <w:p w14:paraId="3CD1CD88" w14:textId="72662AAC"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(7,055)</w:t>
            </w:r>
          </w:p>
        </w:tc>
        <w:tc>
          <w:tcPr>
            <w:tcW w:w="1350" w:type="dxa"/>
            <w:tcBorders>
              <w:bottom w:val="single" w:sz="4" w:space="0" w:color="auto"/>
            </w:tcBorders>
            <w:shd w:val="clear" w:color="auto" w:fill="auto"/>
            <w:vAlign w:val="center"/>
            <w:hideMark/>
          </w:tcPr>
          <w:p w14:paraId="57C6A422" w14:textId="547FFDE5"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46,988 </w:t>
            </w:r>
          </w:p>
        </w:tc>
        <w:tc>
          <w:tcPr>
            <w:tcW w:w="1350" w:type="dxa"/>
            <w:tcBorders>
              <w:bottom w:val="single" w:sz="4" w:space="0" w:color="auto"/>
            </w:tcBorders>
            <w:shd w:val="clear" w:color="auto" w:fill="auto"/>
            <w:vAlign w:val="center"/>
            <w:hideMark/>
          </w:tcPr>
          <w:p w14:paraId="7A93A25C" w14:textId="4D3C2C4F"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12,707 </w:t>
            </w:r>
          </w:p>
        </w:tc>
        <w:tc>
          <w:tcPr>
            <w:tcW w:w="1350" w:type="dxa"/>
            <w:tcBorders>
              <w:bottom w:val="single" w:sz="4" w:space="0" w:color="auto"/>
            </w:tcBorders>
            <w:shd w:val="clear" w:color="auto" w:fill="auto"/>
            <w:vAlign w:val="center"/>
            <w:hideMark/>
          </w:tcPr>
          <w:p w14:paraId="0CC8A6D9" w14:textId="187C9EAE"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9,882 </w:t>
            </w:r>
          </w:p>
        </w:tc>
        <w:tc>
          <w:tcPr>
            <w:tcW w:w="1350" w:type="dxa"/>
            <w:tcBorders>
              <w:bottom w:val="single" w:sz="4" w:space="0" w:color="auto"/>
            </w:tcBorders>
            <w:shd w:val="clear" w:color="auto" w:fill="auto"/>
            <w:vAlign w:val="center"/>
            <w:hideMark/>
          </w:tcPr>
          <w:p w14:paraId="08B59D64" w14:textId="7FE033BA"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17,546 </w:t>
            </w:r>
          </w:p>
        </w:tc>
      </w:tr>
      <w:tr w:rsidR="004833B0" w:rsidRPr="004833B0" w14:paraId="23C25DD7" w14:textId="77777777" w:rsidTr="005847DB">
        <w:trPr>
          <w:trHeight w:val="56"/>
        </w:trPr>
        <w:tc>
          <w:tcPr>
            <w:tcW w:w="2610" w:type="dxa"/>
            <w:tcBorders>
              <w:top w:val="single" w:sz="4" w:space="0" w:color="auto"/>
              <w:bottom w:val="single" w:sz="4" w:space="0" w:color="auto"/>
            </w:tcBorders>
            <w:shd w:val="clear" w:color="auto" w:fill="auto"/>
            <w:vAlign w:val="center"/>
            <w:hideMark/>
          </w:tcPr>
          <w:p w14:paraId="1D2BBA3A"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 </w:t>
            </w:r>
          </w:p>
        </w:tc>
        <w:tc>
          <w:tcPr>
            <w:tcW w:w="1350" w:type="dxa"/>
            <w:tcBorders>
              <w:top w:val="single" w:sz="4" w:space="0" w:color="auto"/>
              <w:bottom w:val="single" w:sz="4" w:space="0" w:color="auto"/>
            </w:tcBorders>
            <w:shd w:val="clear" w:color="auto" w:fill="auto"/>
            <w:vAlign w:val="center"/>
            <w:hideMark/>
          </w:tcPr>
          <w:p w14:paraId="31941199" w14:textId="572D6174"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(33,542)</w:t>
            </w:r>
          </w:p>
        </w:tc>
        <w:tc>
          <w:tcPr>
            <w:tcW w:w="1350" w:type="dxa"/>
            <w:tcBorders>
              <w:top w:val="single" w:sz="4" w:space="0" w:color="auto"/>
              <w:bottom w:val="single" w:sz="4" w:space="0" w:color="auto"/>
            </w:tcBorders>
            <w:shd w:val="clear" w:color="auto" w:fill="auto"/>
            <w:vAlign w:val="center"/>
            <w:hideMark/>
          </w:tcPr>
          <w:p w14:paraId="1873DBD9" w14:textId="030074CA"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(126,904)</w:t>
            </w:r>
          </w:p>
        </w:tc>
        <w:tc>
          <w:tcPr>
            <w:tcW w:w="1350" w:type="dxa"/>
            <w:tcBorders>
              <w:top w:val="single" w:sz="4" w:space="0" w:color="auto"/>
              <w:bottom w:val="single" w:sz="4" w:space="0" w:color="auto"/>
            </w:tcBorders>
            <w:shd w:val="clear" w:color="auto" w:fill="auto"/>
            <w:vAlign w:val="center"/>
            <w:hideMark/>
          </w:tcPr>
          <w:p w14:paraId="2FC5CF54" w14:textId="438D0E19"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469,705 </w:t>
            </w:r>
          </w:p>
        </w:tc>
        <w:tc>
          <w:tcPr>
            <w:tcW w:w="1350" w:type="dxa"/>
            <w:tcBorders>
              <w:top w:val="single" w:sz="4" w:space="0" w:color="auto"/>
              <w:bottom w:val="single" w:sz="4" w:space="0" w:color="auto"/>
            </w:tcBorders>
            <w:shd w:val="clear" w:color="auto" w:fill="auto"/>
            <w:vAlign w:val="center"/>
            <w:hideMark/>
          </w:tcPr>
          <w:p w14:paraId="52AF8588" w14:textId="1562AF14"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633,228 </w:t>
            </w:r>
          </w:p>
        </w:tc>
        <w:tc>
          <w:tcPr>
            <w:tcW w:w="1350" w:type="dxa"/>
            <w:tcBorders>
              <w:top w:val="single" w:sz="4" w:space="0" w:color="auto"/>
              <w:bottom w:val="single" w:sz="4" w:space="0" w:color="auto"/>
            </w:tcBorders>
            <w:shd w:val="clear" w:color="auto" w:fill="auto"/>
            <w:vAlign w:val="center"/>
            <w:hideMark/>
          </w:tcPr>
          <w:p w14:paraId="32A29F34" w14:textId="05E33C28"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1,252,840 </w:t>
            </w:r>
          </w:p>
        </w:tc>
      </w:tr>
      <w:tr w:rsidR="004833B0" w:rsidRPr="004833B0" w14:paraId="69F3F222" w14:textId="77777777" w:rsidTr="005847DB">
        <w:trPr>
          <w:trHeight w:val="56"/>
        </w:trPr>
        <w:tc>
          <w:tcPr>
            <w:tcW w:w="2610" w:type="dxa"/>
            <w:tcBorders>
              <w:top w:val="single" w:sz="4" w:space="0" w:color="auto"/>
            </w:tcBorders>
            <w:shd w:val="clear" w:color="auto" w:fill="auto"/>
            <w:vAlign w:val="center"/>
            <w:hideMark/>
          </w:tcPr>
          <w:p w14:paraId="7296D3AC" w14:textId="77777777" w:rsidR="004833B0" w:rsidRPr="004833B0" w:rsidRDefault="004833B0" w:rsidP="004833B0">
            <w:pPr>
              <w:rPr>
                <w:rFonts w:ascii="Arial" w:hAnsi="Arial" w:cs="Arial"/>
                <w:b/>
                <w:bCs/>
                <w:color w:val="000000"/>
                <w:sz w:val="18"/>
                <w:szCs w:val="18"/>
              </w:rPr>
            </w:pPr>
            <w:r w:rsidRPr="004833B0">
              <w:rPr>
                <w:rFonts w:ascii="Arial" w:hAnsi="Arial" w:cs="Arial"/>
                <w:b/>
                <w:bCs/>
                <w:color w:val="000000"/>
                <w:kern w:val="2"/>
                <w:sz w:val="18"/>
                <w:szCs w:val="18"/>
              </w:rPr>
              <w:t>Financing</w:t>
            </w:r>
          </w:p>
        </w:tc>
        <w:tc>
          <w:tcPr>
            <w:tcW w:w="1350" w:type="dxa"/>
            <w:tcBorders>
              <w:top w:val="single" w:sz="4" w:space="0" w:color="auto"/>
            </w:tcBorders>
            <w:shd w:val="clear" w:color="auto" w:fill="auto"/>
            <w:vAlign w:val="center"/>
            <w:hideMark/>
          </w:tcPr>
          <w:p w14:paraId="1F437422" w14:textId="77777777" w:rsidR="004833B0" w:rsidRPr="004833B0" w:rsidRDefault="004833B0" w:rsidP="004833B0">
            <w:pPr>
              <w:rPr>
                <w:rFonts w:ascii="Arial" w:hAnsi="Arial" w:cs="Arial"/>
                <w:b/>
                <w:bCs/>
                <w:color w:val="000000"/>
                <w:sz w:val="18"/>
                <w:szCs w:val="18"/>
              </w:rPr>
            </w:pPr>
          </w:p>
        </w:tc>
        <w:tc>
          <w:tcPr>
            <w:tcW w:w="1350" w:type="dxa"/>
            <w:tcBorders>
              <w:top w:val="single" w:sz="4" w:space="0" w:color="auto"/>
            </w:tcBorders>
            <w:shd w:val="clear" w:color="auto" w:fill="auto"/>
            <w:vAlign w:val="center"/>
            <w:hideMark/>
          </w:tcPr>
          <w:p w14:paraId="79CAFF8F" w14:textId="77777777" w:rsidR="004833B0" w:rsidRPr="004833B0" w:rsidRDefault="004833B0" w:rsidP="004833B0">
            <w:pPr>
              <w:jc w:val="right"/>
              <w:rPr>
                <w:sz w:val="20"/>
                <w:szCs w:val="20"/>
              </w:rPr>
            </w:pPr>
          </w:p>
        </w:tc>
        <w:tc>
          <w:tcPr>
            <w:tcW w:w="1350" w:type="dxa"/>
            <w:tcBorders>
              <w:top w:val="single" w:sz="4" w:space="0" w:color="auto"/>
            </w:tcBorders>
            <w:shd w:val="clear" w:color="auto" w:fill="auto"/>
            <w:vAlign w:val="center"/>
            <w:hideMark/>
          </w:tcPr>
          <w:p w14:paraId="7BBB0E87" w14:textId="77777777" w:rsidR="004833B0" w:rsidRPr="004833B0" w:rsidRDefault="004833B0" w:rsidP="004833B0">
            <w:pPr>
              <w:jc w:val="right"/>
              <w:rPr>
                <w:sz w:val="20"/>
                <w:szCs w:val="20"/>
              </w:rPr>
            </w:pPr>
          </w:p>
        </w:tc>
        <w:tc>
          <w:tcPr>
            <w:tcW w:w="1350" w:type="dxa"/>
            <w:tcBorders>
              <w:top w:val="single" w:sz="4" w:space="0" w:color="auto"/>
            </w:tcBorders>
            <w:shd w:val="clear" w:color="auto" w:fill="auto"/>
            <w:vAlign w:val="center"/>
            <w:hideMark/>
          </w:tcPr>
          <w:p w14:paraId="52293B5E" w14:textId="77777777" w:rsidR="004833B0" w:rsidRPr="004833B0" w:rsidRDefault="004833B0" w:rsidP="004833B0">
            <w:pPr>
              <w:jc w:val="right"/>
              <w:rPr>
                <w:sz w:val="20"/>
                <w:szCs w:val="20"/>
              </w:rPr>
            </w:pPr>
          </w:p>
        </w:tc>
        <w:tc>
          <w:tcPr>
            <w:tcW w:w="1350" w:type="dxa"/>
            <w:tcBorders>
              <w:top w:val="single" w:sz="4" w:space="0" w:color="auto"/>
            </w:tcBorders>
            <w:shd w:val="clear" w:color="auto" w:fill="auto"/>
            <w:vAlign w:val="center"/>
            <w:hideMark/>
          </w:tcPr>
          <w:p w14:paraId="12D75566" w14:textId="77777777" w:rsidR="004833B0" w:rsidRPr="004833B0" w:rsidRDefault="004833B0" w:rsidP="004833B0">
            <w:pPr>
              <w:jc w:val="right"/>
              <w:rPr>
                <w:sz w:val="20"/>
                <w:szCs w:val="20"/>
              </w:rPr>
            </w:pPr>
          </w:p>
        </w:tc>
      </w:tr>
      <w:tr w:rsidR="004833B0" w:rsidRPr="004833B0" w14:paraId="6BB7CDA8" w14:textId="77777777" w:rsidTr="005847DB">
        <w:trPr>
          <w:trHeight w:val="56"/>
        </w:trPr>
        <w:tc>
          <w:tcPr>
            <w:tcW w:w="2610" w:type="dxa"/>
            <w:shd w:val="clear" w:color="auto" w:fill="auto"/>
            <w:vAlign w:val="center"/>
            <w:hideMark/>
          </w:tcPr>
          <w:p w14:paraId="4E9CF883"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Line of Credit</w:t>
            </w:r>
          </w:p>
        </w:tc>
        <w:tc>
          <w:tcPr>
            <w:tcW w:w="1350" w:type="dxa"/>
            <w:shd w:val="clear" w:color="auto" w:fill="auto"/>
            <w:vAlign w:val="center"/>
            <w:hideMark/>
          </w:tcPr>
          <w:p w14:paraId="76F6A496" w14:textId="79876C3F"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143,000 </w:t>
            </w:r>
          </w:p>
        </w:tc>
        <w:tc>
          <w:tcPr>
            <w:tcW w:w="1350" w:type="dxa"/>
            <w:shd w:val="clear" w:color="auto" w:fill="auto"/>
            <w:vAlign w:val="center"/>
            <w:hideMark/>
          </w:tcPr>
          <w:p w14:paraId="6F14F704" w14:textId="5B50A30C"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154,000 </w:t>
            </w:r>
          </w:p>
        </w:tc>
        <w:tc>
          <w:tcPr>
            <w:tcW w:w="1350" w:type="dxa"/>
            <w:shd w:val="clear" w:color="auto" w:fill="auto"/>
            <w:vAlign w:val="center"/>
            <w:hideMark/>
          </w:tcPr>
          <w:p w14:paraId="12553D48" w14:textId="3E882A5A"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(243,000)</w:t>
            </w:r>
          </w:p>
        </w:tc>
        <w:tc>
          <w:tcPr>
            <w:tcW w:w="1350" w:type="dxa"/>
            <w:shd w:val="clear" w:color="auto" w:fill="auto"/>
            <w:vAlign w:val="center"/>
            <w:hideMark/>
          </w:tcPr>
          <w:p w14:paraId="6B1CAB20" w14:textId="08CD8FEC"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(233,000)</w:t>
            </w:r>
          </w:p>
        </w:tc>
        <w:tc>
          <w:tcPr>
            <w:tcW w:w="1350" w:type="dxa"/>
            <w:shd w:val="clear" w:color="auto" w:fill="auto"/>
            <w:vAlign w:val="center"/>
            <w:hideMark/>
          </w:tcPr>
          <w:p w14:paraId="45DDDEC4"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r>
      <w:tr w:rsidR="004833B0" w:rsidRPr="004833B0" w14:paraId="2F3817DA" w14:textId="77777777" w:rsidTr="005847DB">
        <w:trPr>
          <w:trHeight w:val="56"/>
        </w:trPr>
        <w:tc>
          <w:tcPr>
            <w:tcW w:w="2610" w:type="dxa"/>
            <w:shd w:val="clear" w:color="auto" w:fill="auto"/>
            <w:vAlign w:val="center"/>
            <w:hideMark/>
          </w:tcPr>
          <w:p w14:paraId="055998AD"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Advances</w:t>
            </w:r>
          </w:p>
        </w:tc>
        <w:tc>
          <w:tcPr>
            <w:tcW w:w="1350" w:type="dxa"/>
            <w:shd w:val="clear" w:color="auto" w:fill="auto"/>
            <w:vAlign w:val="center"/>
            <w:hideMark/>
          </w:tcPr>
          <w:p w14:paraId="5942D506"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73F33F83"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55D879DA" w14:textId="51170050"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(109,544)</w:t>
            </w:r>
          </w:p>
        </w:tc>
        <w:tc>
          <w:tcPr>
            <w:tcW w:w="1350" w:type="dxa"/>
            <w:shd w:val="clear" w:color="auto" w:fill="auto"/>
            <w:vAlign w:val="center"/>
            <w:hideMark/>
          </w:tcPr>
          <w:p w14:paraId="6CC7845F" w14:textId="04517450"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(90,509)</w:t>
            </w:r>
          </w:p>
        </w:tc>
        <w:tc>
          <w:tcPr>
            <w:tcW w:w="1350" w:type="dxa"/>
            <w:shd w:val="clear" w:color="auto" w:fill="auto"/>
            <w:vAlign w:val="center"/>
            <w:hideMark/>
          </w:tcPr>
          <w:p w14:paraId="3D2E2B18" w14:textId="7A73E403"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(360,880)</w:t>
            </w:r>
          </w:p>
        </w:tc>
      </w:tr>
      <w:tr w:rsidR="004833B0" w:rsidRPr="004833B0" w14:paraId="56997CAD" w14:textId="77777777" w:rsidTr="005847DB">
        <w:trPr>
          <w:trHeight w:val="56"/>
        </w:trPr>
        <w:tc>
          <w:tcPr>
            <w:tcW w:w="2610" w:type="dxa"/>
            <w:shd w:val="clear" w:color="auto" w:fill="auto"/>
            <w:vAlign w:val="center"/>
            <w:hideMark/>
          </w:tcPr>
          <w:p w14:paraId="15F7E1C3"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Repayment of Debt</w:t>
            </w:r>
          </w:p>
        </w:tc>
        <w:tc>
          <w:tcPr>
            <w:tcW w:w="1350" w:type="dxa"/>
            <w:shd w:val="clear" w:color="auto" w:fill="auto"/>
            <w:vAlign w:val="center"/>
            <w:hideMark/>
          </w:tcPr>
          <w:p w14:paraId="619CA7F7"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51E49C6D"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4A51D870" w14:textId="4AFF36F5"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(113,194)</w:t>
            </w:r>
          </w:p>
        </w:tc>
        <w:tc>
          <w:tcPr>
            <w:tcW w:w="1350" w:type="dxa"/>
            <w:shd w:val="clear" w:color="auto" w:fill="auto"/>
            <w:vAlign w:val="center"/>
            <w:hideMark/>
          </w:tcPr>
          <w:p w14:paraId="40E92E88" w14:textId="3BEC3630"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(166,806)</w:t>
            </w:r>
          </w:p>
        </w:tc>
        <w:tc>
          <w:tcPr>
            <w:tcW w:w="1350" w:type="dxa"/>
            <w:shd w:val="clear" w:color="auto" w:fill="auto"/>
            <w:vAlign w:val="center"/>
            <w:hideMark/>
          </w:tcPr>
          <w:p w14:paraId="4CAAFC2F" w14:textId="6FE799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(50,000)</w:t>
            </w:r>
          </w:p>
        </w:tc>
      </w:tr>
      <w:tr w:rsidR="004833B0" w:rsidRPr="004833B0" w14:paraId="45FBB387" w14:textId="77777777" w:rsidTr="005847DB">
        <w:trPr>
          <w:trHeight w:val="56"/>
        </w:trPr>
        <w:tc>
          <w:tcPr>
            <w:tcW w:w="2610" w:type="dxa"/>
            <w:shd w:val="clear" w:color="auto" w:fill="auto"/>
            <w:vAlign w:val="center"/>
            <w:hideMark/>
          </w:tcPr>
          <w:p w14:paraId="5950DE60"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Issuance of Share Capital</w:t>
            </w:r>
          </w:p>
        </w:tc>
        <w:tc>
          <w:tcPr>
            <w:tcW w:w="1350" w:type="dxa"/>
            <w:shd w:val="clear" w:color="auto" w:fill="auto"/>
            <w:vAlign w:val="center"/>
            <w:hideMark/>
          </w:tcPr>
          <w:p w14:paraId="0E6FE770"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760E7000"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22EBB8AC" w14:textId="273BA1E8"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140,000 </w:t>
            </w:r>
          </w:p>
        </w:tc>
        <w:tc>
          <w:tcPr>
            <w:tcW w:w="1350" w:type="dxa"/>
            <w:shd w:val="clear" w:color="auto" w:fill="auto"/>
            <w:vAlign w:val="center"/>
            <w:hideMark/>
          </w:tcPr>
          <w:p w14:paraId="48185DF3"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69D90758"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r>
      <w:tr w:rsidR="004833B0" w:rsidRPr="004833B0" w14:paraId="001A4CDE" w14:textId="77777777" w:rsidTr="005847DB">
        <w:trPr>
          <w:trHeight w:val="56"/>
        </w:trPr>
        <w:tc>
          <w:tcPr>
            <w:tcW w:w="2610" w:type="dxa"/>
            <w:shd w:val="clear" w:color="auto" w:fill="auto"/>
            <w:vAlign w:val="center"/>
            <w:hideMark/>
          </w:tcPr>
          <w:p w14:paraId="642325D8"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Dividends Paid</w:t>
            </w:r>
          </w:p>
        </w:tc>
        <w:tc>
          <w:tcPr>
            <w:tcW w:w="1350" w:type="dxa"/>
            <w:shd w:val="clear" w:color="auto" w:fill="auto"/>
            <w:vAlign w:val="center"/>
            <w:hideMark/>
          </w:tcPr>
          <w:p w14:paraId="336FCD93"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632E4EC7"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029101FC"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1005E449" w14:textId="35BF143A"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(90,000)</w:t>
            </w:r>
          </w:p>
        </w:tc>
        <w:tc>
          <w:tcPr>
            <w:tcW w:w="1350" w:type="dxa"/>
            <w:shd w:val="clear" w:color="auto" w:fill="auto"/>
            <w:vAlign w:val="center"/>
            <w:hideMark/>
          </w:tcPr>
          <w:p w14:paraId="4D137FCA" w14:textId="22F755C1"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(500,000)</w:t>
            </w:r>
          </w:p>
        </w:tc>
      </w:tr>
      <w:tr w:rsidR="004833B0" w:rsidRPr="004833B0" w14:paraId="7228F64E" w14:textId="77777777" w:rsidTr="005847DB">
        <w:trPr>
          <w:trHeight w:val="56"/>
        </w:trPr>
        <w:tc>
          <w:tcPr>
            <w:tcW w:w="2610" w:type="dxa"/>
            <w:tcBorders>
              <w:bottom w:val="single" w:sz="4" w:space="0" w:color="auto"/>
            </w:tcBorders>
            <w:shd w:val="clear" w:color="auto" w:fill="auto"/>
            <w:vAlign w:val="center"/>
            <w:hideMark/>
          </w:tcPr>
          <w:p w14:paraId="0C038405"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Long-Term Debt</w:t>
            </w:r>
          </w:p>
        </w:tc>
        <w:tc>
          <w:tcPr>
            <w:tcW w:w="1350" w:type="dxa"/>
            <w:tcBorders>
              <w:bottom w:val="single" w:sz="4" w:space="0" w:color="auto"/>
            </w:tcBorders>
            <w:shd w:val="clear" w:color="auto" w:fill="auto"/>
            <w:vAlign w:val="center"/>
            <w:hideMark/>
          </w:tcPr>
          <w:p w14:paraId="7DEC5D1A"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tcBorders>
              <w:bottom w:val="single" w:sz="4" w:space="0" w:color="auto"/>
            </w:tcBorders>
            <w:shd w:val="clear" w:color="auto" w:fill="auto"/>
            <w:vAlign w:val="center"/>
            <w:hideMark/>
          </w:tcPr>
          <w:p w14:paraId="6FBC99E1" w14:textId="55B9AD46"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190,000 </w:t>
            </w:r>
          </w:p>
        </w:tc>
        <w:tc>
          <w:tcPr>
            <w:tcW w:w="1350" w:type="dxa"/>
            <w:tcBorders>
              <w:bottom w:val="single" w:sz="4" w:space="0" w:color="auto"/>
            </w:tcBorders>
            <w:shd w:val="clear" w:color="auto" w:fill="auto"/>
            <w:vAlign w:val="center"/>
            <w:hideMark/>
          </w:tcPr>
          <w:p w14:paraId="31684FF0"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tcBorders>
              <w:bottom w:val="single" w:sz="4" w:space="0" w:color="auto"/>
            </w:tcBorders>
            <w:shd w:val="clear" w:color="auto" w:fill="auto"/>
            <w:vAlign w:val="center"/>
            <w:hideMark/>
          </w:tcPr>
          <w:p w14:paraId="09CF8621"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tcBorders>
              <w:bottom w:val="single" w:sz="4" w:space="0" w:color="auto"/>
            </w:tcBorders>
            <w:shd w:val="clear" w:color="auto" w:fill="auto"/>
            <w:vAlign w:val="center"/>
            <w:hideMark/>
          </w:tcPr>
          <w:p w14:paraId="79594E97"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r>
      <w:tr w:rsidR="004833B0" w:rsidRPr="004833B0" w14:paraId="1EE85478" w14:textId="77777777" w:rsidTr="005847DB">
        <w:trPr>
          <w:trHeight w:val="56"/>
        </w:trPr>
        <w:tc>
          <w:tcPr>
            <w:tcW w:w="2610" w:type="dxa"/>
            <w:tcBorders>
              <w:top w:val="single" w:sz="4" w:space="0" w:color="auto"/>
              <w:bottom w:val="single" w:sz="4" w:space="0" w:color="auto"/>
            </w:tcBorders>
            <w:shd w:val="clear" w:color="auto" w:fill="auto"/>
            <w:vAlign w:val="center"/>
            <w:hideMark/>
          </w:tcPr>
          <w:p w14:paraId="287E0D7E"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 </w:t>
            </w:r>
          </w:p>
        </w:tc>
        <w:tc>
          <w:tcPr>
            <w:tcW w:w="1350" w:type="dxa"/>
            <w:tcBorders>
              <w:top w:val="single" w:sz="4" w:space="0" w:color="auto"/>
              <w:bottom w:val="single" w:sz="4" w:space="0" w:color="auto"/>
            </w:tcBorders>
            <w:shd w:val="clear" w:color="auto" w:fill="auto"/>
            <w:vAlign w:val="center"/>
            <w:hideMark/>
          </w:tcPr>
          <w:p w14:paraId="06D857B2" w14:textId="4F3928A0"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143,000 </w:t>
            </w:r>
          </w:p>
        </w:tc>
        <w:tc>
          <w:tcPr>
            <w:tcW w:w="1350" w:type="dxa"/>
            <w:tcBorders>
              <w:top w:val="single" w:sz="4" w:space="0" w:color="auto"/>
              <w:bottom w:val="single" w:sz="4" w:space="0" w:color="auto"/>
            </w:tcBorders>
            <w:shd w:val="clear" w:color="auto" w:fill="auto"/>
            <w:vAlign w:val="center"/>
            <w:hideMark/>
          </w:tcPr>
          <w:p w14:paraId="34A8EEA1" w14:textId="5ED865EE"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344,000 </w:t>
            </w:r>
          </w:p>
        </w:tc>
        <w:tc>
          <w:tcPr>
            <w:tcW w:w="1350" w:type="dxa"/>
            <w:tcBorders>
              <w:top w:val="single" w:sz="4" w:space="0" w:color="auto"/>
              <w:bottom w:val="single" w:sz="4" w:space="0" w:color="auto"/>
            </w:tcBorders>
            <w:shd w:val="clear" w:color="auto" w:fill="auto"/>
            <w:vAlign w:val="center"/>
            <w:hideMark/>
          </w:tcPr>
          <w:p w14:paraId="4FD75B59" w14:textId="05A199C5"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(325,738)</w:t>
            </w:r>
          </w:p>
        </w:tc>
        <w:tc>
          <w:tcPr>
            <w:tcW w:w="1350" w:type="dxa"/>
            <w:tcBorders>
              <w:top w:val="single" w:sz="4" w:space="0" w:color="auto"/>
              <w:bottom w:val="single" w:sz="4" w:space="0" w:color="auto"/>
            </w:tcBorders>
            <w:shd w:val="clear" w:color="auto" w:fill="auto"/>
            <w:vAlign w:val="center"/>
            <w:hideMark/>
          </w:tcPr>
          <w:p w14:paraId="13D83C67" w14:textId="2394C713"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(580,315)</w:t>
            </w:r>
          </w:p>
        </w:tc>
        <w:tc>
          <w:tcPr>
            <w:tcW w:w="1350" w:type="dxa"/>
            <w:tcBorders>
              <w:top w:val="single" w:sz="4" w:space="0" w:color="auto"/>
              <w:bottom w:val="single" w:sz="4" w:space="0" w:color="auto"/>
            </w:tcBorders>
            <w:shd w:val="clear" w:color="auto" w:fill="auto"/>
            <w:vAlign w:val="center"/>
            <w:hideMark/>
          </w:tcPr>
          <w:p w14:paraId="6991F170" w14:textId="1DA5F9B3"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(189,120)</w:t>
            </w:r>
          </w:p>
        </w:tc>
      </w:tr>
      <w:tr w:rsidR="004833B0" w:rsidRPr="004833B0" w14:paraId="7CA30FD8" w14:textId="77777777" w:rsidTr="005847DB">
        <w:trPr>
          <w:trHeight w:val="56"/>
        </w:trPr>
        <w:tc>
          <w:tcPr>
            <w:tcW w:w="2610" w:type="dxa"/>
            <w:tcBorders>
              <w:top w:val="single" w:sz="4" w:space="0" w:color="auto"/>
            </w:tcBorders>
            <w:shd w:val="clear" w:color="auto" w:fill="auto"/>
            <w:vAlign w:val="center"/>
            <w:hideMark/>
          </w:tcPr>
          <w:p w14:paraId="51FD3FF5" w14:textId="77777777" w:rsidR="004833B0" w:rsidRPr="004833B0" w:rsidRDefault="004833B0" w:rsidP="004833B0">
            <w:pPr>
              <w:rPr>
                <w:rFonts w:ascii="Arial" w:hAnsi="Arial" w:cs="Arial"/>
                <w:b/>
                <w:bCs/>
                <w:color w:val="000000"/>
                <w:sz w:val="18"/>
                <w:szCs w:val="18"/>
              </w:rPr>
            </w:pPr>
            <w:r w:rsidRPr="004833B0">
              <w:rPr>
                <w:rFonts w:ascii="Arial" w:hAnsi="Arial" w:cs="Arial"/>
                <w:b/>
                <w:bCs/>
                <w:color w:val="000000"/>
                <w:kern w:val="2"/>
                <w:sz w:val="18"/>
                <w:szCs w:val="18"/>
              </w:rPr>
              <w:t>Investing</w:t>
            </w:r>
          </w:p>
        </w:tc>
        <w:tc>
          <w:tcPr>
            <w:tcW w:w="1350" w:type="dxa"/>
            <w:tcBorders>
              <w:top w:val="single" w:sz="4" w:space="0" w:color="auto"/>
            </w:tcBorders>
            <w:shd w:val="clear" w:color="auto" w:fill="auto"/>
            <w:vAlign w:val="center"/>
            <w:hideMark/>
          </w:tcPr>
          <w:p w14:paraId="7B8B74F7" w14:textId="77777777" w:rsidR="004833B0" w:rsidRPr="004833B0" w:rsidRDefault="004833B0" w:rsidP="004833B0">
            <w:pPr>
              <w:rPr>
                <w:rFonts w:ascii="Arial" w:hAnsi="Arial" w:cs="Arial"/>
                <w:b/>
                <w:bCs/>
                <w:color w:val="000000"/>
                <w:sz w:val="18"/>
                <w:szCs w:val="18"/>
              </w:rPr>
            </w:pPr>
          </w:p>
        </w:tc>
        <w:tc>
          <w:tcPr>
            <w:tcW w:w="1350" w:type="dxa"/>
            <w:tcBorders>
              <w:top w:val="single" w:sz="4" w:space="0" w:color="auto"/>
            </w:tcBorders>
            <w:shd w:val="clear" w:color="auto" w:fill="auto"/>
            <w:vAlign w:val="center"/>
            <w:hideMark/>
          </w:tcPr>
          <w:p w14:paraId="30131534" w14:textId="77777777" w:rsidR="004833B0" w:rsidRPr="004833B0" w:rsidRDefault="004833B0" w:rsidP="004833B0">
            <w:pPr>
              <w:jc w:val="right"/>
              <w:rPr>
                <w:sz w:val="20"/>
                <w:szCs w:val="20"/>
              </w:rPr>
            </w:pPr>
          </w:p>
        </w:tc>
        <w:tc>
          <w:tcPr>
            <w:tcW w:w="1350" w:type="dxa"/>
            <w:tcBorders>
              <w:top w:val="single" w:sz="4" w:space="0" w:color="auto"/>
            </w:tcBorders>
            <w:shd w:val="clear" w:color="auto" w:fill="auto"/>
            <w:vAlign w:val="center"/>
            <w:hideMark/>
          </w:tcPr>
          <w:p w14:paraId="67212DE6" w14:textId="77777777" w:rsidR="004833B0" w:rsidRPr="004833B0" w:rsidRDefault="004833B0" w:rsidP="004833B0">
            <w:pPr>
              <w:jc w:val="right"/>
              <w:rPr>
                <w:sz w:val="20"/>
                <w:szCs w:val="20"/>
              </w:rPr>
            </w:pPr>
          </w:p>
        </w:tc>
        <w:tc>
          <w:tcPr>
            <w:tcW w:w="1350" w:type="dxa"/>
            <w:tcBorders>
              <w:top w:val="single" w:sz="4" w:space="0" w:color="auto"/>
            </w:tcBorders>
            <w:shd w:val="clear" w:color="auto" w:fill="auto"/>
            <w:vAlign w:val="center"/>
            <w:hideMark/>
          </w:tcPr>
          <w:p w14:paraId="7EEAD1BA" w14:textId="77777777" w:rsidR="004833B0" w:rsidRPr="004833B0" w:rsidRDefault="004833B0" w:rsidP="004833B0">
            <w:pPr>
              <w:jc w:val="right"/>
              <w:rPr>
                <w:sz w:val="20"/>
                <w:szCs w:val="20"/>
              </w:rPr>
            </w:pPr>
          </w:p>
        </w:tc>
        <w:tc>
          <w:tcPr>
            <w:tcW w:w="1350" w:type="dxa"/>
            <w:tcBorders>
              <w:top w:val="single" w:sz="4" w:space="0" w:color="auto"/>
            </w:tcBorders>
            <w:shd w:val="clear" w:color="auto" w:fill="auto"/>
            <w:vAlign w:val="center"/>
            <w:hideMark/>
          </w:tcPr>
          <w:p w14:paraId="117CD278" w14:textId="77777777" w:rsidR="004833B0" w:rsidRPr="004833B0" w:rsidRDefault="004833B0" w:rsidP="004833B0">
            <w:pPr>
              <w:jc w:val="right"/>
              <w:rPr>
                <w:sz w:val="20"/>
                <w:szCs w:val="20"/>
              </w:rPr>
            </w:pPr>
          </w:p>
        </w:tc>
      </w:tr>
      <w:tr w:rsidR="004833B0" w:rsidRPr="004833B0" w14:paraId="7C950851" w14:textId="77777777" w:rsidTr="005847DB">
        <w:trPr>
          <w:trHeight w:val="56"/>
        </w:trPr>
        <w:tc>
          <w:tcPr>
            <w:tcW w:w="2610" w:type="dxa"/>
            <w:shd w:val="clear" w:color="auto" w:fill="auto"/>
            <w:vAlign w:val="center"/>
            <w:hideMark/>
          </w:tcPr>
          <w:p w14:paraId="16A3D1E6"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 xml:space="preserve">Advances </w:t>
            </w:r>
          </w:p>
        </w:tc>
        <w:tc>
          <w:tcPr>
            <w:tcW w:w="1350" w:type="dxa"/>
            <w:shd w:val="clear" w:color="auto" w:fill="auto"/>
            <w:vAlign w:val="center"/>
            <w:hideMark/>
          </w:tcPr>
          <w:p w14:paraId="25B824EC" w14:textId="2FE7A86E"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27,468 </w:t>
            </w:r>
          </w:p>
        </w:tc>
        <w:tc>
          <w:tcPr>
            <w:tcW w:w="1350" w:type="dxa"/>
            <w:shd w:val="clear" w:color="auto" w:fill="auto"/>
            <w:vAlign w:val="center"/>
            <w:hideMark/>
          </w:tcPr>
          <w:p w14:paraId="246D2656" w14:textId="65353F3A"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43,399 </w:t>
            </w:r>
          </w:p>
        </w:tc>
        <w:tc>
          <w:tcPr>
            <w:tcW w:w="1350" w:type="dxa"/>
            <w:shd w:val="clear" w:color="auto" w:fill="auto"/>
            <w:vAlign w:val="center"/>
            <w:hideMark/>
          </w:tcPr>
          <w:p w14:paraId="0A64785A"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4B69D6A2"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365BD8B2"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r>
      <w:tr w:rsidR="004833B0" w:rsidRPr="004833B0" w14:paraId="318BC465" w14:textId="77777777" w:rsidTr="005847DB">
        <w:trPr>
          <w:trHeight w:val="56"/>
        </w:trPr>
        <w:tc>
          <w:tcPr>
            <w:tcW w:w="2610" w:type="dxa"/>
            <w:shd w:val="clear" w:color="auto" w:fill="auto"/>
            <w:vAlign w:val="center"/>
            <w:hideMark/>
          </w:tcPr>
          <w:p w14:paraId="7C6CFB97"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Purchase of Property</w:t>
            </w:r>
          </w:p>
        </w:tc>
        <w:tc>
          <w:tcPr>
            <w:tcW w:w="1350" w:type="dxa"/>
            <w:shd w:val="clear" w:color="auto" w:fill="auto"/>
            <w:vAlign w:val="center"/>
            <w:hideMark/>
          </w:tcPr>
          <w:p w14:paraId="7BFCCCE8" w14:textId="46C787E9"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(6,171)</w:t>
            </w:r>
          </w:p>
        </w:tc>
        <w:tc>
          <w:tcPr>
            <w:tcW w:w="1350" w:type="dxa"/>
            <w:shd w:val="clear" w:color="auto" w:fill="auto"/>
            <w:vAlign w:val="center"/>
            <w:hideMark/>
          </w:tcPr>
          <w:p w14:paraId="2C4DE6A1" w14:textId="6FB5C870"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(13,217)</w:t>
            </w:r>
          </w:p>
        </w:tc>
        <w:tc>
          <w:tcPr>
            <w:tcW w:w="1350" w:type="dxa"/>
            <w:shd w:val="clear" w:color="auto" w:fill="auto"/>
            <w:vAlign w:val="center"/>
            <w:hideMark/>
          </w:tcPr>
          <w:p w14:paraId="43957C30" w14:textId="2BD765E0"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(24,675)</w:t>
            </w:r>
          </w:p>
        </w:tc>
        <w:tc>
          <w:tcPr>
            <w:tcW w:w="1350" w:type="dxa"/>
            <w:shd w:val="clear" w:color="auto" w:fill="auto"/>
            <w:vAlign w:val="center"/>
            <w:hideMark/>
          </w:tcPr>
          <w:p w14:paraId="58CA2523" w14:textId="016C1F84"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(12,517)</w:t>
            </w:r>
          </w:p>
        </w:tc>
        <w:tc>
          <w:tcPr>
            <w:tcW w:w="1350" w:type="dxa"/>
            <w:shd w:val="clear" w:color="auto" w:fill="auto"/>
            <w:vAlign w:val="center"/>
            <w:hideMark/>
          </w:tcPr>
          <w:p w14:paraId="5DFF988A" w14:textId="0368FAAF"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(76,781)</w:t>
            </w:r>
          </w:p>
        </w:tc>
      </w:tr>
      <w:tr w:rsidR="004833B0" w:rsidRPr="004833B0" w14:paraId="380DEE80" w14:textId="77777777" w:rsidTr="005847DB">
        <w:trPr>
          <w:trHeight w:val="56"/>
        </w:trPr>
        <w:tc>
          <w:tcPr>
            <w:tcW w:w="2610" w:type="dxa"/>
            <w:shd w:val="clear" w:color="auto" w:fill="auto"/>
            <w:vAlign w:val="center"/>
            <w:hideMark/>
          </w:tcPr>
          <w:p w14:paraId="59FA1D7F"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Other Assets</w:t>
            </w:r>
          </w:p>
        </w:tc>
        <w:tc>
          <w:tcPr>
            <w:tcW w:w="1350" w:type="dxa"/>
            <w:shd w:val="clear" w:color="auto" w:fill="auto"/>
            <w:vAlign w:val="center"/>
            <w:hideMark/>
          </w:tcPr>
          <w:p w14:paraId="6B4A83ED" w14:textId="6D65B6F5"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(129,572)</w:t>
            </w:r>
          </w:p>
        </w:tc>
        <w:tc>
          <w:tcPr>
            <w:tcW w:w="1350" w:type="dxa"/>
            <w:shd w:val="clear" w:color="auto" w:fill="auto"/>
            <w:vAlign w:val="center"/>
            <w:hideMark/>
          </w:tcPr>
          <w:p w14:paraId="24B3FF6E" w14:textId="7228B55C"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(147,100)</w:t>
            </w:r>
          </w:p>
        </w:tc>
        <w:tc>
          <w:tcPr>
            <w:tcW w:w="1350" w:type="dxa"/>
            <w:shd w:val="clear" w:color="auto" w:fill="auto"/>
            <w:vAlign w:val="center"/>
            <w:hideMark/>
          </w:tcPr>
          <w:p w14:paraId="285ADAD5" w14:textId="38AFB8F3"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1,680 </w:t>
            </w:r>
          </w:p>
        </w:tc>
        <w:tc>
          <w:tcPr>
            <w:tcW w:w="1350" w:type="dxa"/>
            <w:shd w:val="clear" w:color="auto" w:fill="auto"/>
            <w:vAlign w:val="center"/>
            <w:hideMark/>
          </w:tcPr>
          <w:p w14:paraId="4089D5E0" w14:textId="48570616"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(12,564)</w:t>
            </w:r>
          </w:p>
        </w:tc>
        <w:tc>
          <w:tcPr>
            <w:tcW w:w="1350" w:type="dxa"/>
            <w:shd w:val="clear" w:color="auto" w:fill="auto"/>
            <w:vAlign w:val="center"/>
            <w:hideMark/>
          </w:tcPr>
          <w:p w14:paraId="02DECA92"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r>
      <w:tr w:rsidR="004833B0" w:rsidRPr="004833B0" w14:paraId="1B42D77C" w14:textId="77777777" w:rsidTr="005847DB">
        <w:trPr>
          <w:trHeight w:val="56"/>
        </w:trPr>
        <w:tc>
          <w:tcPr>
            <w:tcW w:w="2610" w:type="dxa"/>
            <w:shd w:val="clear" w:color="auto" w:fill="auto"/>
            <w:vAlign w:val="center"/>
            <w:hideMark/>
          </w:tcPr>
          <w:p w14:paraId="09836578"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Goodwill</w:t>
            </w:r>
          </w:p>
        </w:tc>
        <w:tc>
          <w:tcPr>
            <w:tcW w:w="1350" w:type="dxa"/>
            <w:shd w:val="clear" w:color="auto" w:fill="auto"/>
            <w:vAlign w:val="center"/>
            <w:hideMark/>
          </w:tcPr>
          <w:p w14:paraId="10D86338"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58631EC7" w14:textId="1EC27B0B"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(145,000)</w:t>
            </w:r>
          </w:p>
        </w:tc>
        <w:tc>
          <w:tcPr>
            <w:tcW w:w="1350" w:type="dxa"/>
            <w:shd w:val="clear" w:color="auto" w:fill="auto"/>
            <w:vAlign w:val="center"/>
            <w:hideMark/>
          </w:tcPr>
          <w:p w14:paraId="6DA0A469"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46D05478"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c>
          <w:tcPr>
            <w:tcW w:w="1350" w:type="dxa"/>
            <w:shd w:val="clear" w:color="auto" w:fill="auto"/>
            <w:vAlign w:val="center"/>
            <w:hideMark/>
          </w:tcPr>
          <w:p w14:paraId="4145510B" w14:textId="777777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 </w:t>
            </w:r>
          </w:p>
        </w:tc>
      </w:tr>
      <w:tr w:rsidR="004833B0" w:rsidRPr="004833B0" w14:paraId="5E1021E0" w14:textId="77777777" w:rsidTr="005847DB">
        <w:trPr>
          <w:trHeight w:val="56"/>
        </w:trPr>
        <w:tc>
          <w:tcPr>
            <w:tcW w:w="2610" w:type="dxa"/>
            <w:shd w:val="clear" w:color="auto" w:fill="auto"/>
            <w:vAlign w:val="center"/>
            <w:hideMark/>
          </w:tcPr>
          <w:p w14:paraId="6E516445"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 </w:t>
            </w:r>
          </w:p>
        </w:tc>
        <w:tc>
          <w:tcPr>
            <w:tcW w:w="1350" w:type="dxa"/>
            <w:shd w:val="clear" w:color="auto" w:fill="auto"/>
            <w:vAlign w:val="center"/>
            <w:hideMark/>
          </w:tcPr>
          <w:p w14:paraId="43809C0F" w14:textId="25F708C6"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(108,275)</w:t>
            </w:r>
          </w:p>
        </w:tc>
        <w:tc>
          <w:tcPr>
            <w:tcW w:w="1350" w:type="dxa"/>
            <w:shd w:val="clear" w:color="auto" w:fill="auto"/>
            <w:vAlign w:val="center"/>
            <w:hideMark/>
          </w:tcPr>
          <w:p w14:paraId="37EFC1FE" w14:textId="11185B1D"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(261,918)</w:t>
            </w:r>
          </w:p>
        </w:tc>
        <w:tc>
          <w:tcPr>
            <w:tcW w:w="1350" w:type="dxa"/>
            <w:shd w:val="clear" w:color="auto" w:fill="auto"/>
            <w:vAlign w:val="center"/>
            <w:hideMark/>
          </w:tcPr>
          <w:p w14:paraId="03F1FF40" w14:textId="01CAFEB6"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(22,995)</w:t>
            </w:r>
          </w:p>
        </w:tc>
        <w:tc>
          <w:tcPr>
            <w:tcW w:w="1350" w:type="dxa"/>
            <w:shd w:val="clear" w:color="auto" w:fill="auto"/>
            <w:vAlign w:val="center"/>
            <w:hideMark/>
          </w:tcPr>
          <w:p w14:paraId="75D9E2C9" w14:textId="639A2E48"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(25,081)</w:t>
            </w:r>
          </w:p>
        </w:tc>
        <w:tc>
          <w:tcPr>
            <w:tcW w:w="1350" w:type="dxa"/>
            <w:shd w:val="clear" w:color="auto" w:fill="auto"/>
            <w:vAlign w:val="center"/>
            <w:hideMark/>
          </w:tcPr>
          <w:p w14:paraId="42DE1D20" w14:textId="6E6C3070"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(76,781)</w:t>
            </w:r>
          </w:p>
        </w:tc>
      </w:tr>
      <w:tr w:rsidR="004833B0" w:rsidRPr="004833B0" w14:paraId="17D13B17" w14:textId="77777777" w:rsidTr="005847DB">
        <w:trPr>
          <w:trHeight w:val="56"/>
        </w:trPr>
        <w:tc>
          <w:tcPr>
            <w:tcW w:w="2610" w:type="dxa"/>
            <w:shd w:val="clear" w:color="auto" w:fill="auto"/>
            <w:vAlign w:val="center"/>
            <w:hideMark/>
          </w:tcPr>
          <w:p w14:paraId="2BF072A1"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Cash (Decrease) Increase</w:t>
            </w:r>
          </w:p>
        </w:tc>
        <w:tc>
          <w:tcPr>
            <w:tcW w:w="1350" w:type="dxa"/>
            <w:shd w:val="clear" w:color="auto" w:fill="auto"/>
            <w:vAlign w:val="center"/>
            <w:hideMark/>
          </w:tcPr>
          <w:p w14:paraId="426A65AD" w14:textId="53C23D7A"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1,183 </w:t>
            </w:r>
          </w:p>
        </w:tc>
        <w:tc>
          <w:tcPr>
            <w:tcW w:w="1350" w:type="dxa"/>
            <w:shd w:val="clear" w:color="auto" w:fill="auto"/>
            <w:vAlign w:val="center"/>
            <w:hideMark/>
          </w:tcPr>
          <w:p w14:paraId="06CB79DD" w14:textId="5DBD5306"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(44,822)</w:t>
            </w:r>
          </w:p>
        </w:tc>
        <w:tc>
          <w:tcPr>
            <w:tcW w:w="1350" w:type="dxa"/>
            <w:shd w:val="clear" w:color="auto" w:fill="auto"/>
            <w:vAlign w:val="center"/>
            <w:hideMark/>
          </w:tcPr>
          <w:p w14:paraId="470EC8DC" w14:textId="432707FD"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120,972 </w:t>
            </w:r>
          </w:p>
        </w:tc>
        <w:tc>
          <w:tcPr>
            <w:tcW w:w="1350" w:type="dxa"/>
            <w:shd w:val="clear" w:color="auto" w:fill="auto"/>
            <w:vAlign w:val="center"/>
            <w:hideMark/>
          </w:tcPr>
          <w:p w14:paraId="1D3C74E5" w14:textId="4B6A4396"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27,832 </w:t>
            </w:r>
          </w:p>
        </w:tc>
        <w:tc>
          <w:tcPr>
            <w:tcW w:w="1350" w:type="dxa"/>
            <w:shd w:val="clear" w:color="auto" w:fill="auto"/>
            <w:vAlign w:val="center"/>
            <w:hideMark/>
          </w:tcPr>
          <w:p w14:paraId="335D27EB" w14:textId="46AFA0B1"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986,939 </w:t>
            </w:r>
          </w:p>
        </w:tc>
      </w:tr>
      <w:tr w:rsidR="004833B0" w:rsidRPr="004833B0" w14:paraId="3AC3A624" w14:textId="77777777" w:rsidTr="005847DB">
        <w:trPr>
          <w:trHeight w:val="56"/>
        </w:trPr>
        <w:tc>
          <w:tcPr>
            <w:tcW w:w="2610" w:type="dxa"/>
            <w:tcBorders>
              <w:bottom w:val="single" w:sz="4" w:space="0" w:color="auto"/>
            </w:tcBorders>
            <w:shd w:val="clear" w:color="auto" w:fill="auto"/>
            <w:vAlign w:val="center"/>
            <w:hideMark/>
          </w:tcPr>
          <w:p w14:paraId="50D4973A" w14:textId="77777777" w:rsidR="004833B0" w:rsidRPr="004833B0" w:rsidRDefault="004833B0" w:rsidP="004833B0">
            <w:pPr>
              <w:rPr>
                <w:rFonts w:ascii="Arial" w:hAnsi="Arial" w:cs="Arial"/>
                <w:color w:val="000000"/>
                <w:sz w:val="18"/>
                <w:szCs w:val="18"/>
              </w:rPr>
            </w:pPr>
            <w:r w:rsidRPr="004833B0">
              <w:rPr>
                <w:rFonts w:ascii="Arial" w:hAnsi="Arial" w:cs="Arial"/>
                <w:color w:val="000000"/>
                <w:kern w:val="2"/>
                <w:sz w:val="18"/>
                <w:szCs w:val="18"/>
              </w:rPr>
              <w:t>Cash at Beginning of Year</w:t>
            </w:r>
          </w:p>
        </w:tc>
        <w:tc>
          <w:tcPr>
            <w:tcW w:w="1350" w:type="dxa"/>
            <w:tcBorders>
              <w:bottom w:val="single" w:sz="4" w:space="0" w:color="auto"/>
            </w:tcBorders>
            <w:shd w:val="clear" w:color="auto" w:fill="auto"/>
            <w:vAlign w:val="center"/>
            <w:hideMark/>
          </w:tcPr>
          <w:p w14:paraId="06BA7CEB" w14:textId="5AB47FEA"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(49,357)</w:t>
            </w:r>
          </w:p>
        </w:tc>
        <w:tc>
          <w:tcPr>
            <w:tcW w:w="1350" w:type="dxa"/>
            <w:tcBorders>
              <w:bottom w:val="single" w:sz="4" w:space="0" w:color="auto"/>
            </w:tcBorders>
            <w:shd w:val="clear" w:color="auto" w:fill="auto"/>
            <w:vAlign w:val="center"/>
            <w:hideMark/>
          </w:tcPr>
          <w:p w14:paraId="3B56E59D" w14:textId="599C1723"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(48,174)</w:t>
            </w:r>
          </w:p>
        </w:tc>
        <w:tc>
          <w:tcPr>
            <w:tcW w:w="1350" w:type="dxa"/>
            <w:tcBorders>
              <w:bottom w:val="single" w:sz="4" w:space="0" w:color="auto"/>
            </w:tcBorders>
            <w:shd w:val="clear" w:color="auto" w:fill="auto"/>
            <w:vAlign w:val="center"/>
            <w:hideMark/>
          </w:tcPr>
          <w:p w14:paraId="0FB39241" w14:textId="54307F77"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(92,996)</w:t>
            </w:r>
          </w:p>
        </w:tc>
        <w:tc>
          <w:tcPr>
            <w:tcW w:w="1350" w:type="dxa"/>
            <w:tcBorders>
              <w:bottom w:val="single" w:sz="4" w:space="0" w:color="auto"/>
            </w:tcBorders>
            <w:shd w:val="clear" w:color="auto" w:fill="auto"/>
            <w:vAlign w:val="center"/>
            <w:hideMark/>
          </w:tcPr>
          <w:p w14:paraId="76FE6F66" w14:textId="6396EBB1"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27,976 </w:t>
            </w:r>
          </w:p>
        </w:tc>
        <w:tc>
          <w:tcPr>
            <w:tcW w:w="1350" w:type="dxa"/>
            <w:tcBorders>
              <w:bottom w:val="single" w:sz="4" w:space="0" w:color="auto"/>
            </w:tcBorders>
            <w:shd w:val="clear" w:color="auto" w:fill="auto"/>
            <w:vAlign w:val="center"/>
            <w:hideMark/>
          </w:tcPr>
          <w:p w14:paraId="1A048734" w14:textId="2FDCE1FC"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55,808 </w:t>
            </w:r>
          </w:p>
        </w:tc>
      </w:tr>
      <w:tr w:rsidR="004833B0" w:rsidRPr="004833B0" w14:paraId="5E82ADF5" w14:textId="77777777" w:rsidTr="005847DB">
        <w:trPr>
          <w:trHeight w:val="56"/>
        </w:trPr>
        <w:tc>
          <w:tcPr>
            <w:tcW w:w="2610" w:type="dxa"/>
            <w:tcBorders>
              <w:top w:val="single" w:sz="4" w:space="0" w:color="auto"/>
              <w:bottom w:val="single" w:sz="4" w:space="0" w:color="auto"/>
            </w:tcBorders>
            <w:shd w:val="clear" w:color="auto" w:fill="auto"/>
            <w:vAlign w:val="center"/>
            <w:hideMark/>
          </w:tcPr>
          <w:p w14:paraId="7EC97B28" w14:textId="77777777" w:rsidR="004833B0" w:rsidRPr="004833B0" w:rsidRDefault="004833B0" w:rsidP="004833B0">
            <w:pPr>
              <w:rPr>
                <w:rFonts w:ascii="Arial" w:hAnsi="Arial" w:cs="Arial"/>
                <w:b/>
                <w:bCs/>
                <w:color w:val="000000"/>
                <w:sz w:val="18"/>
                <w:szCs w:val="18"/>
              </w:rPr>
            </w:pPr>
            <w:r w:rsidRPr="004833B0">
              <w:rPr>
                <w:rFonts w:ascii="Arial" w:hAnsi="Arial" w:cs="Arial"/>
                <w:b/>
                <w:bCs/>
                <w:color w:val="000000"/>
                <w:kern w:val="2"/>
                <w:sz w:val="18"/>
                <w:szCs w:val="18"/>
              </w:rPr>
              <w:t>Cash at End of Year</w:t>
            </w:r>
          </w:p>
        </w:tc>
        <w:tc>
          <w:tcPr>
            <w:tcW w:w="1350" w:type="dxa"/>
            <w:tcBorders>
              <w:top w:val="single" w:sz="4" w:space="0" w:color="auto"/>
              <w:bottom w:val="single" w:sz="4" w:space="0" w:color="auto"/>
            </w:tcBorders>
            <w:shd w:val="clear" w:color="auto" w:fill="auto"/>
            <w:vAlign w:val="center"/>
            <w:hideMark/>
          </w:tcPr>
          <w:p w14:paraId="1286A3B2" w14:textId="47D63D9D"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(48,174)</w:t>
            </w:r>
          </w:p>
        </w:tc>
        <w:tc>
          <w:tcPr>
            <w:tcW w:w="1350" w:type="dxa"/>
            <w:tcBorders>
              <w:top w:val="single" w:sz="4" w:space="0" w:color="auto"/>
              <w:bottom w:val="single" w:sz="4" w:space="0" w:color="auto"/>
            </w:tcBorders>
            <w:shd w:val="clear" w:color="auto" w:fill="auto"/>
            <w:vAlign w:val="center"/>
            <w:hideMark/>
          </w:tcPr>
          <w:p w14:paraId="5242A85F" w14:textId="01068B4D"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(92,996)</w:t>
            </w:r>
          </w:p>
        </w:tc>
        <w:tc>
          <w:tcPr>
            <w:tcW w:w="1350" w:type="dxa"/>
            <w:tcBorders>
              <w:top w:val="single" w:sz="4" w:space="0" w:color="auto"/>
              <w:bottom w:val="single" w:sz="4" w:space="0" w:color="auto"/>
            </w:tcBorders>
            <w:shd w:val="clear" w:color="auto" w:fill="auto"/>
            <w:vAlign w:val="center"/>
            <w:hideMark/>
          </w:tcPr>
          <w:p w14:paraId="62423401" w14:textId="731AC596"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27,976 </w:t>
            </w:r>
          </w:p>
        </w:tc>
        <w:tc>
          <w:tcPr>
            <w:tcW w:w="1350" w:type="dxa"/>
            <w:tcBorders>
              <w:top w:val="single" w:sz="4" w:space="0" w:color="auto"/>
              <w:bottom w:val="single" w:sz="4" w:space="0" w:color="auto"/>
            </w:tcBorders>
            <w:shd w:val="clear" w:color="auto" w:fill="auto"/>
            <w:vAlign w:val="center"/>
            <w:hideMark/>
          </w:tcPr>
          <w:p w14:paraId="20D1EEFF" w14:textId="651B09AC"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55,808 </w:t>
            </w:r>
          </w:p>
        </w:tc>
        <w:tc>
          <w:tcPr>
            <w:tcW w:w="1350" w:type="dxa"/>
            <w:tcBorders>
              <w:top w:val="single" w:sz="4" w:space="0" w:color="auto"/>
              <w:bottom w:val="single" w:sz="4" w:space="0" w:color="auto"/>
            </w:tcBorders>
            <w:shd w:val="clear" w:color="auto" w:fill="auto"/>
            <w:vAlign w:val="center"/>
            <w:hideMark/>
          </w:tcPr>
          <w:p w14:paraId="30CA5DF1" w14:textId="594EEC5E" w:rsidR="004833B0" w:rsidRPr="004833B0" w:rsidRDefault="004833B0" w:rsidP="004833B0">
            <w:pPr>
              <w:jc w:val="right"/>
              <w:rPr>
                <w:rFonts w:ascii="Arial" w:hAnsi="Arial" w:cs="Arial"/>
                <w:color w:val="000000"/>
                <w:sz w:val="18"/>
                <w:szCs w:val="18"/>
              </w:rPr>
            </w:pPr>
            <w:r w:rsidRPr="004833B0">
              <w:rPr>
                <w:rFonts w:ascii="Arial" w:hAnsi="Arial" w:cs="Arial"/>
                <w:color w:val="000000"/>
                <w:kern w:val="2"/>
                <w:sz w:val="18"/>
                <w:szCs w:val="18"/>
              </w:rPr>
              <w:t xml:space="preserve"> 1,042,747 </w:t>
            </w:r>
          </w:p>
        </w:tc>
      </w:tr>
    </w:tbl>
    <w:p w14:paraId="576906D9" w14:textId="733893C9" w:rsidR="004A7A17" w:rsidRPr="005847DB" w:rsidRDefault="004A7A17" w:rsidP="004A7A17">
      <w:pPr>
        <w:pStyle w:val="ExhibitText"/>
        <w:rPr>
          <w:sz w:val="12"/>
          <w:szCs w:val="12"/>
        </w:rPr>
      </w:pPr>
    </w:p>
    <w:p w14:paraId="06791874" w14:textId="3B63397B" w:rsidR="00F50251" w:rsidRPr="004951FA" w:rsidRDefault="00F50251" w:rsidP="001B6D28">
      <w:pPr>
        <w:pStyle w:val="Footnote"/>
      </w:pPr>
      <w:r w:rsidRPr="004951FA">
        <w:t>Source: Company</w:t>
      </w:r>
      <w:r w:rsidR="008B511D">
        <w:t xml:space="preserve"> files</w:t>
      </w:r>
      <w:r w:rsidR="001B6D28" w:rsidRPr="004951FA">
        <w:t>.</w:t>
      </w:r>
    </w:p>
    <w:p w14:paraId="6EABE045" w14:textId="77284D8D" w:rsidR="001C33F3" w:rsidRPr="005847DB" w:rsidRDefault="001C33F3" w:rsidP="005847DB">
      <w:pPr>
        <w:pStyle w:val="ExhibitText"/>
        <w:rPr>
          <w:rFonts w:eastAsia="Calibri"/>
          <w:sz w:val="12"/>
          <w:szCs w:val="12"/>
          <w:lang w:eastAsia="zh-CN"/>
        </w:rPr>
      </w:pPr>
    </w:p>
    <w:p w14:paraId="60340E6F" w14:textId="77777777" w:rsidR="005847DB" w:rsidRPr="005847DB" w:rsidRDefault="005847DB" w:rsidP="005847DB">
      <w:pPr>
        <w:pStyle w:val="ExhibitText"/>
        <w:rPr>
          <w:rFonts w:eastAsia="Calibri"/>
          <w:sz w:val="12"/>
          <w:szCs w:val="12"/>
          <w:lang w:eastAsia="zh-CN"/>
        </w:rPr>
      </w:pPr>
    </w:p>
    <w:p w14:paraId="52E5A2C7" w14:textId="7E6B35F4" w:rsidR="00F50251" w:rsidRPr="004951FA" w:rsidRDefault="00F50251" w:rsidP="001B6D28">
      <w:pPr>
        <w:pStyle w:val="ExhibitHeading"/>
      </w:pPr>
      <w:r w:rsidRPr="004951FA">
        <w:t>Exhibit 7</w:t>
      </w:r>
      <w:r w:rsidR="001B6D28" w:rsidRPr="004951FA">
        <w:t xml:space="preserve">: </w:t>
      </w:r>
      <w:r w:rsidRPr="004951FA">
        <w:t>ESTIMATED COSTS OF VIVA HOME LIVING FRANCHISE</w:t>
      </w:r>
    </w:p>
    <w:p w14:paraId="4EA2920C" w14:textId="1474C170" w:rsidR="00F50251" w:rsidRPr="005847DB" w:rsidRDefault="00F50251" w:rsidP="001C33F3">
      <w:pPr>
        <w:pStyle w:val="ExhibitText"/>
        <w:rPr>
          <w:sz w:val="12"/>
          <w:szCs w:val="12"/>
        </w:rPr>
      </w:pPr>
    </w:p>
    <w:tbl>
      <w:tblPr>
        <w:tblW w:w="3250" w:type="pct"/>
        <w:jc w:val="center"/>
        <w:tblLook w:val="04A0" w:firstRow="1" w:lastRow="0" w:firstColumn="1" w:lastColumn="0" w:noHBand="0" w:noVBand="1"/>
      </w:tblPr>
      <w:tblGrid>
        <w:gridCol w:w="2970"/>
        <w:gridCol w:w="1557"/>
        <w:gridCol w:w="1557"/>
      </w:tblGrid>
      <w:tr w:rsidR="001C33F3" w:rsidRPr="005847DB" w14:paraId="06A8C572" w14:textId="77777777" w:rsidTr="005847DB">
        <w:trPr>
          <w:trHeight w:val="46"/>
          <w:jc w:val="center"/>
        </w:trPr>
        <w:tc>
          <w:tcPr>
            <w:tcW w:w="2970" w:type="dxa"/>
            <w:vMerge w:val="restart"/>
            <w:tcBorders>
              <w:top w:val="single" w:sz="8" w:space="0" w:color="auto"/>
              <w:left w:val="nil"/>
              <w:bottom w:val="single" w:sz="8" w:space="0" w:color="000000"/>
              <w:right w:val="nil"/>
            </w:tcBorders>
            <w:shd w:val="clear" w:color="auto" w:fill="auto"/>
            <w:vAlign w:val="center"/>
            <w:hideMark/>
          </w:tcPr>
          <w:p w14:paraId="03758A4E" w14:textId="77777777" w:rsidR="001C33F3" w:rsidRPr="005847DB" w:rsidRDefault="001C33F3" w:rsidP="001C33F3">
            <w:pPr>
              <w:jc w:val="center"/>
              <w:rPr>
                <w:rFonts w:ascii="Arial" w:hAnsi="Arial" w:cs="Arial"/>
                <w:b/>
                <w:bCs/>
                <w:color w:val="000000"/>
                <w:sz w:val="17"/>
                <w:szCs w:val="17"/>
              </w:rPr>
            </w:pPr>
            <w:r w:rsidRPr="005847DB">
              <w:rPr>
                <w:rFonts w:ascii="Arial" w:hAnsi="Arial" w:cs="Arial"/>
                <w:b/>
                <w:bCs/>
                <w:iCs/>
                <w:color w:val="000000"/>
                <w:kern w:val="2"/>
                <w:sz w:val="17"/>
                <w:szCs w:val="17"/>
              </w:rPr>
              <w:t>Elements of Cost</w:t>
            </w:r>
          </w:p>
        </w:tc>
        <w:tc>
          <w:tcPr>
            <w:tcW w:w="3114" w:type="dxa"/>
            <w:gridSpan w:val="2"/>
            <w:tcBorders>
              <w:top w:val="single" w:sz="8" w:space="0" w:color="auto"/>
              <w:left w:val="nil"/>
              <w:bottom w:val="single" w:sz="8" w:space="0" w:color="auto"/>
              <w:right w:val="nil"/>
            </w:tcBorders>
            <w:shd w:val="clear" w:color="auto" w:fill="auto"/>
            <w:vAlign w:val="center"/>
            <w:hideMark/>
          </w:tcPr>
          <w:p w14:paraId="4F478AE8" w14:textId="77777777" w:rsidR="001C33F3" w:rsidRPr="005847DB" w:rsidRDefault="001C33F3" w:rsidP="001C33F3">
            <w:pPr>
              <w:jc w:val="center"/>
              <w:rPr>
                <w:rFonts w:ascii="Arial" w:hAnsi="Arial" w:cs="Arial"/>
                <w:b/>
                <w:bCs/>
                <w:color w:val="000000"/>
                <w:sz w:val="17"/>
                <w:szCs w:val="17"/>
              </w:rPr>
            </w:pPr>
            <w:r w:rsidRPr="005847DB">
              <w:rPr>
                <w:rFonts w:ascii="Arial" w:hAnsi="Arial" w:cs="Arial"/>
                <w:b/>
                <w:bCs/>
                <w:iCs/>
                <w:color w:val="000000"/>
                <w:kern w:val="2"/>
                <w:sz w:val="17"/>
                <w:szCs w:val="17"/>
              </w:rPr>
              <w:t>Estimated Range (CA$)</w:t>
            </w:r>
          </w:p>
        </w:tc>
      </w:tr>
      <w:tr w:rsidR="001C33F3" w:rsidRPr="005847DB" w14:paraId="47615C34" w14:textId="77777777" w:rsidTr="005847DB">
        <w:trPr>
          <w:trHeight w:val="46"/>
          <w:jc w:val="center"/>
        </w:trPr>
        <w:tc>
          <w:tcPr>
            <w:tcW w:w="2970" w:type="dxa"/>
            <w:vMerge/>
            <w:tcBorders>
              <w:top w:val="single" w:sz="8" w:space="0" w:color="auto"/>
              <w:left w:val="nil"/>
              <w:bottom w:val="single" w:sz="8" w:space="0" w:color="000000"/>
              <w:right w:val="nil"/>
            </w:tcBorders>
            <w:vAlign w:val="center"/>
            <w:hideMark/>
          </w:tcPr>
          <w:p w14:paraId="13AB4DC1" w14:textId="77777777" w:rsidR="001C33F3" w:rsidRPr="005847DB" w:rsidRDefault="001C33F3" w:rsidP="001C33F3">
            <w:pPr>
              <w:rPr>
                <w:rFonts w:ascii="Arial" w:hAnsi="Arial" w:cs="Arial"/>
                <w:b/>
                <w:bCs/>
                <w:color w:val="000000"/>
                <w:sz w:val="17"/>
                <w:szCs w:val="17"/>
              </w:rPr>
            </w:pPr>
          </w:p>
        </w:tc>
        <w:tc>
          <w:tcPr>
            <w:tcW w:w="1557" w:type="dxa"/>
            <w:tcBorders>
              <w:top w:val="nil"/>
              <w:left w:val="nil"/>
              <w:bottom w:val="single" w:sz="8" w:space="0" w:color="auto"/>
              <w:right w:val="nil"/>
            </w:tcBorders>
            <w:shd w:val="clear" w:color="auto" w:fill="auto"/>
            <w:vAlign w:val="center"/>
            <w:hideMark/>
          </w:tcPr>
          <w:p w14:paraId="2DD2A674" w14:textId="77777777" w:rsidR="001C33F3" w:rsidRPr="005847DB" w:rsidRDefault="001C33F3" w:rsidP="001C33F3">
            <w:pPr>
              <w:jc w:val="center"/>
              <w:rPr>
                <w:rFonts w:ascii="Arial" w:hAnsi="Arial" w:cs="Arial"/>
                <w:b/>
                <w:bCs/>
                <w:color w:val="000000"/>
                <w:sz w:val="17"/>
                <w:szCs w:val="17"/>
              </w:rPr>
            </w:pPr>
            <w:r w:rsidRPr="005847DB">
              <w:rPr>
                <w:rFonts w:ascii="Arial" w:hAnsi="Arial" w:cs="Arial"/>
                <w:b/>
                <w:bCs/>
                <w:iCs/>
                <w:color w:val="000000"/>
                <w:kern w:val="2"/>
                <w:sz w:val="17"/>
                <w:szCs w:val="17"/>
              </w:rPr>
              <w:t>Low</w:t>
            </w:r>
          </w:p>
        </w:tc>
        <w:tc>
          <w:tcPr>
            <w:tcW w:w="1557" w:type="dxa"/>
            <w:tcBorders>
              <w:top w:val="single" w:sz="8" w:space="0" w:color="auto"/>
              <w:left w:val="nil"/>
              <w:bottom w:val="single" w:sz="8" w:space="0" w:color="auto"/>
              <w:right w:val="nil"/>
            </w:tcBorders>
            <w:shd w:val="clear" w:color="auto" w:fill="auto"/>
            <w:vAlign w:val="center"/>
            <w:hideMark/>
          </w:tcPr>
          <w:p w14:paraId="0548729B" w14:textId="77777777" w:rsidR="001C33F3" w:rsidRPr="005847DB" w:rsidRDefault="001C33F3" w:rsidP="001C33F3">
            <w:pPr>
              <w:jc w:val="center"/>
              <w:rPr>
                <w:rFonts w:ascii="Arial" w:hAnsi="Arial" w:cs="Arial"/>
                <w:b/>
                <w:bCs/>
                <w:color w:val="000000"/>
                <w:sz w:val="17"/>
                <w:szCs w:val="17"/>
              </w:rPr>
            </w:pPr>
            <w:r w:rsidRPr="005847DB">
              <w:rPr>
                <w:rFonts w:ascii="Arial" w:hAnsi="Arial" w:cs="Arial"/>
                <w:b/>
                <w:bCs/>
                <w:iCs/>
                <w:color w:val="000000"/>
                <w:kern w:val="2"/>
                <w:sz w:val="17"/>
                <w:szCs w:val="17"/>
              </w:rPr>
              <w:t>High</w:t>
            </w:r>
          </w:p>
        </w:tc>
      </w:tr>
      <w:tr w:rsidR="001C33F3" w:rsidRPr="005847DB" w14:paraId="4DD07B91" w14:textId="77777777" w:rsidTr="005847DB">
        <w:trPr>
          <w:trHeight w:val="46"/>
          <w:jc w:val="center"/>
        </w:trPr>
        <w:tc>
          <w:tcPr>
            <w:tcW w:w="2970" w:type="dxa"/>
            <w:tcBorders>
              <w:top w:val="nil"/>
              <w:left w:val="nil"/>
              <w:bottom w:val="nil"/>
              <w:right w:val="nil"/>
            </w:tcBorders>
            <w:shd w:val="clear" w:color="auto" w:fill="auto"/>
            <w:vAlign w:val="center"/>
            <w:hideMark/>
          </w:tcPr>
          <w:p w14:paraId="7D1B240F"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Initial Franchise Fee</w:t>
            </w:r>
          </w:p>
        </w:tc>
        <w:tc>
          <w:tcPr>
            <w:tcW w:w="1557" w:type="dxa"/>
            <w:tcBorders>
              <w:top w:val="single" w:sz="8" w:space="0" w:color="auto"/>
              <w:left w:val="nil"/>
              <w:bottom w:val="nil"/>
              <w:right w:val="nil"/>
            </w:tcBorders>
            <w:shd w:val="clear" w:color="auto" w:fill="auto"/>
            <w:vAlign w:val="center"/>
            <w:hideMark/>
          </w:tcPr>
          <w:p w14:paraId="1543463E"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49,000</w:t>
            </w:r>
          </w:p>
        </w:tc>
        <w:tc>
          <w:tcPr>
            <w:tcW w:w="1557" w:type="dxa"/>
            <w:tcBorders>
              <w:top w:val="nil"/>
              <w:left w:val="nil"/>
              <w:bottom w:val="nil"/>
              <w:right w:val="nil"/>
            </w:tcBorders>
            <w:shd w:val="clear" w:color="auto" w:fill="auto"/>
            <w:vAlign w:val="center"/>
            <w:hideMark/>
          </w:tcPr>
          <w:p w14:paraId="50EA767D"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49,000</w:t>
            </w:r>
          </w:p>
        </w:tc>
      </w:tr>
      <w:tr w:rsidR="001C33F3" w:rsidRPr="005847DB" w14:paraId="6D9E87E7" w14:textId="77777777" w:rsidTr="005847DB">
        <w:trPr>
          <w:trHeight w:val="66"/>
          <w:jc w:val="center"/>
        </w:trPr>
        <w:tc>
          <w:tcPr>
            <w:tcW w:w="2970" w:type="dxa"/>
            <w:tcBorders>
              <w:top w:val="nil"/>
              <w:left w:val="nil"/>
              <w:bottom w:val="nil"/>
              <w:right w:val="nil"/>
            </w:tcBorders>
            <w:shd w:val="clear" w:color="auto" w:fill="auto"/>
            <w:vAlign w:val="center"/>
            <w:hideMark/>
          </w:tcPr>
          <w:p w14:paraId="52214191"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Real Estate/Lease Deposit</w:t>
            </w:r>
          </w:p>
        </w:tc>
        <w:tc>
          <w:tcPr>
            <w:tcW w:w="1557" w:type="dxa"/>
            <w:tcBorders>
              <w:top w:val="nil"/>
              <w:left w:val="nil"/>
              <w:bottom w:val="nil"/>
              <w:right w:val="nil"/>
            </w:tcBorders>
            <w:shd w:val="clear" w:color="auto" w:fill="auto"/>
            <w:vAlign w:val="center"/>
            <w:hideMark/>
          </w:tcPr>
          <w:p w14:paraId="60DD33FC"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w:t>
            </w:r>
          </w:p>
        </w:tc>
        <w:tc>
          <w:tcPr>
            <w:tcW w:w="1557" w:type="dxa"/>
            <w:tcBorders>
              <w:top w:val="nil"/>
              <w:left w:val="nil"/>
              <w:bottom w:val="nil"/>
              <w:right w:val="nil"/>
            </w:tcBorders>
            <w:shd w:val="clear" w:color="auto" w:fill="auto"/>
            <w:vAlign w:val="center"/>
            <w:hideMark/>
          </w:tcPr>
          <w:p w14:paraId="2120425C"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5,000</w:t>
            </w:r>
          </w:p>
        </w:tc>
      </w:tr>
      <w:tr w:rsidR="001C33F3" w:rsidRPr="005847DB" w14:paraId="0F322CFF" w14:textId="77777777" w:rsidTr="005847DB">
        <w:trPr>
          <w:trHeight w:val="66"/>
          <w:jc w:val="center"/>
        </w:trPr>
        <w:tc>
          <w:tcPr>
            <w:tcW w:w="2970" w:type="dxa"/>
            <w:tcBorders>
              <w:top w:val="nil"/>
              <w:left w:val="nil"/>
              <w:bottom w:val="nil"/>
              <w:right w:val="nil"/>
            </w:tcBorders>
            <w:shd w:val="clear" w:color="auto" w:fill="auto"/>
            <w:vAlign w:val="center"/>
            <w:hideMark/>
          </w:tcPr>
          <w:p w14:paraId="75D0A9DE"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Leasehold Improvements</w:t>
            </w:r>
          </w:p>
        </w:tc>
        <w:tc>
          <w:tcPr>
            <w:tcW w:w="1557" w:type="dxa"/>
            <w:tcBorders>
              <w:top w:val="nil"/>
              <w:left w:val="nil"/>
              <w:bottom w:val="nil"/>
              <w:right w:val="nil"/>
            </w:tcBorders>
            <w:shd w:val="clear" w:color="auto" w:fill="auto"/>
            <w:vAlign w:val="center"/>
            <w:hideMark/>
          </w:tcPr>
          <w:p w14:paraId="61119AB7"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w:t>
            </w:r>
          </w:p>
        </w:tc>
        <w:tc>
          <w:tcPr>
            <w:tcW w:w="1557" w:type="dxa"/>
            <w:tcBorders>
              <w:top w:val="nil"/>
              <w:left w:val="nil"/>
              <w:bottom w:val="nil"/>
              <w:right w:val="nil"/>
            </w:tcBorders>
            <w:shd w:val="clear" w:color="auto" w:fill="auto"/>
            <w:vAlign w:val="center"/>
            <w:hideMark/>
          </w:tcPr>
          <w:p w14:paraId="7B693C10"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5,000</w:t>
            </w:r>
          </w:p>
        </w:tc>
      </w:tr>
      <w:tr w:rsidR="001C33F3" w:rsidRPr="005847DB" w14:paraId="20D6623E" w14:textId="77777777" w:rsidTr="005847DB">
        <w:trPr>
          <w:trHeight w:val="66"/>
          <w:jc w:val="center"/>
        </w:trPr>
        <w:tc>
          <w:tcPr>
            <w:tcW w:w="2970" w:type="dxa"/>
            <w:tcBorders>
              <w:top w:val="nil"/>
              <w:left w:val="nil"/>
              <w:bottom w:val="nil"/>
              <w:right w:val="nil"/>
            </w:tcBorders>
            <w:shd w:val="clear" w:color="auto" w:fill="auto"/>
            <w:vAlign w:val="center"/>
            <w:hideMark/>
          </w:tcPr>
          <w:p w14:paraId="12F4FDCB"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Equipment Purchases</w:t>
            </w:r>
          </w:p>
        </w:tc>
        <w:tc>
          <w:tcPr>
            <w:tcW w:w="1557" w:type="dxa"/>
            <w:tcBorders>
              <w:top w:val="nil"/>
              <w:left w:val="nil"/>
              <w:bottom w:val="nil"/>
              <w:right w:val="nil"/>
            </w:tcBorders>
            <w:shd w:val="clear" w:color="auto" w:fill="auto"/>
            <w:vAlign w:val="center"/>
            <w:hideMark/>
          </w:tcPr>
          <w:p w14:paraId="5BB90F57"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2,000</w:t>
            </w:r>
          </w:p>
        </w:tc>
        <w:tc>
          <w:tcPr>
            <w:tcW w:w="1557" w:type="dxa"/>
            <w:tcBorders>
              <w:top w:val="nil"/>
              <w:left w:val="nil"/>
              <w:bottom w:val="nil"/>
              <w:right w:val="nil"/>
            </w:tcBorders>
            <w:shd w:val="clear" w:color="auto" w:fill="auto"/>
            <w:vAlign w:val="center"/>
            <w:hideMark/>
          </w:tcPr>
          <w:p w14:paraId="658E5817"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5,000</w:t>
            </w:r>
          </w:p>
        </w:tc>
      </w:tr>
      <w:tr w:rsidR="001C33F3" w:rsidRPr="005847DB" w14:paraId="55E3747C" w14:textId="77777777" w:rsidTr="005847DB">
        <w:trPr>
          <w:trHeight w:val="66"/>
          <w:jc w:val="center"/>
        </w:trPr>
        <w:tc>
          <w:tcPr>
            <w:tcW w:w="2970" w:type="dxa"/>
            <w:tcBorders>
              <w:top w:val="nil"/>
              <w:left w:val="nil"/>
              <w:bottom w:val="nil"/>
              <w:right w:val="nil"/>
            </w:tcBorders>
            <w:shd w:val="clear" w:color="auto" w:fill="auto"/>
            <w:vAlign w:val="center"/>
            <w:hideMark/>
          </w:tcPr>
          <w:p w14:paraId="5B83AFFA"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Software/IT Setup</w:t>
            </w:r>
          </w:p>
        </w:tc>
        <w:tc>
          <w:tcPr>
            <w:tcW w:w="1557" w:type="dxa"/>
            <w:tcBorders>
              <w:top w:val="nil"/>
              <w:left w:val="nil"/>
              <w:bottom w:val="nil"/>
              <w:right w:val="nil"/>
            </w:tcBorders>
            <w:shd w:val="clear" w:color="auto" w:fill="auto"/>
            <w:vAlign w:val="center"/>
            <w:hideMark/>
          </w:tcPr>
          <w:p w14:paraId="6602E049"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2,000</w:t>
            </w:r>
          </w:p>
        </w:tc>
        <w:tc>
          <w:tcPr>
            <w:tcW w:w="1557" w:type="dxa"/>
            <w:tcBorders>
              <w:top w:val="nil"/>
              <w:left w:val="nil"/>
              <w:bottom w:val="nil"/>
              <w:right w:val="nil"/>
            </w:tcBorders>
            <w:shd w:val="clear" w:color="auto" w:fill="auto"/>
            <w:vAlign w:val="center"/>
            <w:hideMark/>
          </w:tcPr>
          <w:p w14:paraId="176341E4"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4,000</w:t>
            </w:r>
          </w:p>
        </w:tc>
      </w:tr>
      <w:tr w:rsidR="001C33F3" w:rsidRPr="005847DB" w14:paraId="4B3BCCCC" w14:textId="77777777" w:rsidTr="005847DB">
        <w:trPr>
          <w:trHeight w:val="66"/>
          <w:jc w:val="center"/>
        </w:trPr>
        <w:tc>
          <w:tcPr>
            <w:tcW w:w="2970" w:type="dxa"/>
            <w:tcBorders>
              <w:top w:val="nil"/>
              <w:left w:val="nil"/>
              <w:bottom w:val="nil"/>
              <w:right w:val="nil"/>
            </w:tcBorders>
            <w:shd w:val="clear" w:color="auto" w:fill="auto"/>
            <w:vAlign w:val="center"/>
            <w:hideMark/>
          </w:tcPr>
          <w:p w14:paraId="11F89CC8"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Signage</w:t>
            </w:r>
          </w:p>
        </w:tc>
        <w:tc>
          <w:tcPr>
            <w:tcW w:w="1557" w:type="dxa"/>
            <w:tcBorders>
              <w:top w:val="nil"/>
              <w:left w:val="nil"/>
              <w:bottom w:val="nil"/>
              <w:right w:val="nil"/>
            </w:tcBorders>
            <w:shd w:val="clear" w:color="auto" w:fill="auto"/>
            <w:vAlign w:val="center"/>
            <w:hideMark/>
          </w:tcPr>
          <w:p w14:paraId="09A34F12"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w:t>
            </w:r>
          </w:p>
        </w:tc>
        <w:tc>
          <w:tcPr>
            <w:tcW w:w="1557" w:type="dxa"/>
            <w:tcBorders>
              <w:top w:val="nil"/>
              <w:left w:val="nil"/>
              <w:bottom w:val="nil"/>
              <w:right w:val="nil"/>
            </w:tcBorders>
            <w:shd w:val="clear" w:color="auto" w:fill="auto"/>
            <w:vAlign w:val="center"/>
            <w:hideMark/>
          </w:tcPr>
          <w:p w14:paraId="591D11AC"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5,000</w:t>
            </w:r>
          </w:p>
        </w:tc>
      </w:tr>
      <w:tr w:rsidR="001C33F3" w:rsidRPr="005847DB" w14:paraId="093D70E1" w14:textId="77777777" w:rsidTr="005847DB">
        <w:trPr>
          <w:trHeight w:val="66"/>
          <w:jc w:val="center"/>
        </w:trPr>
        <w:tc>
          <w:tcPr>
            <w:tcW w:w="2970" w:type="dxa"/>
            <w:tcBorders>
              <w:top w:val="nil"/>
              <w:left w:val="nil"/>
              <w:bottom w:val="nil"/>
              <w:right w:val="nil"/>
            </w:tcBorders>
            <w:shd w:val="clear" w:color="auto" w:fill="auto"/>
            <w:vAlign w:val="center"/>
            <w:hideMark/>
          </w:tcPr>
          <w:p w14:paraId="502C9BBB"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 xml:space="preserve">Opening Inventory &amp; Supplies </w:t>
            </w:r>
          </w:p>
        </w:tc>
        <w:tc>
          <w:tcPr>
            <w:tcW w:w="1557" w:type="dxa"/>
            <w:tcBorders>
              <w:top w:val="nil"/>
              <w:left w:val="nil"/>
              <w:bottom w:val="nil"/>
              <w:right w:val="nil"/>
            </w:tcBorders>
            <w:shd w:val="clear" w:color="auto" w:fill="auto"/>
            <w:vAlign w:val="center"/>
            <w:hideMark/>
          </w:tcPr>
          <w:p w14:paraId="5A5F24CE"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500</w:t>
            </w:r>
          </w:p>
        </w:tc>
        <w:tc>
          <w:tcPr>
            <w:tcW w:w="1557" w:type="dxa"/>
            <w:tcBorders>
              <w:top w:val="nil"/>
              <w:left w:val="nil"/>
              <w:bottom w:val="nil"/>
              <w:right w:val="nil"/>
            </w:tcBorders>
            <w:shd w:val="clear" w:color="auto" w:fill="auto"/>
            <w:vAlign w:val="center"/>
            <w:hideMark/>
          </w:tcPr>
          <w:p w14:paraId="0F13E4CE"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1,000</w:t>
            </w:r>
          </w:p>
        </w:tc>
      </w:tr>
      <w:tr w:rsidR="001C33F3" w:rsidRPr="005847DB" w14:paraId="7835A509" w14:textId="77777777" w:rsidTr="005847DB">
        <w:trPr>
          <w:trHeight w:val="66"/>
          <w:jc w:val="center"/>
        </w:trPr>
        <w:tc>
          <w:tcPr>
            <w:tcW w:w="2970" w:type="dxa"/>
            <w:tcBorders>
              <w:top w:val="nil"/>
              <w:left w:val="nil"/>
              <w:bottom w:val="nil"/>
              <w:right w:val="nil"/>
            </w:tcBorders>
            <w:shd w:val="clear" w:color="auto" w:fill="auto"/>
            <w:vAlign w:val="center"/>
            <w:hideMark/>
          </w:tcPr>
          <w:p w14:paraId="15202A81"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Insurance</w:t>
            </w:r>
          </w:p>
        </w:tc>
        <w:tc>
          <w:tcPr>
            <w:tcW w:w="1557" w:type="dxa"/>
            <w:tcBorders>
              <w:top w:val="nil"/>
              <w:left w:val="nil"/>
              <w:bottom w:val="nil"/>
              <w:right w:val="nil"/>
            </w:tcBorders>
            <w:shd w:val="clear" w:color="auto" w:fill="auto"/>
            <w:vAlign w:val="center"/>
            <w:hideMark/>
          </w:tcPr>
          <w:p w14:paraId="0E0B4446"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3,000</w:t>
            </w:r>
          </w:p>
        </w:tc>
        <w:tc>
          <w:tcPr>
            <w:tcW w:w="1557" w:type="dxa"/>
            <w:tcBorders>
              <w:top w:val="nil"/>
              <w:left w:val="nil"/>
              <w:bottom w:val="nil"/>
              <w:right w:val="nil"/>
            </w:tcBorders>
            <w:shd w:val="clear" w:color="auto" w:fill="auto"/>
            <w:vAlign w:val="center"/>
            <w:hideMark/>
          </w:tcPr>
          <w:p w14:paraId="6146E7C0"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6,000</w:t>
            </w:r>
          </w:p>
        </w:tc>
      </w:tr>
      <w:tr w:rsidR="001C33F3" w:rsidRPr="005847DB" w14:paraId="273C9820" w14:textId="77777777" w:rsidTr="005847DB">
        <w:trPr>
          <w:trHeight w:val="66"/>
          <w:jc w:val="center"/>
        </w:trPr>
        <w:tc>
          <w:tcPr>
            <w:tcW w:w="2970" w:type="dxa"/>
            <w:tcBorders>
              <w:top w:val="nil"/>
              <w:left w:val="nil"/>
              <w:bottom w:val="nil"/>
              <w:right w:val="nil"/>
            </w:tcBorders>
            <w:shd w:val="clear" w:color="auto" w:fill="auto"/>
            <w:vAlign w:val="center"/>
            <w:hideMark/>
          </w:tcPr>
          <w:p w14:paraId="3D0946E0"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Uniforms</w:t>
            </w:r>
          </w:p>
        </w:tc>
        <w:tc>
          <w:tcPr>
            <w:tcW w:w="1557" w:type="dxa"/>
            <w:tcBorders>
              <w:top w:val="nil"/>
              <w:left w:val="nil"/>
              <w:bottom w:val="nil"/>
              <w:right w:val="nil"/>
            </w:tcBorders>
            <w:shd w:val="clear" w:color="auto" w:fill="auto"/>
            <w:vAlign w:val="center"/>
            <w:hideMark/>
          </w:tcPr>
          <w:p w14:paraId="27F0DBEA"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1,000</w:t>
            </w:r>
          </w:p>
        </w:tc>
        <w:tc>
          <w:tcPr>
            <w:tcW w:w="1557" w:type="dxa"/>
            <w:tcBorders>
              <w:top w:val="nil"/>
              <w:left w:val="nil"/>
              <w:bottom w:val="nil"/>
              <w:right w:val="nil"/>
            </w:tcBorders>
            <w:shd w:val="clear" w:color="auto" w:fill="auto"/>
            <w:vAlign w:val="center"/>
            <w:hideMark/>
          </w:tcPr>
          <w:p w14:paraId="5E315FFF"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2,000</w:t>
            </w:r>
          </w:p>
        </w:tc>
      </w:tr>
      <w:tr w:rsidR="001C33F3" w:rsidRPr="005847DB" w14:paraId="3F52F454" w14:textId="77777777" w:rsidTr="005847DB">
        <w:trPr>
          <w:trHeight w:val="66"/>
          <w:jc w:val="center"/>
        </w:trPr>
        <w:tc>
          <w:tcPr>
            <w:tcW w:w="2970" w:type="dxa"/>
            <w:tcBorders>
              <w:top w:val="nil"/>
              <w:left w:val="nil"/>
              <w:bottom w:val="nil"/>
              <w:right w:val="nil"/>
            </w:tcBorders>
            <w:shd w:val="clear" w:color="auto" w:fill="auto"/>
            <w:vAlign w:val="center"/>
            <w:hideMark/>
          </w:tcPr>
          <w:p w14:paraId="5AA4B8F9"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Training Expenses</w:t>
            </w:r>
          </w:p>
        </w:tc>
        <w:tc>
          <w:tcPr>
            <w:tcW w:w="1557" w:type="dxa"/>
            <w:tcBorders>
              <w:top w:val="nil"/>
              <w:left w:val="nil"/>
              <w:bottom w:val="nil"/>
              <w:right w:val="nil"/>
            </w:tcBorders>
            <w:shd w:val="clear" w:color="auto" w:fill="auto"/>
            <w:vAlign w:val="center"/>
            <w:hideMark/>
          </w:tcPr>
          <w:p w14:paraId="7C590EE1"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3,000</w:t>
            </w:r>
          </w:p>
        </w:tc>
        <w:tc>
          <w:tcPr>
            <w:tcW w:w="1557" w:type="dxa"/>
            <w:tcBorders>
              <w:top w:val="nil"/>
              <w:left w:val="nil"/>
              <w:bottom w:val="nil"/>
              <w:right w:val="nil"/>
            </w:tcBorders>
            <w:shd w:val="clear" w:color="auto" w:fill="auto"/>
            <w:vAlign w:val="center"/>
            <w:hideMark/>
          </w:tcPr>
          <w:p w14:paraId="7F9CD98D"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5,000</w:t>
            </w:r>
          </w:p>
        </w:tc>
      </w:tr>
      <w:tr w:rsidR="001C33F3" w:rsidRPr="005847DB" w14:paraId="3A0FDA4D" w14:textId="77777777" w:rsidTr="005847DB">
        <w:trPr>
          <w:trHeight w:val="66"/>
          <w:jc w:val="center"/>
        </w:trPr>
        <w:tc>
          <w:tcPr>
            <w:tcW w:w="2970" w:type="dxa"/>
            <w:tcBorders>
              <w:top w:val="nil"/>
              <w:left w:val="nil"/>
              <w:bottom w:val="nil"/>
              <w:right w:val="nil"/>
            </w:tcBorders>
            <w:shd w:val="clear" w:color="auto" w:fill="auto"/>
            <w:vAlign w:val="center"/>
            <w:hideMark/>
          </w:tcPr>
          <w:p w14:paraId="6C7408F7"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Legal &amp; Accounting</w:t>
            </w:r>
          </w:p>
        </w:tc>
        <w:tc>
          <w:tcPr>
            <w:tcW w:w="1557" w:type="dxa"/>
            <w:tcBorders>
              <w:top w:val="nil"/>
              <w:left w:val="nil"/>
              <w:bottom w:val="nil"/>
              <w:right w:val="nil"/>
            </w:tcBorders>
            <w:shd w:val="clear" w:color="auto" w:fill="auto"/>
            <w:vAlign w:val="center"/>
            <w:hideMark/>
          </w:tcPr>
          <w:p w14:paraId="3A88CC63"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3,000</w:t>
            </w:r>
          </w:p>
        </w:tc>
        <w:tc>
          <w:tcPr>
            <w:tcW w:w="1557" w:type="dxa"/>
            <w:tcBorders>
              <w:top w:val="nil"/>
              <w:left w:val="nil"/>
              <w:bottom w:val="nil"/>
              <w:right w:val="nil"/>
            </w:tcBorders>
            <w:shd w:val="clear" w:color="auto" w:fill="auto"/>
            <w:vAlign w:val="center"/>
            <w:hideMark/>
          </w:tcPr>
          <w:p w14:paraId="2D15D818"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5,000</w:t>
            </w:r>
          </w:p>
        </w:tc>
      </w:tr>
      <w:tr w:rsidR="001C33F3" w:rsidRPr="005847DB" w14:paraId="51BBC772" w14:textId="77777777" w:rsidTr="005847DB">
        <w:trPr>
          <w:trHeight w:val="66"/>
          <w:jc w:val="center"/>
        </w:trPr>
        <w:tc>
          <w:tcPr>
            <w:tcW w:w="2970" w:type="dxa"/>
            <w:tcBorders>
              <w:top w:val="nil"/>
              <w:left w:val="nil"/>
              <w:bottom w:val="nil"/>
              <w:right w:val="nil"/>
            </w:tcBorders>
            <w:shd w:val="clear" w:color="auto" w:fill="auto"/>
            <w:vAlign w:val="center"/>
            <w:hideMark/>
          </w:tcPr>
          <w:p w14:paraId="0D367DB0"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Opening Advertisement</w:t>
            </w:r>
          </w:p>
        </w:tc>
        <w:tc>
          <w:tcPr>
            <w:tcW w:w="1557" w:type="dxa"/>
            <w:tcBorders>
              <w:top w:val="nil"/>
              <w:left w:val="nil"/>
              <w:bottom w:val="nil"/>
              <w:right w:val="nil"/>
            </w:tcBorders>
            <w:shd w:val="clear" w:color="auto" w:fill="auto"/>
            <w:vAlign w:val="center"/>
            <w:hideMark/>
          </w:tcPr>
          <w:p w14:paraId="7E8087E0"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10,000</w:t>
            </w:r>
          </w:p>
        </w:tc>
        <w:tc>
          <w:tcPr>
            <w:tcW w:w="1557" w:type="dxa"/>
            <w:tcBorders>
              <w:top w:val="nil"/>
              <w:left w:val="nil"/>
              <w:bottom w:val="nil"/>
              <w:right w:val="nil"/>
            </w:tcBorders>
            <w:shd w:val="clear" w:color="auto" w:fill="auto"/>
            <w:vAlign w:val="center"/>
            <w:hideMark/>
          </w:tcPr>
          <w:p w14:paraId="23E98C65"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20,000</w:t>
            </w:r>
          </w:p>
        </w:tc>
      </w:tr>
      <w:tr w:rsidR="001C33F3" w:rsidRPr="005847DB" w14:paraId="1C8EFD9A" w14:textId="77777777" w:rsidTr="005847DB">
        <w:trPr>
          <w:trHeight w:val="66"/>
          <w:jc w:val="center"/>
        </w:trPr>
        <w:tc>
          <w:tcPr>
            <w:tcW w:w="2970" w:type="dxa"/>
            <w:tcBorders>
              <w:top w:val="nil"/>
              <w:left w:val="nil"/>
              <w:bottom w:val="nil"/>
              <w:right w:val="nil"/>
            </w:tcBorders>
            <w:shd w:val="clear" w:color="auto" w:fill="auto"/>
            <w:vAlign w:val="center"/>
            <w:hideMark/>
          </w:tcPr>
          <w:p w14:paraId="2BDF4891"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Miscellaneous (Licences, etc.)</w:t>
            </w:r>
          </w:p>
        </w:tc>
        <w:tc>
          <w:tcPr>
            <w:tcW w:w="1557" w:type="dxa"/>
            <w:tcBorders>
              <w:top w:val="nil"/>
              <w:left w:val="nil"/>
              <w:bottom w:val="nil"/>
              <w:right w:val="nil"/>
            </w:tcBorders>
            <w:shd w:val="clear" w:color="auto" w:fill="auto"/>
            <w:vAlign w:val="center"/>
            <w:hideMark/>
          </w:tcPr>
          <w:p w14:paraId="2FEFA896"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1,000</w:t>
            </w:r>
          </w:p>
        </w:tc>
        <w:tc>
          <w:tcPr>
            <w:tcW w:w="1557" w:type="dxa"/>
            <w:tcBorders>
              <w:top w:val="nil"/>
              <w:left w:val="nil"/>
              <w:bottom w:val="nil"/>
              <w:right w:val="nil"/>
            </w:tcBorders>
            <w:shd w:val="clear" w:color="auto" w:fill="auto"/>
            <w:vAlign w:val="center"/>
            <w:hideMark/>
          </w:tcPr>
          <w:p w14:paraId="18234807"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5,000</w:t>
            </w:r>
          </w:p>
        </w:tc>
      </w:tr>
      <w:tr w:rsidR="001C33F3" w:rsidRPr="005847DB" w14:paraId="606C080D" w14:textId="77777777" w:rsidTr="004F7CAF">
        <w:trPr>
          <w:trHeight w:val="259"/>
          <w:jc w:val="center"/>
        </w:trPr>
        <w:tc>
          <w:tcPr>
            <w:tcW w:w="2970" w:type="dxa"/>
            <w:tcBorders>
              <w:top w:val="nil"/>
              <w:left w:val="nil"/>
              <w:bottom w:val="single" w:sz="8" w:space="0" w:color="auto"/>
              <w:right w:val="nil"/>
            </w:tcBorders>
            <w:shd w:val="clear" w:color="auto" w:fill="auto"/>
            <w:vAlign w:val="center"/>
            <w:hideMark/>
          </w:tcPr>
          <w:p w14:paraId="34A3B43E"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Working Capital</w:t>
            </w:r>
          </w:p>
        </w:tc>
        <w:tc>
          <w:tcPr>
            <w:tcW w:w="1557" w:type="dxa"/>
            <w:tcBorders>
              <w:top w:val="nil"/>
              <w:left w:val="nil"/>
              <w:bottom w:val="single" w:sz="8" w:space="0" w:color="auto"/>
              <w:right w:val="nil"/>
            </w:tcBorders>
            <w:shd w:val="clear" w:color="auto" w:fill="auto"/>
            <w:vAlign w:val="center"/>
            <w:hideMark/>
          </w:tcPr>
          <w:p w14:paraId="07468A50"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20,000</w:t>
            </w:r>
          </w:p>
        </w:tc>
        <w:tc>
          <w:tcPr>
            <w:tcW w:w="1557" w:type="dxa"/>
            <w:tcBorders>
              <w:top w:val="nil"/>
              <w:left w:val="nil"/>
              <w:bottom w:val="single" w:sz="8" w:space="0" w:color="auto"/>
              <w:right w:val="nil"/>
            </w:tcBorders>
            <w:shd w:val="clear" w:color="auto" w:fill="auto"/>
            <w:vAlign w:val="center"/>
            <w:hideMark/>
          </w:tcPr>
          <w:p w14:paraId="3834E618"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30,000</w:t>
            </w:r>
          </w:p>
        </w:tc>
      </w:tr>
      <w:tr w:rsidR="001C33F3" w:rsidRPr="005847DB" w14:paraId="24EE6D58" w14:textId="77777777" w:rsidTr="005847DB">
        <w:trPr>
          <w:trHeight w:val="46"/>
          <w:jc w:val="center"/>
        </w:trPr>
        <w:tc>
          <w:tcPr>
            <w:tcW w:w="2970" w:type="dxa"/>
            <w:tcBorders>
              <w:top w:val="nil"/>
              <w:left w:val="nil"/>
              <w:bottom w:val="single" w:sz="8" w:space="0" w:color="auto"/>
              <w:right w:val="nil"/>
            </w:tcBorders>
            <w:shd w:val="clear" w:color="auto" w:fill="auto"/>
            <w:vAlign w:val="center"/>
            <w:hideMark/>
          </w:tcPr>
          <w:p w14:paraId="2B7DB2B1" w14:textId="77777777" w:rsidR="001C33F3" w:rsidRPr="005847DB" w:rsidRDefault="001C33F3" w:rsidP="001C33F3">
            <w:pPr>
              <w:rPr>
                <w:rFonts w:ascii="Arial" w:hAnsi="Arial" w:cs="Arial"/>
                <w:color w:val="000000"/>
                <w:sz w:val="17"/>
                <w:szCs w:val="17"/>
              </w:rPr>
            </w:pPr>
            <w:r w:rsidRPr="005847DB">
              <w:rPr>
                <w:rFonts w:ascii="Arial" w:hAnsi="Arial" w:cs="Arial"/>
                <w:iCs/>
                <w:color w:val="000000"/>
                <w:kern w:val="2"/>
                <w:sz w:val="17"/>
                <w:szCs w:val="17"/>
              </w:rPr>
              <w:t>Total</w:t>
            </w:r>
          </w:p>
        </w:tc>
        <w:tc>
          <w:tcPr>
            <w:tcW w:w="1557" w:type="dxa"/>
            <w:tcBorders>
              <w:top w:val="single" w:sz="8" w:space="0" w:color="auto"/>
              <w:left w:val="nil"/>
              <w:bottom w:val="single" w:sz="8" w:space="0" w:color="auto"/>
              <w:right w:val="nil"/>
            </w:tcBorders>
            <w:shd w:val="clear" w:color="auto" w:fill="auto"/>
            <w:vAlign w:val="center"/>
            <w:hideMark/>
          </w:tcPr>
          <w:p w14:paraId="103CED39"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92,500</w:t>
            </w:r>
          </w:p>
        </w:tc>
        <w:tc>
          <w:tcPr>
            <w:tcW w:w="1557" w:type="dxa"/>
            <w:tcBorders>
              <w:top w:val="nil"/>
              <w:left w:val="nil"/>
              <w:bottom w:val="single" w:sz="8" w:space="0" w:color="auto"/>
              <w:right w:val="nil"/>
            </w:tcBorders>
            <w:shd w:val="clear" w:color="auto" w:fill="auto"/>
            <w:vAlign w:val="center"/>
            <w:hideMark/>
          </w:tcPr>
          <w:p w14:paraId="0C654AAC" w14:textId="77777777" w:rsidR="001C33F3" w:rsidRPr="005847DB" w:rsidRDefault="001C33F3" w:rsidP="001C33F3">
            <w:pPr>
              <w:jc w:val="right"/>
              <w:rPr>
                <w:rFonts w:ascii="Arial" w:hAnsi="Arial" w:cs="Arial"/>
                <w:color w:val="000000"/>
                <w:sz w:val="17"/>
                <w:szCs w:val="17"/>
              </w:rPr>
            </w:pPr>
            <w:r w:rsidRPr="005847DB">
              <w:rPr>
                <w:rFonts w:ascii="Arial" w:hAnsi="Arial" w:cs="Arial"/>
                <w:iCs/>
                <w:color w:val="000000"/>
                <w:kern w:val="2"/>
                <w:sz w:val="17"/>
                <w:szCs w:val="17"/>
              </w:rPr>
              <w:t>143,000</w:t>
            </w:r>
          </w:p>
        </w:tc>
      </w:tr>
    </w:tbl>
    <w:p w14:paraId="07F958FA" w14:textId="77777777" w:rsidR="00F50251" w:rsidRPr="005847DB" w:rsidRDefault="00F50251" w:rsidP="001B6D28">
      <w:pPr>
        <w:pStyle w:val="ExhibitText"/>
        <w:rPr>
          <w:sz w:val="12"/>
          <w:szCs w:val="12"/>
        </w:rPr>
      </w:pPr>
    </w:p>
    <w:p w14:paraId="6B9B64F8" w14:textId="150E46BC" w:rsidR="00402C18" w:rsidRDefault="00402C18" w:rsidP="001B6D28">
      <w:pPr>
        <w:pStyle w:val="Footnote"/>
      </w:pPr>
      <w:r>
        <w:t>Note: IT = information technology.</w:t>
      </w:r>
    </w:p>
    <w:p w14:paraId="453B814E" w14:textId="76DD998E" w:rsidR="00B87DC0" w:rsidRPr="004951FA" w:rsidRDefault="00F50251" w:rsidP="005847DB">
      <w:pPr>
        <w:pStyle w:val="Footnote"/>
      </w:pPr>
      <w:r w:rsidRPr="004951FA">
        <w:t>Source: Company</w:t>
      </w:r>
      <w:r w:rsidR="009872BF">
        <w:t xml:space="preserve"> files</w:t>
      </w:r>
      <w:r w:rsidR="001B6D28" w:rsidRPr="004951FA">
        <w:t>.</w:t>
      </w:r>
    </w:p>
    <w:sectPr w:rsidR="00B87DC0" w:rsidRPr="004951FA" w:rsidSect="00F614FB">
      <w:headerReference w:type="default" r:id="rId12"/>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6E318A" w16cid:durableId="2188C7C8"/>
  <w16cid:commentId w16cid:paraId="100B0E07" w16cid:durableId="2199ED6A"/>
  <w16cid:commentId w16cid:paraId="3EB8F6A8" w16cid:durableId="2199F8E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50528" w14:textId="77777777" w:rsidR="000A27E5" w:rsidRDefault="000A27E5" w:rsidP="00D75295">
      <w:r>
        <w:separator/>
      </w:r>
    </w:p>
  </w:endnote>
  <w:endnote w:type="continuationSeparator" w:id="0">
    <w:p w14:paraId="124B8E33" w14:textId="77777777" w:rsidR="000A27E5" w:rsidRDefault="000A27E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40F40" w14:textId="77777777" w:rsidR="000A27E5" w:rsidRDefault="000A27E5" w:rsidP="00D75295">
      <w:r>
        <w:separator/>
      </w:r>
    </w:p>
  </w:footnote>
  <w:footnote w:type="continuationSeparator" w:id="0">
    <w:p w14:paraId="5609EAB6" w14:textId="77777777" w:rsidR="000A27E5" w:rsidRDefault="000A27E5" w:rsidP="00D75295">
      <w:r>
        <w:continuationSeparator/>
      </w:r>
    </w:p>
  </w:footnote>
  <w:footnote w:id="1">
    <w:p w14:paraId="6307E9A7" w14:textId="25D12F1B" w:rsidR="000A27E5" w:rsidRPr="007F5258" w:rsidRDefault="000A27E5" w:rsidP="00DD257D">
      <w:pPr>
        <w:pStyle w:val="Footnote"/>
      </w:pPr>
      <w:r w:rsidRPr="00D25C0C">
        <w:rPr>
          <w:rStyle w:val="FootnoteReference"/>
        </w:rPr>
        <w:footnoteRef/>
      </w:r>
      <w:r w:rsidRPr="007F5258">
        <w:t xml:space="preserve"> All amounts are in Canadian dollars unless otherwise stated. </w:t>
      </w:r>
    </w:p>
  </w:footnote>
  <w:footnote w:id="2">
    <w:p w14:paraId="325608BC" w14:textId="2FBBE806" w:rsidR="000A27E5" w:rsidRPr="004951FA" w:rsidRDefault="000A27E5" w:rsidP="00D25312">
      <w:pPr>
        <w:pStyle w:val="Footnote"/>
      </w:pPr>
      <w:r w:rsidRPr="00D25C0C">
        <w:rPr>
          <w:rStyle w:val="FootnoteReference"/>
        </w:rPr>
        <w:footnoteRef/>
      </w:r>
      <w:r w:rsidRPr="004951FA">
        <w:t xml:space="preserve"> Canadian Institute for Health Information, </w:t>
      </w:r>
      <w:r w:rsidRPr="007F5258">
        <w:rPr>
          <w:i/>
        </w:rPr>
        <w:t>National Health Expenditure Trends, 1975 to 2018</w:t>
      </w:r>
      <w:r>
        <w:t xml:space="preserve"> (Ottawa, ON: </w:t>
      </w:r>
      <w:r w:rsidRPr="004951FA">
        <w:t>Canadian Institute for Health Information</w:t>
      </w:r>
      <w:r>
        <w:t xml:space="preserve">, 2018), </w:t>
      </w:r>
      <w:r w:rsidRPr="004951FA">
        <w:t>accessed December 22, 2018</w:t>
      </w:r>
      <w:r>
        <w:t xml:space="preserve">, </w:t>
      </w:r>
      <w:r w:rsidR="00886941">
        <w:t>www</w:t>
      </w:r>
      <w:r w:rsidRPr="005D4A7A">
        <w:t>.cihi.ca/sites/default/files/document/nhex-trends-narrative-report-2018-en-web.pdf</w:t>
      </w:r>
      <w:r>
        <w:t>.</w:t>
      </w:r>
      <w:r w:rsidRPr="004951FA">
        <w:t xml:space="preserve"> </w:t>
      </w:r>
    </w:p>
  </w:footnote>
  <w:footnote w:id="3">
    <w:p w14:paraId="2E5953B8" w14:textId="24DBB646" w:rsidR="000A27E5" w:rsidRPr="004951FA" w:rsidRDefault="000A27E5" w:rsidP="00F50251">
      <w:pPr>
        <w:pStyle w:val="Footnote"/>
      </w:pPr>
      <w:r w:rsidRPr="00D25C0C">
        <w:rPr>
          <w:rStyle w:val="FootnoteReference"/>
        </w:rPr>
        <w:footnoteRef/>
      </w:r>
      <w:r w:rsidRPr="004951FA">
        <w:t xml:space="preserve"> </w:t>
      </w:r>
      <w:r>
        <w:t>World</w:t>
      </w:r>
      <w:r w:rsidRPr="008169BD">
        <w:t xml:space="preserve"> Health</w:t>
      </w:r>
      <w:r>
        <w:t>,</w:t>
      </w:r>
      <w:r w:rsidRPr="008169BD">
        <w:t xml:space="preserve"> </w:t>
      </w:r>
      <w:r w:rsidRPr="004951FA">
        <w:t>“</w:t>
      </w:r>
      <w:r w:rsidRPr="008169BD">
        <w:t>Current Health Expenditure (% of GDP)</w:t>
      </w:r>
      <w:r>
        <w:t>,</w:t>
      </w:r>
      <w:r w:rsidRPr="004951FA">
        <w:t>”</w:t>
      </w:r>
      <w:r>
        <w:t xml:space="preserve"> World Bank</w:t>
      </w:r>
      <w:r w:rsidRPr="004A09AB">
        <w:t xml:space="preserve"> </w:t>
      </w:r>
      <w:r w:rsidRPr="008169BD">
        <w:t>Organization Global Health Expenditure Database</w:t>
      </w:r>
      <w:r w:rsidRPr="004951FA">
        <w:t>,</w:t>
      </w:r>
      <w:r>
        <w:t xml:space="preserve"> </w:t>
      </w:r>
      <w:r w:rsidRPr="004951FA">
        <w:t>accessed December 22, 2018</w:t>
      </w:r>
      <w:r>
        <w:t xml:space="preserve">, </w:t>
      </w:r>
      <w:r w:rsidRPr="005D4A7A">
        <w:t>https://data.worldbank.org</w:t>
      </w:r>
      <w:r>
        <w:rPr>
          <w:rStyle w:val="Hyperlink"/>
          <w:color w:val="auto"/>
          <w:u w:val="none"/>
        </w:rPr>
        <w:t>.</w:t>
      </w:r>
      <w:r w:rsidRPr="004951FA">
        <w:t xml:space="preserve"> </w:t>
      </w:r>
    </w:p>
  </w:footnote>
  <w:footnote w:id="4">
    <w:p w14:paraId="33ED96D5" w14:textId="41BD3A46" w:rsidR="000A27E5" w:rsidRPr="004951FA" w:rsidRDefault="000A27E5" w:rsidP="00F50251">
      <w:pPr>
        <w:pStyle w:val="Footnote"/>
      </w:pPr>
      <w:r w:rsidRPr="00D25C0C">
        <w:rPr>
          <w:rStyle w:val="FootnoteReference"/>
        </w:rPr>
        <w:footnoteRef/>
      </w:r>
      <w:r w:rsidRPr="004951FA">
        <w:t xml:space="preserve"> Bacchus </w:t>
      </w:r>
      <w:proofErr w:type="spellStart"/>
      <w:r w:rsidRPr="004951FA">
        <w:t>Barua</w:t>
      </w:r>
      <w:proofErr w:type="spellEnd"/>
      <w:r w:rsidRPr="004951FA">
        <w:t xml:space="preserve">, </w:t>
      </w:r>
      <w:r w:rsidRPr="00A616DF">
        <w:rPr>
          <w:i/>
        </w:rPr>
        <w:t>Waiting Your Turn: Wait Times for Health Care in Canada, 2017 Report</w:t>
      </w:r>
      <w:r>
        <w:t xml:space="preserve"> (Vancouver, BC: Fraser Institute, 2017), accessed December 22, 2018, </w:t>
      </w:r>
      <w:r w:rsidR="00886941">
        <w:t>www</w:t>
      </w:r>
      <w:r w:rsidRPr="00CE57F4">
        <w:t>.fraserinstitute.org/sites/default/files/waiting-your-turn-2017.pdf</w:t>
      </w:r>
      <w:r>
        <w:t>.</w:t>
      </w:r>
    </w:p>
  </w:footnote>
  <w:footnote w:id="5">
    <w:p w14:paraId="3CC02CD1" w14:textId="7EBB4670" w:rsidR="000A27E5" w:rsidRPr="004951FA" w:rsidRDefault="000A27E5" w:rsidP="00F50251">
      <w:pPr>
        <w:pStyle w:val="Footnote"/>
      </w:pPr>
      <w:r w:rsidRPr="00D25C0C">
        <w:rPr>
          <w:rStyle w:val="FootnoteReference"/>
        </w:rPr>
        <w:footnoteRef/>
      </w:r>
      <w:r w:rsidRPr="004951FA">
        <w:t xml:space="preserve"> </w:t>
      </w:r>
      <w:r>
        <w:t>“</w:t>
      </w:r>
      <w:r w:rsidRPr="007E05C7">
        <w:t>Canada’s Doctor Supply Has Grown Faster than the Population for the Past Decade</w:t>
      </w:r>
      <w:r>
        <w:t xml:space="preserve">,” </w:t>
      </w:r>
      <w:r w:rsidRPr="004951FA">
        <w:t>Canadian Institute for Health Information,</w:t>
      </w:r>
      <w:r>
        <w:t xml:space="preserve"> September 28, 2017, accessed December 22, 2018, </w:t>
      </w:r>
      <w:r w:rsidR="00886941">
        <w:t>www</w:t>
      </w:r>
      <w:r w:rsidRPr="00E42CCC">
        <w:t>.cihi.ca/en/canadas-doctor-supply-has-grown-faster-than-the-population-for-the-past-decade</w:t>
      </w:r>
      <w:r>
        <w:t>.</w:t>
      </w:r>
      <w:r w:rsidRPr="00E42CCC" w:rsidDel="00E42CCC">
        <w:t xml:space="preserve"> </w:t>
      </w:r>
    </w:p>
  </w:footnote>
  <w:footnote w:id="6">
    <w:p w14:paraId="338413AF" w14:textId="7DB2EE52" w:rsidR="000A27E5" w:rsidRPr="00234392" w:rsidRDefault="000A27E5" w:rsidP="00F50251">
      <w:pPr>
        <w:pStyle w:val="Footnote"/>
      </w:pPr>
      <w:r w:rsidRPr="00D25C0C">
        <w:rPr>
          <w:rStyle w:val="FootnoteReference"/>
        </w:rPr>
        <w:footnoteRef/>
      </w:r>
      <w:r w:rsidRPr="004951FA">
        <w:t xml:space="preserve"> </w:t>
      </w:r>
      <w:proofErr w:type="spellStart"/>
      <w:r w:rsidRPr="004951FA">
        <w:t>Barua</w:t>
      </w:r>
      <w:proofErr w:type="spellEnd"/>
      <w:r w:rsidRPr="004951FA">
        <w:t xml:space="preserve">, </w:t>
      </w:r>
      <w:r>
        <w:t>op. cit.</w:t>
      </w:r>
    </w:p>
  </w:footnote>
  <w:footnote w:id="7">
    <w:p w14:paraId="2DA026CF" w14:textId="5B915B5E" w:rsidR="000A27E5" w:rsidRPr="008F0629" w:rsidRDefault="000A27E5" w:rsidP="004F7CAF">
      <w:pPr>
        <w:pStyle w:val="Footnote"/>
      </w:pPr>
      <w:r w:rsidRPr="00D25C0C">
        <w:rPr>
          <w:rStyle w:val="FootnoteReference"/>
        </w:rPr>
        <w:footnoteRef/>
      </w:r>
      <w:r w:rsidRPr="008F0629">
        <w:t xml:space="preserve"> </w:t>
      </w:r>
      <w:r w:rsidRPr="001B1500">
        <w:t>Canadian Institute for Health Information,</w:t>
      </w:r>
      <w:r w:rsidRPr="001B1500" w:rsidDel="008D037B">
        <w:t xml:space="preserve"> </w:t>
      </w:r>
      <w:proofErr w:type="gramStart"/>
      <w:r w:rsidRPr="004F7CAF">
        <w:rPr>
          <w:i/>
          <w:iCs/>
        </w:rPr>
        <w:t>Seniors</w:t>
      </w:r>
      <w:proofErr w:type="gramEnd"/>
      <w:r w:rsidRPr="004F7CAF">
        <w:rPr>
          <w:i/>
          <w:iCs/>
        </w:rPr>
        <w:t xml:space="preserve"> in Transition: Exploring Pathways across the Care Continuum</w:t>
      </w:r>
      <w:r w:rsidRPr="004F7CAF">
        <w:t xml:space="preserve"> </w:t>
      </w:r>
      <w:r>
        <w:t>(Ottawa, ON: Canadian Institute for Health Information, 2017), accessed June 10, </w:t>
      </w:r>
      <w:r w:rsidRPr="007B24DE">
        <w:t>2019</w:t>
      </w:r>
      <w:r>
        <w:t>, </w:t>
      </w:r>
      <w:r w:rsidR="00886941">
        <w:t>www</w:t>
      </w:r>
      <w:r w:rsidRPr="004F7CAF">
        <w:t>.cihi.ca/sites/default/files/document/seniors-in-transition-report-2017-en.pdf</w:t>
      </w:r>
      <w:r>
        <w:t>.</w:t>
      </w:r>
      <w:r w:rsidRPr="004F7CAF">
        <w:t xml:space="preserve"> </w:t>
      </w:r>
    </w:p>
  </w:footnote>
  <w:footnote w:id="8">
    <w:p w14:paraId="0C25EC32" w14:textId="10D2DE69" w:rsidR="000A27E5" w:rsidRPr="008F0629" w:rsidRDefault="000A27E5" w:rsidP="004F7CAF">
      <w:pPr>
        <w:pStyle w:val="Footnote"/>
      </w:pPr>
      <w:r w:rsidRPr="00D25C0C">
        <w:rPr>
          <w:rStyle w:val="FootnoteReference"/>
        </w:rPr>
        <w:footnoteRef/>
      </w:r>
      <w:r w:rsidRPr="008F0629">
        <w:t xml:space="preserve"> </w:t>
      </w:r>
      <w:bookmarkStart w:id="7" w:name="_Hlk16593316"/>
      <w:r w:rsidRPr="0059006E">
        <w:rPr>
          <w:rFonts w:eastAsiaTheme="minorHAnsi"/>
        </w:rPr>
        <w:t xml:space="preserve">IBIS World, </w:t>
      </w:r>
      <w:r w:rsidRPr="004F7CAF">
        <w:rPr>
          <w:rFonts w:eastAsiaTheme="minorHAnsi"/>
          <w:i/>
          <w:iCs/>
        </w:rPr>
        <w:t>Home Care Providers in Canada: Market Research Report</w:t>
      </w:r>
      <w:r w:rsidRPr="004F7CAF">
        <w:rPr>
          <w:rFonts w:eastAsiaTheme="minorHAnsi"/>
        </w:rPr>
        <w:t xml:space="preserve"> (</w:t>
      </w:r>
      <w:r w:rsidRPr="0059006E">
        <w:rPr>
          <w:rFonts w:eastAsiaTheme="minorHAnsi"/>
        </w:rPr>
        <w:t>Industry Report 62161CA),</w:t>
      </w:r>
      <w:r w:rsidRPr="004F7CAF">
        <w:rPr>
          <w:rFonts w:eastAsiaTheme="minorHAnsi"/>
        </w:rPr>
        <w:t xml:space="preserve"> October 2018</w:t>
      </w:r>
      <w:bookmarkEnd w:id="7"/>
      <w:r>
        <w:rPr>
          <w:rFonts w:eastAsiaTheme="minorHAnsi"/>
        </w:rPr>
        <w:t xml:space="preserve">, accessed November 27, 2019, </w:t>
      </w:r>
      <w:r w:rsidR="00886941">
        <w:rPr>
          <w:rFonts w:eastAsiaTheme="minorHAnsi"/>
        </w:rPr>
        <w:t>www</w:t>
      </w:r>
      <w:r w:rsidRPr="004A09AB">
        <w:rPr>
          <w:rFonts w:eastAsiaTheme="minorHAnsi"/>
        </w:rPr>
        <w:t>.ibisworld.com/canada/market-research-reports/home-care-providers-industry</w:t>
      </w:r>
      <w:r>
        <w:rPr>
          <w:rFonts w:eastAsiaTheme="minorHAnsi"/>
        </w:rPr>
        <w:t>.</w:t>
      </w:r>
    </w:p>
  </w:footnote>
  <w:footnote w:id="9">
    <w:p w14:paraId="24FC6015" w14:textId="311BD570" w:rsidR="000A27E5" w:rsidRPr="0030691C" w:rsidRDefault="000A27E5" w:rsidP="000A27E5">
      <w:pPr>
        <w:pStyle w:val="Footnote"/>
      </w:pPr>
      <w:r w:rsidRPr="0030691C">
        <w:rPr>
          <w:rStyle w:val="FootnoteReference"/>
        </w:rPr>
        <w:footnoteRef/>
      </w:r>
      <w:r w:rsidRPr="0030691C">
        <w:t xml:space="preserve"> Canadian Life and Health Insurance Association Inc.</w:t>
      </w:r>
      <w:r>
        <w:t>, CLHIA Report on Long-Term Care Policy, 6, July 29, 2014, accessed on December 6, 2019, </w:t>
      </w:r>
      <w:r w:rsidR="00886941">
        <w:t>www</w:t>
      </w:r>
      <w:r w:rsidRPr="00480137">
        <w:t>.clhia.ca/web/clhia_lp4w_lnd_webstation.nsf/page/3C342451F891CF1D85257A240044F961/$file/LTC_Policy_Paper_1_EN.pdf accessed November 29</w:t>
      </w:r>
      <w:r w:rsidRPr="0030691C">
        <w:t>, 2019</w:t>
      </w:r>
      <w:r>
        <w:t>.</w:t>
      </w:r>
    </w:p>
  </w:footnote>
  <w:footnote w:id="10">
    <w:p w14:paraId="6CF3FE88" w14:textId="6A0C61CD" w:rsidR="000A27E5" w:rsidRPr="004951FA" w:rsidRDefault="000A27E5" w:rsidP="00F50251">
      <w:pPr>
        <w:pStyle w:val="Footnote"/>
      </w:pPr>
      <w:r w:rsidRPr="00D25C0C">
        <w:rPr>
          <w:rStyle w:val="FootnoteReference"/>
        </w:rPr>
        <w:footnoteRef/>
      </w:r>
      <w:r>
        <w:t xml:space="preserve"> </w:t>
      </w:r>
      <w:r w:rsidRPr="004951FA">
        <w:t>Canadian Institute for Health Information</w:t>
      </w:r>
      <w:r>
        <w:t xml:space="preserve">, </w:t>
      </w:r>
      <w:r w:rsidRPr="00A616DF">
        <w:rPr>
          <w:i/>
        </w:rPr>
        <w:t xml:space="preserve">National Health Expenditure Trends, </w:t>
      </w:r>
      <w:r>
        <w:rPr>
          <w:iCs/>
        </w:rPr>
        <w:t xml:space="preserve">op. cit., </w:t>
      </w:r>
      <w:r>
        <w:t>26.</w:t>
      </w:r>
    </w:p>
  </w:footnote>
  <w:footnote w:id="11">
    <w:p w14:paraId="67789F11" w14:textId="3EB0D140" w:rsidR="000A27E5" w:rsidRPr="004951FA" w:rsidRDefault="000A27E5" w:rsidP="00F50251">
      <w:pPr>
        <w:pStyle w:val="Footnote"/>
      </w:pPr>
      <w:r w:rsidRPr="00D25C0C">
        <w:rPr>
          <w:rStyle w:val="FootnoteReference"/>
        </w:rPr>
        <w:footnoteRef/>
      </w:r>
      <w:r>
        <w:t xml:space="preserve"> </w:t>
      </w:r>
      <w:r w:rsidRPr="004951FA">
        <w:t>Canadian Institute for Health Information</w:t>
      </w:r>
      <w:r>
        <w:t>,</w:t>
      </w:r>
      <w:r w:rsidRPr="004951FA" w:rsidDel="008D037B">
        <w:t xml:space="preserve"> </w:t>
      </w:r>
      <w:proofErr w:type="gramStart"/>
      <w:r w:rsidRPr="007F5258">
        <w:rPr>
          <w:i/>
        </w:rPr>
        <w:t>Seniors</w:t>
      </w:r>
      <w:proofErr w:type="gramEnd"/>
      <w:r w:rsidRPr="007F5258">
        <w:rPr>
          <w:i/>
        </w:rPr>
        <w:t xml:space="preserve"> in Transition</w:t>
      </w:r>
      <w:r>
        <w:rPr>
          <w:iCs/>
        </w:rPr>
        <w:t xml:space="preserve">, op. cit., </w:t>
      </w:r>
      <w:r>
        <w:t>7.</w:t>
      </w:r>
    </w:p>
  </w:footnote>
  <w:footnote w:id="12">
    <w:p w14:paraId="44EE6D6F" w14:textId="65BCC05E" w:rsidR="000A27E5" w:rsidRPr="008F0629" w:rsidRDefault="000A27E5" w:rsidP="004F7CAF">
      <w:pPr>
        <w:pStyle w:val="Footnote"/>
      </w:pPr>
      <w:r w:rsidRPr="00D25C0C">
        <w:rPr>
          <w:rStyle w:val="FootnoteReference"/>
        </w:rPr>
        <w:footnoteRef/>
      </w:r>
      <w:r w:rsidRPr="008F0629">
        <w:t xml:space="preserve"> IBIS</w:t>
      </w:r>
      <w:r>
        <w:t xml:space="preserve"> </w:t>
      </w:r>
      <w:r w:rsidRPr="008F0629">
        <w:t>World Industry</w:t>
      </w:r>
      <w:r>
        <w:t>, op. cit.</w:t>
      </w:r>
    </w:p>
  </w:footnote>
  <w:footnote w:id="13">
    <w:p w14:paraId="197B2C2A" w14:textId="6DE4576A" w:rsidR="000A27E5" w:rsidRPr="004951FA" w:rsidRDefault="000A27E5" w:rsidP="00F50251">
      <w:pPr>
        <w:pStyle w:val="Footnote"/>
      </w:pPr>
      <w:r w:rsidRPr="00D25C0C">
        <w:rPr>
          <w:rStyle w:val="FootnoteReference"/>
        </w:rPr>
        <w:footnoteRef/>
      </w:r>
      <w:r w:rsidRPr="004951FA">
        <w:t xml:space="preserve"> Canadian Institute for Health Information</w:t>
      </w:r>
      <w:r>
        <w:t>,</w:t>
      </w:r>
      <w:r w:rsidRPr="004951FA" w:rsidDel="008D037B">
        <w:t xml:space="preserve"> </w:t>
      </w:r>
      <w:proofErr w:type="gramStart"/>
      <w:r w:rsidRPr="00A616DF">
        <w:rPr>
          <w:i/>
        </w:rPr>
        <w:t>Seniors</w:t>
      </w:r>
      <w:proofErr w:type="gramEnd"/>
      <w:r w:rsidRPr="00A616DF">
        <w:rPr>
          <w:i/>
        </w:rPr>
        <w:t xml:space="preserve"> in Transition</w:t>
      </w:r>
      <w:r>
        <w:rPr>
          <w:iCs/>
        </w:rPr>
        <w:t xml:space="preserve">, op. cit., </w:t>
      </w:r>
      <w:r>
        <w:t>34.</w:t>
      </w:r>
    </w:p>
  </w:footnote>
  <w:footnote w:id="14">
    <w:p w14:paraId="255A0AB2" w14:textId="25B446A9" w:rsidR="000A27E5" w:rsidRPr="004951FA" w:rsidRDefault="000A27E5" w:rsidP="00F50251">
      <w:pPr>
        <w:pStyle w:val="Footnote"/>
      </w:pPr>
      <w:r w:rsidRPr="00D25C0C">
        <w:rPr>
          <w:rStyle w:val="FootnoteReference"/>
        </w:rPr>
        <w:footnoteRef/>
      </w:r>
      <w:r w:rsidRPr="004951FA">
        <w:t xml:space="preserve"> Ibid</w:t>
      </w:r>
      <w:r>
        <w:t>, 10.</w:t>
      </w:r>
    </w:p>
  </w:footnote>
  <w:footnote w:id="15">
    <w:p w14:paraId="447CB671" w14:textId="7DC2BF54" w:rsidR="000A27E5" w:rsidRPr="008F0629" w:rsidRDefault="000A27E5" w:rsidP="004F7CAF">
      <w:pPr>
        <w:pStyle w:val="Footnote"/>
      </w:pPr>
      <w:r w:rsidRPr="00D25C0C">
        <w:rPr>
          <w:rStyle w:val="FootnoteReference"/>
        </w:rPr>
        <w:footnoteRef/>
      </w:r>
      <w:r>
        <w:t xml:space="preserve"> </w:t>
      </w:r>
      <w:r w:rsidRPr="00097B7B">
        <w:t>IBIS</w:t>
      </w:r>
      <w:r>
        <w:t xml:space="preserve"> </w:t>
      </w:r>
      <w:r w:rsidRPr="00097B7B">
        <w:t>World Industry</w:t>
      </w:r>
      <w:r>
        <w:t>, op. cit., 12.</w:t>
      </w:r>
    </w:p>
  </w:footnote>
  <w:footnote w:id="16">
    <w:p w14:paraId="6EE95184" w14:textId="2E1D7353" w:rsidR="000A27E5" w:rsidRPr="00480137" w:rsidRDefault="000A27E5">
      <w:pPr>
        <w:pStyle w:val="FootnoteText"/>
        <w:rPr>
          <w:rFonts w:ascii="Arial" w:hAnsi="Arial" w:cs="Arial"/>
          <w:sz w:val="17"/>
          <w:szCs w:val="17"/>
        </w:rPr>
      </w:pPr>
      <w:r w:rsidRPr="00480137">
        <w:rPr>
          <w:rStyle w:val="FootnoteReference"/>
          <w:rFonts w:ascii="Arial" w:hAnsi="Arial" w:cs="Arial"/>
          <w:sz w:val="17"/>
          <w:szCs w:val="17"/>
        </w:rPr>
        <w:footnoteRef/>
      </w:r>
      <w:r w:rsidRPr="00480137">
        <w:rPr>
          <w:rFonts w:ascii="Arial" w:hAnsi="Arial" w:cs="Arial"/>
          <w:sz w:val="17"/>
          <w:szCs w:val="17"/>
        </w:rPr>
        <w:t xml:space="preserve"> </w:t>
      </w:r>
      <w:r>
        <w:rPr>
          <w:rFonts w:ascii="Arial" w:hAnsi="Arial" w:cs="Arial"/>
          <w:sz w:val="17"/>
          <w:szCs w:val="17"/>
        </w:rPr>
        <w:t>I</w:t>
      </w:r>
      <w:r w:rsidRPr="00480137">
        <w:rPr>
          <w:rFonts w:ascii="Arial" w:hAnsi="Arial" w:cs="Arial"/>
          <w:sz w:val="17"/>
          <w:szCs w:val="17"/>
        </w:rPr>
        <w:t>bid</w:t>
      </w:r>
      <w:r>
        <w:rPr>
          <w:rFonts w:ascii="Arial" w:hAnsi="Arial" w:cs="Arial"/>
          <w:sz w:val="17"/>
          <w:szCs w:val="17"/>
        </w:rPr>
        <w:t>.</w:t>
      </w:r>
    </w:p>
  </w:footnote>
  <w:footnote w:id="17">
    <w:p w14:paraId="5C9E745E" w14:textId="6B5221CE" w:rsidR="000A27E5" w:rsidRDefault="000A27E5">
      <w:pPr>
        <w:pStyle w:val="FootnoteText"/>
      </w:pPr>
      <w:r w:rsidRPr="00480137">
        <w:rPr>
          <w:rStyle w:val="FootnoteReference"/>
          <w:rFonts w:ascii="Arial" w:hAnsi="Arial" w:cs="Arial"/>
          <w:sz w:val="17"/>
          <w:szCs w:val="17"/>
        </w:rPr>
        <w:footnoteRef/>
      </w:r>
      <w:r w:rsidRPr="00480137">
        <w:rPr>
          <w:rFonts w:ascii="Arial" w:hAnsi="Arial" w:cs="Arial"/>
          <w:sz w:val="17"/>
          <w:szCs w:val="17"/>
        </w:rPr>
        <w:t xml:space="preserve"> </w:t>
      </w:r>
      <w:r>
        <w:rPr>
          <w:rFonts w:ascii="Arial" w:hAnsi="Arial" w:cs="Arial"/>
          <w:sz w:val="17"/>
          <w:szCs w:val="17"/>
        </w:rPr>
        <w:t>I</w:t>
      </w:r>
      <w:r w:rsidRPr="00480137">
        <w:rPr>
          <w:rFonts w:ascii="Arial" w:hAnsi="Arial" w:cs="Arial"/>
          <w:sz w:val="17"/>
          <w:szCs w:val="17"/>
        </w:rPr>
        <w:t>bid</w:t>
      </w:r>
      <w:r>
        <w:rPr>
          <w:rFonts w:ascii="Arial" w:hAnsi="Arial" w:cs="Arial"/>
          <w:sz w:val="17"/>
          <w:szCs w:val="17"/>
        </w:rPr>
        <w:t>.</w:t>
      </w:r>
    </w:p>
  </w:footnote>
  <w:footnote w:id="18">
    <w:p w14:paraId="343FFEFE" w14:textId="5DE1882F" w:rsidR="000A27E5" w:rsidRPr="008F0629" w:rsidRDefault="000A27E5" w:rsidP="008F0629">
      <w:pPr>
        <w:pStyle w:val="Footnote"/>
      </w:pPr>
      <w:r w:rsidRPr="00D25C0C">
        <w:rPr>
          <w:rStyle w:val="FootnoteReference"/>
        </w:rPr>
        <w:footnoteRef/>
      </w:r>
      <w:r w:rsidRPr="008F0629">
        <w:t xml:space="preserve"> </w:t>
      </w:r>
      <w:r>
        <w:t xml:space="preserve">Government of New Brunswick, </w:t>
      </w:r>
      <w:r w:rsidRPr="004F7CAF">
        <w:rPr>
          <w:i/>
          <w:iCs/>
        </w:rPr>
        <w:t>We Are All in This Together: An Aging Strategy for New Brunswick</w:t>
      </w:r>
      <w:r>
        <w:rPr>
          <w:rFonts w:eastAsiaTheme="minorHAnsi"/>
        </w:rPr>
        <w:t>, January 2017,</w:t>
      </w:r>
      <w:r w:rsidRPr="00BC403B">
        <w:t xml:space="preserve"> </w:t>
      </w:r>
      <w:r>
        <w:t xml:space="preserve">15, </w:t>
      </w:r>
      <w:r w:rsidRPr="008F0629">
        <w:rPr>
          <w:rFonts w:eastAsiaTheme="minorHAnsi"/>
        </w:rPr>
        <w:t>accessed June 5</w:t>
      </w:r>
      <w:r>
        <w:rPr>
          <w:rFonts w:eastAsiaTheme="minorHAnsi"/>
        </w:rPr>
        <w:t xml:space="preserve">, 2019, </w:t>
      </w:r>
      <w:r w:rsidR="00886941">
        <w:rPr>
          <w:rFonts w:eastAsiaTheme="minorHAnsi"/>
        </w:rPr>
        <w:t>www</w:t>
      </w:r>
      <w:r w:rsidRPr="008F0629">
        <w:rPr>
          <w:rFonts w:eastAsiaTheme="minorHAnsi"/>
        </w:rPr>
        <w:t>2.gnb.ca/content/dam/gnb/Departments/sd-ds/pdf/Seniors/AnAgingStrategyForNB.pdf</w:t>
      </w:r>
      <w:r>
        <w:rPr>
          <w:rFonts w:eastAsiaTheme="minorHAnsi"/>
        </w:rPr>
        <w:t>.</w:t>
      </w:r>
    </w:p>
  </w:footnote>
  <w:footnote w:id="19">
    <w:p w14:paraId="0A59146D" w14:textId="165B6C0F" w:rsidR="000A27E5" w:rsidRPr="004951FA" w:rsidRDefault="000A27E5" w:rsidP="00F50251">
      <w:pPr>
        <w:pStyle w:val="Footnote"/>
      </w:pPr>
      <w:r w:rsidRPr="00D25C0C">
        <w:rPr>
          <w:rStyle w:val="FootnoteReference"/>
        </w:rPr>
        <w:footnoteRef/>
      </w:r>
      <w:r>
        <w:t xml:space="preserve"> </w:t>
      </w:r>
      <w:r w:rsidRPr="00676110">
        <w:t xml:space="preserve">Claudine </w:t>
      </w:r>
      <w:proofErr w:type="spellStart"/>
      <w:r w:rsidRPr="00676110">
        <w:t>Provencher</w:t>
      </w:r>
      <w:proofErr w:type="spellEnd"/>
      <w:r>
        <w:t xml:space="preserve">, Anne Milan, Stacey Hallman, and Carol </w:t>
      </w:r>
      <w:proofErr w:type="spellStart"/>
      <w:r>
        <w:t>D’Aoust</w:t>
      </w:r>
      <w:proofErr w:type="spellEnd"/>
      <w:r>
        <w:t xml:space="preserve">, </w:t>
      </w:r>
      <w:r w:rsidRPr="004F7CAF">
        <w:rPr>
          <w:i/>
          <w:iCs/>
        </w:rPr>
        <w:t>Fertility: Overview, 2012 to 2016</w:t>
      </w:r>
      <w:r>
        <w:t xml:space="preserve"> (Ottawa, ON: Statistics Canada, 2018), accessed December 23, 2018,</w:t>
      </w:r>
      <w:r w:rsidRPr="004951FA">
        <w:t xml:space="preserve"> </w:t>
      </w:r>
      <w:r w:rsidR="00886941">
        <w:t>www</w:t>
      </w:r>
      <w:r w:rsidRPr="00676110">
        <w:t>150.statcan.gc.ca/n1/pub/91-209-x/2018001/article/54956-eng.htm</w:t>
      </w:r>
      <w:r>
        <w:t>.</w:t>
      </w:r>
      <w:r w:rsidRPr="00676110" w:rsidDel="00676110">
        <w:t xml:space="preserve"> </w:t>
      </w:r>
    </w:p>
  </w:footnote>
  <w:footnote w:id="20">
    <w:p w14:paraId="52A7467F" w14:textId="4B0AA95E" w:rsidR="000A27E5" w:rsidRPr="004951FA" w:rsidRDefault="000A27E5" w:rsidP="00B3244A">
      <w:pPr>
        <w:pStyle w:val="Footnote"/>
      </w:pPr>
      <w:r w:rsidRPr="00D25C0C">
        <w:rPr>
          <w:rStyle w:val="FootnoteReference"/>
        </w:rPr>
        <w:footnoteRef/>
      </w:r>
      <w:r w:rsidRPr="004951FA">
        <w:t xml:space="preserve"> </w:t>
      </w:r>
      <w:bookmarkStart w:id="8" w:name="_Hlk16841857"/>
      <w:r>
        <w:t xml:space="preserve">Government of New Brunswick, </w:t>
      </w:r>
      <w:r w:rsidRPr="00A616DF">
        <w:rPr>
          <w:i/>
        </w:rPr>
        <w:t>New Brunswick Population Growth Strategy 2013–2018</w:t>
      </w:r>
      <w:r>
        <w:t xml:space="preserve"> (Fredericton, NB: Province of New Brunswick, 2013),</w:t>
      </w:r>
      <w:r w:rsidRPr="004951FA">
        <w:t xml:space="preserve"> </w:t>
      </w:r>
      <w:r>
        <w:t xml:space="preserve">accessed December 23, 2018, </w:t>
      </w:r>
      <w:r w:rsidR="00886941">
        <w:t>www</w:t>
      </w:r>
      <w:r w:rsidRPr="008A4256">
        <w:t>2.gnb.ca/content/dam/gnb/Departments/petl-epft/PDF/PopGrowth/NBPG_Strategy_2013-18.pdf</w:t>
      </w:r>
      <w:r>
        <w:t>.</w:t>
      </w:r>
      <w:bookmarkEnd w:id="8"/>
    </w:p>
  </w:footnote>
  <w:footnote w:id="21">
    <w:p w14:paraId="636F676A" w14:textId="09B87290" w:rsidR="000A27E5" w:rsidRPr="008F0629" w:rsidRDefault="000A27E5" w:rsidP="004F7CAF">
      <w:pPr>
        <w:pStyle w:val="Footnote"/>
      </w:pPr>
      <w:r w:rsidRPr="00D25C0C">
        <w:rPr>
          <w:rStyle w:val="FootnoteReference"/>
        </w:rPr>
        <w:footnoteRef/>
      </w:r>
      <w:r w:rsidRPr="008F0629">
        <w:t xml:space="preserve"> </w:t>
      </w:r>
      <w:r>
        <w:t xml:space="preserve">Government of New Brunswick, </w:t>
      </w:r>
      <w:r w:rsidRPr="00A616DF">
        <w:rPr>
          <w:i/>
        </w:rPr>
        <w:t>New Brunswick Population Growth Strategy</w:t>
      </w:r>
      <w:r>
        <w:rPr>
          <w:i/>
        </w:rPr>
        <w:t xml:space="preserve">, op. cit., </w:t>
      </w:r>
      <w:r w:rsidRPr="008F0629">
        <w:t>2</w:t>
      </w:r>
      <w:r>
        <w:t>.</w:t>
      </w:r>
    </w:p>
  </w:footnote>
  <w:footnote w:id="22">
    <w:p w14:paraId="5BA8647E" w14:textId="56FAA42A" w:rsidR="000A27E5" w:rsidRDefault="000A27E5" w:rsidP="004F7CAF">
      <w:pPr>
        <w:pStyle w:val="Footnote"/>
      </w:pPr>
      <w:r>
        <w:rPr>
          <w:rStyle w:val="FootnoteReference"/>
        </w:rPr>
        <w:footnoteRef/>
      </w:r>
      <w:r>
        <w:t xml:space="preserve"> Government of New Brunswick, “Details of First-Year Investments in the Home First Strategy Revealed,” press release, May 14, 2014, accessed November 27, 2019, </w:t>
      </w:r>
      <w:r w:rsidR="00886941">
        <w:t>www</w:t>
      </w:r>
      <w:r w:rsidRPr="00F47525">
        <w:t>2.gnb.ca/content/gnb/en/news/news_release.2014.05.0550.html</w:t>
      </w:r>
      <w:r>
        <w:t>.</w:t>
      </w:r>
    </w:p>
  </w:footnote>
  <w:footnote w:id="23">
    <w:p w14:paraId="7E23A696" w14:textId="7BA3B744" w:rsidR="000A27E5" w:rsidRPr="00480137" w:rsidRDefault="000A27E5">
      <w:pPr>
        <w:pStyle w:val="FootnoteText"/>
        <w:rPr>
          <w:rFonts w:ascii="Arial" w:hAnsi="Arial" w:cs="Arial"/>
          <w:sz w:val="17"/>
          <w:szCs w:val="17"/>
        </w:rPr>
      </w:pPr>
      <w:r w:rsidRPr="00480137">
        <w:rPr>
          <w:rStyle w:val="FootnoteReference"/>
          <w:rFonts w:ascii="Arial" w:hAnsi="Arial" w:cs="Arial"/>
          <w:sz w:val="17"/>
          <w:szCs w:val="17"/>
        </w:rPr>
        <w:footnoteRef/>
      </w:r>
      <w:r>
        <w:rPr>
          <w:rFonts w:ascii="Arial" w:hAnsi="Arial" w:cs="Arial"/>
          <w:sz w:val="17"/>
          <w:szCs w:val="17"/>
        </w:rPr>
        <w:t xml:space="preserve">, Russell Heimlich, “Baby Boomers Retire,” Pew Research Center, December 29, 2010, accessed November 29, 2019, </w:t>
      </w:r>
      <w:r w:rsidR="00886941">
        <w:rPr>
          <w:rFonts w:ascii="Arial" w:hAnsi="Arial" w:cs="Arial"/>
          <w:sz w:val="17"/>
          <w:szCs w:val="17"/>
        </w:rPr>
        <w:t>www</w:t>
      </w:r>
      <w:r w:rsidRPr="00480137">
        <w:rPr>
          <w:rFonts w:ascii="Arial" w:hAnsi="Arial" w:cs="Arial"/>
          <w:sz w:val="17"/>
          <w:szCs w:val="17"/>
        </w:rPr>
        <w:t>.pewresearch.org/fact-tank/2010/12/29/baby-boomers-retire/</w:t>
      </w:r>
      <w:r>
        <w:rPr>
          <w:rFonts w:ascii="Arial" w:hAnsi="Arial" w:cs="Arial"/>
          <w:sz w:val="17"/>
          <w:szCs w:val="17"/>
        </w:rPr>
        <w:t>.</w:t>
      </w:r>
    </w:p>
  </w:footnote>
  <w:footnote w:id="24">
    <w:p w14:paraId="57ED885B" w14:textId="5E2277DF" w:rsidR="000A27E5" w:rsidRPr="000A27E5" w:rsidRDefault="000A27E5">
      <w:pPr>
        <w:pStyle w:val="FootnoteText"/>
        <w:rPr>
          <w:rFonts w:ascii="Arial" w:hAnsi="Arial" w:cs="Arial"/>
          <w:spacing w:val="-4"/>
          <w:kern w:val="17"/>
          <w:sz w:val="17"/>
          <w:szCs w:val="17"/>
        </w:rPr>
      </w:pPr>
      <w:r w:rsidRPr="000A27E5">
        <w:rPr>
          <w:rStyle w:val="FootnoteReference"/>
          <w:rFonts w:ascii="Arial" w:hAnsi="Arial" w:cs="Arial"/>
          <w:spacing w:val="-4"/>
          <w:kern w:val="17"/>
          <w:sz w:val="17"/>
          <w:szCs w:val="17"/>
        </w:rPr>
        <w:footnoteRef/>
      </w:r>
      <w:r w:rsidRPr="000A27E5">
        <w:rPr>
          <w:rFonts w:ascii="Arial" w:hAnsi="Arial" w:cs="Arial"/>
          <w:spacing w:val="-4"/>
          <w:kern w:val="17"/>
          <w:sz w:val="17"/>
          <w:szCs w:val="17"/>
        </w:rPr>
        <w:t xml:space="preserve"> “Home care in the US,” Statista, accessed November 29, 2019, </w:t>
      </w:r>
      <w:r w:rsidR="00886941">
        <w:rPr>
          <w:rFonts w:ascii="Arial" w:hAnsi="Arial" w:cs="Arial"/>
          <w:spacing w:val="-4"/>
          <w:kern w:val="17"/>
          <w:sz w:val="17"/>
          <w:szCs w:val="17"/>
        </w:rPr>
        <w:t>www</w:t>
      </w:r>
      <w:r w:rsidRPr="000A27E5">
        <w:rPr>
          <w:rFonts w:ascii="Arial" w:hAnsi="Arial" w:cs="Arial"/>
          <w:spacing w:val="-4"/>
          <w:kern w:val="17"/>
          <w:sz w:val="17"/>
          <w:szCs w:val="17"/>
        </w:rPr>
        <w:t>.statista.com/topics/4049/home-care-in-the-us/.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84FCF75" w:rsidR="000A27E5" w:rsidRPr="000A27E5" w:rsidRDefault="000A27E5" w:rsidP="001C7777">
    <w:pPr>
      <w:pBdr>
        <w:bottom w:val="single" w:sz="18" w:space="1" w:color="auto"/>
      </w:pBdr>
      <w:tabs>
        <w:tab w:val="left" w:pos="-1440"/>
        <w:tab w:val="left" w:pos="-720"/>
        <w:tab w:val="right" w:pos="9360"/>
      </w:tabs>
      <w:rPr>
        <w:sz w:val="20"/>
        <w:szCs w:val="20"/>
      </w:rPr>
    </w:pPr>
    <w:r w:rsidRPr="000A27E5">
      <w:rPr>
        <w:rFonts w:ascii="Arial" w:hAnsi="Arial"/>
        <w:b/>
        <w:sz w:val="20"/>
        <w:szCs w:val="20"/>
      </w:rPr>
      <w:t xml:space="preserve">Page </w:t>
    </w:r>
    <w:r w:rsidRPr="000A27E5">
      <w:rPr>
        <w:rFonts w:ascii="Arial" w:hAnsi="Arial"/>
        <w:b/>
        <w:sz w:val="20"/>
        <w:szCs w:val="20"/>
      </w:rPr>
      <w:fldChar w:fldCharType="begin"/>
    </w:r>
    <w:r w:rsidRPr="000A27E5">
      <w:rPr>
        <w:rFonts w:ascii="Arial" w:hAnsi="Arial"/>
        <w:b/>
        <w:sz w:val="20"/>
        <w:szCs w:val="20"/>
      </w:rPr>
      <w:instrText>PAGE</w:instrText>
    </w:r>
    <w:r w:rsidRPr="000A27E5">
      <w:rPr>
        <w:rFonts w:ascii="Arial" w:hAnsi="Arial"/>
        <w:b/>
        <w:sz w:val="20"/>
        <w:szCs w:val="20"/>
      </w:rPr>
      <w:fldChar w:fldCharType="separate"/>
    </w:r>
    <w:r w:rsidR="00886941">
      <w:rPr>
        <w:rFonts w:ascii="Arial" w:hAnsi="Arial"/>
        <w:b/>
        <w:noProof/>
        <w:sz w:val="20"/>
        <w:szCs w:val="20"/>
      </w:rPr>
      <w:t>10</w:t>
    </w:r>
    <w:r w:rsidRPr="000A27E5">
      <w:rPr>
        <w:rFonts w:ascii="Arial" w:hAnsi="Arial"/>
        <w:b/>
        <w:sz w:val="20"/>
        <w:szCs w:val="20"/>
      </w:rPr>
      <w:fldChar w:fldCharType="end"/>
    </w:r>
    <w:r w:rsidR="00886941">
      <w:rPr>
        <w:rFonts w:ascii="Arial" w:hAnsi="Arial"/>
        <w:b/>
        <w:sz w:val="20"/>
        <w:szCs w:val="20"/>
      </w:rPr>
      <w:tab/>
      <w:t>9B19D024</w:t>
    </w:r>
  </w:p>
  <w:p w14:paraId="2B53C0A0" w14:textId="77777777" w:rsidR="000A27E5" w:rsidRPr="000A27E5" w:rsidRDefault="000A27E5" w:rsidP="00D13667">
    <w:pPr>
      <w:pStyle w:val="Header"/>
      <w:tabs>
        <w:tab w:val="clear" w:pos="4680"/>
      </w:tabs>
      <w:rPr>
        <w:sz w:val="20"/>
        <w:szCs w:val="20"/>
      </w:rPr>
    </w:pPr>
  </w:p>
  <w:p w14:paraId="44D9A353" w14:textId="1B181834" w:rsidR="000A27E5" w:rsidRPr="000A27E5" w:rsidRDefault="000A27E5">
    <w:pP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4EDD9" w14:textId="30936A43" w:rsidR="000A27E5" w:rsidRPr="005847DB" w:rsidRDefault="000A27E5" w:rsidP="00F50251">
    <w:pPr>
      <w:pBdr>
        <w:bottom w:val="single" w:sz="18" w:space="1" w:color="auto"/>
      </w:pBdr>
      <w:tabs>
        <w:tab w:val="right" w:pos="12960"/>
      </w:tabs>
      <w:rPr>
        <w:sz w:val="20"/>
        <w:szCs w:val="20"/>
      </w:rPr>
    </w:pPr>
    <w:r w:rsidRPr="005847DB">
      <w:rPr>
        <w:rFonts w:ascii="Arial" w:hAnsi="Arial"/>
        <w:b/>
        <w:sz w:val="20"/>
        <w:szCs w:val="20"/>
      </w:rPr>
      <w:t xml:space="preserve">Page </w:t>
    </w:r>
    <w:r w:rsidRPr="005847DB">
      <w:rPr>
        <w:rFonts w:ascii="Arial" w:hAnsi="Arial"/>
        <w:b/>
        <w:sz w:val="20"/>
        <w:szCs w:val="20"/>
      </w:rPr>
      <w:fldChar w:fldCharType="begin"/>
    </w:r>
    <w:r w:rsidRPr="005847DB">
      <w:rPr>
        <w:rFonts w:ascii="Arial" w:hAnsi="Arial"/>
        <w:b/>
        <w:sz w:val="20"/>
        <w:szCs w:val="20"/>
      </w:rPr>
      <w:instrText>PAGE</w:instrText>
    </w:r>
    <w:r w:rsidRPr="005847DB">
      <w:rPr>
        <w:rFonts w:ascii="Arial" w:hAnsi="Arial"/>
        <w:b/>
        <w:sz w:val="20"/>
        <w:szCs w:val="20"/>
      </w:rPr>
      <w:fldChar w:fldCharType="separate"/>
    </w:r>
    <w:r w:rsidR="00886941">
      <w:rPr>
        <w:rFonts w:ascii="Arial" w:hAnsi="Arial"/>
        <w:b/>
        <w:noProof/>
        <w:sz w:val="20"/>
        <w:szCs w:val="20"/>
      </w:rPr>
      <w:t>11</w:t>
    </w:r>
    <w:r w:rsidRPr="005847DB">
      <w:rPr>
        <w:rFonts w:ascii="Arial" w:hAnsi="Arial"/>
        <w:b/>
        <w:sz w:val="20"/>
        <w:szCs w:val="20"/>
      </w:rPr>
      <w:fldChar w:fldCharType="end"/>
    </w:r>
    <w:r w:rsidR="00886941">
      <w:rPr>
        <w:rFonts w:ascii="Arial" w:hAnsi="Arial"/>
        <w:b/>
        <w:sz w:val="20"/>
        <w:szCs w:val="20"/>
      </w:rPr>
      <w:tab/>
      <w:t>9B19D024</w:t>
    </w:r>
  </w:p>
  <w:p w14:paraId="6825769F" w14:textId="77777777" w:rsidR="000A27E5" w:rsidRPr="005847DB" w:rsidRDefault="000A27E5" w:rsidP="00F50251">
    <w:pPr>
      <w:pStyle w:val="Header"/>
      <w:tabs>
        <w:tab w:val="clear" w:pos="4680"/>
        <w:tab w:val="clear" w:pos="9360"/>
        <w:tab w:val="right" w:pos="12960"/>
      </w:tabs>
      <w:rPr>
        <w:sz w:val="20"/>
        <w:szCs w:val="20"/>
      </w:rPr>
    </w:pPr>
  </w:p>
  <w:p w14:paraId="004494F9" w14:textId="77777777" w:rsidR="000A27E5" w:rsidRPr="005847DB" w:rsidRDefault="000A27E5" w:rsidP="00F50251">
    <w:pPr>
      <w:tabs>
        <w:tab w:val="right" w:pos="12960"/>
      </w:tabs>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C84AB" w14:textId="62BCA346" w:rsidR="000A27E5" w:rsidRPr="000A27E5" w:rsidRDefault="000A27E5" w:rsidP="00F614FB">
    <w:pPr>
      <w:pBdr>
        <w:bottom w:val="single" w:sz="18" w:space="1" w:color="auto"/>
      </w:pBdr>
      <w:tabs>
        <w:tab w:val="left" w:pos="-1440"/>
        <w:tab w:val="left" w:pos="-720"/>
        <w:tab w:val="right" w:pos="9360"/>
      </w:tabs>
      <w:rPr>
        <w:sz w:val="20"/>
        <w:szCs w:val="20"/>
      </w:rPr>
    </w:pPr>
    <w:r w:rsidRPr="000A27E5">
      <w:rPr>
        <w:rFonts w:ascii="Arial" w:hAnsi="Arial"/>
        <w:b/>
        <w:sz w:val="20"/>
        <w:szCs w:val="20"/>
      </w:rPr>
      <w:t xml:space="preserve">Page </w:t>
    </w:r>
    <w:r w:rsidRPr="000A27E5">
      <w:rPr>
        <w:rFonts w:ascii="Arial" w:hAnsi="Arial"/>
        <w:b/>
        <w:sz w:val="20"/>
        <w:szCs w:val="20"/>
      </w:rPr>
      <w:fldChar w:fldCharType="begin"/>
    </w:r>
    <w:r w:rsidRPr="000A27E5">
      <w:rPr>
        <w:rFonts w:ascii="Arial" w:hAnsi="Arial"/>
        <w:b/>
        <w:sz w:val="20"/>
        <w:szCs w:val="20"/>
      </w:rPr>
      <w:instrText>PAGE</w:instrText>
    </w:r>
    <w:r w:rsidRPr="000A27E5">
      <w:rPr>
        <w:rFonts w:ascii="Arial" w:hAnsi="Arial"/>
        <w:b/>
        <w:sz w:val="20"/>
        <w:szCs w:val="20"/>
      </w:rPr>
      <w:fldChar w:fldCharType="separate"/>
    </w:r>
    <w:r w:rsidR="00886941">
      <w:rPr>
        <w:rFonts w:ascii="Arial" w:hAnsi="Arial"/>
        <w:b/>
        <w:noProof/>
        <w:sz w:val="20"/>
        <w:szCs w:val="20"/>
      </w:rPr>
      <w:t>14</w:t>
    </w:r>
    <w:r w:rsidRPr="000A27E5">
      <w:rPr>
        <w:rFonts w:ascii="Arial" w:hAnsi="Arial"/>
        <w:b/>
        <w:sz w:val="20"/>
        <w:szCs w:val="20"/>
      </w:rPr>
      <w:fldChar w:fldCharType="end"/>
    </w:r>
    <w:r w:rsidR="00886941">
      <w:rPr>
        <w:rFonts w:ascii="Arial" w:hAnsi="Arial"/>
        <w:b/>
        <w:sz w:val="20"/>
        <w:szCs w:val="20"/>
      </w:rPr>
      <w:tab/>
      <w:t>9B19D024</w:t>
    </w:r>
  </w:p>
  <w:p w14:paraId="517A86FC" w14:textId="77777777" w:rsidR="000A27E5" w:rsidRPr="000A27E5" w:rsidRDefault="000A27E5" w:rsidP="00F614FB">
    <w:pPr>
      <w:pStyle w:val="Header"/>
      <w:tabs>
        <w:tab w:val="clear" w:pos="4680"/>
      </w:tabs>
      <w:rPr>
        <w:sz w:val="20"/>
        <w:szCs w:val="20"/>
      </w:rPr>
    </w:pPr>
  </w:p>
  <w:p w14:paraId="64995CEB" w14:textId="77777777" w:rsidR="000A27E5" w:rsidRPr="000A27E5" w:rsidRDefault="000A27E5" w:rsidP="00F614FB">
    <w:pPr>
      <w:tabs>
        <w:tab w:val="right" w:pos="9360"/>
      </w:tabs>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F7857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E000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7285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F203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CC6D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CAB7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1C8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3E9A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9A26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6ECD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B168A"/>
    <w:multiLevelType w:val="hybridMultilevel"/>
    <w:tmpl w:val="9CB2C962"/>
    <w:lvl w:ilvl="0" w:tplc="A8926650">
      <w:start w:val="1"/>
      <w:numFmt w:val="bullet"/>
      <w:lvlText w:val="•"/>
      <w:lvlJc w:val="left"/>
      <w:pPr>
        <w:ind w:left="360" w:hanging="360"/>
      </w:pPr>
      <w:rPr>
        <w:rFonts w:ascii="Cambria" w:hAnsi="Cambr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4D330AF"/>
    <w:multiLevelType w:val="hybridMultilevel"/>
    <w:tmpl w:val="D9BEC6B0"/>
    <w:lvl w:ilvl="0" w:tplc="A8926650">
      <w:start w:val="1"/>
      <w:numFmt w:val="bullet"/>
      <w:lvlText w:val="•"/>
      <w:lvlJc w:val="left"/>
      <w:pPr>
        <w:ind w:left="360" w:hanging="360"/>
      </w:pPr>
      <w:rPr>
        <w:rFonts w:ascii="Cambria" w:hAnsi="Cambr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9757254"/>
    <w:multiLevelType w:val="hybridMultilevel"/>
    <w:tmpl w:val="C0AAC29C"/>
    <w:lvl w:ilvl="0" w:tplc="D51ACE30">
      <w:start w:val="1"/>
      <w:numFmt w:val="bullet"/>
      <w:lvlText w:val=""/>
      <w:lvlJc w:val="left"/>
      <w:pPr>
        <w:ind w:left="216"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CC5888"/>
    <w:multiLevelType w:val="hybridMultilevel"/>
    <w:tmpl w:val="47D65A5A"/>
    <w:lvl w:ilvl="0" w:tplc="7D0A63D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0676CF"/>
    <w:multiLevelType w:val="hybridMultilevel"/>
    <w:tmpl w:val="89087D8E"/>
    <w:lvl w:ilvl="0" w:tplc="A8926650">
      <w:start w:val="1"/>
      <w:numFmt w:val="bullet"/>
      <w:lvlText w:val="•"/>
      <w:lvlJc w:val="left"/>
      <w:pPr>
        <w:ind w:left="360" w:hanging="360"/>
      </w:pPr>
      <w:rPr>
        <w:rFonts w:ascii="Cambria" w:hAnsi="Cambr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226023"/>
    <w:multiLevelType w:val="hybridMultilevel"/>
    <w:tmpl w:val="F74817E0"/>
    <w:lvl w:ilvl="0" w:tplc="7D0A63D4">
      <w:start w:val="1"/>
      <w:numFmt w:val="bullet"/>
      <w:lvlText w:val=""/>
      <w:lvlJc w:val="left"/>
      <w:pPr>
        <w:ind w:left="576"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3C5730"/>
    <w:multiLevelType w:val="multilevel"/>
    <w:tmpl w:val="F74817E0"/>
    <w:lvl w:ilvl="0">
      <w:start w:val="1"/>
      <w:numFmt w:val="bullet"/>
      <w:lvlText w:val=""/>
      <w:lvlJc w:val="left"/>
      <w:pPr>
        <w:ind w:left="576" w:hanging="216"/>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7"/>
  </w:num>
  <w:num w:numId="4">
    <w:abstractNumId w:val="26"/>
  </w:num>
  <w:num w:numId="5">
    <w:abstractNumId w:val="18"/>
  </w:num>
  <w:num w:numId="6">
    <w:abstractNumId w:val="24"/>
  </w:num>
  <w:num w:numId="7">
    <w:abstractNumId w:val="15"/>
  </w:num>
  <w:num w:numId="8">
    <w:abstractNumId w:val="28"/>
  </w:num>
  <w:num w:numId="9">
    <w:abstractNumId w:val="25"/>
  </w:num>
  <w:num w:numId="10">
    <w:abstractNumId w:val="16"/>
  </w:num>
  <w:num w:numId="11">
    <w:abstractNumId w:val="22"/>
  </w:num>
  <w:num w:numId="12">
    <w:abstractNumId w:val="23"/>
  </w:num>
  <w:num w:numId="13">
    <w:abstractNumId w:val="10"/>
  </w:num>
  <w:num w:numId="14">
    <w:abstractNumId w:val="11"/>
  </w:num>
  <w:num w:numId="15">
    <w:abstractNumId w:val="14"/>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13"/>
  </w:num>
  <w:num w:numId="27">
    <w:abstractNumId w:val="19"/>
  </w:num>
  <w:num w:numId="28">
    <w:abstractNumId w:val="20"/>
  </w:num>
  <w:num w:numId="2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BEC"/>
    <w:rsid w:val="00013360"/>
    <w:rsid w:val="00016759"/>
    <w:rsid w:val="000216CE"/>
    <w:rsid w:val="00024ED4"/>
    <w:rsid w:val="00025DC7"/>
    <w:rsid w:val="00035F09"/>
    <w:rsid w:val="00044ECC"/>
    <w:rsid w:val="00052E5E"/>
    <w:rsid w:val="000531D3"/>
    <w:rsid w:val="0005646B"/>
    <w:rsid w:val="000615D1"/>
    <w:rsid w:val="00064166"/>
    <w:rsid w:val="000677B4"/>
    <w:rsid w:val="00075DF2"/>
    <w:rsid w:val="0008102D"/>
    <w:rsid w:val="00083D42"/>
    <w:rsid w:val="00086B26"/>
    <w:rsid w:val="00093A13"/>
    <w:rsid w:val="00094C0E"/>
    <w:rsid w:val="000975D8"/>
    <w:rsid w:val="000A146D"/>
    <w:rsid w:val="000A27E5"/>
    <w:rsid w:val="000C19AF"/>
    <w:rsid w:val="000C22DD"/>
    <w:rsid w:val="000C631A"/>
    <w:rsid w:val="000D2A2F"/>
    <w:rsid w:val="000D7091"/>
    <w:rsid w:val="000E5557"/>
    <w:rsid w:val="000E7398"/>
    <w:rsid w:val="000F0C22"/>
    <w:rsid w:val="000F6B09"/>
    <w:rsid w:val="000F6FDC"/>
    <w:rsid w:val="00104567"/>
    <w:rsid w:val="00104916"/>
    <w:rsid w:val="00104AA7"/>
    <w:rsid w:val="00111748"/>
    <w:rsid w:val="00112CF9"/>
    <w:rsid w:val="0012732D"/>
    <w:rsid w:val="0013131C"/>
    <w:rsid w:val="0014334C"/>
    <w:rsid w:val="00143F25"/>
    <w:rsid w:val="00147463"/>
    <w:rsid w:val="00152682"/>
    <w:rsid w:val="00154FC9"/>
    <w:rsid w:val="001765AF"/>
    <w:rsid w:val="00182FF4"/>
    <w:rsid w:val="001901C0"/>
    <w:rsid w:val="0019241A"/>
    <w:rsid w:val="00192A18"/>
    <w:rsid w:val="001A22D1"/>
    <w:rsid w:val="001A752D"/>
    <w:rsid w:val="001A757E"/>
    <w:rsid w:val="001B0326"/>
    <w:rsid w:val="001B1500"/>
    <w:rsid w:val="001B5032"/>
    <w:rsid w:val="001B6D28"/>
    <w:rsid w:val="001C33F3"/>
    <w:rsid w:val="001C7777"/>
    <w:rsid w:val="001D344B"/>
    <w:rsid w:val="001E2765"/>
    <w:rsid w:val="001E364F"/>
    <w:rsid w:val="001E5A34"/>
    <w:rsid w:val="001F4222"/>
    <w:rsid w:val="001F5FEE"/>
    <w:rsid w:val="00203AA1"/>
    <w:rsid w:val="00205DFD"/>
    <w:rsid w:val="002062B1"/>
    <w:rsid w:val="00213E98"/>
    <w:rsid w:val="0022107D"/>
    <w:rsid w:val="002257D5"/>
    <w:rsid w:val="00230150"/>
    <w:rsid w:val="0023081A"/>
    <w:rsid w:val="00233111"/>
    <w:rsid w:val="00234392"/>
    <w:rsid w:val="0026442A"/>
    <w:rsid w:val="00265FA8"/>
    <w:rsid w:val="00282EA1"/>
    <w:rsid w:val="0028359F"/>
    <w:rsid w:val="00297A28"/>
    <w:rsid w:val="002B40FF"/>
    <w:rsid w:val="002C4E29"/>
    <w:rsid w:val="002F460C"/>
    <w:rsid w:val="002F48D6"/>
    <w:rsid w:val="00301217"/>
    <w:rsid w:val="0030691C"/>
    <w:rsid w:val="00313652"/>
    <w:rsid w:val="00317391"/>
    <w:rsid w:val="00317628"/>
    <w:rsid w:val="00324C21"/>
    <w:rsid w:val="00326216"/>
    <w:rsid w:val="0033247C"/>
    <w:rsid w:val="00336580"/>
    <w:rsid w:val="003461F1"/>
    <w:rsid w:val="00354899"/>
    <w:rsid w:val="00355FD6"/>
    <w:rsid w:val="00364A5C"/>
    <w:rsid w:val="00373FB1"/>
    <w:rsid w:val="0037731B"/>
    <w:rsid w:val="00382F9C"/>
    <w:rsid w:val="003940F8"/>
    <w:rsid w:val="00396C76"/>
    <w:rsid w:val="003A1BA9"/>
    <w:rsid w:val="003B1928"/>
    <w:rsid w:val="003B30D8"/>
    <w:rsid w:val="003B7C33"/>
    <w:rsid w:val="003B7EF2"/>
    <w:rsid w:val="003C17AB"/>
    <w:rsid w:val="003C3FA4"/>
    <w:rsid w:val="003D0BA1"/>
    <w:rsid w:val="003D30EE"/>
    <w:rsid w:val="003E1CD0"/>
    <w:rsid w:val="003F2B0C"/>
    <w:rsid w:val="00402C18"/>
    <w:rsid w:val="004039B9"/>
    <w:rsid w:val="004105B2"/>
    <w:rsid w:val="00410B6C"/>
    <w:rsid w:val="0041145A"/>
    <w:rsid w:val="00412900"/>
    <w:rsid w:val="00415DC6"/>
    <w:rsid w:val="004221E4"/>
    <w:rsid w:val="004273F8"/>
    <w:rsid w:val="004355A3"/>
    <w:rsid w:val="00446090"/>
    <w:rsid w:val="00446546"/>
    <w:rsid w:val="00452769"/>
    <w:rsid w:val="00454FA7"/>
    <w:rsid w:val="004635D2"/>
    <w:rsid w:val="00465348"/>
    <w:rsid w:val="004737BA"/>
    <w:rsid w:val="00477389"/>
    <w:rsid w:val="00480137"/>
    <w:rsid w:val="004833B0"/>
    <w:rsid w:val="00491513"/>
    <w:rsid w:val="004951FA"/>
    <w:rsid w:val="004979A5"/>
    <w:rsid w:val="004A0087"/>
    <w:rsid w:val="004A09AB"/>
    <w:rsid w:val="004A1E44"/>
    <w:rsid w:val="004A25E0"/>
    <w:rsid w:val="004A7A17"/>
    <w:rsid w:val="004B1CCB"/>
    <w:rsid w:val="004B632F"/>
    <w:rsid w:val="004B7283"/>
    <w:rsid w:val="004D3FB1"/>
    <w:rsid w:val="004D6F21"/>
    <w:rsid w:val="004D73A5"/>
    <w:rsid w:val="004E24F9"/>
    <w:rsid w:val="004F32C5"/>
    <w:rsid w:val="004F7CAF"/>
    <w:rsid w:val="005160F1"/>
    <w:rsid w:val="005248C8"/>
    <w:rsid w:val="00524F2F"/>
    <w:rsid w:val="005278FF"/>
    <w:rsid w:val="00527E5C"/>
    <w:rsid w:val="00532CF5"/>
    <w:rsid w:val="0053369A"/>
    <w:rsid w:val="0053435C"/>
    <w:rsid w:val="00534ABA"/>
    <w:rsid w:val="0053632D"/>
    <w:rsid w:val="00542F8F"/>
    <w:rsid w:val="005528CB"/>
    <w:rsid w:val="00555DE2"/>
    <w:rsid w:val="00566771"/>
    <w:rsid w:val="00567A01"/>
    <w:rsid w:val="005812D5"/>
    <w:rsid w:val="00581C19"/>
    <w:rsid w:val="00581E2E"/>
    <w:rsid w:val="005847DB"/>
    <w:rsid w:val="00584F15"/>
    <w:rsid w:val="0059006E"/>
    <w:rsid w:val="00594BD8"/>
    <w:rsid w:val="0059514B"/>
    <w:rsid w:val="005A1373"/>
    <w:rsid w:val="005A1B0F"/>
    <w:rsid w:val="005B4CE6"/>
    <w:rsid w:val="005B5EFE"/>
    <w:rsid w:val="005C5CA1"/>
    <w:rsid w:val="005D4A7A"/>
    <w:rsid w:val="005E3A04"/>
    <w:rsid w:val="005F597D"/>
    <w:rsid w:val="00601DDF"/>
    <w:rsid w:val="006028FF"/>
    <w:rsid w:val="00604CA1"/>
    <w:rsid w:val="006163F7"/>
    <w:rsid w:val="00622166"/>
    <w:rsid w:val="0062297F"/>
    <w:rsid w:val="00622CA5"/>
    <w:rsid w:val="00627C63"/>
    <w:rsid w:val="006304D5"/>
    <w:rsid w:val="0063350B"/>
    <w:rsid w:val="00652606"/>
    <w:rsid w:val="0066579C"/>
    <w:rsid w:val="00671DD4"/>
    <w:rsid w:val="00676110"/>
    <w:rsid w:val="006946EE"/>
    <w:rsid w:val="006A25A1"/>
    <w:rsid w:val="006A58A9"/>
    <w:rsid w:val="006A606D"/>
    <w:rsid w:val="006A6941"/>
    <w:rsid w:val="006B1524"/>
    <w:rsid w:val="006C0371"/>
    <w:rsid w:val="006C08B6"/>
    <w:rsid w:val="006C0B1A"/>
    <w:rsid w:val="006C220B"/>
    <w:rsid w:val="006C6065"/>
    <w:rsid w:val="006C7F9F"/>
    <w:rsid w:val="006D0BE5"/>
    <w:rsid w:val="006E2F6D"/>
    <w:rsid w:val="006E58F6"/>
    <w:rsid w:val="006E77E1"/>
    <w:rsid w:val="006F131D"/>
    <w:rsid w:val="006F2509"/>
    <w:rsid w:val="006F5E4C"/>
    <w:rsid w:val="006F6578"/>
    <w:rsid w:val="007070DA"/>
    <w:rsid w:val="0070732A"/>
    <w:rsid w:val="00711642"/>
    <w:rsid w:val="00713A1F"/>
    <w:rsid w:val="00713D4F"/>
    <w:rsid w:val="00715286"/>
    <w:rsid w:val="007207B5"/>
    <w:rsid w:val="00740184"/>
    <w:rsid w:val="007418BF"/>
    <w:rsid w:val="007507C6"/>
    <w:rsid w:val="00751E0B"/>
    <w:rsid w:val="00752BCD"/>
    <w:rsid w:val="00757EC4"/>
    <w:rsid w:val="00762FA8"/>
    <w:rsid w:val="00766DA1"/>
    <w:rsid w:val="007675F7"/>
    <w:rsid w:val="0077296C"/>
    <w:rsid w:val="00777B75"/>
    <w:rsid w:val="00780D94"/>
    <w:rsid w:val="007866A6"/>
    <w:rsid w:val="007A0F9B"/>
    <w:rsid w:val="007A0FE4"/>
    <w:rsid w:val="007A130D"/>
    <w:rsid w:val="007A5079"/>
    <w:rsid w:val="007B101F"/>
    <w:rsid w:val="007B7196"/>
    <w:rsid w:val="007C08DF"/>
    <w:rsid w:val="007C29F9"/>
    <w:rsid w:val="007D1A2D"/>
    <w:rsid w:val="007D32E6"/>
    <w:rsid w:val="007D4102"/>
    <w:rsid w:val="007D4D94"/>
    <w:rsid w:val="007E05C7"/>
    <w:rsid w:val="007E4315"/>
    <w:rsid w:val="007E54A7"/>
    <w:rsid w:val="007F43B7"/>
    <w:rsid w:val="007F5258"/>
    <w:rsid w:val="0080133B"/>
    <w:rsid w:val="0080136D"/>
    <w:rsid w:val="00812BF6"/>
    <w:rsid w:val="008169BD"/>
    <w:rsid w:val="00821FFC"/>
    <w:rsid w:val="00824259"/>
    <w:rsid w:val="008271CA"/>
    <w:rsid w:val="008467D5"/>
    <w:rsid w:val="008624BA"/>
    <w:rsid w:val="00862687"/>
    <w:rsid w:val="00862E8B"/>
    <w:rsid w:val="008646FE"/>
    <w:rsid w:val="00864A81"/>
    <w:rsid w:val="008737BD"/>
    <w:rsid w:val="00886941"/>
    <w:rsid w:val="0089402A"/>
    <w:rsid w:val="008A081D"/>
    <w:rsid w:val="008A4256"/>
    <w:rsid w:val="008A4DC4"/>
    <w:rsid w:val="008B438C"/>
    <w:rsid w:val="008B511D"/>
    <w:rsid w:val="008D037B"/>
    <w:rsid w:val="008D06CA"/>
    <w:rsid w:val="008D3A46"/>
    <w:rsid w:val="008F0629"/>
    <w:rsid w:val="008F2385"/>
    <w:rsid w:val="009067A4"/>
    <w:rsid w:val="009120FC"/>
    <w:rsid w:val="00914C33"/>
    <w:rsid w:val="00916453"/>
    <w:rsid w:val="00921E9D"/>
    <w:rsid w:val="00930885"/>
    <w:rsid w:val="00933D68"/>
    <w:rsid w:val="009340DB"/>
    <w:rsid w:val="009414FD"/>
    <w:rsid w:val="00944E7A"/>
    <w:rsid w:val="0094618C"/>
    <w:rsid w:val="00952D52"/>
    <w:rsid w:val="0095684B"/>
    <w:rsid w:val="00962C8F"/>
    <w:rsid w:val="00972498"/>
    <w:rsid w:val="0097481F"/>
    <w:rsid w:val="00974CC6"/>
    <w:rsid w:val="00976AD4"/>
    <w:rsid w:val="009824EF"/>
    <w:rsid w:val="009872BF"/>
    <w:rsid w:val="00995547"/>
    <w:rsid w:val="009A23F8"/>
    <w:rsid w:val="009A312F"/>
    <w:rsid w:val="009A5348"/>
    <w:rsid w:val="009A6456"/>
    <w:rsid w:val="009B0AB7"/>
    <w:rsid w:val="009C2415"/>
    <w:rsid w:val="009C76D5"/>
    <w:rsid w:val="009D2845"/>
    <w:rsid w:val="009E20F6"/>
    <w:rsid w:val="009E2129"/>
    <w:rsid w:val="009F0A9B"/>
    <w:rsid w:val="009F2013"/>
    <w:rsid w:val="009F7AA4"/>
    <w:rsid w:val="00A011D8"/>
    <w:rsid w:val="00A06C68"/>
    <w:rsid w:val="00A10AD7"/>
    <w:rsid w:val="00A128D3"/>
    <w:rsid w:val="00A262D4"/>
    <w:rsid w:val="00A323B0"/>
    <w:rsid w:val="00A43E8F"/>
    <w:rsid w:val="00A559DB"/>
    <w:rsid w:val="00A569EA"/>
    <w:rsid w:val="00A57462"/>
    <w:rsid w:val="00A676A0"/>
    <w:rsid w:val="00AA2BE1"/>
    <w:rsid w:val="00AA603D"/>
    <w:rsid w:val="00AB1965"/>
    <w:rsid w:val="00AB23C8"/>
    <w:rsid w:val="00AB7A1A"/>
    <w:rsid w:val="00AC1EA9"/>
    <w:rsid w:val="00AC2367"/>
    <w:rsid w:val="00AE520E"/>
    <w:rsid w:val="00AE77EE"/>
    <w:rsid w:val="00AF35FC"/>
    <w:rsid w:val="00AF5556"/>
    <w:rsid w:val="00B03639"/>
    <w:rsid w:val="00B0652A"/>
    <w:rsid w:val="00B3244A"/>
    <w:rsid w:val="00B36403"/>
    <w:rsid w:val="00B40937"/>
    <w:rsid w:val="00B423EF"/>
    <w:rsid w:val="00B453DE"/>
    <w:rsid w:val="00B540CB"/>
    <w:rsid w:val="00B54432"/>
    <w:rsid w:val="00B56460"/>
    <w:rsid w:val="00B60C71"/>
    <w:rsid w:val="00B62497"/>
    <w:rsid w:val="00B65947"/>
    <w:rsid w:val="00B72597"/>
    <w:rsid w:val="00B87DC0"/>
    <w:rsid w:val="00B901F9"/>
    <w:rsid w:val="00B917D5"/>
    <w:rsid w:val="00BA4889"/>
    <w:rsid w:val="00BB34D6"/>
    <w:rsid w:val="00BC403B"/>
    <w:rsid w:val="00BC4D98"/>
    <w:rsid w:val="00BC5B20"/>
    <w:rsid w:val="00BD6601"/>
    <w:rsid w:val="00BD6EFB"/>
    <w:rsid w:val="00BE3DF5"/>
    <w:rsid w:val="00BF5EAB"/>
    <w:rsid w:val="00C02410"/>
    <w:rsid w:val="00C1583A"/>
    <w:rsid w:val="00C1584D"/>
    <w:rsid w:val="00C15BE2"/>
    <w:rsid w:val="00C165D3"/>
    <w:rsid w:val="00C30645"/>
    <w:rsid w:val="00C314A6"/>
    <w:rsid w:val="00C3447F"/>
    <w:rsid w:val="00C44714"/>
    <w:rsid w:val="00C5510D"/>
    <w:rsid w:val="00C67102"/>
    <w:rsid w:val="00C748DD"/>
    <w:rsid w:val="00C81491"/>
    <w:rsid w:val="00C81676"/>
    <w:rsid w:val="00C82CC4"/>
    <w:rsid w:val="00C85C5D"/>
    <w:rsid w:val="00C85E79"/>
    <w:rsid w:val="00C87810"/>
    <w:rsid w:val="00C92CC4"/>
    <w:rsid w:val="00C971F6"/>
    <w:rsid w:val="00CA0AFB"/>
    <w:rsid w:val="00CA2CE1"/>
    <w:rsid w:val="00CA3976"/>
    <w:rsid w:val="00CA50E3"/>
    <w:rsid w:val="00CA72C2"/>
    <w:rsid w:val="00CA757B"/>
    <w:rsid w:val="00CA7E50"/>
    <w:rsid w:val="00CC1787"/>
    <w:rsid w:val="00CC182C"/>
    <w:rsid w:val="00CC6311"/>
    <w:rsid w:val="00CD0824"/>
    <w:rsid w:val="00CD2908"/>
    <w:rsid w:val="00CE1978"/>
    <w:rsid w:val="00CE57F4"/>
    <w:rsid w:val="00CE7EB3"/>
    <w:rsid w:val="00CF3FBE"/>
    <w:rsid w:val="00D03A82"/>
    <w:rsid w:val="00D04536"/>
    <w:rsid w:val="00D054CA"/>
    <w:rsid w:val="00D13483"/>
    <w:rsid w:val="00D13636"/>
    <w:rsid w:val="00D13667"/>
    <w:rsid w:val="00D15344"/>
    <w:rsid w:val="00D1586C"/>
    <w:rsid w:val="00D21449"/>
    <w:rsid w:val="00D23F57"/>
    <w:rsid w:val="00D25312"/>
    <w:rsid w:val="00D25C0C"/>
    <w:rsid w:val="00D307B8"/>
    <w:rsid w:val="00D31130"/>
    <w:rsid w:val="00D31BEC"/>
    <w:rsid w:val="00D33731"/>
    <w:rsid w:val="00D33CB0"/>
    <w:rsid w:val="00D63150"/>
    <w:rsid w:val="00D636BA"/>
    <w:rsid w:val="00D64A32"/>
    <w:rsid w:val="00D64EFC"/>
    <w:rsid w:val="00D75295"/>
    <w:rsid w:val="00D76CE9"/>
    <w:rsid w:val="00D76E8D"/>
    <w:rsid w:val="00D835A4"/>
    <w:rsid w:val="00D83D94"/>
    <w:rsid w:val="00D85F61"/>
    <w:rsid w:val="00D91CCB"/>
    <w:rsid w:val="00D95B5B"/>
    <w:rsid w:val="00D97F12"/>
    <w:rsid w:val="00DA0467"/>
    <w:rsid w:val="00DA6095"/>
    <w:rsid w:val="00DB42E7"/>
    <w:rsid w:val="00DC09D8"/>
    <w:rsid w:val="00DD2146"/>
    <w:rsid w:val="00DD257D"/>
    <w:rsid w:val="00DE01A6"/>
    <w:rsid w:val="00DE7A98"/>
    <w:rsid w:val="00DF32C2"/>
    <w:rsid w:val="00E02101"/>
    <w:rsid w:val="00E0329D"/>
    <w:rsid w:val="00E05E7B"/>
    <w:rsid w:val="00E1080E"/>
    <w:rsid w:val="00E24D18"/>
    <w:rsid w:val="00E340E8"/>
    <w:rsid w:val="00E42CCC"/>
    <w:rsid w:val="00E471A7"/>
    <w:rsid w:val="00E50FC9"/>
    <w:rsid w:val="00E53C8A"/>
    <w:rsid w:val="00E635CF"/>
    <w:rsid w:val="00E81426"/>
    <w:rsid w:val="00E90F5D"/>
    <w:rsid w:val="00EB1A1B"/>
    <w:rsid w:val="00EB1E3B"/>
    <w:rsid w:val="00EC14BA"/>
    <w:rsid w:val="00EC6E0A"/>
    <w:rsid w:val="00ED4E18"/>
    <w:rsid w:val="00ED7922"/>
    <w:rsid w:val="00EE02C4"/>
    <w:rsid w:val="00EE1884"/>
    <w:rsid w:val="00EE1F37"/>
    <w:rsid w:val="00EE4BCB"/>
    <w:rsid w:val="00EF0D89"/>
    <w:rsid w:val="00EF5FCF"/>
    <w:rsid w:val="00F00E85"/>
    <w:rsid w:val="00F0159C"/>
    <w:rsid w:val="00F05357"/>
    <w:rsid w:val="00F105B7"/>
    <w:rsid w:val="00F13220"/>
    <w:rsid w:val="00F17A21"/>
    <w:rsid w:val="00F20AEA"/>
    <w:rsid w:val="00F345D9"/>
    <w:rsid w:val="00F3676A"/>
    <w:rsid w:val="00F36FC2"/>
    <w:rsid w:val="00F37B27"/>
    <w:rsid w:val="00F45922"/>
    <w:rsid w:val="00F46556"/>
    <w:rsid w:val="00F47525"/>
    <w:rsid w:val="00F50251"/>
    <w:rsid w:val="00F50E91"/>
    <w:rsid w:val="00F56799"/>
    <w:rsid w:val="00F57D29"/>
    <w:rsid w:val="00F60786"/>
    <w:rsid w:val="00F614FB"/>
    <w:rsid w:val="00F634F3"/>
    <w:rsid w:val="00F91BC7"/>
    <w:rsid w:val="00F92402"/>
    <w:rsid w:val="00F927B0"/>
    <w:rsid w:val="00F96201"/>
    <w:rsid w:val="00FA0DBA"/>
    <w:rsid w:val="00FA1BBC"/>
    <w:rsid w:val="00FA1F37"/>
    <w:rsid w:val="00FA2207"/>
    <w:rsid w:val="00FB2D19"/>
    <w:rsid w:val="00FB47E7"/>
    <w:rsid w:val="00FC3A2E"/>
    <w:rsid w:val="00FC4195"/>
    <w:rsid w:val="00FC480C"/>
    <w:rsid w:val="00FD0B18"/>
    <w:rsid w:val="00FD26BE"/>
    <w:rsid w:val="00FD2FAD"/>
    <w:rsid w:val="00FE2D11"/>
    <w:rsid w:val="00FE52EE"/>
    <w:rsid w:val="00FE5AE8"/>
    <w:rsid w:val="00FE714F"/>
    <w:rsid w:val="00FF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217"/>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D25C0C"/>
    <w:pPr>
      <w:keepNext/>
    </w:pPr>
    <w:rPr>
      <w:rFonts w:ascii="Arial" w:hAnsi="Arial" w:cs="Arial"/>
      <w:b/>
      <w:caps/>
      <w:sz w:val="20"/>
      <w:szCs w:val="20"/>
    </w:rPr>
  </w:style>
  <w:style w:type="character" w:customStyle="1" w:styleId="Casehead1Char">
    <w:name w:val="Casehead 1 Char"/>
    <w:basedOn w:val="BodyTextMainChar"/>
    <w:link w:val="Casehead1"/>
    <w:rsid w:val="00D25C0C"/>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DD257D"/>
    <w:rPr>
      <w:b w:val="0"/>
      <w:color w:val="auto"/>
      <w:vertAlign w:val="superscript"/>
    </w:rPr>
  </w:style>
  <w:style w:type="paragraph" w:customStyle="1" w:styleId="Footnote">
    <w:name w:val="Footnote"/>
    <w:basedOn w:val="FootnoteText"/>
    <w:link w:val="FootnoteChar"/>
    <w:qFormat/>
    <w:rsid w:val="00DD257D"/>
    <w:pPr>
      <w:jc w:val="both"/>
    </w:pPr>
    <w:rPr>
      <w:rFonts w:ascii="Arial" w:hAnsi="Arial" w:cs="Arial"/>
      <w:sz w:val="17"/>
      <w:szCs w:val="17"/>
    </w:rPr>
  </w:style>
  <w:style w:type="character" w:customStyle="1" w:styleId="FootnoteChar">
    <w:name w:val="Footnote Char"/>
    <w:basedOn w:val="FootnoteTextChar"/>
    <w:link w:val="Footnote"/>
    <w:rsid w:val="00DD257D"/>
    <w:rPr>
      <w:rFonts w:ascii="Arial" w:eastAsia="Times New Roman" w:hAnsi="Arial" w:cs="Arial"/>
      <w:sz w:val="17"/>
      <w:szCs w:val="17"/>
      <w:lang w:val="en-CA"/>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D25C0C"/>
    <w:pPr>
      <w:keepNext/>
      <w:jc w:val="center"/>
    </w:pPr>
    <w:rPr>
      <w:rFonts w:ascii="Arial" w:hAnsi="Arial" w:cs="Arial"/>
      <w:b/>
      <w:caps/>
      <w:sz w:val="20"/>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character" w:customStyle="1" w:styleId="ExhibitHeadingChar">
    <w:name w:val="Exhibit Heading Char"/>
    <w:basedOn w:val="BodyTextMainChar"/>
    <w:link w:val="ExhibitHeading"/>
    <w:rsid w:val="00D25C0C"/>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Paragraph">
    <w:name w:val="Paragraph"/>
    <w:basedOn w:val="Normal"/>
    <w:link w:val="ParagraphChar"/>
    <w:qFormat/>
    <w:rsid w:val="00D25C0C"/>
    <w:pPr>
      <w:widowControl w:val="0"/>
      <w:autoSpaceDE w:val="0"/>
      <w:autoSpaceDN w:val="0"/>
      <w:jc w:val="both"/>
    </w:pPr>
    <w:rPr>
      <w:rFonts w:eastAsia="SimSun"/>
      <w:kern w:val="2"/>
      <w:sz w:val="21"/>
    </w:rPr>
  </w:style>
  <w:style w:type="character" w:customStyle="1" w:styleId="ParagraphChar">
    <w:name w:val="Paragraph Char"/>
    <w:basedOn w:val="DefaultParagraphFont"/>
    <w:link w:val="Paragraph"/>
    <w:rsid w:val="00D25C0C"/>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E53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7865">
      <w:bodyDiv w:val="1"/>
      <w:marLeft w:val="0"/>
      <w:marRight w:val="0"/>
      <w:marTop w:val="0"/>
      <w:marBottom w:val="0"/>
      <w:divBdr>
        <w:top w:val="none" w:sz="0" w:space="0" w:color="auto"/>
        <w:left w:val="none" w:sz="0" w:space="0" w:color="auto"/>
        <w:bottom w:val="none" w:sz="0" w:space="0" w:color="auto"/>
        <w:right w:val="none" w:sz="0" w:space="0" w:color="auto"/>
      </w:divBdr>
    </w:div>
    <w:div w:id="129134910">
      <w:bodyDiv w:val="1"/>
      <w:marLeft w:val="0"/>
      <w:marRight w:val="0"/>
      <w:marTop w:val="0"/>
      <w:marBottom w:val="0"/>
      <w:divBdr>
        <w:top w:val="none" w:sz="0" w:space="0" w:color="auto"/>
        <w:left w:val="none" w:sz="0" w:space="0" w:color="auto"/>
        <w:bottom w:val="none" w:sz="0" w:space="0" w:color="auto"/>
        <w:right w:val="none" w:sz="0" w:space="0" w:color="auto"/>
      </w:divBdr>
      <w:divsChild>
        <w:div w:id="1180047612">
          <w:marLeft w:val="0"/>
          <w:marRight w:val="0"/>
          <w:marTop w:val="0"/>
          <w:marBottom w:val="0"/>
          <w:divBdr>
            <w:top w:val="none" w:sz="0" w:space="0" w:color="auto"/>
            <w:left w:val="none" w:sz="0" w:space="0" w:color="auto"/>
            <w:bottom w:val="none" w:sz="0" w:space="0" w:color="auto"/>
            <w:right w:val="none" w:sz="0" w:space="0" w:color="auto"/>
          </w:divBdr>
          <w:divsChild>
            <w:div w:id="1499542967">
              <w:marLeft w:val="0"/>
              <w:marRight w:val="0"/>
              <w:marTop w:val="0"/>
              <w:marBottom w:val="0"/>
              <w:divBdr>
                <w:top w:val="none" w:sz="0" w:space="0" w:color="auto"/>
                <w:left w:val="none" w:sz="0" w:space="0" w:color="auto"/>
                <w:bottom w:val="none" w:sz="0" w:space="0" w:color="auto"/>
                <w:right w:val="none" w:sz="0" w:space="0" w:color="auto"/>
              </w:divBdr>
              <w:divsChild>
                <w:div w:id="13535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438">
      <w:bodyDiv w:val="1"/>
      <w:marLeft w:val="0"/>
      <w:marRight w:val="0"/>
      <w:marTop w:val="0"/>
      <w:marBottom w:val="0"/>
      <w:divBdr>
        <w:top w:val="none" w:sz="0" w:space="0" w:color="auto"/>
        <w:left w:val="none" w:sz="0" w:space="0" w:color="auto"/>
        <w:bottom w:val="none" w:sz="0" w:space="0" w:color="auto"/>
        <w:right w:val="none" w:sz="0" w:space="0" w:color="auto"/>
      </w:divBdr>
    </w:div>
    <w:div w:id="369767337">
      <w:bodyDiv w:val="1"/>
      <w:marLeft w:val="0"/>
      <w:marRight w:val="0"/>
      <w:marTop w:val="0"/>
      <w:marBottom w:val="0"/>
      <w:divBdr>
        <w:top w:val="none" w:sz="0" w:space="0" w:color="auto"/>
        <w:left w:val="none" w:sz="0" w:space="0" w:color="auto"/>
        <w:bottom w:val="none" w:sz="0" w:space="0" w:color="auto"/>
        <w:right w:val="none" w:sz="0" w:space="0" w:color="auto"/>
      </w:divBdr>
    </w:div>
    <w:div w:id="371073950">
      <w:bodyDiv w:val="1"/>
      <w:marLeft w:val="0"/>
      <w:marRight w:val="0"/>
      <w:marTop w:val="0"/>
      <w:marBottom w:val="0"/>
      <w:divBdr>
        <w:top w:val="none" w:sz="0" w:space="0" w:color="auto"/>
        <w:left w:val="none" w:sz="0" w:space="0" w:color="auto"/>
        <w:bottom w:val="none" w:sz="0" w:space="0" w:color="auto"/>
        <w:right w:val="none" w:sz="0" w:space="0" w:color="auto"/>
      </w:divBdr>
    </w:div>
    <w:div w:id="536743144">
      <w:bodyDiv w:val="1"/>
      <w:marLeft w:val="0"/>
      <w:marRight w:val="0"/>
      <w:marTop w:val="0"/>
      <w:marBottom w:val="0"/>
      <w:divBdr>
        <w:top w:val="none" w:sz="0" w:space="0" w:color="auto"/>
        <w:left w:val="none" w:sz="0" w:space="0" w:color="auto"/>
        <w:bottom w:val="none" w:sz="0" w:space="0" w:color="auto"/>
        <w:right w:val="none" w:sz="0" w:space="0" w:color="auto"/>
      </w:divBdr>
      <w:divsChild>
        <w:div w:id="1857234697">
          <w:marLeft w:val="0"/>
          <w:marRight w:val="0"/>
          <w:marTop w:val="0"/>
          <w:marBottom w:val="0"/>
          <w:divBdr>
            <w:top w:val="none" w:sz="0" w:space="0" w:color="auto"/>
            <w:left w:val="none" w:sz="0" w:space="0" w:color="auto"/>
            <w:bottom w:val="none" w:sz="0" w:space="0" w:color="auto"/>
            <w:right w:val="none" w:sz="0" w:space="0" w:color="auto"/>
          </w:divBdr>
          <w:divsChild>
            <w:div w:id="316690427">
              <w:marLeft w:val="0"/>
              <w:marRight w:val="0"/>
              <w:marTop w:val="0"/>
              <w:marBottom w:val="0"/>
              <w:divBdr>
                <w:top w:val="none" w:sz="0" w:space="0" w:color="auto"/>
                <w:left w:val="none" w:sz="0" w:space="0" w:color="auto"/>
                <w:bottom w:val="none" w:sz="0" w:space="0" w:color="auto"/>
                <w:right w:val="none" w:sz="0" w:space="0" w:color="auto"/>
              </w:divBdr>
              <w:divsChild>
                <w:div w:id="15427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5494">
      <w:bodyDiv w:val="1"/>
      <w:marLeft w:val="0"/>
      <w:marRight w:val="0"/>
      <w:marTop w:val="0"/>
      <w:marBottom w:val="0"/>
      <w:divBdr>
        <w:top w:val="none" w:sz="0" w:space="0" w:color="auto"/>
        <w:left w:val="none" w:sz="0" w:space="0" w:color="auto"/>
        <w:bottom w:val="none" w:sz="0" w:space="0" w:color="auto"/>
        <w:right w:val="none" w:sz="0" w:space="0" w:color="auto"/>
      </w:divBdr>
    </w:div>
    <w:div w:id="951207061">
      <w:bodyDiv w:val="1"/>
      <w:marLeft w:val="0"/>
      <w:marRight w:val="0"/>
      <w:marTop w:val="0"/>
      <w:marBottom w:val="0"/>
      <w:divBdr>
        <w:top w:val="none" w:sz="0" w:space="0" w:color="auto"/>
        <w:left w:val="none" w:sz="0" w:space="0" w:color="auto"/>
        <w:bottom w:val="none" w:sz="0" w:space="0" w:color="auto"/>
        <w:right w:val="none" w:sz="0" w:space="0" w:color="auto"/>
      </w:divBdr>
    </w:div>
    <w:div w:id="1091970839">
      <w:bodyDiv w:val="1"/>
      <w:marLeft w:val="0"/>
      <w:marRight w:val="0"/>
      <w:marTop w:val="0"/>
      <w:marBottom w:val="0"/>
      <w:divBdr>
        <w:top w:val="none" w:sz="0" w:space="0" w:color="auto"/>
        <w:left w:val="none" w:sz="0" w:space="0" w:color="auto"/>
        <w:bottom w:val="none" w:sz="0" w:space="0" w:color="auto"/>
        <w:right w:val="none" w:sz="0" w:space="0" w:color="auto"/>
      </w:divBdr>
    </w:div>
    <w:div w:id="1141268081">
      <w:bodyDiv w:val="1"/>
      <w:marLeft w:val="0"/>
      <w:marRight w:val="0"/>
      <w:marTop w:val="0"/>
      <w:marBottom w:val="0"/>
      <w:divBdr>
        <w:top w:val="none" w:sz="0" w:space="0" w:color="auto"/>
        <w:left w:val="none" w:sz="0" w:space="0" w:color="auto"/>
        <w:bottom w:val="none" w:sz="0" w:space="0" w:color="auto"/>
        <w:right w:val="none" w:sz="0" w:space="0" w:color="auto"/>
      </w:divBdr>
      <w:divsChild>
        <w:div w:id="2115587319">
          <w:marLeft w:val="0"/>
          <w:marRight w:val="0"/>
          <w:marTop w:val="0"/>
          <w:marBottom w:val="0"/>
          <w:divBdr>
            <w:top w:val="none" w:sz="0" w:space="0" w:color="auto"/>
            <w:left w:val="none" w:sz="0" w:space="0" w:color="auto"/>
            <w:bottom w:val="none" w:sz="0" w:space="0" w:color="auto"/>
            <w:right w:val="none" w:sz="0" w:space="0" w:color="auto"/>
          </w:divBdr>
          <w:divsChild>
            <w:div w:id="868488617">
              <w:marLeft w:val="0"/>
              <w:marRight w:val="0"/>
              <w:marTop w:val="0"/>
              <w:marBottom w:val="0"/>
              <w:divBdr>
                <w:top w:val="none" w:sz="0" w:space="0" w:color="auto"/>
                <w:left w:val="none" w:sz="0" w:space="0" w:color="auto"/>
                <w:bottom w:val="none" w:sz="0" w:space="0" w:color="auto"/>
                <w:right w:val="none" w:sz="0" w:space="0" w:color="auto"/>
              </w:divBdr>
              <w:divsChild>
                <w:div w:id="17044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86405">
      <w:bodyDiv w:val="1"/>
      <w:marLeft w:val="0"/>
      <w:marRight w:val="0"/>
      <w:marTop w:val="0"/>
      <w:marBottom w:val="0"/>
      <w:divBdr>
        <w:top w:val="none" w:sz="0" w:space="0" w:color="auto"/>
        <w:left w:val="none" w:sz="0" w:space="0" w:color="auto"/>
        <w:bottom w:val="none" w:sz="0" w:space="0" w:color="auto"/>
        <w:right w:val="none" w:sz="0" w:space="0" w:color="auto"/>
      </w:divBdr>
    </w:div>
    <w:div w:id="126977504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9672958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8719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184F7-9C2C-47ED-8901-090D8F9D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5649</Words>
  <Characters>32203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2015-03-04T20:34:00Z</cp:lastPrinted>
  <dcterms:created xsi:type="dcterms:W3CDTF">2019-12-10T18:09:00Z</dcterms:created>
  <dcterms:modified xsi:type="dcterms:W3CDTF">2019-12-19T17:01:00Z</dcterms:modified>
</cp:coreProperties>
</file>