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C765E2" w14:textId="1B09F9A8" w:rsidR="005974D3" w:rsidRDefault="00055E0C" w:rsidP="008467D5">
      <w:pPr>
        <w:pBdr>
          <w:bottom w:val="single" w:sz="18" w:space="1" w:color="auto"/>
        </w:pBdr>
        <w:tabs>
          <w:tab w:val="left" w:pos="-1440"/>
          <w:tab w:val="left" w:pos="-720"/>
          <w:tab w:val="left" w:pos="1"/>
        </w:tabs>
        <w:jc w:val="both"/>
        <w:rPr>
          <w:rFonts w:ascii="Arial" w:hAnsi="Arial"/>
          <w:b/>
          <w:noProof/>
          <w:sz w:val="24"/>
        </w:rPr>
      </w:pPr>
      <w:r w:rsidRPr="00055E0C">
        <w:rPr>
          <w:rFonts w:ascii="Arial" w:hAnsi="Arial"/>
          <w:b/>
          <w:noProof/>
          <w:sz w:val="24"/>
          <w:lang w:val="en-US"/>
        </w:rPr>
        <w:drawing>
          <wp:inline distT="0" distB="0" distL="0" distR="0" wp14:anchorId="3083E741" wp14:editId="4F4B690D">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DADAC45" w14:textId="781F3320" w:rsidR="00D75295" w:rsidRDefault="00055E0C" w:rsidP="00F105B7">
      <w:pPr>
        <w:pStyle w:val="ProductNumber"/>
      </w:pPr>
      <w:r>
        <w:t>9B19E004</w:t>
      </w:r>
    </w:p>
    <w:p w14:paraId="1AB6C183" w14:textId="77777777" w:rsidR="00D75295" w:rsidRPr="003D0BA1" w:rsidRDefault="00D75295" w:rsidP="00D75295">
      <w:pPr>
        <w:jc w:val="right"/>
        <w:rPr>
          <w:rFonts w:ascii="Arial" w:hAnsi="Arial"/>
          <w:b/>
          <w:sz w:val="28"/>
          <w:szCs w:val="28"/>
        </w:rPr>
      </w:pPr>
    </w:p>
    <w:p w14:paraId="702A8E63" w14:textId="77777777" w:rsidR="00013360" w:rsidRPr="003D0BA1" w:rsidRDefault="00013360" w:rsidP="00D75295">
      <w:pPr>
        <w:jc w:val="right"/>
        <w:rPr>
          <w:rFonts w:ascii="Arial" w:hAnsi="Arial"/>
          <w:b/>
          <w:sz w:val="28"/>
          <w:szCs w:val="28"/>
        </w:rPr>
      </w:pPr>
    </w:p>
    <w:p w14:paraId="2BA556F7" w14:textId="77777777" w:rsidR="00013360" w:rsidRDefault="007D448B" w:rsidP="00013360">
      <w:pPr>
        <w:pStyle w:val="CaseTitle"/>
        <w:spacing w:after="0" w:line="240" w:lineRule="auto"/>
        <w:rPr>
          <w:sz w:val="20"/>
          <w:szCs w:val="20"/>
        </w:rPr>
      </w:pPr>
      <w:r w:rsidRPr="007D448B">
        <w:rPr>
          <w:rFonts w:eastAsia="Times New Roman"/>
          <w:szCs w:val="20"/>
        </w:rPr>
        <w:t>City of London Water: Predicting Electricity Prices and Optimizing Operations</w:t>
      </w:r>
      <w:r w:rsidR="00985332" w:rsidRPr="00216F30">
        <w:rPr>
          <w:rStyle w:val="FootnoteReference"/>
        </w:rPr>
        <w:footnoteReference w:id="1"/>
      </w:r>
    </w:p>
    <w:p w14:paraId="010603E5" w14:textId="77777777" w:rsidR="00CA3976" w:rsidRDefault="00CA3976" w:rsidP="00013360">
      <w:pPr>
        <w:pStyle w:val="CaseTitle"/>
        <w:spacing w:after="0" w:line="240" w:lineRule="auto"/>
        <w:rPr>
          <w:sz w:val="20"/>
          <w:szCs w:val="20"/>
        </w:rPr>
      </w:pPr>
    </w:p>
    <w:p w14:paraId="5ED02A94" w14:textId="77777777" w:rsidR="00013360" w:rsidRPr="00013360" w:rsidRDefault="00013360" w:rsidP="00013360">
      <w:pPr>
        <w:pStyle w:val="CaseTitle"/>
        <w:spacing w:after="0" w:line="240" w:lineRule="auto"/>
        <w:rPr>
          <w:sz w:val="20"/>
          <w:szCs w:val="20"/>
        </w:rPr>
      </w:pPr>
    </w:p>
    <w:p w14:paraId="72FE470E" w14:textId="249F1A7A" w:rsidR="00627C63" w:rsidRPr="00627C63" w:rsidRDefault="00ED6DEE" w:rsidP="00627C63">
      <w:pPr>
        <w:pStyle w:val="StyleCopyrightStatementAfter0ptBottomSinglesolidline1"/>
      </w:pPr>
      <w:hyperlink r:id="rId9" w:history="1">
        <w:r>
          <w:rPr>
            <w:rStyle w:val="Hyperlink"/>
            <w:color w:val="auto"/>
            <w:u w:val="none"/>
          </w:rPr>
          <w:t>Kira Wen</w:t>
        </w:r>
        <w:bookmarkStart w:id="0" w:name="_GoBack"/>
        <w:bookmarkEnd w:id="0"/>
        <w:r w:rsidR="007D448B" w:rsidRPr="007D448B">
          <w:rPr>
            <w:rStyle w:val="Hyperlink"/>
            <w:color w:val="auto"/>
            <w:u w:val="none"/>
          </w:rPr>
          <w:t>bo Xue</w:t>
        </w:r>
      </w:hyperlink>
      <w:r w:rsidR="007D448B" w:rsidRPr="007D448B">
        <w:rPr>
          <w:color w:val="auto"/>
        </w:rPr>
        <w:t xml:space="preserve">, </w:t>
      </w:r>
      <w:hyperlink r:id="rId10" w:history="1">
        <w:r w:rsidR="007D448B" w:rsidRPr="007D448B">
          <w:rPr>
            <w:rStyle w:val="Hyperlink"/>
            <w:color w:val="auto"/>
            <w:u w:val="none"/>
          </w:rPr>
          <w:t>Ernesto Arandia</w:t>
        </w:r>
      </w:hyperlink>
      <w:r w:rsidR="007D448B" w:rsidRPr="007D448B">
        <w:rPr>
          <w:color w:val="auto"/>
        </w:rPr>
        <w:t xml:space="preserve">, and </w:t>
      </w:r>
      <w:hyperlink r:id="rId11" w:history="1">
        <w:r w:rsidR="007D448B" w:rsidRPr="007D448B">
          <w:rPr>
            <w:rStyle w:val="Hyperlink"/>
            <w:color w:val="auto"/>
            <w:u w:val="none"/>
          </w:rPr>
          <w:t>Joe Naoum-Sawaya</w:t>
        </w:r>
      </w:hyperlink>
      <w:r w:rsidR="007D448B" w:rsidRPr="007D448B">
        <w:rPr>
          <w:color w:val="auto"/>
        </w:rPr>
        <w:t xml:space="preserve"> </w:t>
      </w:r>
      <w:r w:rsidR="004B632F" w:rsidRPr="007D448B">
        <w:rPr>
          <w:color w:val="auto"/>
        </w:rPr>
        <w:t xml:space="preserve">wrote </w:t>
      </w:r>
      <w:r w:rsidR="004B632F" w:rsidRPr="00104567">
        <w:t>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14:paraId="1FF8E0D8" w14:textId="77777777" w:rsidR="00751E0B" w:rsidRDefault="00751E0B" w:rsidP="00751E0B">
      <w:pPr>
        <w:pStyle w:val="StyleCopyrightStatementAfter0ptBottomSinglesolidline1"/>
      </w:pPr>
    </w:p>
    <w:p w14:paraId="25EF21BB" w14:textId="77777777" w:rsidR="00055E0C" w:rsidRDefault="00055E0C" w:rsidP="00055E0C">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7C3015A0" w14:textId="77777777" w:rsidR="00055E0C" w:rsidRDefault="00055E0C" w:rsidP="00055E0C">
      <w:pPr>
        <w:pStyle w:val="StyleStyleCopyrightStatementAfter0ptBottomSinglesolid"/>
        <w:rPr>
          <w:rFonts w:cs="Arial"/>
          <w:color w:val="FFFFFF" w:themeColor="background1"/>
          <w:szCs w:val="16"/>
        </w:rPr>
      </w:pPr>
    </w:p>
    <w:p w14:paraId="41BB2F46" w14:textId="1955CF05" w:rsidR="00751E0B" w:rsidRPr="00055E0C" w:rsidRDefault="00055E0C" w:rsidP="00751E0B">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569EA">
        <w:rPr>
          <w:rFonts w:cs="Arial"/>
          <w:szCs w:val="16"/>
          <w:lang w:val="en-CA"/>
        </w:rPr>
        <w:tab/>
      </w:r>
      <w:r w:rsidR="00751E0B">
        <w:t xml:space="preserve">Version: </w:t>
      </w:r>
      <w:r w:rsidR="003D0BA1">
        <w:t>20</w:t>
      </w:r>
      <w:r w:rsidR="00B87499">
        <w:t>19</w:t>
      </w:r>
      <w:r w:rsidR="001C7777">
        <w:t>-</w:t>
      </w:r>
      <w:r w:rsidR="00B87499">
        <w:t>0</w:t>
      </w:r>
      <w:r>
        <w:t>3</w:t>
      </w:r>
      <w:r w:rsidR="00751E0B">
        <w:t>-</w:t>
      </w:r>
      <w:r w:rsidR="000539BC">
        <w:t>29</w:t>
      </w:r>
    </w:p>
    <w:p w14:paraId="45116B2B" w14:textId="77777777" w:rsidR="00751E0B" w:rsidRPr="003B7EF2" w:rsidRDefault="00751E0B" w:rsidP="00751E0B">
      <w:pPr>
        <w:pStyle w:val="StyleCopyrightStatementAfter0ptBottomSinglesolidline1"/>
        <w:rPr>
          <w:rFonts w:ascii="Times New Roman" w:hAnsi="Times New Roman"/>
          <w:sz w:val="20"/>
        </w:rPr>
      </w:pPr>
    </w:p>
    <w:p w14:paraId="48492930" w14:textId="77777777" w:rsidR="004B632F" w:rsidRDefault="004B632F" w:rsidP="004B632F">
      <w:pPr>
        <w:pStyle w:val="StyleCopyrightStatementAfter0ptBottomSinglesolidline1"/>
        <w:rPr>
          <w:rFonts w:ascii="Times New Roman" w:hAnsi="Times New Roman"/>
          <w:sz w:val="20"/>
        </w:rPr>
      </w:pPr>
    </w:p>
    <w:p w14:paraId="39BDE4BD" w14:textId="0BF3BA9A" w:rsidR="007D448B" w:rsidRPr="000E2BB8" w:rsidRDefault="007D448B" w:rsidP="00B61D0E">
      <w:pPr>
        <w:pStyle w:val="BodyTextMain"/>
      </w:pPr>
      <w:r w:rsidRPr="000E2BB8">
        <w:t>As the manager of Water Operations at the City of London, Ontario, Tina Soltani</w:t>
      </w:r>
      <w:r w:rsidR="00B61D0E">
        <w:rPr>
          <w:rStyle w:val="FootnoteReference"/>
        </w:rPr>
        <w:footnoteReference w:id="2"/>
      </w:r>
      <w:r w:rsidRPr="000E2BB8">
        <w:t xml:space="preserve"> was always seeking new opportunities to improve the efficiency of the city’s water distribution. Starting early </w:t>
      </w:r>
      <w:r w:rsidR="0058718A">
        <w:t xml:space="preserve">in </w:t>
      </w:r>
      <w:r w:rsidRPr="000E2BB8">
        <w:t>2015, Water Operations in London was consistently experiencing higher operational costs, with electricity bills accounting for up to 30 per cent of direct costs</w:t>
      </w:r>
      <w:r w:rsidR="005A5004">
        <w:t>.</w:t>
      </w:r>
      <w:bookmarkStart w:id="1" w:name="_Ref535327375"/>
      <w:r w:rsidRPr="00216F30">
        <w:rPr>
          <w:rStyle w:val="FootnoteReference"/>
        </w:rPr>
        <w:footnoteReference w:id="3"/>
      </w:r>
      <w:bookmarkEnd w:id="1"/>
      <w:r w:rsidRPr="000E2BB8">
        <w:t xml:space="preserve"> </w:t>
      </w:r>
      <w:r w:rsidR="00B61D0E">
        <w:t>While</w:t>
      </w:r>
      <w:r w:rsidR="00B61D0E" w:rsidRPr="000E2BB8">
        <w:t xml:space="preserve"> </w:t>
      </w:r>
      <w:r w:rsidRPr="000E2BB8">
        <w:t xml:space="preserve">exploring options to reduce this cost, </w:t>
      </w:r>
      <w:r w:rsidR="005A5004">
        <w:t>Soltani</w:t>
      </w:r>
      <w:r w:rsidR="005A5004" w:rsidRPr="000E2BB8">
        <w:t xml:space="preserve"> </w:t>
      </w:r>
      <w:r w:rsidR="00B61D0E">
        <w:t xml:space="preserve">read the </w:t>
      </w:r>
      <w:r w:rsidR="00B61D0E" w:rsidRPr="005974D3">
        <w:rPr>
          <w:i/>
        </w:rPr>
        <w:t>Energy Efficiency in Water and Wastewater Facilities</w:t>
      </w:r>
      <w:r w:rsidR="00B61D0E">
        <w:t xml:space="preserve"> report that was published by the U.S. Environmental Protection Agency in 2013 and was delighted to read that the City of Columbus, Georgia</w:t>
      </w:r>
      <w:r w:rsidR="0075216B">
        <w:t>,</w:t>
      </w:r>
      <w:r w:rsidR="00B61D0E">
        <w:t xml:space="preserve"> </w:t>
      </w:r>
      <w:r w:rsidR="0075216B">
        <w:t xml:space="preserve">had </w:t>
      </w:r>
      <w:r w:rsidR="00B61D0E">
        <w:t>managed to achieve 25 per cent energy costs savings by eliminating pump inefficiencies at water pumping stations</w:t>
      </w:r>
      <w:r w:rsidR="0075216B">
        <w:t>.</w:t>
      </w:r>
      <w:r w:rsidR="00B61D0E">
        <w:rPr>
          <w:rStyle w:val="FootnoteReference"/>
        </w:rPr>
        <w:footnoteReference w:id="4"/>
      </w:r>
      <w:r w:rsidR="00B61D0E">
        <w:t xml:space="preserve"> Soltani wonder</w:t>
      </w:r>
      <w:r w:rsidR="0081143D">
        <w:t>ed</w:t>
      </w:r>
      <w:r w:rsidR="00B61D0E">
        <w:t xml:space="preserve"> </w:t>
      </w:r>
      <w:r w:rsidR="0075216B">
        <w:t xml:space="preserve">whether </w:t>
      </w:r>
      <w:r w:rsidR="00B61D0E">
        <w:t>she could replicate this success at the City of London.</w:t>
      </w:r>
      <w:r w:rsidR="0075216B">
        <w:t xml:space="preserve"> </w:t>
      </w:r>
    </w:p>
    <w:p w14:paraId="44FCF962" w14:textId="77777777" w:rsidR="007D448B" w:rsidRPr="000E2BB8" w:rsidRDefault="007D448B" w:rsidP="007D448B">
      <w:pPr>
        <w:pStyle w:val="BodyTextMain"/>
      </w:pPr>
    </w:p>
    <w:p w14:paraId="37F7EC75" w14:textId="452C8994" w:rsidR="007D448B" w:rsidRPr="000E2BB8" w:rsidRDefault="007D448B" w:rsidP="007D448B">
      <w:pPr>
        <w:pStyle w:val="BodyTextMain"/>
      </w:pPr>
      <w:r w:rsidRPr="000E2BB8">
        <w:t>Given that the city’s electric</w:t>
      </w:r>
      <w:r w:rsidR="0081143D">
        <w:t>ity</w:t>
      </w:r>
      <w:r w:rsidRPr="000E2BB8">
        <w:t xml:space="preserve"> bill was consistently increasing due to rising electricity costs,</w:t>
      </w:r>
      <w:r w:rsidR="0075216B">
        <w:rPr>
          <w:rStyle w:val="FootnoteReference"/>
        </w:rPr>
        <w:footnoteReference w:id="5"/>
      </w:r>
      <w:r w:rsidRPr="000E2BB8">
        <w:t xml:space="preserve"> the possibility of reducing electricity usage was even more appealing. Soltani knew that in the short term, there was little possibility for improvements to infrastructure for efficiency gains</w:t>
      </w:r>
      <w:r w:rsidR="005A5004">
        <w:t>;</w:t>
      </w:r>
      <w:r w:rsidRPr="000E2BB8">
        <w:t xml:space="preserve"> however, she wondered </w:t>
      </w:r>
      <w:r w:rsidR="0075216B">
        <w:t>whether</w:t>
      </w:r>
      <w:r w:rsidR="0075216B" w:rsidRPr="000E2BB8">
        <w:t xml:space="preserve"> </w:t>
      </w:r>
      <w:r w:rsidRPr="000E2BB8">
        <w:t xml:space="preserve">hourly water pumping </w:t>
      </w:r>
      <w:r w:rsidR="0075216B">
        <w:t xml:space="preserve">could be scheduled </w:t>
      </w:r>
      <w:r w:rsidRPr="000E2BB8">
        <w:t xml:space="preserve">during off-peak electricity periods when prices were lower. Soltani began to explore hourly electricity prices and wondered </w:t>
      </w:r>
      <w:r w:rsidR="0075216B">
        <w:t>whether</w:t>
      </w:r>
      <w:r w:rsidR="0075216B" w:rsidRPr="000E2BB8">
        <w:t xml:space="preserve"> </w:t>
      </w:r>
      <w:r w:rsidRPr="000E2BB8">
        <w:t xml:space="preserve">the pricing schedule </w:t>
      </w:r>
      <w:r w:rsidR="0081143D">
        <w:t>could be accurately predicted</w:t>
      </w:r>
      <w:r w:rsidRPr="000E2BB8">
        <w:t xml:space="preserve"> 24 hours</w:t>
      </w:r>
      <w:r w:rsidR="00A71D5C">
        <w:t xml:space="preserve"> in advance</w:t>
      </w:r>
      <w:r w:rsidRPr="000E2BB8">
        <w:t>. She knew that creating an accurate prediction model would be critical to optimizing pumping schedules</w:t>
      </w:r>
      <w:r w:rsidR="0081143D">
        <w:t xml:space="preserve"> and therefore reducing electricity usage and costs</w:t>
      </w:r>
      <w:r w:rsidRPr="000E2BB8">
        <w:t>.</w:t>
      </w:r>
    </w:p>
    <w:p w14:paraId="3D3725C3" w14:textId="77777777" w:rsidR="007D448B" w:rsidRDefault="007D448B" w:rsidP="007D448B">
      <w:pPr>
        <w:pStyle w:val="BodyTextMain"/>
        <w:rPr>
          <w:sz w:val="23"/>
          <w:szCs w:val="23"/>
        </w:rPr>
      </w:pPr>
    </w:p>
    <w:p w14:paraId="07B07AD7" w14:textId="77777777" w:rsidR="007D448B" w:rsidRPr="000E2BB8" w:rsidRDefault="007D448B" w:rsidP="007D448B">
      <w:pPr>
        <w:pStyle w:val="BodyTextMain"/>
        <w:rPr>
          <w:sz w:val="23"/>
          <w:szCs w:val="23"/>
        </w:rPr>
      </w:pPr>
    </w:p>
    <w:p w14:paraId="18654B25" w14:textId="7EE56F4E" w:rsidR="007D448B" w:rsidRPr="000E2BB8" w:rsidRDefault="007D448B" w:rsidP="007D448B">
      <w:pPr>
        <w:pStyle w:val="Casehead1"/>
        <w:rPr>
          <w:rFonts w:asciiTheme="minorHAnsi" w:eastAsiaTheme="minorHAnsi" w:hAnsiTheme="minorHAnsi"/>
          <w:sz w:val="22"/>
        </w:rPr>
      </w:pPr>
      <w:r w:rsidRPr="000E2BB8">
        <w:rPr>
          <w:rFonts w:eastAsiaTheme="minorHAnsi"/>
        </w:rPr>
        <w:t>London’s Water System</w:t>
      </w:r>
    </w:p>
    <w:p w14:paraId="01009766" w14:textId="77777777" w:rsidR="007D448B" w:rsidRPr="000E2BB8" w:rsidRDefault="007D448B" w:rsidP="007D448B">
      <w:pPr>
        <w:pStyle w:val="BodyTextMain"/>
        <w:rPr>
          <w:rFonts w:eastAsia="Arial"/>
        </w:rPr>
      </w:pPr>
    </w:p>
    <w:p w14:paraId="0EBCC613" w14:textId="10469C07" w:rsidR="007D448B" w:rsidRPr="000E2BB8" w:rsidRDefault="007D448B" w:rsidP="007D448B">
      <w:pPr>
        <w:pStyle w:val="BodyTextMain"/>
        <w:rPr>
          <w:rFonts w:cstheme="minorBidi"/>
        </w:rPr>
      </w:pPr>
      <w:r w:rsidRPr="00A27011">
        <w:t>London received its water from two main sources: Lake Huron and Lake Erie (</w:t>
      </w:r>
      <w:r w:rsidR="0058718A" w:rsidRPr="00A27011">
        <w:t xml:space="preserve">see </w:t>
      </w:r>
      <w:r w:rsidRPr="00A27011">
        <w:t xml:space="preserve">Exhibit 1). These water sources were administered by the Lake Huron Primary Water Supply System and </w:t>
      </w:r>
      <w:r w:rsidR="003F456B">
        <w:t xml:space="preserve">the </w:t>
      </w:r>
      <w:r w:rsidRPr="00A27011">
        <w:t xml:space="preserve">Elgin Area Primary </w:t>
      </w:r>
      <w:r w:rsidRPr="00A27011">
        <w:lastRenderedPageBreak/>
        <w:t>Water Supply System, respectively</w:t>
      </w:r>
      <w:r w:rsidR="0058718A" w:rsidRPr="00A27011">
        <w:t>.</w:t>
      </w:r>
      <w:r w:rsidRPr="00216F30">
        <w:rPr>
          <w:rStyle w:val="FootnoteReference"/>
        </w:rPr>
        <w:footnoteReference w:id="6"/>
      </w:r>
      <w:r w:rsidRPr="00A27011">
        <w:t xml:space="preserve"> There </w:t>
      </w:r>
      <w:r w:rsidR="0058718A" w:rsidRPr="00A27011">
        <w:t xml:space="preserve">were </w:t>
      </w:r>
      <w:r w:rsidRPr="00A27011">
        <w:t>also two backup emergency wells</w:t>
      </w:r>
      <w:r w:rsidR="0058718A" w:rsidRPr="00A27011">
        <w:t>:</w:t>
      </w:r>
      <w:r w:rsidRPr="00A27011">
        <w:t xml:space="preserve"> </w:t>
      </w:r>
      <w:r w:rsidR="0058718A" w:rsidRPr="00A27011">
        <w:t xml:space="preserve">the </w:t>
      </w:r>
      <w:r w:rsidRPr="00A27011">
        <w:t xml:space="preserve">Fanshawe </w:t>
      </w:r>
      <w:r w:rsidR="0058718A" w:rsidRPr="00A27011">
        <w:t>w</w:t>
      </w:r>
      <w:r w:rsidRPr="00A27011">
        <w:t>ell</w:t>
      </w:r>
      <w:r w:rsidR="0058718A" w:rsidRPr="00A27011">
        <w:t xml:space="preserve"> f</w:t>
      </w:r>
      <w:r w:rsidRPr="00A27011">
        <w:t xml:space="preserve">ield and </w:t>
      </w:r>
      <w:r w:rsidR="0058718A" w:rsidRPr="00A27011">
        <w:t xml:space="preserve">the </w:t>
      </w:r>
      <w:r w:rsidRPr="00A27011">
        <w:t xml:space="preserve">Hyde Park </w:t>
      </w:r>
      <w:r w:rsidR="0058718A" w:rsidRPr="00A27011">
        <w:t>w</w:t>
      </w:r>
      <w:r w:rsidRPr="00A27011">
        <w:t>ell</w:t>
      </w:r>
      <w:r w:rsidR="0058718A" w:rsidRPr="00A27011">
        <w:t xml:space="preserve"> field</w:t>
      </w:r>
      <w:r w:rsidRPr="00A27011">
        <w:t>.</w:t>
      </w:r>
      <w:r w:rsidR="003A04D3">
        <w:rPr>
          <w:rStyle w:val="FootnoteReference"/>
          <w:spacing w:val="-1"/>
        </w:rPr>
        <w:footnoteReference w:id="7"/>
      </w:r>
      <w:r w:rsidRPr="00A27011">
        <w:t xml:space="preserve"> In 2015, London Water bought </w:t>
      </w:r>
      <w:r w:rsidR="006D6367">
        <w:t>44.3 billion</w:t>
      </w:r>
      <w:r w:rsidR="0075216B">
        <w:t xml:space="preserve"> </w:t>
      </w:r>
      <w:r w:rsidRPr="00A27011">
        <w:t xml:space="preserve">litres of water from </w:t>
      </w:r>
      <w:r w:rsidR="00D0214F">
        <w:t>the supply systems</w:t>
      </w:r>
      <w:r w:rsidRPr="00A27011">
        <w:t xml:space="preserve"> for a total cost of </w:t>
      </w:r>
      <w:r w:rsidR="00FB7300" w:rsidRPr="00A27011">
        <w:t>CA</w:t>
      </w:r>
      <w:r w:rsidRPr="00A27011">
        <w:t>$21</w:t>
      </w:r>
      <w:r w:rsidR="00FB7300" w:rsidRPr="00A27011">
        <w:t>.</w:t>
      </w:r>
      <w:r w:rsidRPr="00A27011">
        <w:t>5</w:t>
      </w:r>
      <w:r w:rsidR="00FB7300" w:rsidRPr="00A27011">
        <w:t xml:space="preserve"> million</w:t>
      </w:r>
      <w:r w:rsidRPr="00A27011">
        <w:t>.</w:t>
      </w:r>
      <w:r w:rsidR="00BC5573">
        <w:rPr>
          <w:rStyle w:val="FootnoteReference"/>
        </w:rPr>
        <w:footnoteReference w:id="8"/>
      </w:r>
      <w:r w:rsidRPr="00A27011">
        <w:t xml:space="preserve"> To move water from the lakes and into its final treated form at individual households, London had a complex distribution system of treatment plants, reservoirs, pumping stations, and 1,550 k</w:t>
      </w:r>
      <w:r w:rsidR="00FB7300" w:rsidRPr="00A27011">
        <w:t>ilo</w:t>
      </w:r>
      <w:r w:rsidRPr="00A27011">
        <w:t>m</w:t>
      </w:r>
      <w:r w:rsidR="00FB7300" w:rsidRPr="00A27011">
        <w:t>etres</w:t>
      </w:r>
      <w:r w:rsidRPr="00A27011">
        <w:t xml:space="preserve"> of pipes (</w:t>
      </w:r>
      <w:r w:rsidR="00FB7300" w:rsidRPr="00A27011">
        <w:t xml:space="preserve">see </w:t>
      </w:r>
      <w:r w:rsidRPr="00A27011">
        <w:t>Exhibits 2 and 3)</w:t>
      </w:r>
      <w:r w:rsidR="00FB7300" w:rsidRPr="00A27011">
        <w:t>.</w:t>
      </w:r>
      <w:r w:rsidRPr="00216F30">
        <w:rPr>
          <w:rStyle w:val="FootnoteReference"/>
        </w:rPr>
        <w:footnoteReference w:id="9"/>
      </w:r>
    </w:p>
    <w:p w14:paraId="7B078C35" w14:textId="77777777" w:rsidR="007D448B" w:rsidRDefault="007D448B" w:rsidP="007D448B">
      <w:pPr>
        <w:pStyle w:val="BodyTextMain"/>
        <w:rPr>
          <w:sz w:val="23"/>
          <w:szCs w:val="23"/>
        </w:rPr>
      </w:pPr>
    </w:p>
    <w:p w14:paraId="6B9AD9A1" w14:textId="77777777" w:rsidR="007D448B" w:rsidRPr="000E2BB8" w:rsidRDefault="007D448B" w:rsidP="007D448B">
      <w:pPr>
        <w:pStyle w:val="BodyTextMain"/>
        <w:rPr>
          <w:sz w:val="23"/>
          <w:szCs w:val="23"/>
        </w:rPr>
      </w:pPr>
    </w:p>
    <w:p w14:paraId="2E9BEE33" w14:textId="77777777" w:rsidR="007D448B" w:rsidRPr="000E2BB8" w:rsidRDefault="007D448B" w:rsidP="007D448B">
      <w:pPr>
        <w:pStyle w:val="Casehead1"/>
        <w:rPr>
          <w:rFonts w:asciiTheme="minorHAnsi" w:eastAsiaTheme="minorHAnsi" w:hAnsiTheme="minorHAnsi"/>
          <w:sz w:val="22"/>
        </w:rPr>
      </w:pPr>
      <w:r w:rsidRPr="000E2BB8">
        <w:rPr>
          <w:rFonts w:eastAsiaTheme="minorHAnsi"/>
        </w:rPr>
        <w:t>Water Pumping Operation</w:t>
      </w:r>
    </w:p>
    <w:p w14:paraId="2F0DE5FB" w14:textId="77777777" w:rsidR="007D448B" w:rsidRPr="000E2BB8" w:rsidRDefault="007D448B" w:rsidP="007D448B">
      <w:pPr>
        <w:pStyle w:val="BodyTextMain"/>
        <w:rPr>
          <w:rFonts w:eastAsia="Arial"/>
        </w:rPr>
      </w:pPr>
    </w:p>
    <w:p w14:paraId="433CA4A7" w14:textId="047B91E1" w:rsidR="007D448B" w:rsidRPr="00A27011" w:rsidRDefault="007D448B">
      <w:pPr>
        <w:pStyle w:val="BodyTextMain"/>
      </w:pPr>
      <w:r w:rsidRPr="00A27011">
        <w:t xml:space="preserve">In determining the optimal pumping schedules, </w:t>
      </w:r>
      <w:r w:rsidR="00BC5573">
        <w:t xml:space="preserve">London Water needed to address </w:t>
      </w:r>
      <w:r w:rsidRPr="00A27011">
        <w:t>three priorities</w:t>
      </w:r>
      <w:r w:rsidR="00BC5573">
        <w:t>: meeting demand quantities, maintaining water quality, and meeting pressure needs</w:t>
      </w:r>
      <w:r w:rsidR="00011B43" w:rsidRPr="00A27011">
        <w:t>.</w:t>
      </w:r>
      <w:r w:rsidRPr="00A27011">
        <w:t xml:space="preserve"> </w:t>
      </w:r>
    </w:p>
    <w:p w14:paraId="088565AD" w14:textId="77777777" w:rsidR="007D448B" w:rsidRPr="000539BC" w:rsidRDefault="007D448B" w:rsidP="007D448B">
      <w:pPr>
        <w:pStyle w:val="BodyTextMain"/>
        <w:rPr>
          <w:sz w:val="18"/>
          <w:szCs w:val="18"/>
        </w:rPr>
      </w:pPr>
    </w:p>
    <w:p w14:paraId="009A4A82" w14:textId="77777777" w:rsidR="007D448B" w:rsidRPr="000539BC" w:rsidRDefault="007D448B" w:rsidP="007D448B">
      <w:pPr>
        <w:pStyle w:val="BodyTextMain"/>
        <w:rPr>
          <w:sz w:val="18"/>
          <w:szCs w:val="18"/>
        </w:rPr>
      </w:pPr>
    </w:p>
    <w:p w14:paraId="3A291A98" w14:textId="24214E3D" w:rsidR="007D448B" w:rsidRPr="000E2BB8" w:rsidRDefault="007D448B" w:rsidP="007D448B">
      <w:pPr>
        <w:pStyle w:val="Casehead2"/>
      </w:pPr>
      <w:r w:rsidRPr="000E2BB8">
        <w:t xml:space="preserve">Meeting </w:t>
      </w:r>
      <w:r w:rsidR="00011B43">
        <w:t>D</w:t>
      </w:r>
      <w:r w:rsidRPr="000E2BB8">
        <w:t xml:space="preserve">emand </w:t>
      </w:r>
      <w:r w:rsidR="00011B43">
        <w:t>Q</w:t>
      </w:r>
      <w:r w:rsidRPr="000E2BB8">
        <w:t>uantities</w:t>
      </w:r>
    </w:p>
    <w:p w14:paraId="55EE09FE" w14:textId="77777777" w:rsidR="007D448B" w:rsidRPr="000539BC" w:rsidRDefault="007D448B" w:rsidP="007D448B">
      <w:pPr>
        <w:pStyle w:val="BodyTextMain"/>
        <w:rPr>
          <w:sz w:val="18"/>
          <w:szCs w:val="18"/>
        </w:rPr>
      </w:pPr>
    </w:p>
    <w:p w14:paraId="2802333C" w14:textId="358FA5A2" w:rsidR="007D448B" w:rsidRDefault="007D448B" w:rsidP="007D448B">
      <w:pPr>
        <w:pStyle w:val="BodyTextMain"/>
      </w:pPr>
      <w:r w:rsidRPr="000E2BB8">
        <w:t xml:space="preserve">Reservoirs </w:t>
      </w:r>
      <w:r w:rsidR="00BC5573">
        <w:t>needed</w:t>
      </w:r>
      <w:r w:rsidR="00BC5573" w:rsidRPr="000E2BB8">
        <w:t xml:space="preserve"> </w:t>
      </w:r>
      <w:r w:rsidRPr="000E2BB8">
        <w:t xml:space="preserve">to meet </w:t>
      </w:r>
      <w:r w:rsidR="00BC5573">
        <w:t xml:space="preserve">both </w:t>
      </w:r>
      <w:r w:rsidRPr="000E2BB8">
        <w:t>peak water</w:t>
      </w:r>
      <w:r w:rsidR="00011B43">
        <w:t xml:space="preserve"> </w:t>
      </w:r>
      <w:r w:rsidRPr="000E2BB8">
        <w:t xml:space="preserve">consumption demands </w:t>
      </w:r>
      <w:r w:rsidR="00BC5573">
        <w:t>and</w:t>
      </w:r>
      <w:r w:rsidRPr="000E2BB8">
        <w:t xml:space="preserve"> unexpected demands. For example, many cities maintained capacity for extraneous demands </w:t>
      </w:r>
      <w:r w:rsidR="00BC5573">
        <w:t>such as</w:t>
      </w:r>
      <w:r w:rsidR="00BC5573" w:rsidRPr="000E2BB8">
        <w:t xml:space="preserve"> </w:t>
      </w:r>
      <w:r w:rsidRPr="000E2BB8">
        <w:t xml:space="preserve">firefighting needs. In 2015, London’s average daily </w:t>
      </w:r>
      <w:r w:rsidR="006001CF">
        <w:t xml:space="preserve">water </w:t>
      </w:r>
      <w:r w:rsidRPr="000E2BB8">
        <w:t xml:space="preserve">demand was </w:t>
      </w:r>
      <w:r w:rsidR="00805EDF">
        <w:t xml:space="preserve">120.33 million </w:t>
      </w:r>
      <w:r w:rsidRPr="000E2BB8">
        <w:t xml:space="preserve">litres. The largest daily amount pumped </w:t>
      </w:r>
      <w:r w:rsidR="006001CF">
        <w:t xml:space="preserve">in 2015 </w:t>
      </w:r>
      <w:r w:rsidRPr="000E2BB8">
        <w:t xml:space="preserve">was </w:t>
      </w:r>
      <w:r w:rsidR="00011B43">
        <w:t xml:space="preserve">151.45 million </w:t>
      </w:r>
      <w:r w:rsidR="003F456B">
        <w:t xml:space="preserve">litres </w:t>
      </w:r>
      <w:r w:rsidRPr="000E2BB8">
        <w:t>on July 28, 2015</w:t>
      </w:r>
      <w:r w:rsidR="00011B43">
        <w:t>.</w:t>
      </w:r>
      <w:r w:rsidRPr="00216F30">
        <w:rPr>
          <w:rStyle w:val="FootnoteReference"/>
        </w:rPr>
        <w:footnoteReference w:id="10"/>
      </w:r>
    </w:p>
    <w:p w14:paraId="77745617" w14:textId="77777777" w:rsidR="007D448B" w:rsidRPr="000539BC" w:rsidRDefault="007D448B" w:rsidP="007D448B">
      <w:pPr>
        <w:pStyle w:val="BodyTextMain"/>
        <w:rPr>
          <w:sz w:val="18"/>
          <w:szCs w:val="18"/>
        </w:rPr>
      </w:pPr>
    </w:p>
    <w:p w14:paraId="4517B3A1" w14:textId="77777777" w:rsidR="007D448B" w:rsidRPr="000539BC" w:rsidRDefault="007D448B" w:rsidP="007D448B">
      <w:pPr>
        <w:pStyle w:val="BodyTextMain"/>
        <w:rPr>
          <w:sz w:val="18"/>
          <w:szCs w:val="18"/>
        </w:rPr>
      </w:pPr>
    </w:p>
    <w:p w14:paraId="39530A52" w14:textId="30C56095" w:rsidR="007D448B" w:rsidRDefault="007D448B" w:rsidP="007D448B">
      <w:pPr>
        <w:pStyle w:val="Casehead2"/>
      </w:pPr>
      <w:r>
        <w:t>Maintain</w:t>
      </w:r>
      <w:r w:rsidR="00072D61">
        <w:t>ing</w:t>
      </w:r>
      <w:r>
        <w:t xml:space="preserve"> </w:t>
      </w:r>
      <w:r w:rsidR="00072D61">
        <w:t>W</w:t>
      </w:r>
      <w:r>
        <w:t xml:space="preserve">ater </w:t>
      </w:r>
      <w:r w:rsidR="00072D61">
        <w:t>Q</w:t>
      </w:r>
      <w:r>
        <w:t>uality</w:t>
      </w:r>
    </w:p>
    <w:p w14:paraId="41BFB5AB" w14:textId="77777777" w:rsidR="007D448B" w:rsidRPr="000539BC" w:rsidRDefault="007D448B" w:rsidP="007D448B">
      <w:pPr>
        <w:pStyle w:val="BodyTextMain"/>
        <w:rPr>
          <w:sz w:val="18"/>
          <w:szCs w:val="18"/>
        </w:rPr>
      </w:pPr>
    </w:p>
    <w:p w14:paraId="72A93EB4" w14:textId="77777777" w:rsidR="007D448B" w:rsidRDefault="007D448B" w:rsidP="007D448B">
      <w:pPr>
        <w:pStyle w:val="BodyTextMain"/>
      </w:pPr>
      <w:r w:rsidRPr="000E2BB8">
        <w:t>Pumping schedules impacted the age of water in reservoirs and thus affected the water quality.</w:t>
      </w:r>
    </w:p>
    <w:p w14:paraId="61D77A92" w14:textId="77777777" w:rsidR="007D448B" w:rsidRPr="000539BC" w:rsidRDefault="007D448B" w:rsidP="007D448B">
      <w:pPr>
        <w:pStyle w:val="BodyTextMain"/>
        <w:rPr>
          <w:sz w:val="18"/>
          <w:szCs w:val="18"/>
        </w:rPr>
      </w:pPr>
    </w:p>
    <w:p w14:paraId="2286248F" w14:textId="77777777" w:rsidR="007D448B" w:rsidRPr="000539BC" w:rsidRDefault="007D448B" w:rsidP="007D448B">
      <w:pPr>
        <w:pStyle w:val="BodyTextMain"/>
        <w:rPr>
          <w:sz w:val="18"/>
          <w:szCs w:val="18"/>
        </w:rPr>
      </w:pPr>
    </w:p>
    <w:p w14:paraId="0F353C8C" w14:textId="4F5DB8D9" w:rsidR="007D448B" w:rsidRDefault="007D448B" w:rsidP="007D448B">
      <w:pPr>
        <w:pStyle w:val="Casehead2"/>
      </w:pPr>
      <w:r w:rsidRPr="000E2BB8">
        <w:t xml:space="preserve">Meeting </w:t>
      </w:r>
      <w:r w:rsidR="00072D61">
        <w:t>P</w:t>
      </w:r>
      <w:r>
        <w:t xml:space="preserve">ressure </w:t>
      </w:r>
      <w:r w:rsidR="00072D61">
        <w:t>N</w:t>
      </w:r>
      <w:r>
        <w:t>eeds</w:t>
      </w:r>
    </w:p>
    <w:p w14:paraId="08607BFD" w14:textId="77777777" w:rsidR="007D448B" w:rsidRPr="000539BC" w:rsidRDefault="007D448B" w:rsidP="007D448B">
      <w:pPr>
        <w:pStyle w:val="BodyTextMain"/>
        <w:rPr>
          <w:sz w:val="18"/>
          <w:szCs w:val="18"/>
        </w:rPr>
      </w:pPr>
    </w:p>
    <w:p w14:paraId="78814411" w14:textId="6A0E6534" w:rsidR="007D448B" w:rsidRPr="000E2BB8" w:rsidRDefault="007D448B" w:rsidP="007D448B">
      <w:pPr>
        <w:pStyle w:val="BodyTextMain"/>
      </w:pPr>
      <w:r w:rsidRPr="000E2BB8">
        <w:t xml:space="preserve">A minimum quantity of water </w:t>
      </w:r>
      <w:r w:rsidR="00072D61" w:rsidRPr="000E2BB8">
        <w:t xml:space="preserve">also needed to be maintained </w:t>
      </w:r>
      <w:r w:rsidRPr="000E2BB8">
        <w:t xml:space="preserve">in reservoirs to ensure </w:t>
      </w:r>
      <w:r w:rsidR="00072D61">
        <w:t>adequate</w:t>
      </w:r>
      <w:r w:rsidRPr="000E2BB8">
        <w:t xml:space="preserve"> water pressure to deliver water through London’s network of pipes.</w:t>
      </w:r>
    </w:p>
    <w:p w14:paraId="121D31FF" w14:textId="77777777" w:rsidR="007D448B" w:rsidRPr="000539BC" w:rsidRDefault="007D448B" w:rsidP="007D448B">
      <w:pPr>
        <w:pStyle w:val="BodyTextMain"/>
        <w:rPr>
          <w:sz w:val="18"/>
          <w:szCs w:val="18"/>
        </w:rPr>
      </w:pPr>
    </w:p>
    <w:p w14:paraId="0513B3D2" w14:textId="77777777" w:rsidR="007D448B" w:rsidRPr="000539BC" w:rsidRDefault="007D448B" w:rsidP="007D448B">
      <w:pPr>
        <w:pStyle w:val="BodyTextMain"/>
        <w:rPr>
          <w:sz w:val="18"/>
          <w:szCs w:val="18"/>
        </w:rPr>
      </w:pPr>
    </w:p>
    <w:p w14:paraId="5FE62AE5" w14:textId="77777777" w:rsidR="007D448B" w:rsidRDefault="007D448B" w:rsidP="007D448B">
      <w:pPr>
        <w:pStyle w:val="Casehead1"/>
      </w:pPr>
      <w:r>
        <w:t>Meeting the priorities</w:t>
      </w:r>
    </w:p>
    <w:p w14:paraId="1C088875" w14:textId="77777777" w:rsidR="007D448B" w:rsidRPr="000539BC" w:rsidRDefault="007D448B" w:rsidP="007D448B">
      <w:pPr>
        <w:pStyle w:val="BodyTextMain"/>
        <w:rPr>
          <w:sz w:val="18"/>
          <w:szCs w:val="18"/>
        </w:rPr>
      </w:pPr>
    </w:p>
    <w:p w14:paraId="0E67AE40" w14:textId="618918BF" w:rsidR="007D448B" w:rsidRPr="000E2BB8" w:rsidRDefault="006001CF" w:rsidP="007D448B">
      <w:pPr>
        <w:pStyle w:val="BodyTextMain"/>
      </w:pPr>
      <w:r>
        <w:t>T</w:t>
      </w:r>
      <w:r w:rsidR="007D448B" w:rsidRPr="000E2BB8">
        <w:t xml:space="preserve">o meet these priorities, reservoir levels </w:t>
      </w:r>
      <w:r>
        <w:t>needed</w:t>
      </w:r>
      <w:r w:rsidRPr="000E2BB8">
        <w:t xml:space="preserve"> </w:t>
      </w:r>
      <w:r w:rsidR="007D448B" w:rsidRPr="000E2BB8">
        <w:t>to be maintained between a maximum capacity and a minimum required level. Accordingly, over a 24-hour planning period</w:t>
      </w:r>
      <w:r w:rsidR="003F456B">
        <w:t xml:space="preserve">, </w:t>
      </w:r>
      <w:r w:rsidR="003F456B" w:rsidRPr="000E2BB8">
        <w:t>pumping operation</w:t>
      </w:r>
      <w:r w:rsidR="003F456B">
        <w:t>s</w:t>
      </w:r>
      <w:r w:rsidR="007D448B" w:rsidRPr="000E2BB8">
        <w:t xml:space="preserve"> </w:t>
      </w:r>
      <w:r>
        <w:t>were</w:t>
      </w:r>
      <w:r w:rsidR="007D448B" w:rsidRPr="000E2BB8">
        <w:t xml:space="preserve"> scheduled at low</w:t>
      </w:r>
      <w:r>
        <w:t>-</w:t>
      </w:r>
      <w:r w:rsidR="007D448B" w:rsidRPr="000E2BB8">
        <w:t xml:space="preserve">price hours as long as the key priorities were met. The potential for cost savings by optimizing pump scheduling was thus significant. Soltani </w:t>
      </w:r>
      <w:r w:rsidR="003F456B">
        <w:t>believed</w:t>
      </w:r>
      <w:r w:rsidR="003F456B" w:rsidRPr="000E2BB8">
        <w:t xml:space="preserve"> </w:t>
      </w:r>
      <w:r w:rsidR="007D448B" w:rsidRPr="000E2BB8">
        <w:t xml:space="preserve">that London Water was filling the water tanks too early in the day and not benefiting from periods of low energy prices. </w:t>
      </w:r>
      <w:r w:rsidR="00924C11">
        <w:t>B</w:t>
      </w:r>
      <w:r w:rsidR="007D448B" w:rsidRPr="000E2BB8">
        <w:t xml:space="preserve">y efficiently scheduling pumping operations and operating at lower levels throughout the day, she estimated that electricity costs </w:t>
      </w:r>
      <w:r w:rsidR="00DB2A4C">
        <w:t>could</w:t>
      </w:r>
      <w:r w:rsidR="00DB2A4C" w:rsidRPr="000E2BB8">
        <w:t xml:space="preserve"> </w:t>
      </w:r>
      <w:r w:rsidR="007D448B" w:rsidRPr="000E2BB8">
        <w:t>typically be reduced by 10</w:t>
      </w:r>
      <w:r w:rsidR="00DB2A4C">
        <w:t>–</w:t>
      </w:r>
      <w:r w:rsidR="007D448B" w:rsidRPr="000E2BB8">
        <w:t>15 per cent</w:t>
      </w:r>
      <w:r w:rsidR="00DB2A4C">
        <w:t>.</w:t>
      </w:r>
      <w:r w:rsidR="007D448B" w:rsidRPr="00216F30">
        <w:rPr>
          <w:rStyle w:val="FootnoteReference"/>
        </w:rPr>
        <w:footnoteReference w:id="11"/>
      </w:r>
      <w:r w:rsidR="007D448B" w:rsidRPr="000E2BB8">
        <w:t xml:space="preserve"> </w:t>
      </w:r>
    </w:p>
    <w:p w14:paraId="6C3846F7" w14:textId="6FF2A776" w:rsidR="007D448B" w:rsidRPr="000E2BB8" w:rsidRDefault="007D448B" w:rsidP="007D448B">
      <w:pPr>
        <w:pStyle w:val="BodyTextMain"/>
      </w:pPr>
      <w:r w:rsidRPr="000E2BB8">
        <w:lastRenderedPageBreak/>
        <w:t>Energy</w:t>
      </w:r>
      <w:r w:rsidR="00284A5C">
        <w:t xml:space="preserve"> cost</w:t>
      </w:r>
      <w:r w:rsidR="00490849">
        <w:t>s</w:t>
      </w:r>
      <w:r w:rsidR="00284A5C">
        <w:t xml:space="preserve"> accounted for up to 80 per</w:t>
      </w:r>
      <w:r w:rsidR="006001CF">
        <w:t xml:space="preserve"> </w:t>
      </w:r>
      <w:r w:rsidR="00284A5C">
        <w:t>cent of the processing and distribution costs</w:t>
      </w:r>
      <w:r w:rsidR="006001CF">
        <w:t xml:space="preserve"> of drinking water.</w:t>
      </w:r>
      <w:r w:rsidR="00490849">
        <w:rPr>
          <w:rStyle w:val="FootnoteReference"/>
        </w:rPr>
        <w:footnoteReference w:id="12"/>
      </w:r>
      <w:r w:rsidRPr="000E2BB8">
        <w:t xml:space="preserve"> This wide range existed because </w:t>
      </w:r>
      <w:r w:rsidR="003F456B">
        <w:t xml:space="preserve">the costs included </w:t>
      </w:r>
      <w:r w:rsidRPr="000E2BB8">
        <w:t>multiple factors</w:t>
      </w:r>
      <w:r w:rsidR="003F456B">
        <w:t>,</w:t>
      </w:r>
      <w:r w:rsidRPr="000E2BB8">
        <w:t xml:space="preserve"> in addition to pump scheduling. For example, </w:t>
      </w:r>
      <w:r w:rsidR="006001CF">
        <w:t xml:space="preserve">the </w:t>
      </w:r>
      <w:r w:rsidRPr="000E2BB8">
        <w:t xml:space="preserve">water pumping cost was much higher in Toronto, where the topography forced the distribution system to mostly pump water upstream, which required much more energy than </w:t>
      </w:r>
      <w:r w:rsidR="006001CF">
        <w:t xml:space="preserve">in </w:t>
      </w:r>
      <w:r w:rsidRPr="000E2BB8">
        <w:t>London</w:t>
      </w:r>
      <w:r w:rsidR="006001CF">
        <w:t>,</w:t>
      </w:r>
      <w:r w:rsidRPr="000E2BB8">
        <w:t xml:space="preserve"> where 80 per cent of the city was fed by gravity</w:t>
      </w:r>
      <w:r w:rsidR="007E6E6B">
        <w:t>.</w:t>
      </w:r>
      <w:r w:rsidRPr="00216F30">
        <w:rPr>
          <w:rStyle w:val="FootnoteReference"/>
        </w:rPr>
        <w:footnoteReference w:id="13"/>
      </w:r>
      <w:r w:rsidRPr="000E2BB8">
        <w:t xml:space="preserve"> The efficiency of water infrastructure also </w:t>
      </w:r>
      <w:r w:rsidR="00EB21E1">
        <w:t xml:space="preserve">had </w:t>
      </w:r>
      <w:r w:rsidRPr="000E2BB8">
        <w:t xml:space="preserve">a large impact, especially </w:t>
      </w:r>
      <w:r w:rsidR="007E6E6B">
        <w:t xml:space="preserve">when leaks in the pipes </w:t>
      </w:r>
      <w:r w:rsidR="00EB21E1">
        <w:t>led to</w:t>
      </w:r>
      <w:r w:rsidR="00EB21E1" w:rsidRPr="000E2BB8">
        <w:t xml:space="preserve"> </w:t>
      </w:r>
      <w:r w:rsidRPr="000E2BB8">
        <w:t xml:space="preserve">water loss. Construction and maintenance costs also varied for different utilities. In regions with colder climates, pipes needed to be installed further </w:t>
      </w:r>
      <w:r w:rsidR="007E6E6B">
        <w:t>underground</w:t>
      </w:r>
      <w:r w:rsidR="007E6E6B" w:rsidRPr="000E2BB8">
        <w:t xml:space="preserve"> </w:t>
      </w:r>
      <w:r w:rsidRPr="000E2BB8">
        <w:t xml:space="preserve">to reduce the </w:t>
      </w:r>
      <w:r w:rsidR="00EB21E1">
        <w:t>likelihood</w:t>
      </w:r>
      <w:r w:rsidR="00EB21E1" w:rsidRPr="000E2BB8">
        <w:t xml:space="preserve"> </w:t>
      </w:r>
      <w:r w:rsidRPr="000E2BB8">
        <w:t>of frozen watermains</w:t>
      </w:r>
      <w:r w:rsidR="007E6E6B">
        <w:t>,</w:t>
      </w:r>
      <w:r w:rsidRPr="000E2BB8">
        <w:t xml:space="preserve"> which made any infrastructure upgrades or repairs very expensive.</w:t>
      </w:r>
    </w:p>
    <w:p w14:paraId="46077348" w14:textId="77777777" w:rsidR="007D448B" w:rsidRPr="000E2BB8" w:rsidRDefault="007D448B" w:rsidP="00A27011"/>
    <w:p w14:paraId="26DE6D3F" w14:textId="70414C7B" w:rsidR="007D448B" w:rsidRPr="000E2BB8" w:rsidRDefault="007D448B" w:rsidP="00A27011">
      <w:pPr>
        <w:pStyle w:val="BodyTextMain"/>
      </w:pPr>
      <w:r w:rsidRPr="000E2BB8">
        <w:t>Despite the benefits of optimizing pumping schedules using predictive and algorithmic methods, most pumping schedules were managed manually by water operators. In general, however, increasing energy costs and water constraints necessitated that all water utilities consider various methods to optimize their efficiency and reduce costs.</w:t>
      </w:r>
    </w:p>
    <w:p w14:paraId="3E11C66E" w14:textId="77777777" w:rsidR="007D448B" w:rsidRDefault="007D448B"/>
    <w:p w14:paraId="4AF63ACF" w14:textId="77777777" w:rsidR="007D448B" w:rsidRPr="000E2BB8" w:rsidRDefault="007D448B"/>
    <w:p w14:paraId="633AF0A9" w14:textId="77777777" w:rsidR="007D448B" w:rsidRPr="000E2BB8" w:rsidRDefault="007D448B" w:rsidP="007D448B">
      <w:pPr>
        <w:pStyle w:val="Casehead1"/>
        <w:rPr>
          <w:rFonts w:asciiTheme="minorHAnsi" w:eastAsiaTheme="minorHAnsi" w:hAnsiTheme="minorHAnsi" w:cstheme="minorBidi"/>
          <w:sz w:val="22"/>
          <w:szCs w:val="22"/>
        </w:rPr>
      </w:pPr>
      <w:r w:rsidRPr="000E2BB8">
        <w:rPr>
          <w:rFonts w:eastAsia="Arial"/>
        </w:rPr>
        <w:t>Electricity Markets</w:t>
      </w:r>
    </w:p>
    <w:p w14:paraId="672F7EF3" w14:textId="77777777" w:rsidR="007D448B" w:rsidRPr="000E2BB8" w:rsidRDefault="007D448B" w:rsidP="007D448B">
      <w:pPr>
        <w:pStyle w:val="BodyTextMain"/>
        <w:rPr>
          <w:rFonts w:eastAsia="Arial"/>
        </w:rPr>
      </w:pPr>
    </w:p>
    <w:p w14:paraId="24261E46" w14:textId="3ADF62BB" w:rsidR="007D448B" w:rsidRPr="000E2BB8" w:rsidRDefault="007D448B" w:rsidP="007D448B">
      <w:pPr>
        <w:pStyle w:val="BodyTextMain"/>
        <w:rPr>
          <w:rFonts w:cstheme="minorBidi"/>
        </w:rPr>
      </w:pPr>
      <w:r w:rsidRPr="00A27011">
        <w:t xml:space="preserve">Electricity markets were managed and operated by </w:t>
      </w:r>
      <w:r w:rsidR="007F7C82" w:rsidRPr="00A27011">
        <w:t>i</w:t>
      </w:r>
      <w:r w:rsidRPr="00A27011">
        <w:t xml:space="preserve">ndependent </w:t>
      </w:r>
      <w:r w:rsidR="007F7C82" w:rsidRPr="00A27011">
        <w:t>s</w:t>
      </w:r>
      <w:r w:rsidRPr="00A27011">
        <w:t xml:space="preserve">ystem </w:t>
      </w:r>
      <w:r w:rsidR="007F7C82" w:rsidRPr="00A27011">
        <w:t>o</w:t>
      </w:r>
      <w:r w:rsidRPr="00A27011">
        <w:t>perators (ISO</w:t>
      </w:r>
      <w:r w:rsidR="007F7C82" w:rsidRPr="00A27011">
        <w:t>s</w:t>
      </w:r>
      <w:r w:rsidRPr="00A27011">
        <w:t xml:space="preserve">). The ISO that operated the Ontario market was the Independent Electricity System Operator (IESO). By balancing supply and demand of real-time electricity, </w:t>
      </w:r>
      <w:r w:rsidR="00EB21E1">
        <w:t xml:space="preserve">the </w:t>
      </w:r>
      <w:r w:rsidRPr="00A27011">
        <w:t xml:space="preserve">IESO determined the </w:t>
      </w:r>
      <w:r w:rsidR="007F7C82" w:rsidRPr="00A27011">
        <w:t>h</w:t>
      </w:r>
      <w:r w:rsidRPr="00A27011">
        <w:t xml:space="preserve">ourly Ontario </w:t>
      </w:r>
      <w:r w:rsidR="007F7C82" w:rsidRPr="00A27011">
        <w:t>e</w:t>
      </w:r>
      <w:r w:rsidRPr="00A27011">
        <w:t xml:space="preserve">lectricity </w:t>
      </w:r>
      <w:r w:rsidR="007F7C82" w:rsidRPr="00A27011">
        <w:t>p</w:t>
      </w:r>
      <w:r w:rsidRPr="00A27011">
        <w:t>rice (HOEP), which was the market price of wholesale electricity in Ontario.</w:t>
      </w:r>
    </w:p>
    <w:p w14:paraId="65642FC8" w14:textId="77777777" w:rsidR="007D448B" w:rsidRPr="00A27011" w:rsidRDefault="007D448B">
      <w:pPr>
        <w:pStyle w:val="BodyTextMain"/>
      </w:pPr>
    </w:p>
    <w:p w14:paraId="4F89E904" w14:textId="77777777" w:rsidR="007D448B" w:rsidRPr="00A27011" w:rsidRDefault="007D448B">
      <w:pPr>
        <w:pStyle w:val="BodyTextMain"/>
      </w:pPr>
    </w:p>
    <w:p w14:paraId="78BD24BA" w14:textId="015A3434" w:rsidR="007D448B" w:rsidRDefault="00EB21E1" w:rsidP="007D448B">
      <w:pPr>
        <w:pStyle w:val="Casehead2"/>
      </w:pPr>
      <w:r>
        <w:t xml:space="preserve">The </w:t>
      </w:r>
      <w:r w:rsidR="007D448B" w:rsidRPr="000E2BB8">
        <w:t>Hourly Ontario Electricity Price</w:t>
      </w:r>
      <w:r w:rsidR="00A97517" w:rsidRPr="005974D3">
        <w:rPr>
          <w:rStyle w:val="FootnoteReference"/>
          <w:b w:val="0"/>
        </w:rPr>
        <w:footnoteReference w:id="14"/>
      </w:r>
    </w:p>
    <w:p w14:paraId="0B36F174" w14:textId="77777777" w:rsidR="007D448B" w:rsidRPr="000E2BB8" w:rsidRDefault="007D448B" w:rsidP="007D448B">
      <w:pPr>
        <w:pStyle w:val="BodyTextMain"/>
      </w:pPr>
    </w:p>
    <w:p w14:paraId="55D9A89C" w14:textId="54511327" w:rsidR="001A38A4" w:rsidRPr="00A27011" w:rsidRDefault="007D448B">
      <w:pPr>
        <w:pStyle w:val="BodyTextMain"/>
      </w:pPr>
      <w:r w:rsidRPr="00E363CC">
        <w:t xml:space="preserve">Large electricity consumers that used </w:t>
      </w:r>
      <w:r w:rsidR="00A71D5C">
        <w:t>more than</w:t>
      </w:r>
      <w:r w:rsidR="00A71D5C" w:rsidRPr="00E363CC">
        <w:t xml:space="preserve"> </w:t>
      </w:r>
      <w:r w:rsidRPr="00E363CC">
        <w:t xml:space="preserve">250,000 kilowatt-hours (kWh) of electricity </w:t>
      </w:r>
      <w:r w:rsidR="00EB21E1" w:rsidRPr="00E363CC">
        <w:t>pa</w:t>
      </w:r>
      <w:r w:rsidR="00EB21E1">
        <w:t>i</w:t>
      </w:r>
      <w:r w:rsidR="00EB21E1" w:rsidRPr="00E363CC">
        <w:t xml:space="preserve">d </w:t>
      </w:r>
      <w:r w:rsidRPr="00E363CC">
        <w:t xml:space="preserve">the wholesale electricity price, </w:t>
      </w:r>
      <w:r w:rsidR="007F7C82" w:rsidRPr="00E363CC">
        <w:t xml:space="preserve">or </w:t>
      </w:r>
      <w:r w:rsidR="00EB21E1">
        <w:t xml:space="preserve">the </w:t>
      </w:r>
      <w:r w:rsidRPr="00E363CC">
        <w:t>HOEP.</w:t>
      </w:r>
      <w:r w:rsidR="00EB21E1">
        <w:rPr>
          <w:rStyle w:val="FootnoteReference"/>
        </w:rPr>
        <w:footnoteReference w:id="15"/>
      </w:r>
      <w:r w:rsidRPr="00E363CC">
        <w:t xml:space="preserve"> </w:t>
      </w:r>
      <w:r w:rsidR="00EB21E1">
        <w:t xml:space="preserve">The </w:t>
      </w:r>
      <w:r w:rsidRPr="00E363CC">
        <w:t xml:space="preserve">IESO determined the HOEP by forecasting </w:t>
      </w:r>
      <w:r w:rsidRPr="00A27011">
        <w:t>demand 24 hours in advance and accept</w:t>
      </w:r>
      <w:r w:rsidR="001A38A4" w:rsidRPr="00A27011">
        <w:t>ing</w:t>
      </w:r>
      <w:r w:rsidRPr="00A27011">
        <w:t xml:space="preserve"> supply offers from generators and electricity importers. Supply price offers were mostly affected by fuel and generation costs</w:t>
      </w:r>
      <w:r w:rsidR="001A38A4" w:rsidRPr="00A27011">
        <w:t>, such as</w:t>
      </w:r>
      <w:r w:rsidRPr="00A27011">
        <w:t xml:space="preserve"> the cost of natural gas for a generator converting natural gas into electricity</w:t>
      </w:r>
      <w:r w:rsidR="001A38A4" w:rsidRPr="00A27011">
        <w:t xml:space="preserve">, </w:t>
      </w:r>
      <w:r w:rsidRPr="00A27011">
        <w:t>and fixed costs</w:t>
      </w:r>
      <w:r w:rsidR="00EB21E1">
        <w:t>,</w:t>
      </w:r>
      <w:r w:rsidRPr="00A27011">
        <w:t xml:space="preserve"> </w:t>
      </w:r>
      <w:r w:rsidR="00EB21E1">
        <w:t>such as</w:t>
      </w:r>
      <w:r w:rsidR="00EB21E1" w:rsidRPr="00A27011">
        <w:t xml:space="preserve"> </w:t>
      </w:r>
      <w:r w:rsidRPr="00A27011">
        <w:t xml:space="preserve">ongoing operating costs. </w:t>
      </w:r>
    </w:p>
    <w:p w14:paraId="1A264EBA" w14:textId="77777777" w:rsidR="001A38A4" w:rsidRPr="00A27011" w:rsidRDefault="001A38A4">
      <w:pPr>
        <w:pStyle w:val="BodyTextMain"/>
      </w:pPr>
    </w:p>
    <w:p w14:paraId="4AA6F82E" w14:textId="730112C0" w:rsidR="001A38A4" w:rsidRPr="00A27011" w:rsidRDefault="007D448B">
      <w:pPr>
        <w:pStyle w:val="BodyTextMain"/>
      </w:pPr>
      <w:r w:rsidRPr="00A27011">
        <w:t>After supply offers were received, a small number of large consumers (local distribution companies</w:t>
      </w:r>
      <w:r w:rsidR="00EB21E1">
        <w:t>,</w:t>
      </w:r>
      <w:r w:rsidR="001A38A4" w:rsidRPr="00A27011">
        <w:t xml:space="preserve"> or </w:t>
      </w:r>
      <w:r w:rsidRPr="00A27011">
        <w:t xml:space="preserve">LDCs) bid on </w:t>
      </w:r>
      <w:r w:rsidR="00EB21E1">
        <w:t>the</w:t>
      </w:r>
      <w:r w:rsidR="00EB21E1" w:rsidRPr="00A27011">
        <w:t xml:space="preserve"> </w:t>
      </w:r>
      <w:r w:rsidRPr="00A27011">
        <w:t>price they were willing to pay for a certain amount of electricity. LDCs determined their bid by forecasting the demand that they expected from their customers, which ranged from individual households</w:t>
      </w:r>
      <w:r w:rsidR="001A38A4" w:rsidRPr="00A27011">
        <w:t xml:space="preserve"> and</w:t>
      </w:r>
      <w:r w:rsidRPr="00A27011">
        <w:t xml:space="preserve"> private businesses to public utilities </w:t>
      </w:r>
      <w:r w:rsidR="00EB21E1">
        <w:t>such as</w:t>
      </w:r>
      <w:r w:rsidR="00EB21E1" w:rsidRPr="00A27011">
        <w:t xml:space="preserve"> </w:t>
      </w:r>
      <w:r w:rsidRPr="00A27011">
        <w:t xml:space="preserve">London Water. Demand was primarily impacted by weather, business needs, and general usage efficiency. </w:t>
      </w:r>
    </w:p>
    <w:p w14:paraId="028BE8E9" w14:textId="77777777" w:rsidR="001A38A4" w:rsidRPr="00A27011" w:rsidRDefault="001A38A4">
      <w:pPr>
        <w:pStyle w:val="BodyTextMain"/>
      </w:pPr>
    </w:p>
    <w:p w14:paraId="4C72F136" w14:textId="05568259" w:rsidR="007D448B" w:rsidRPr="000E2BB8" w:rsidRDefault="007D448B">
      <w:pPr>
        <w:pStyle w:val="BodyTextMain"/>
      </w:pPr>
      <w:r w:rsidRPr="00A27011">
        <w:t xml:space="preserve">Apart from supply and demand factors, inefficiencies in the transmission grid and </w:t>
      </w:r>
      <w:r w:rsidR="00550137">
        <w:t xml:space="preserve">in </w:t>
      </w:r>
      <w:r w:rsidRPr="00A27011">
        <w:t>the network of high-voltage power</w:t>
      </w:r>
      <w:r w:rsidR="00550137">
        <w:t xml:space="preserve"> </w:t>
      </w:r>
      <w:r w:rsidRPr="00A27011">
        <w:t>lines impacted the transportation and delivery of energy and</w:t>
      </w:r>
      <w:r w:rsidR="001A38A4" w:rsidRPr="00A27011">
        <w:t>,</w:t>
      </w:r>
      <w:r w:rsidRPr="00A27011">
        <w:t xml:space="preserve"> subsequently</w:t>
      </w:r>
      <w:r w:rsidR="001A38A4" w:rsidRPr="00A27011">
        <w:t>,</w:t>
      </w:r>
      <w:r w:rsidRPr="00A27011">
        <w:t xml:space="preserve"> the actual clearing prices of electricity.</w:t>
      </w:r>
    </w:p>
    <w:p w14:paraId="709C71CB" w14:textId="77777777" w:rsidR="007D448B" w:rsidRPr="00A27011" w:rsidRDefault="007D448B">
      <w:pPr>
        <w:pStyle w:val="BodyTextMain"/>
      </w:pPr>
    </w:p>
    <w:p w14:paraId="3CC66D09" w14:textId="2D9559CE" w:rsidR="007D448B" w:rsidRPr="000E2BB8" w:rsidRDefault="00550137">
      <w:pPr>
        <w:pStyle w:val="BodyTextMain"/>
      </w:pPr>
      <w:r>
        <w:t xml:space="preserve">The </w:t>
      </w:r>
      <w:r w:rsidR="00D7303F" w:rsidRPr="00A27011">
        <w:t xml:space="preserve">IESO </w:t>
      </w:r>
      <w:r w:rsidR="007D448B" w:rsidRPr="00A27011">
        <w:t>collect</w:t>
      </w:r>
      <w:r w:rsidR="00D7303F" w:rsidRPr="00A27011">
        <w:t>ed</w:t>
      </w:r>
      <w:r w:rsidR="007D448B" w:rsidRPr="00A27011">
        <w:t xml:space="preserve"> supply offer and demand bids up to two hours in advance of actual energy use</w:t>
      </w:r>
      <w:r w:rsidR="00D7303F" w:rsidRPr="00A27011">
        <w:t>. It</w:t>
      </w:r>
      <w:r w:rsidR="007D448B" w:rsidRPr="00A27011">
        <w:t xml:space="preserve"> stacked all supply offers from the lowest</w:t>
      </w:r>
      <w:r>
        <w:t>-</w:t>
      </w:r>
      <w:r w:rsidR="007D448B" w:rsidRPr="00A27011">
        <w:t xml:space="preserve">priced offer to </w:t>
      </w:r>
      <w:r w:rsidR="00D7303F" w:rsidRPr="00A27011">
        <w:t xml:space="preserve">the </w:t>
      </w:r>
      <w:r w:rsidR="007D448B" w:rsidRPr="00A27011">
        <w:t>highe</w:t>
      </w:r>
      <w:r w:rsidR="00D7303F" w:rsidRPr="00A27011">
        <w:t>st</w:t>
      </w:r>
      <w:r w:rsidR="007D448B" w:rsidRPr="00A27011">
        <w:t xml:space="preserve">, </w:t>
      </w:r>
      <w:r w:rsidR="00D7303F" w:rsidRPr="00A27011">
        <w:t xml:space="preserve">purchasing through the stack </w:t>
      </w:r>
      <w:r w:rsidR="007D448B" w:rsidRPr="00A27011">
        <w:t xml:space="preserve">until </w:t>
      </w:r>
      <w:r w:rsidR="007D448B" w:rsidRPr="00A27011">
        <w:lastRenderedPageBreak/>
        <w:t xml:space="preserve">energy demands </w:t>
      </w:r>
      <w:r w:rsidR="00D7303F" w:rsidRPr="00A27011">
        <w:t>were</w:t>
      </w:r>
      <w:r w:rsidR="007D448B" w:rsidRPr="00A27011">
        <w:t xml:space="preserve"> met. The HOEP was the average of </w:t>
      </w:r>
      <w:r w:rsidR="00D7303F" w:rsidRPr="00A27011">
        <w:t xml:space="preserve">these </w:t>
      </w:r>
      <w:r w:rsidR="007D448B" w:rsidRPr="00A27011">
        <w:t xml:space="preserve">market clearing prices in any given hour. An additional </w:t>
      </w:r>
      <w:r w:rsidR="00D7303F" w:rsidRPr="00A27011">
        <w:t>o</w:t>
      </w:r>
      <w:r w:rsidR="007D448B" w:rsidRPr="00A27011">
        <w:t xml:space="preserve">perating </w:t>
      </w:r>
      <w:r w:rsidR="00D7303F" w:rsidRPr="00A27011">
        <w:t>r</w:t>
      </w:r>
      <w:r w:rsidR="007D448B" w:rsidRPr="00A27011">
        <w:t xml:space="preserve">eserve price was set, which </w:t>
      </w:r>
      <w:r w:rsidRPr="00A27011">
        <w:t>pa</w:t>
      </w:r>
      <w:r>
        <w:t>i</w:t>
      </w:r>
      <w:r w:rsidRPr="00A27011">
        <w:t xml:space="preserve">d </w:t>
      </w:r>
      <w:r w:rsidR="007D448B" w:rsidRPr="00A27011">
        <w:t>suppliers to have on</w:t>
      </w:r>
      <w:r w:rsidR="00D7303F" w:rsidRPr="00A27011">
        <w:t>-</w:t>
      </w:r>
      <w:r w:rsidR="007D448B" w:rsidRPr="00A27011">
        <w:t xml:space="preserve">call electricity generation capabilities in the case of a demand surge or supply shortage (such as </w:t>
      </w:r>
      <w:r w:rsidR="00D7303F" w:rsidRPr="00A27011">
        <w:t xml:space="preserve">a </w:t>
      </w:r>
      <w:r w:rsidR="007D448B" w:rsidRPr="00A27011">
        <w:t>generation breakdown)</w:t>
      </w:r>
      <w:r w:rsidR="00D7303F" w:rsidRPr="00A27011">
        <w:t>.</w:t>
      </w:r>
    </w:p>
    <w:p w14:paraId="2351C884" w14:textId="77777777" w:rsidR="007D448B" w:rsidRPr="00A27011" w:rsidRDefault="007D448B">
      <w:pPr>
        <w:pStyle w:val="BodyTextMain"/>
      </w:pPr>
    </w:p>
    <w:p w14:paraId="1386260E" w14:textId="77777777" w:rsidR="007D448B" w:rsidRPr="00A27011" w:rsidRDefault="007D448B">
      <w:pPr>
        <w:pStyle w:val="BodyTextMain"/>
      </w:pPr>
    </w:p>
    <w:p w14:paraId="1C6EA01C" w14:textId="5C67DD6B" w:rsidR="007D448B" w:rsidRDefault="007D448B" w:rsidP="00196DC2">
      <w:pPr>
        <w:pStyle w:val="Casehead2"/>
      </w:pPr>
      <w:r w:rsidRPr="000E2BB8">
        <w:t>Global Adjustment</w:t>
      </w:r>
      <w:r w:rsidR="0086682E" w:rsidRPr="005974D3">
        <w:rPr>
          <w:rStyle w:val="FootnoteReference"/>
          <w:b w:val="0"/>
        </w:rPr>
        <w:footnoteReference w:id="16"/>
      </w:r>
    </w:p>
    <w:p w14:paraId="5B010E6A" w14:textId="77777777" w:rsidR="007D448B" w:rsidRPr="000E2BB8" w:rsidRDefault="007D448B" w:rsidP="00196DC2">
      <w:pPr>
        <w:pStyle w:val="BodyTextMain"/>
        <w:keepNext/>
      </w:pPr>
    </w:p>
    <w:p w14:paraId="5292D3D8" w14:textId="55A2FBEA" w:rsidR="00D7303F" w:rsidRPr="00A27011" w:rsidRDefault="007D448B">
      <w:pPr>
        <w:pStyle w:val="BodyTextMain"/>
      </w:pPr>
      <w:r w:rsidRPr="00E363CC">
        <w:t xml:space="preserve">In addition to the HOEP, electricity consumers were also charged a </w:t>
      </w:r>
      <w:r w:rsidR="00D7303F" w:rsidRPr="00E363CC">
        <w:t>g</w:t>
      </w:r>
      <w:r w:rsidRPr="00E363CC">
        <w:t xml:space="preserve">lobal </w:t>
      </w:r>
      <w:r w:rsidR="00D7303F" w:rsidRPr="00E363CC">
        <w:t>a</w:t>
      </w:r>
      <w:r w:rsidRPr="00E363CC">
        <w:t>djustment (GA) fee. The GA fee was the discrepancy between the HOEP and any predetermined IESO contract prices with specific conservation generators</w:t>
      </w:r>
      <w:r w:rsidR="00A91D48" w:rsidRPr="00E363CC">
        <w:t>,</w:t>
      </w:r>
      <w:r w:rsidRPr="00E363CC">
        <w:t xml:space="preserve"> such as renewable</w:t>
      </w:r>
      <w:r w:rsidR="00550137">
        <w:t>-</w:t>
      </w:r>
      <w:r w:rsidRPr="00E363CC">
        <w:t xml:space="preserve">energy generators. For example, the feed-in tariff for on-shore wind electricity generation was $0.128/kWh, meaning that IESO guaranteed a price floor of $0.128 for </w:t>
      </w:r>
      <w:r w:rsidR="00614FB1" w:rsidRPr="00E363CC">
        <w:t xml:space="preserve">electricity from these </w:t>
      </w:r>
      <w:r w:rsidRPr="00E363CC">
        <w:t>generators</w:t>
      </w:r>
      <w:r w:rsidRPr="00A27011">
        <w:t xml:space="preserve">. When the HOEP went below this price, the GA </w:t>
      </w:r>
      <w:r w:rsidR="00A91D48" w:rsidRPr="00A27011">
        <w:t xml:space="preserve">fee </w:t>
      </w:r>
      <w:r w:rsidRPr="00A27011">
        <w:t xml:space="preserve">was increased to account for </w:t>
      </w:r>
      <w:r w:rsidR="00D7303F" w:rsidRPr="00A27011">
        <w:t xml:space="preserve">the </w:t>
      </w:r>
      <w:r w:rsidRPr="00A27011">
        <w:t xml:space="preserve">cost of covering the feed-in tariff. </w:t>
      </w:r>
    </w:p>
    <w:p w14:paraId="65D5EF6A" w14:textId="77777777" w:rsidR="00D7303F" w:rsidRPr="00A27011" w:rsidRDefault="00D7303F">
      <w:pPr>
        <w:pStyle w:val="BodyTextMain"/>
      </w:pPr>
    </w:p>
    <w:p w14:paraId="5B4EAF91" w14:textId="68A7362B" w:rsidR="00631F43" w:rsidRPr="00A27011" w:rsidRDefault="007D448B">
      <w:pPr>
        <w:pStyle w:val="BodyTextMain"/>
      </w:pPr>
      <w:r w:rsidRPr="00E363CC">
        <w:t>The GA was calculated and charged on a monthly basis. To incentivize consumers to reduce electricity demand during peak hours, Class A electricity users (defined as having an average hourly peak demand of greater than or equal to 5</w:t>
      </w:r>
      <w:r w:rsidR="00A91D48" w:rsidRPr="00E363CC">
        <w:t xml:space="preserve"> megawatts</w:t>
      </w:r>
      <w:r w:rsidRPr="00E363CC">
        <w:t xml:space="preserve">) were charged </w:t>
      </w:r>
      <w:r w:rsidR="004C0BA6">
        <w:t>for their portion of the electricity demand</w:t>
      </w:r>
      <w:r w:rsidRPr="00E363CC">
        <w:t xml:space="preserve"> during the five highest annual demand peaks</w:t>
      </w:r>
      <w:r w:rsidRPr="00A27011">
        <w:t>. For example, if on an annual basis, a consumer accounted for 2 per cent of total electricity demand during peak</w:t>
      </w:r>
      <w:r w:rsidR="00631F43" w:rsidRPr="00A27011">
        <w:t xml:space="preserve"> hour</w:t>
      </w:r>
      <w:r w:rsidRPr="00A27011">
        <w:t xml:space="preserve">s, the GA rate </w:t>
      </w:r>
      <w:r w:rsidR="00631F43" w:rsidRPr="00A27011">
        <w:t xml:space="preserve">would be </w:t>
      </w:r>
      <w:r w:rsidRPr="00A27011">
        <w:t xml:space="preserve">2 per cent of the total </w:t>
      </w:r>
      <w:r w:rsidR="00631F43" w:rsidRPr="00A27011">
        <w:t>GA</w:t>
      </w:r>
      <w:r w:rsidRPr="00A27011">
        <w:t xml:space="preserve"> cost. </w:t>
      </w:r>
    </w:p>
    <w:p w14:paraId="5B3D479A" w14:textId="77777777" w:rsidR="007D448B" w:rsidRDefault="007D448B"/>
    <w:p w14:paraId="58F0C5F8" w14:textId="77777777" w:rsidR="007D448B" w:rsidRPr="000E2BB8" w:rsidRDefault="007D448B"/>
    <w:p w14:paraId="27E7B1EF" w14:textId="77777777" w:rsidR="007D448B" w:rsidRPr="000E2BB8" w:rsidRDefault="007D448B" w:rsidP="007D448B">
      <w:pPr>
        <w:pStyle w:val="Casehead1"/>
        <w:rPr>
          <w:rFonts w:asciiTheme="minorHAnsi" w:eastAsiaTheme="minorHAnsi" w:hAnsiTheme="minorHAnsi" w:cstheme="minorBidi"/>
          <w:sz w:val="22"/>
          <w:szCs w:val="22"/>
        </w:rPr>
      </w:pPr>
      <w:r w:rsidRPr="000E2BB8">
        <w:rPr>
          <w:rFonts w:eastAsiaTheme="minorHAnsi"/>
        </w:rPr>
        <w:t xml:space="preserve">The </w:t>
      </w:r>
      <w:r w:rsidRPr="000E2BB8">
        <w:t>Data</w:t>
      </w:r>
    </w:p>
    <w:p w14:paraId="7EA1D472" w14:textId="77777777" w:rsidR="007D448B" w:rsidRPr="000E2BB8" w:rsidRDefault="007D448B" w:rsidP="007D448B">
      <w:pPr>
        <w:pStyle w:val="BodyTextMain"/>
      </w:pPr>
    </w:p>
    <w:p w14:paraId="21600337" w14:textId="5937A47A" w:rsidR="007D448B" w:rsidRPr="000B1B5E" w:rsidRDefault="007D448B" w:rsidP="007D448B">
      <w:pPr>
        <w:pStyle w:val="BodyTextMain"/>
        <w:rPr>
          <w:rFonts w:cstheme="minorBidi"/>
          <w:spacing w:val="-4"/>
          <w:kern w:val="22"/>
        </w:rPr>
      </w:pPr>
      <w:r w:rsidRPr="000B1B5E">
        <w:rPr>
          <w:rFonts w:cstheme="minorHAnsi"/>
          <w:spacing w:val="-4"/>
          <w:kern w:val="22"/>
        </w:rPr>
        <w:t xml:space="preserve">Soltani collected the </w:t>
      </w:r>
      <w:r w:rsidR="0006072A" w:rsidRPr="000B1B5E">
        <w:rPr>
          <w:rFonts w:cstheme="minorHAnsi"/>
          <w:spacing w:val="-4"/>
          <w:kern w:val="22"/>
        </w:rPr>
        <w:t>HOEP</w:t>
      </w:r>
      <w:r w:rsidR="00F967F3">
        <w:rPr>
          <w:rFonts w:cstheme="minorHAnsi"/>
          <w:spacing w:val="-4"/>
          <w:kern w:val="22"/>
        </w:rPr>
        <w:t>s</w:t>
      </w:r>
      <w:r w:rsidRPr="000B1B5E">
        <w:rPr>
          <w:rFonts w:cstheme="minorHAnsi"/>
          <w:spacing w:val="-4"/>
          <w:kern w:val="22"/>
        </w:rPr>
        <w:t xml:space="preserve"> from 2003 to 2015 (</w:t>
      </w:r>
      <w:r w:rsidR="0006072A" w:rsidRPr="000B1B5E">
        <w:rPr>
          <w:rFonts w:cstheme="minorHAnsi"/>
          <w:spacing w:val="-4"/>
          <w:kern w:val="22"/>
        </w:rPr>
        <w:t xml:space="preserve">see </w:t>
      </w:r>
      <w:r w:rsidRPr="000B1B5E">
        <w:rPr>
          <w:rFonts w:cstheme="minorHAnsi"/>
          <w:spacing w:val="-4"/>
          <w:kern w:val="22"/>
        </w:rPr>
        <w:t>Exhibit 4</w:t>
      </w:r>
      <w:r w:rsidR="00735033" w:rsidRPr="000B1B5E">
        <w:rPr>
          <w:rFonts w:cstheme="minorHAnsi"/>
          <w:spacing w:val="-4"/>
          <w:kern w:val="22"/>
        </w:rPr>
        <w:t xml:space="preserve"> and </w:t>
      </w:r>
      <w:r w:rsidR="000B1B5E" w:rsidRPr="000B1B5E">
        <w:rPr>
          <w:rFonts w:cstheme="minorHAnsi"/>
          <w:spacing w:val="-4"/>
          <w:kern w:val="22"/>
        </w:rPr>
        <w:t xml:space="preserve">Student </w:t>
      </w:r>
      <w:r w:rsidR="000B1B5E" w:rsidRPr="00055E0C">
        <w:rPr>
          <w:rFonts w:cstheme="minorHAnsi"/>
          <w:spacing w:val="-4"/>
          <w:kern w:val="22"/>
        </w:rPr>
        <w:t>Spreadsheet</w:t>
      </w:r>
      <w:r w:rsidR="00735033" w:rsidRPr="00055E0C">
        <w:rPr>
          <w:rFonts w:cstheme="minorHAnsi"/>
          <w:spacing w:val="-4"/>
          <w:kern w:val="22"/>
        </w:rPr>
        <w:t xml:space="preserve">, </w:t>
      </w:r>
      <w:r w:rsidR="00055E0C" w:rsidRPr="00055E0C">
        <w:rPr>
          <w:rFonts w:cstheme="minorHAnsi"/>
          <w:spacing w:val="-4"/>
          <w:kern w:val="22"/>
        </w:rPr>
        <w:t>[</w:t>
      </w:r>
      <w:r w:rsidR="00735033" w:rsidRPr="00055E0C">
        <w:rPr>
          <w:rFonts w:cstheme="minorHAnsi"/>
          <w:spacing w:val="-4"/>
          <w:kern w:val="22"/>
        </w:rPr>
        <w:t>Ivey product no.</w:t>
      </w:r>
      <w:r w:rsidR="00055E0C" w:rsidRPr="00055E0C">
        <w:rPr>
          <w:rFonts w:cstheme="minorHAnsi"/>
          <w:spacing w:val="-4"/>
          <w:kern w:val="22"/>
        </w:rPr>
        <w:t xml:space="preserve"> 7B19E004</w:t>
      </w:r>
      <w:r w:rsidR="00735033" w:rsidRPr="00055E0C">
        <w:rPr>
          <w:rFonts w:cstheme="minorHAnsi"/>
          <w:spacing w:val="-4"/>
          <w:kern w:val="22"/>
        </w:rPr>
        <w:t>]</w:t>
      </w:r>
      <w:r w:rsidRPr="00055E0C">
        <w:rPr>
          <w:rFonts w:cstheme="minorHAnsi"/>
          <w:spacing w:val="-4"/>
          <w:kern w:val="22"/>
        </w:rPr>
        <w:t xml:space="preserve">). The data </w:t>
      </w:r>
      <w:r w:rsidR="0006072A" w:rsidRPr="00055E0C">
        <w:rPr>
          <w:rFonts w:cstheme="minorHAnsi"/>
          <w:spacing w:val="-4"/>
          <w:kern w:val="22"/>
        </w:rPr>
        <w:t xml:space="preserve">provided </w:t>
      </w:r>
      <w:r w:rsidRPr="00055E0C">
        <w:rPr>
          <w:rFonts w:cstheme="minorHAnsi"/>
          <w:spacing w:val="-4"/>
          <w:kern w:val="22"/>
        </w:rPr>
        <w:t>the date, hour (</w:t>
      </w:r>
      <w:r w:rsidR="0006072A" w:rsidRPr="00055E0C">
        <w:rPr>
          <w:rFonts w:cstheme="minorHAnsi"/>
          <w:spacing w:val="-4"/>
          <w:kern w:val="22"/>
        </w:rPr>
        <w:t>using the 24-hour clock</w:t>
      </w:r>
      <w:r w:rsidRPr="00055E0C">
        <w:rPr>
          <w:rFonts w:cstheme="minorHAnsi"/>
          <w:spacing w:val="-4"/>
          <w:kern w:val="22"/>
        </w:rPr>
        <w:t>), and the corre</w:t>
      </w:r>
      <w:r w:rsidRPr="000B1B5E">
        <w:rPr>
          <w:rFonts w:cstheme="minorHAnsi"/>
          <w:spacing w:val="-4"/>
          <w:kern w:val="22"/>
        </w:rPr>
        <w:t>sponding hourly prices.</w:t>
      </w:r>
    </w:p>
    <w:p w14:paraId="7B681ABC" w14:textId="77777777" w:rsidR="007D448B" w:rsidRDefault="007D448B" w:rsidP="007D448B">
      <w:pPr>
        <w:pStyle w:val="BodyTextMain"/>
        <w:rPr>
          <w:rFonts w:cstheme="minorHAnsi"/>
        </w:rPr>
      </w:pPr>
    </w:p>
    <w:p w14:paraId="63D6A29E" w14:textId="77777777" w:rsidR="007D448B" w:rsidRPr="000E2BB8" w:rsidRDefault="007D448B" w:rsidP="007D448B">
      <w:pPr>
        <w:pStyle w:val="BodyTextMain"/>
        <w:rPr>
          <w:rFonts w:cstheme="minorHAnsi"/>
        </w:rPr>
      </w:pPr>
    </w:p>
    <w:p w14:paraId="3C297F36" w14:textId="77777777" w:rsidR="007D448B" w:rsidRPr="000E2BB8" w:rsidRDefault="007D448B" w:rsidP="007D448B">
      <w:pPr>
        <w:pStyle w:val="Casehead1"/>
        <w:rPr>
          <w:rFonts w:asciiTheme="minorHAnsi" w:eastAsiaTheme="minorHAnsi" w:hAnsiTheme="minorHAnsi" w:cstheme="minorBidi"/>
          <w:sz w:val="22"/>
          <w:szCs w:val="22"/>
        </w:rPr>
      </w:pPr>
      <w:r w:rsidRPr="000E2BB8">
        <w:t>Impact and Decision</w:t>
      </w:r>
    </w:p>
    <w:p w14:paraId="1F01FF1B" w14:textId="77777777" w:rsidR="007D448B" w:rsidRPr="000E2BB8" w:rsidRDefault="007D448B" w:rsidP="007D448B">
      <w:pPr>
        <w:pStyle w:val="BodyTextMain"/>
      </w:pPr>
    </w:p>
    <w:p w14:paraId="2AA46309" w14:textId="42D1E906" w:rsidR="00BC7F94" w:rsidRDefault="007D448B" w:rsidP="007D448B">
      <w:pPr>
        <w:pStyle w:val="BodyTextMain"/>
        <w:rPr>
          <w:rFonts w:cstheme="minorHAnsi"/>
        </w:rPr>
      </w:pPr>
      <w:r w:rsidRPr="000E2BB8">
        <w:rPr>
          <w:rFonts w:cstheme="minorHAnsi"/>
        </w:rPr>
        <w:t>With such large potential electricity savings, Soltani knew that optimizing the schedules of pumping operations</w:t>
      </w:r>
      <w:r w:rsidR="00550137">
        <w:rPr>
          <w:rFonts w:cstheme="minorHAnsi"/>
        </w:rPr>
        <w:t xml:space="preserve"> would hold significant merit</w:t>
      </w:r>
      <w:r w:rsidRPr="000E2BB8">
        <w:rPr>
          <w:rFonts w:cstheme="minorHAnsi"/>
        </w:rPr>
        <w:t xml:space="preserve">. </w:t>
      </w:r>
      <w:r w:rsidR="0006072A">
        <w:rPr>
          <w:rFonts w:cstheme="minorHAnsi"/>
        </w:rPr>
        <w:t>Because</w:t>
      </w:r>
      <w:r w:rsidR="0006072A" w:rsidRPr="000E2BB8">
        <w:rPr>
          <w:rFonts w:cstheme="minorHAnsi"/>
        </w:rPr>
        <w:t xml:space="preserve"> </w:t>
      </w:r>
      <w:r w:rsidRPr="000E2BB8">
        <w:rPr>
          <w:rFonts w:cstheme="minorHAnsi"/>
        </w:rPr>
        <w:t>few other water utilities had adopted such methods, London had the opportunity to become an innovation leader and present a best</w:t>
      </w:r>
      <w:r w:rsidR="00550137">
        <w:rPr>
          <w:rFonts w:cstheme="minorHAnsi"/>
        </w:rPr>
        <w:t>-</w:t>
      </w:r>
      <w:r w:rsidRPr="000E2BB8">
        <w:rPr>
          <w:rFonts w:cstheme="minorHAnsi"/>
        </w:rPr>
        <w:t>practi</w:t>
      </w:r>
      <w:r w:rsidR="00BC7F94">
        <w:rPr>
          <w:rFonts w:cstheme="minorHAnsi"/>
        </w:rPr>
        <w:t>c</w:t>
      </w:r>
      <w:r w:rsidRPr="000E2BB8">
        <w:rPr>
          <w:rFonts w:cstheme="minorHAnsi"/>
        </w:rPr>
        <w:t xml:space="preserve">e scenario. </w:t>
      </w:r>
      <w:r w:rsidR="00BC7F94">
        <w:rPr>
          <w:rFonts w:cstheme="minorHAnsi"/>
        </w:rPr>
        <w:t>T</w:t>
      </w:r>
      <w:r w:rsidRPr="000E2BB8">
        <w:rPr>
          <w:rFonts w:cstheme="minorHAnsi"/>
        </w:rPr>
        <w:t xml:space="preserve">o make this decision, however, </w:t>
      </w:r>
      <w:r w:rsidR="00BC7F94">
        <w:rPr>
          <w:rFonts w:cstheme="minorHAnsi"/>
        </w:rPr>
        <w:t>Soltani</w:t>
      </w:r>
      <w:r w:rsidR="00BC7F94" w:rsidRPr="000E2BB8">
        <w:rPr>
          <w:rFonts w:cstheme="minorHAnsi"/>
        </w:rPr>
        <w:t xml:space="preserve"> </w:t>
      </w:r>
      <w:r w:rsidRPr="000E2BB8">
        <w:rPr>
          <w:rFonts w:cstheme="minorHAnsi"/>
        </w:rPr>
        <w:t xml:space="preserve">first </w:t>
      </w:r>
      <w:r w:rsidR="00550137">
        <w:rPr>
          <w:rFonts w:cstheme="minorHAnsi"/>
        </w:rPr>
        <w:t xml:space="preserve">needed to </w:t>
      </w:r>
      <w:r w:rsidRPr="000E2BB8">
        <w:rPr>
          <w:rFonts w:cstheme="minorHAnsi"/>
        </w:rPr>
        <w:t xml:space="preserve">find an accurate way of predicting the </w:t>
      </w:r>
      <w:r w:rsidR="00BC7F94">
        <w:rPr>
          <w:rFonts w:cstheme="minorHAnsi"/>
        </w:rPr>
        <w:t xml:space="preserve">electricity prices </w:t>
      </w:r>
      <w:r w:rsidRPr="000E2BB8">
        <w:rPr>
          <w:rFonts w:cstheme="minorHAnsi"/>
        </w:rPr>
        <w:t xml:space="preserve">24 hours </w:t>
      </w:r>
      <w:r w:rsidR="00F967F3">
        <w:rPr>
          <w:rFonts w:cstheme="minorHAnsi"/>
        </w:rPr>
        <w:t>in advance for</w:t>
      </w:r>
      <w:r w:rsidR="00F967F3" w:rsidRPr="000E2BB8">
        <w:rPr>
          <w:rFonts w:cstheme="minorHAnsi"/>
        </w:rPr>
        <w:t xml:space="preserve"> </w:t>
      </w:r>
      <w:r w:rsidRPr="000E2BB8">
        <w:rPr>
          <w:rFonts w:cstheme="minorHAnsi"/>
        </w:rPr>
        <w:t>any given day. Because cost savings were predicated on lower electricity prices, determining the best prediction model was critical</w:t>
      </w:r>
      <w:r w:rsidR="00BC7F94">
        <w:rPr>
          <w:rFonts w:cstheme="minorHAnsi"/>
        </w:rPr>
        <w:t xml:space="preserve"> to addressing</w:t>
      </w:r>
      <w:r w:rsidRPr="000E2BB8">
        <w:rPr>
          <w:rFonts w:cstheme="minorHAnsi"/>
        </w:rPr>
        <w:t xml:space="preserve"> any </w:t>
      </w:r>
      <w:r w:rsidR="00BC7F94">
        <w:rPr>
          <w:rFonts w:cstheme="minorHAnsi"/>
        </w:rPr>
        <w:t xml:space="preserve">questions about </w:t>
      </w:r>
      <w:r w:rsidRPr="000E2BB8">
        <w:rPr>
          <w:rFonts w:cstheme="minorHAnsi"/>
        </w:rPr>
        <w:t xml:space="preserve">future optimization. </w:t>
      </w:r>
    </w:p>
    <w:p w14:paraId="7F781AE5" w14:textId="77777777" w:rsidR="00BC7F94" w:rsidRDefault="00BC7F94" w:rsidP="007D448B">
      <w:pPr>
        <w:pStyle w:val="BodyTextMain"/>
        <w:rPr>
          <w:rFonts w:cstheme="minorHAnsi"/>
        </w:rPr>
      </w:pPr>
    </w:p>
    <w:p w14:paraId="27525121" w14:textId="09E56F83" w:rsidR="007D448B" w:rsidRDefault="007D448B" w:rsidP="000B1B5E">
      <w:pPr>
        <w:pStyle w:val="BodyTextMain"/>
        <w:rPr>
          <w:rFonts w:cstheme="minorHAnsi"/>
        </w:rPr>
      </w:pPr>
      <w:r w:rsidRPr="000E2BB8">
        <w:rPr>
          <w:rFonts w:cstheme="minorHAnsi"/>
        </w:rPr>
        <w:t xml:space="preserve">After making a large cup of Persian tea, Soltani sat down to contemplate </w:t>
      </w:r>
      <w:r w:rsidR="00B71929">
        <w:rPr>
          <w:rFonts w:cstheme="minorHAnsi"/>
        </w:rPr>
        <w:t>how she should proceed</w:t>
      </w:r>
      <w:r w:rsidRPr="000E2BB8">
        <w:rPr>
          <w:rFonts w:cstheme="minorHAnsi"/>
        </w:rPr>
        <w:t>.</w:t>
      </w:r>
      <w:r>
        <w:rPr>
          <w:rFonts w:cstheme="minorHAnsi"/>
        </w:rPr>
        <w:br w:type="page"/>
      </w:r>
    </w:p>
    <w:p w14:paraId="1BFF34DC" w14:textId="77777777" w:rsidR="007D448B" w:rsidRPr="007D448B" w:rsidRDefault="007D448B" w:rsidP="00196DC2">
      <w:pPr>
        <w:pStyle w:val="ExhibitHeading"/>
        <w:rPr>
          <w:rFonts w:asciiTheme="minorHAnsi" w:eastAsiaTheme="minorHAnsi" w:hAnsiTheme="minorHAnsi"/>
          <w:sz w:val="22"/>
        </w:rPr>
      </w:pPr>
      <w:r w:rsidRPr="007D448B">
        <w:rPr>
          <w:rFonts w:eastAsiaTheme="minorHAnsi"/>
        </w:rPr>
        <w:lastRenderedPageBreak/>
        <w:t>EXHIBIT</w:t>
      </w:r>
      <w:r w:rsidRPr="007D448B">
        <w:rPr>
          <w:rFonts w:eastAsiaTheme="minorHAnsi"/>
          <w:spacing w:val="-7"/>
        </w:rPr>
        <w:t xml:space="preserve"> </w:t>
      </w:r>
      <w:r w:rsidRPr="007D448B">
        <w:rPr>
          <w:rFonts w:eastAsiaTheme="minorHAnsi"/>
          <w:spacing w:val="-1"/>
        </w:rPr>
        <w:t>1:</w:t>
      </w:r>
      <w:r w:rsidRPr="007D448B">
        <w:rPr>
          <w:rFonts w:eastAsiaTheme="minorHAnsi"/>
        </w:rPr>
        <w:t xml:space="preserve"> Sources of Water for the City of London</w:t>
      </w:r>
    </w:p>
    <w:p w14:paraId="289B958B" w14:textId="77777777" w:rsidR="007D448B" w:rsidRPr="007D448B" w:rsidRDefault="007D448B" w:rsidP="00196DC2">
      <w:pPr>
        <w:pStyle w:val="ExhibitText"/>
        <w:rPr>
          <w:rFonts w:eastAsia="Arial"/>
        </w:rPr>
      </w:pPr>
    </w:p>
    <w:p w14:paraId="73C4C31E" w14:textId="07D1DB9B" w:rsidR="007D448B" w:rsidRDefault="00DE4C91" w:rsidP="00011B43">
      <w:pPr>
        <w:pStyle w:val="ExhibitText"/>
        <w:jc w:val="center"/>
        <w:rPr>
          <w:rFonts w:asciiTheme="minorHAnsi" w:eastAsiaTheme="minorHAnsi" w:hAnsiTheme="minorHAnsi" w:cstheme="minorBidi"/>
        </w:rPr>
      </w:pPr>
      <w:r>
        <w:rPr>
          <w:rFonts w:eastAsia="Arial"/>
          <w:noProof/>
          <w:lang w:val="en-US"/>
        </w:rPr>
        <w:drawing>
          <wp:inline distT="0" distB="0" distL="0" distR="0" wp14:anchorId="6F96DB8D" wp14:editId="09719E98">
            <wp:extent cx="5029200" cy="629762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hibit 1-bw.png"/>
                    <pic:cNvPicPr/>
                  </pic:nvPicPr>
                  <pic:blipFill>
                    <a:blip r:embed="rId12">
                      <a:extLst>
                        <a:ext uri="{28A0092B-C50C-407E-A947-70E740481C1C}">
                          <a14:useLocalDpi xmlns:a14="http://schemas.microsoft.com/office/drawing/2010/main" val="0"/>
                        </a:ext>
                      </a:extLst>
                    </a:blip>
                    <a:stretch>
                      <a:fillRect/>
                    </a:stretch>
                  </pic:blipFill>
                  <pic:spPr>
                    <a:xfrm>
                      <a:off x="0" y="0"/>
                      <a:ext cx="5029200" cy="6297629"/>
                    </a:xfrm>
                    <a:prstGeom prst="rect">
                      <a:avLst/>
                    </a:prstGeom>
                  </pic:spPr>
                </pic:pic>
              </a:graphicData>
            </a:graphic>
          </wp:inline>
        </w:drawing>
      </w:r>
    </w:p>
    <w:p w14:paraId="5E7E5CFE" w14:textId="77777777" w:rsidR="00DE4C91" w:rsidRDefault="00DE4C91" w:rsidP="00DE4C91">
      <w:pPr>
        <w:pStyle w:val="ExhibitText"/>
        <w:rPr>
          <w:rFonts w:eastAsiaTheme="minorHAnsi"/>
        </w:rPr>
      </w:pPr>
    </w:p>
    <w:p w14:paraId="3F76C613" w14:textId="033CBD8A" w:rsidR="007D448B" w:rsidRPr="00196DC2" w:rsidRDefault="007D448B" w:rsidP="00196DC2">
      <w:pPr>
        <w:pStyle w:val="Footnote"/>
        <w:rPr>
          <w:rFonts w:eastAsia="DejaVu Sans"/>
          <w:lang w:bidi="en-US"/>
        </w:rPr>
      </w:pPr>
      <w:r w:rsidRPr="00196DC2">
        <w:rPr>
          <w:rFonts w:eastAsia="Arial"/>
        </w:rPr>
        <w:t>Source:</w:t>
      </w:r>
      <w:r w:rsidR="00196DC2">
        <w:rPr>
          <w:rFonts w:eastAsia="Arial"/>
        </w:rPr>
        <w:t xml:space="preserve"> </w:t>
      </w:r>
      <w:r w:rsidRPr="00A27011">
        <w:rPr>
          <w:rFonts w:eastAsia="DejaVu Sans"/>
          <w:i/>
          <w:lang w:bidi="en-US"/>
        </w:rPr>
        <w:t>Water Treatment and Distribution in London</w:t>
      </w:r>
      <w:r w:rsidR="00BC7F94" w:rsidRPr="00A27011">
        <w:rPr>
          <w:rFonts w:eastAsia="DejaVu Sans"/>
          <w:i/>
          <w:lang w:bidi="en-US"/>
        </w:rPr>
        <w:t>: The Teaching Toolkit</w:t>
      </w:r>
      <w:r w:rsidRPr="00196DC2">
        <w:rPr>
          <w:rFonts w:eastAsia="DejaVu Sans"/>
          <w:lang w:bidi="en-US"/>
        </w:rPr>
        <w:t xml:space="preserve">, slide 3, </w:t>
      </w:r>
      <w:r w:rsidR="00550137" w:rsidRPr="00196DC2">
        <w:rPr>
          <w:rFonts w:eastAsia="DejaVu Sans"/>
          <w:lang w:bidi="en-US"/>
        </w:rPr>
        <w:t>City of London,</w:t>
      </w:r>
      <w:r w:rsidR="00550137">
        <w:rPr>
          <w:rFonts w:eastAsia="DejaVu Sans"/>
          <w:lang w:bidi="en-US"/>
        </w:rPr>
        <w:t xml:space="preserve"> Canada,</w:t>
      </w:r>
      <w:r w:rsidR="00550137" w:rsidRPr="00196DC2">
        <w:rPr>
          <w:rFonts w:eastAsia="DejaVu Sans"/>
          <w:lang w:bidi="en-US"/>
        </w:rPr>
        <w:t xml:space="preserve"> </w:t>
      </w:r>
      <w:r w:rsidR="00747D82">
        <w:rPr>
          <w:rFonts w:eastAsia="DejaVu Sans"/>
          <w:lang w:bidi="en-US"/>
        </w:rPr>
        <w:t xml:space="preserve">accessed </w:t>
      </w:r>
      <w:r w:rsidRPr="00196DC2">
        <w:rPr>
          <w:rFonts w:eastAsia="DejaVu Sans"/>
          <w:lang w:bidi="en-US"/>
        </w:rPr>
        <w:t>October</w:t>
      </w:r>
      <w:r w:rsidR="00747D82">
        <w:rPr>
          <w:rFonts w:eastAsia="DejaVu Sans"/>
          <w:lang w:bidi="en-US"/>
        </w:rPr>
        <w:t> </w:t>
      </w:r>
      <w:r w:rsidRPr="00196DC2">
        <w:rPr>
          <w:rFonts w:eastAsia="DejaVu Sans"/>
          <w:lang w:bidi="en-US"/>
        </w:rPr>
        <w:t>19,</w:t>
      </w:r>
      <w:r w:rsidR="00747D82">
        <w:rPr>
          <w:rFonts w:eastAsia="DejaVu Sans"/>
          <w:lang w:bidi="en-US"/>
        </w:rPr>
        <w:t> </w:t>
      </w:r>
      <w:r w:rsidRPr="00196DC2">
        <w:rPr>
          <w:rFonts w:eastAsia="DejaVu Sans"/>
          <w:lang w:bidi="en-US"/>
        </w:rPr>
        <w:t>2017</w:t>
      </w:r>
      <w:r w:rsidR="00196DC2">
        <w:rPr>
          <w:rFonts w:eastAsia="DejaVu Sans"/>
          <w:lang w:bidi="en-US"/>
        </w:rPr>
        <w:t xml:space="preserve">, </w:t>
      </w:r>
      <w:r w:rsidRPr="00196DC2">
        <w:rPr>
          <w:rFonts w:eastAsia="DejaVu Sans"/>
          <w:lang w:bidi="en-US"/>
        </w:rPr>
        <w:t>www.london.ca/residents/Water/Teacher-Resources/Pages/Water.aspx</w:t>
      </w:r>
      <w:r w:rsidR="00196DC2">
        <w:rPr>
          <w:rFonts w:eastAsia="DejaVu Sans"/>
          <w:lang w:bidi="en-US"/>
        </w:rPr>
        <w:t>.</w:t>
      </w:r>
      <w:r w:rsidR="00747D82" w:rsidRPr="00747D82">
        <w:rPr>
          <w:rFonts w:eastAsia="DejaVu Sans"/>
          <w:lang w:bidi="en-US"/>
        </w:rPr>
        <w:t xml:space="preserve"> </w:t>
      </w:r>
      <w:r w:rsidR="00747D82">
        <w:rPr>
          <w:rFonts w:eastAsia="DejaVu Sans"/>
          <w:lang w:bidi="en-US"/>
        </w:rPr>
        <w:t>Used w</w:t>
      </w:r>
      <w:r w:rsidR="00747D82" w:rsidRPr="00196DC2">
        <w:rPr>
          <w:rFonts w:eastAsia="DejaVu Sans"/>
          <w:lang w:bidi="en-US"/>
        </w:rPr>
        <w:t>ith permission</w:t>
      </w:r>
      <w:r w:rsidR="00747D82">
        <w:rPr>
          <w:rFonts w:eastAsia="DejaVu Sans"/>
          <w:lang w:bidi="en-US"/>
        </w:rPr>
        <w:t>.</w:t>
      </w:r>
    </w:p>
    <w:p w14:paraId="4A99A5D6" w14:textId="77777777" w:rsidR="007D448B" w:rsidRDefault="007D448B">
      <w:pPr>
        <w:spacing w:after="200" w:line="276" w:lineRule="auto"/>
        <w:rPr>
          <w:sz w:val="22"/>
          <w:szCs w:val="22"/>
        </w:rPr>
      </w:pPr>
      <w:r>
        <w:br w:type="page"/>
      </w:r>
    </w:p>
    <w:p w14:paraId="037BE1E8" w14:textId="4C400B5B" w:rsidR="007D448B" w:rsidRDefault="007D448B" w:rsidP="00196DC2">
      <w:pPr>
        <w:pStyle w:val="ExhibitHeading"/>
        <w:rPr>
          <w:rFonts w:eastAsia="Arial"/>
        </w:rPr>
      </w:pPr>
      <w:r w:rsidRPr="007D448B">
        <w:rPr>
          <w:rFonts w:eastAsiaTheme="minorHAnsi" w:cstheme="minorBidi"/>
          <w:szCs w:val="22"/>
        </w:rPr>
        <w:lastRenderedPageBreak/>
        <w:t xml:space="preserve">EXHIBIT </w:t>
      </w:r>
      <w:r w:rsidRPr="007D448B">
        <w:rPr>
          <w:rFonts w:eastAsiaTheme="minorHAnsi" w:cstheme="minorBidi"/>
          <w:spacing w:val="-1"/>
          <w:szCs w:val="22"/>
        </w:rPr>
        <w:t>2:</w:t>
      </w:r>
      <w:r w:rsidRPr="007D448B">
        <w:rPr>
          <w:rFonts w:eastAsiaTheme="minorHAnsi" w:cstheme="minorBidi"/>
          <w:szCs w:val="22"/>
        </w:rPr>
        <w:t xml:space="preserve"> </w:t>
      </w:r>
      <w:r w:rsidR="00AB738A">
        <w:rPr>
          <w:rFonts w:eastAsia="Arial"/>
        </w:rPr>
        <w:t xml:space="preserve">london’s </w:t>
      </w:r>
      <w:r w:rsidRPr="007D448B">
        <w:rPr>
          <w:rFonts w:eastAsia="Arial"/>
        </w:rPr>
        <w:t xml:space="preserve">Water </w:t>
      </w:r>
      <w:r w:rsidR="00AB738A">
        <w:rPr>
          <w:rFonts w:eastAsia="Arial"/>
        </w:rPr>
        <w:t xml:space="preserve">distribution </w:t>
      </w:r>
      <w:r w:rsidRPr="007D448B">
        <w:rPr>
          <w:rFonts w:eastAsia="Arial"/>
        </w:rPr>
        <w:t>Network</w:t>
      </w:r>
    </w:p>
    <w:p w14:paraId="4296289E" w14:textId="77777777" w:rsidR="00452068" w:rsidRPr="007D448B" w:rsidRDefault="00452068" w:rsidP="00A27011">
      <w:pPr>
        <w:pStyle w:val="ExhibitText"/>
        <w:rPr>
          <w:rFonts w:eastAsiaTheme="minorHAnsi"/>
        </w:rPr>
      </w:pPr>
    </w:p>
    <w:p w14:paraId="15A11D1A" w14:textId="77777777" w:rsidR="007D448B" w:rsidRPr="007D448B" w:rsidRDefault="00452068" w:rsidP="00A27011">
      <w:pPr>
        <w:pStyle w:val="ExhibitText"/>
        <w:jc w:val="center"/>
        <w:rPr>
          <w:rFonts w:eastAsia="Arial"/>
        </w:rPr>
      </w:pPr>
      <w:r>
        <w:rPr>
          <w:noProof/>
          <w:lang w:val="en-US"/>
        </w:rPr>
        <mc:AlternateContent>
          <mc:Choice Requires="wpg">
            <w:drawing>
              <wp:inline distT="0" distB="0" distL="0" distR="0" wp14:anchorId="3A65AF5D" wp14:editId="6A054924">
                <wp:extent cx="5884333" cy="2912533"/>
                <wp:effectExtent l="0" t="0" r="8890" b="8890"/>
                <wp:docPr id="26" name="Group 26"/>
                <wp:cNvGraphicFramePr/>
                <a:graphic xmlns:a="http://schemas.openxmlformats.org/drawingml/2006/main">
                  <a:graphicData uri="http://schemas.microsoft.com/office/word/2010/wordprocessingGroup">
                    <wpg:wgp>
                      <wpg:cNvGrpSpPr/>
                      <wpg:grpSpPr>
                        <a:xfrm>
                          <a:off x="0" y="0"/>
                          <a:ext cx="5884333" cy="2912533"/>
                          <a:chOff x="0" y="0"/>
                          <a:chExt cx="5884333" cy="2912533"/>
                        </a:xfrm>
                      </wpg:grpSpPr>
                      <wps:wsp>
                        <wps:cNvPr id="27" name="Oval 27"/>
                        <wps:cNvSpPr/>
                        <wps:spPr>
                          <a:xfrm>
                            <a:off x="0" y="1540933"/>
                            <a:ext cx="914400" cy="1371600"/>
                          </a:xfrm>
                          <a:prstGeom prst="ellipse">
                            <a:avLst/>
                          </a:prstGeom>
                          <a:solidFill>
                            <a:schemeClr val="bg1">
                              <a:lumMod val="65000"/>
                            </a:schemeClr>
                          </a:solidFill>
                          <a:ln w="6350"/>
                        </wps:spPr>
                        <wps:style>
                          <a:lnRef idx="2">
                            <a:schemeClr val="dk1"/>
                          </a:lnRef>
                          <a:fillRef idx="1">
                            <a:schemeClr val="lt1"/>
                          </a:fillRef>
                          <a:effectRef idx="0">
                            <a:schemeClr val="dk1"/>
                          </a:effectRef>
                          <a:fontRef idx="minor">
                            <a:schemeClr val="dk1"/>
                          </a:fontRef>
                        </wps:style>
                        <wps:txbx>
                          <w:txbxContent>
                            <w:p w14:paraId="250A5AE8" w14:textId="77777777" w:rsidR="00F967F3" w:rsidRPr="00F32C9B" w:rsidRDefault="00F967F3" w:rsidP="00452068">
                              <w:pPr>
                                <w:jc w:val="center"/>
                                <w:rPr>
                                  <w:rFonts w:ascii="Arial" w:hAnsi="Arial" w:cs="Arial"/>
                                  <w:color w:val="FFFFFF" w:themeColor="background1"/>
                                </w:rPr>
                              </w:pPr>
                              <w:r w:rsidRPr="00F32C9B">
                                <w:rPr>
                                  <w:rFonts w:ascii="Arial" w:hAnsi="Arial" w:cs="Arial"/>
                                  <w:color w:val="FFFFFF" w:themeColor="background1"/>
                                </w:rPr>
                                <w:t>Lake Erie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flipV="1">
                            <a:off x="3039533" y="1490133"/>
                            <a:ext cx="365760" cy="0"/>
                          </a:xfrm>
                          <a:prstGeom prst="straightConnector1">
                            <a:avLst/>
                          </a:prstGeom>
                          <a:ln w="38100">
                            <a:solidFill>
                              <a:schemeClr val="bg1">
                                <a:lumMod val="6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2235200" y="118533"/>
                            <a:ext cx="914400" cy="2743200"/>
                          </a:xfrm>
                          <a:prstGeom prst="rect">
                            <a:avLst/>
                          </a:prstGeom>
                          <a:solidFill>
                            <a:schemeClr val="bg1">
                              <a:lumMod val="95000"/>
                            </a:schemeClr>
                          </a:solidFill>
                          <a:ln w="6350"/>
                        </wps:spPr>
                        <wps:style>
                          <a:lnRef idx="2">
                            <a:schemeClr val="dk1"/>
                          </a:lnRef>
                          <a:fillRef idx="1">
                            <a:schemeClr val="lt1"/>
                          </a:fillRef>
                          <a:effectRef idx="0">
                            <a:schemeClr val="dk1"/>
                          </a:effectRef>
                          <a:fontRef idx="minor">
                            <a:schemeClr val="dk1"/>
                          </a:fontRef>
                        </wps:style>
                        <wps:txbx>
                          <w:txbxContent>
                            <w:p w14:paraId="67EC7A67" w14:textId="77777777" w:rsidR="00F967F3" w:rsidRPr="00F32C9B" w:rsidRDefault="00F967F3" w:rsidP="00452068">
                              <w:pPr>
                                <w:jc w:val="center"/>
                                <w:rPr>
                                  <w:rFonts w:ascii="Arial" w:hAnsi="Arial" w:cs="Arial"/>
                                </w:rPr>
                              </w:pPr>
                              <w:r>
                                <w:rPr>
                                  <w:rFonts w:ascii="Arial" w:hAnsi="Arial" w:cs="Arial"/>
                                </w:rPr>
                                <w:t>Pumping Stations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888066" y="1490133"/>
                            <a:ext cx="365760" cy="0"/>
                          </a:xfrm>
                          <a:prstGeom prst="straightConnector1">
                            <a:avLst/>
                          </a:prstGeom>
                          <a:ln w="38100">
                            <a:solidFill>
                              <a:schemeClr val="bg1">
                                <a:lumMod val="6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1" name="Oval 31"/>
                        <wps:cNvSpPr/>
                        <wps:spPr>
                          <a:xfrm>
                            <a:off x="0" y="0"/>
                            <a:ext cx="914400" cy="1371600"/>
                          </a:xfrm>
                          <a:prstGeom prst="ellipse">
                            <a:avLst/>
                          </a:prstGeom>
                          <a:solidFill>
                            <a:schemeClr val="bg1">
                              <a:lumMod val="65000"/>
                            </a:schemeClr>
                          </a:solidFill>
                          <a:ln w="6350"/>
                        </wps:spPr>
                        <wps:style>
                          <a:lnRef idx="2">
                            <a:schemeClr val="dk1"/>
                          </a:lnRef>
                          <a:fillRef idx="1">
                            <a:schemeClr val="lt1"/>
                          </a:fillRef>
                          <a:effectRef idx="0">
                            <a:schemeClr val="dk1"/>
                          </a:effectRef>
                          <a:fontRef idx="minor">
                            <a:schemeClr val="dk1"/>
                          </a:fontRef>
                        </wps:style>
                        <wps:txbx>
                          <w:txbxContent>
                            <w:p w14:paraId="60355381" w14:textId="77777777" w:rsidR="00F967F3" w:rsidRPr="00F32C9B" w:rsidRDefault="00F967F3" w:rsidP="00452068">
                              <w:pPr>
                                <w:jc w:val="center"/>
                                <w:rPr>
                                  <w:rFonts w:ascii="Arial" w:hAnsi="Arial" w:cs="Arial"/>
                                  <w:color w:val="FFFFFF" w:themeColor="background1"/>
                                </w:rPr>
                              </w:pPr>
                              <w:r w:rsidRPr="00F32C9B">
                                <w:rPr>
                                  <w:rFonts w:ascii="Arial" w:hAnsi="Arial" w:cs="Arial"/>
                                  <w:color w:val="FFFFFF" w:themeColor="background1"/>
                                </w:rPr>
                                <w:t>Lake Huron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100666" y="118533"/>
                            <a:ext cx="914400" cy="2743200"/>
                          </a:xfrm>
                          <a:prstGeom prst="rect">
                            <a:avLst/>
                          </a:prstGeom>
                          <a:solidFill>
                            <a:schemeClr val="bg1">
                              <a:lumMod val="95000"/>
                            </a:schemeClr>
                          </a:solidFill>
                          <a:ln w="6350"/>
                        </wps:spPr>
                        <wps:style>
                          <a:lnRef idx="2">
                            <a:schemeClr val="dk1"/>
                          </a:lnRef>
                          <a:fillRef idx="1">
                            <a:schemeClr val="lt1"/>
                          </a:fillRef>
                          <a:effectRef idx="0">
                            <a:schemeClr val="dk1"/>
                          </a:effectRef>
                          <a:fontRef idx="minor">
                            <a:schemeClr val="dk1"/>
                          </a:fontRef>
                        </wps:style>
                        <wps:txbx>
                          <w:txbxContent>
                            <w:p w14:paraId="12CEA0AF" w14:textId="77777777" w:rsidR="00F967F3" w:rsidRPr="00F32C9B" w:rsidRDefault="00F967F3" w:rsidP="00452068">
                              <w:pPr>
                                <w:jc w:val="center"/>
                                <w:rPr>
                                  <w:rFonts w:ascii="Arial" w:hAnsi="Arial" w:cs="Arial"/>
                                </w:rPr>
                              </w:pPr>
                              <w:r>
                                <w:rPr>
                                  <w:rFonts w:ascii="Arial" w:hAnsi="Arial" w:cs="Arial"/>
                                </w:rPr>
                                <w:t>Water Treatment Plants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4512733" y="118533"/>
                            <a:ext cx="1371600" cy="685800"/>
                          </a:xfrm>
                          <a:prstGeom prst="rect">
                            <a:avLst/>
                          </a:prstGeom>
                          <a:solidFill>
                            <a:schemeClr val="bg1">
                              <a:lumMod val="95000"/>
                            </a:schemeClr>
                          </a:solidFill>
                          <a:ln w="6350"/>
                        </wps:spPr>
                        <wps:style>
                          <a:lnRef idx="2">
                            <a:schemeClr val="dk1"/>
                          </a:lnRef>
                          <a:fillRef idx="1">
                            <a:schemeClr val="lt1"/>
                          </a:fillRef>
                          <a:effectRef idx="0">
                            <a:schemeClr val="dk1"/>
                          </a:effectRef>
                          <a:fontRef idx="minor">
                            <a:schemeClr val="dk1"/>
                          </a:fontRef>
                        </wps:style>
                        <wps:txbx>
                          <w:txbxContent>
                            <w:p w14:paraId="72D5D9B3" w14:textId="77777777" w:rsidR="00F967F3" w:rsidRPr="00F32C9B" w:rsidRDefault="00F967F3" w:rsidP="00452068">
                              <w:pPr>
                                <w:jc w:val="center"/>
                                <w:rPr>
                                  <w:rFonts w:ascii="Arial" w:hAnsi="Arial" w:cs="Arial"/>
                                </w:rPr>
                              </w:pPr>
                              <w:r>
                                <w:rPr>
                                  <w:rFonts w:ascii="Arial" w:hAnsi="Arial" w:cs="Arial"/>
                                </w:rPr>
                                <w:t>Households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512733" y="2175933"/>
                            <a:ext cx="1371600" cy="685800"/>
                          </a:xfrm>
                          <a:prstGeom prst="rect">
                            <a:avLst/>
                          </a:prstGeom>
                          <a:solidFill>
                            <a:schemeClr val="bg1">
                              <a:lumMod val="95000"/>
                            </a:schemeClr>
                          </a:solidFill>
                          <a:ln w="6350"/>
                        </wps:spPr>
                        <wps:style>
                          <a:lnRef idx="2">
                            <a:schemeClr val="dk1"/>
                          </a:lnRef>
                          <a:fillRef idx="1">
                            <a:schemeClr val="lt1"/>
                          </a:fillRef>
                          <a:effectRef idx="0">
                            <a:schemeClr val="dk1"/>
                          </a:effectRef>
                          <a:fontRef idx="minor">
                            <a:schemeClr val="dk1"/>
                          </a:fontRef>
                        </wps:style>
                        <wps:txbx>
                          <w:txbxContent>
                            <w:p w14:paraId="50301CE4" w14:textId="77777777" w:rsidR="00F967F3" w:rsidRPr="00F32C9B" w:rsidRDefault="00F967F3" w:rsidP="00452068">
                              <w:pPr>
                                <w:jc w:val="center"/>
                                <w:rPr>
                                  <w:rFonts w:ascii="Arial" w:hAnsi="Arial" w:cs="Arial"/>
                                </w:rPr>
                              </w:pPr>
                              <w:r>
                                <w:rPr>
                                  <w:rFonts w:ascii="Arial" w:hAnsi="Arial" w:cs="Arial"/>
                                </w:rPr>
                                <w:t>Public Utilities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4512733" y="1143000"/>
                            <a:ext cx="1371600" cy="685800"/>
                          </a:xfrm>
                          <a:prstGeom prst="rect">
                            <a:avLst/>
                          </a:prstGeom>
                          <a:solidFill>
                            <a:schemeClr val="bg1">
                              <a:lumMod val="95000"/>
                            </a:schemeClr>
                          </a:solidFill>
                          <a:ln w="6350"/>
                        </wps:spPr>
                        <wps:style>
                          <a:lnRef idx="2">
                            <a:schemeClr val="dk1"/>
                          </a:lnRef>
                          <a:fillRef idx="1">
                            <a:schemeClr val="lt1"/>
                          </a:fillRef>
                          <a:effectRef idx="0">
                            <a:schemeClr val="dk1"/>
                          </a:effectRef>
                          <a:fontRef idx="minor">
                            <a:schemeClr val="dk1"/>
                          </a:fontRef>
                        </wps:style>
                        <wps:txbx>
                          <w:txbxContent>
                            <w:p w14:paraId="5705221B" w14:textId="77777777" w:rsidR="00F967F3" w:rsidRPr="00F32C9B" w:rsidRDefault="00F967F3" w:rsidP="00452068">
                              <w:pPr>
                                <w:jc w:val="center"/>
                                <w:rPr>
                                  <w:rFonts w:ascii="Arial" w:hAnsi="Arial" w:cs="Arial"/>
                                </w:rPr>
                              </w:pPr>
                              <w:r>
                                <w:rPr>
                                  <w:rFonts w:ascii="Arial" w:hAnsi="Arial" w:cs="Arial"/>
                                </w:rPr>
                                <w:t>Businesses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897466" y="694267"/>
                            <a:ext cx="365760" cy="274320"/>
                          </a:xfrm>
                          <a:prstGeom prst="straightConnector1">
                            <a:avLst/>
                          </a:prstGeom>
                          <a:ln w="38100">
                            <a:solidFill>
                              <a:schemeClr val="bg1">
                                <a:lumMod val="6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flipV="1">
                            <a:off x="897466" y="1888067"/>
                            <a:ext cx="365760" cy="274320"/>
                          </a:xfrm>
                          <a:prstGeom prst="straightConnector1">
                            <a:avLst/>
                          </a:prstGeom>
                          <a:ln w="38100">
                            <a:solidFill>
                              <a:schemeClr val="bg1">
                                <a:lumMod val="6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4241800" y="1507067"/>
                            <a:ext cx="457200" cy="0"/>
                          </a:xfrm>
                          <a:prstGeom prst="straightConnector1">
                            <a:avLst/>
                          </a:prstGeom>
                          <a:ln w="38100">
                            <a:solidFill>
                              <a:schemeClr val="bg1">
                                <a:lumMod val="6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wps:spPr>
                          <a:xfrm>
                            <a:off x="4241800" y="2548467"/>
                            <a:ext cx="457200" cy="0"/>
                          </a:xfrm>
                          <a:prstGeom prst="straightConnector1">
                            <a:avLst/>
                          </a:prstGeom>
                          <a:ln w="38100">
                            <a:solidFill>
                              <a:schemeClr val="bg1">
                                <a:lumMod val="6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wps:spPr>
                          <a:xfrm flipV="1">
                            <a:off x="4241800" y="508000"/>
                            <a:ext cx="457200" cy="0"/>
                          </a:xfrm>
                          <a:prstGeom prst="straightConnector1">
                            <a:avLst/>
                          </a:prstGeom>
                          <a:ln w="38100">
                            <a:solidFill>
                              <a:schemeClr val="bg1">
                                <a:lumMod val="6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3378200" y="118533"/>
                            <a:ext cx="914400" cy="2743200"/>
                          </a:xfrm>
                          <a:prstGeom prst="rect">
                            <a:avLst/>
                          </a:prstGeom>
                          <a:solidFill>
                            <a:schemeClr val="bg1">
                              <a:lumMod val="75000"/>
                            </a:schemeClr>
                          </a:solidFill>
                          <a:ln w="6350"/>
                        </wps:spPr>
                        <wps:style>
                          <a:lnRef idx="2">
                            <a:schemeClr val="dk1"/>
                          </a:lnRef>
                          <a:fillRef idx="1">
                            <a:schemeClr val="lt1"/>
                          </a:fillRef>
                          <a:effectRef idx="0">
                            <a:schemeClr val="dk1"/>
                          </a:effectRef>
                          <a:fontRef idx="minor">
                            <a:schemeClr val="dk1"/>
                          </a:fontRef>
                        </wps:style>
                        <wps:txbx>
                          <w:txbxContent>
                            <w:p w14:paraId="7142889D" w14:textId="77777777" w:rsidR="00F967F3" w:rsidRPr="00F32C9B" w:rsidRDefault="00F967F3" w:rsidP="00452068">
                              <w:pPr>
                                <w:jc w:val="center"/>
                                <w:rPr>
                                  <w:rFonts w:ascii="Arial" w:hAnsi="Arial" w:cs="Arial"/>
                                </w:rPr>
                              </w:pPr>
                              <w:r>
                                <w:rPr>
                                  <w:rFonts w:ascii="Arial" w:hAnsi="Arial" w:cs="Arial"/>
                                </w:rPr>
                                <w:t>Reservoirs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A65AF5D" id="Group 26" o:spid="_x0000_s1026" style="width:463.35pt;height:229.35pt;mso-position-horizontal-relative:char;mso-position-vertical-relative:line" coordsize="58843,2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">
                <v:oval id="Oval 27" o:spid="_x0000_s1027" style="position:absolute;top:15409;width:9144;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Z85sUA&#10;AADbAAAADwAAAGRycy9kb3ducmV2LnhtbESPzW7CMBCE70i8g7WVegOnHApKMQioLKWHIhH6AJt4&#10;m5/G6zR2IX17XKkSx9HMfKNZb0fbiQsNvnGs4GmegCAunWm4UvBx1rMVCB+QDXaOScEvedhuppM1&#10;psZd+USXPFQiQtinqKAOoU+l9GVNFv3c9cTR+3SDxRDlUEkz4DXCbScXSfIsLTYcF2rs6VBT+ZX/&#10;WAVBF+/tvj3q7yzXOiuWr0Xz1ir1+DDuXkAEGsM9/N/OjILFEv6+x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nzmxQAAANsAAAAPAAAAAAAAAAAAAAAAAJgCAABkcnMv&#10;ZG93bnJldi54bWxQSwUGAAAAAAQABAD1AAAAigMAAAAA&#10;" fillcolor="#a5a5a5 [2092]" strokecolor="black [3200]" strokeweight=".5pt">
                  <v:textbox>
                    <w:txbxContent>
                      <w:p w14:paraId="250A5AE8" w14:textId="77777777" w:rsidR="00F967F3" w:rsidRPr="00F32C9B" w:rsidRDefault="00F967F3" w:rsidP="00452068">
                        <w:pPr>
                          <w:jc w:val="center"/>
                          <w:rPr>
                            <w:rFonts w:ascii="Arial" w:hAnsi="Arial" w:cs="Arial"/>
                            <w:color w:val="FFFFFF" w:themeColor="background1"/>
                          </w:rPr>
                        </w:pPr>
                        <w:r w:rsidRPr="00F32C9B">
                          <w:rPr>
                            <w:rFonts w:ascii="Arial" w:hAnsi="Arial" w:cs="Arial"/>
                            <w:color w:val="FFFFFF" w:themeColor="background1"/>
                          </w:rPr>
                          <w:t>Lake Erie</w:t>
                        </w:r>
                      </w:p>
                    </w:txbxContent>
                  </v:textbox>
                </v:oval>
                <v:shapetype id="_x0000_t32" coordsize="21600,21600" o:spt="32" o:oned="t" path="m,l21600,21600e" filled="f">
                  <v:path arrowok="t" fillok="f" o:connecttype="none"/>
                  <o:lock v:ext="edit" shapetype="t"/>
                </v:shapetype>
                <v:shape id="Straight Arrow Connector 28" o:spid="_x0000_s1028" type="#_x0000_t32" style="position:absolute;left:30395;top:14901;width:365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ReqcMAAADbAAAADwAAAGRycy9kb3ducmV2LnhtbERPz2vCMBS+C/4P4Qm7aarIJrWpDOvY&#10;GOxg1YO3t+atKWteSpPZ7r9fDgOPH9/vbDfaVtyo941jBctFAoK4crrhWsH59DLfgPABWWPrmBT8&#10;koddPp1kmGo38JFuZahFDGGfogITQpdK6StDFv3CdcSR+3K9xRBhX0vd4xDDbStXSfIoLTYcGwx2&#10;tDdUfZc/VsGl+DwNRg/v68NTcl2/HoqP5lgo9TAbn7cgAo3hLv53v2kFqzg2fok/QO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kXqnDAAAA2wAAAA8AAAAAAAAAAAAA&#10;AAAAoQIAAGRycy9kb3ducmV2LnhtbFBLBQYAAAAABAAEAPkAAACRAwAAAAA=&#10;" strokecolor="#a5a5a5 [2092]" strokeweight="3pt">
                  <v:stroke endarrow="block"/>
                </v:shape>
                <v:rect id="Rectangle 29" o:spid="_x0000_s1029" style="position:absolute;left:22352;top:1185;width:9144;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YnFcMA&#10;AADbAAAADwAAAGRycy9kb3ducmV2LnhtbESPzYrCMBSF9wO+Q7iCO01tQZxqFBUEmYUwjgvdXZpr&#10;W21uShNrx6c3wsAsD+fn48yXnalES40rLSsYjyIQxJnVJecKjj/b4RSE88gaK8uk4JccLBe9jzmm&#10;2j74m9qDz0UYYZeigsL7OpXSZQUZdCNbEwfvYhuDPsgml7rBRxg3lYyjaCINlhwIBda0KSi7He5G&#10;QbI5H5M8+WrXt/Pl9AY/r/FeqUG/W81AeOr8f/ivvdMK4k9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YnFcMAAADbAAAADwAAAAAAAAAAAAAAAACYAgAAZHJzL2Rv&#10;d25yZXYueG1sUEsFBgAAAAAEAAQA9QAAAIgDAAAAAA==&#10;" fillcolor="#f2f2f2 [3052]" strokecolor="black [3200]" strokeweight=".5pt">
                  <v:textbox>
                    <w:txbxContent>
                      <w:p w14:paraId="67EC7A67" w14:textId="77777777" w:rsidR="00F967F3" w:rsidRPr="00F32C9B" w:rsidRDefault="00F967F3" w:rsidP="00452068">
                        <w:pPr>
                          <w:jc w:val="center"/>
                          <w:rPr>
                            <w:rFonts w:ascii="Arial" w:hAnsi="Arial" w:cs="Arial"/>
                          </w:rPr>
                        </w:pPr>
                        <w:r>
                          <w:rPr>
                            <w:rFonts w:ascii="Arial" w:hAnsi="Arial" w:cs="Arial"/>
                          </w:rPr>
                          <w:t>Pumping Stations</w:t>
                        </w:r>
                      </w:p>
                    </w:txbxContent>
                  </v:textbox>
                </v:rect>
                <v:shape id="Straight Arrow Connector 30" o:spid="_x0000_s1030" type="#_x0000_t32" style="position:absolute;left:18880;top:14901;width:365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vEcsMAAADbAAAADwAAAGRycy9kb3ducmV2LnhtbERPy2rCQBTdC/2H4Ra604mttJJmIqWx&#10;KIUufC3c3WaumdDMnZCZmvj3zkJweTjvbDHYRpyp87VjBdNJAoK4dLrmSsF+9zWeg/ABWWPjmBRc&#10;yMMifxhlmGrX84bO21CJGMI+RQUmhDaV0peGLPqJa4kjd3KdxRBhV0ndYR/DbSOfk+RVWqw5Nhhs&#10;6dNQ+bf9twoOxe+uN7r/ni3fkuNstSx+6k2h1NPj8PEOItAQ7uKbe60VvMT18Uv8A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LxHLDAAAA2wAAAA8AAAAAAAAAAAAA&#10;AAAAoQIAAGRycy9kb3ducmV2LnhtbFBLBQYAAAAABAAEAPkAAACRAwAAAAA=&#10;" strokecolor="#a5a5a5 [2092]" strokeweight="3pt">
                  <v:stroke endarrow="block"/>
                </v:shape>
                <v:oval id="Oval 31" o:spid="_x0000_s1031" style="position:absolute;width:9144;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X1MUA&#10;AADbAAAADwAAAGRycy9kb3ducmV2LnhtbESPzWrDMBCE74W8g9hAb42cBtriRAn5QeAeWqiTB1hb&#10;G//EWrmWmrhvXxUKPQ4z8w2z2oy2E1cafONYwXyWgCAunWm4UnA66ocXED4gG+wck4Jv8rBZT+5W&#10;mBp34w+65qESEcI+RQV1CH0qpS9rsuhnrieO3tkNFkOUQyXNgLcIt518TJInabHhuFBjT/uaykv+&#10;ZRUEXby1u/Zdf2a51lnxfCia11ap++m4XYIINIb/8F87MwoWc/j9En+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StfUxQAAANsAAAAPAAAAAAAAAAAAAAAAAJgCAABkcnMv&#10;ZG93bnJldi54bWxQSwUGAAAAAAQABAD1AAAAigMAAAAA&#10;" fillcolor="#a5a5a5 [2092]" strokecolor="black [3200]" strokeweight=".5pt">
                  <v:textbox>
                    <w:txbxContent>
                      <w:p w14:paraId="60355381" w14:textId="77777777" w:rsidR="00F967F3" w:rsidRPr="00F32C9B" w:rsidRDefault="00F967F3" w:rsidP="00452068">
                        <w:pPr>
                          <w:jc w:val="center"/>
                          <w:rPr>
                            <w:rFonts w:ascii="Arial" w:hAnsi="Arial" w:cs="Arial"/>
                            <w:color w:val="FFFFFF" w:themeColor="background1"/>
                          </w:rPr>
                        </w:pPr>
                        <w:r w:rsidRPr="00F32C9B">
                          <w:rPr>
                            <w:rFonts w:ascii="Arial" w:hAnsi="Arial" w:cs="Arial"/>
                            <w:color w:val="FFFFFF" w:themeColor="background1"/>
                          </w:rPr>
                          <w:t>Lake Huron</w:t>
                        </w:r>
                      </w:p>
                    </w:txbxContent>
                  </v:textbox>
                </v:oval>
                <v:rect id="Rectangle 32" o:spid="_x0000_s1032" style="position:absolute;left:11006;top:1185;width:9144;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ucMA&#10;AADbAAAADwAAAGRycy9kb3ducmV2LnhtbESPQYvCMBSE74L/ITzBm6a2sCzVKCoI4mFh3R709mie&#10;bbV5KU2sXX+9ERb2OMx8M8xi1ZtadNS6yrKC2TQCQZxbXXGhIPvZTT5BOI+ssbZMCn7JwWo5HCww&#10;1fbB39QdfSFCCbsUFZTeN6mULi/JoJvahjh4F9sa9EG2hdQtPkK5qWUcRR/SYMVhocSGtiXlt+Pd&#10;KEi25ywpkkO3uZ0vp/fw8xp/KTUe9es5CE+9/w//0XsduBj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jucMAAADbAAAADwAAAAAAAAAAAAAAAACYAgAAZHJzL2Rv&#10;d25yZXYueG1sUEsFBgAAAAAEAAQA9QAAAIgDAAAAAA==&#10;" fillcolor="#f2f2f2 [3052]" strokecolor="black [3200]" strokeweight=".5pt">
                  <v:textbox>
                    <w:txbxContent>
                      <w:p w14:paraId="12CEA0AF" w14:textId="77777777" w:rsidR="00F967F3" w:rsidRPr="00F32C9B" w:rsidRDefault="00F967F3" w:rsidP="00452068">
                        <w:pPr>
                          <w:jc w:val="center"/>
                          <w:rPr>
                            <w:rFonts w:ascii="Arial" w:hAnsi="Arial" w:cs="Arial"/>
                          </w:rPr>
                        </w:pPr>
                        <w:r>
                          <w:rPr>
                            <w:rFonts w:ascii="Arial" w:hAnsi="Arial" w:cs="Arial"/>
                          </w:rPr>
                          <w:t>Water Treatment Plants</w:t>
                        </w:r>
                      </w:p>
                    </w:txbxContent>
                  </v:textbox>
                </v:rect>
                <v:rect id="Rectangle 33" o:spid="_x0000_s1033" style="position:absolute;left:45127;top:1185;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eGIsMA&#10;AADbAAAADwAAAGRycy9kb3ducmV2LnhtbESPQWvCQBSE74L/YXlCb7oxASmpq7QBQXooaD3o7ZF9&#10;JqnZtyG7Jml/fTcgeBxmvhlmvR1MLTpqXWVZwXIRgSDOra64UHD63s1fQTiPrLG2TAp+ycF2M52s&#10;MdW25wN1R1+IUMIuRQWl900qpctLMugWtiEO3tW2Bn2QbSF1i30oN7WMo2glDVYcFkpsKCspvx3v&#10;RkGSXU5JkXx2H7fL9TwO//3EX0q9zIb3NxCeBv8MP+i9DlwC45fw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eGIsMAAADbAAAADwAAAAAAAAAAAAAAAACYAgAAZHJzL2Rv&#10;d25yZXYueG1sUEsFBgAAAAAEAAQA9QAAAIgDAAAAAA==&#10;" fillcolor="#f2f2f2 [3052]" strokecolor="black [3200]" strokeweight=".5pt">
                  <v:textbox>
                    <w:txbxContent>
                      <w:p w14:paraId="72D5D9B3" w14:textId="77777777" w:rsidR="00F967F3" w:rsidRPr="00F32C9B" w:rsidRDefault="00F967F3" w:rsidP="00452068">
                        <w:pPr>
                          <w:jc w:val="center"/>
                          <w:rPr>
                            <w:rFonts w:ascii="Arial" w:hAnsi="Arial" w:cs="Arial"/>
                          </w:rPr>
                        </w:pPr>
                        <w:r>
                          <w:rPr>
                            <w:rFonts w:ascii="Arial" w:hAnsi="Arial" w:cs="Arial"/>
                          </w:rPr>
                          <w:t>Households</w:t>
                        </w:r>
                      </w:p>
                    </w:txbxContent>
                  </v:textbox>
                </v:rect>
                <v:rect id="Rectangle 34" o:spid="_x0000_s1034" style="position:absolute;left:45127;top:21759;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4eVsQA&#10;AADbAAAADwAAAGRycy9kb3ducmV2LnhtbESPQWvCQBSE7wX/w/IEb81GU0qJrqJCQTwUmnowt0f2&#10;mUSzb0N2G2N/fTdQ6HGY+WaY1WYwjeipc7VlBfMoBkFcWF1zqeD09f78BsJ5ZI2NZVLwIAeb9eRp&#10;ham2d/6kPvOlCCXsUlRQed+mUrqiIoMusi1x8C62M+iD7EqpO7yHctPIRRy/SoM1h4UKW9pXVNyy&#10;b6Mg2eenpEyO/e6WX87j8M918aHUbDpslyA8Df4//EcfdOBeY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eHlbEAAAA2wAAAA8AAAAAAAAAAAAAAAAAmAIAAGRycy9k&#10;b3ducmV2LnhtbFBLBQYAAAAABAAEAPUAAACJAwAAAAA=&#10;" fillcolor="#f2f2f2 [3052]" strokecolor="black [3200]" strokeweight=".5pt">
                  <v:textbox>
                    <w:txbxContent>
                      <w:p w14:paraId="50301CE4" w14:textId="77777777" w:rsidR="00F967F3" w:rsidRPr="00F32C9B" w:rsidRDefault="00F967F3" w:rsidP="00452068">
                        <w:pPr>
                          <w:jc w:val="center"/>
                          <w:rPr>
                            <w:rFonts w:ascii="Arial" w:hAnsi="Arial" w:cs="Arial"/>
                          </w:rPr>
                        </w:pPr>
                        <w:r>
                          <w:rPr>
                            <w:rFonts w:ascii="Arial" w:hAnsi="Arial" w:cs="Arial"/>
                          </w:rPr>
                          <w:t>Public Utilities</w:t>
                        </w:r>
                      </w:p>
                    </w:txbxContent>
                  </v:textbox>
                </v:rect>
                <v:rect id="Rectangle 35" o:spid="_x0000_s1035" style="position:absolute;left:45127;top:11430;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7zcQA&#10;AADbAAAADwAAAGRycy9kb3ducmV2LnhtbESPQWvCQBSE7wX/w/IEb81GQ0uJrqJCQTwUmnowt0f2&#10;mUSzb0N2G2N/fTdQ6HGY+WaY1WYwjeipc7VlBfMoBkFcWF1zqeD09f78BsJ5ZI2NZVLwIAeb9eRp&#10;ham2d/6kPvOlCCXsUlRQed+mUrqiIoMusi1x8C62M+iD7EqpO7yHctPIRRy/SoM1h4UKW9pXVNyy&#10;b6Mg2eenpEyO/e6WX87j8M918aHUbDpslyA8Df4//EcfdOBeY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u83EAAAA2wAAAA8AAAAAAAAAAAAAAAAAmAIAAGRycy9k&#10;b3ducmV2LnhtbFBLBQYAAAAABAAEAPUAAACJAwAAAAA=&#10;" fillcolor="#f2f2f2 [3052]" strokecolor="black [3200]" strokeweight=".5pt">
                  <v:textbox>
                    <w:txbxContent>
                      <w:p w14:paraId="5705221B" w14:textId="77777777" w:rsidR="00F967F3" w:rsidRPr="00F32C9B" w:rsidRDefault="00F967F3" w:rsidP="00452068">
                        <w:pPr>
                          <w:jc w:val="center"/>
                          <w:rPr>
                            <w:rFonts w:ascii="Arial" w:hAnsi="Arial" w:cs="Arial"/>
                          </w:rPr>
                        </w:pPr>
                        <w:r>
                          <w:rPr>
                            <w:rFonts w:ascii="Arial" w:hAnsi="Arial" w:cs="Arial"/>
                          </w:rPr>
                          <w:t>Businesses</w:t>
                        </w:r>
                      </w:p>
                    </w:txbxContent>
                  </v:textbox>
                </v:rect>
                <v:shape id="Straight Arrow Connector 36" o:spid="_x0000_s1036" type="#_x0000_t32" style="position:absolute;left:8974;top:6942;width:3658;height:27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kXbMMAAADbAAAADwAAAGRycy9kb3ducmV2LnhtbESPQWvCQBSE7wX/w/KEXkp9MQWR1FVK&#10;scVLD1Uv3h7ZZxKbfZvubmP8925B8DjMzDfMYjXYVvXsQ+NEw3SSgWIpnWmk0rDffTzPQYVIYqh1&#10;whouHGC1HD0sqDDuLN/cb2OlEkRCQRrqGLsCMZQ1WwoT17Ek7+i8pZikr9B4Oie4bTHPshlaaiQt&#10;1NTxe83lz/bPasADncLafj395vJ5ybMeg7eo9eN4eHsFFXmI9/CtvTEaXmbw/yX9AFx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5F2zDAAAA2wAAAA8AAAAAAAAAAAAA&#10;AAAAoQIAAGRycy9kb3ducmV2LnhtbFBLBQYAAAAABAAEAPkAAACRAwAAAAA=&#10;" strokecolor="#a5a5a5 [2092]" strokeweight="3pt">
                  <v:stroke endarrow="block"/>
                </v:shape>
                <v:shape id="Straight Arrow Connector 37" o:spid="_x0000_s1037" type="#_x0000_t32" style="position:absolute;left:8974;top:18880;width:3658;height:27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JcBsYAAADbAAAADwAAAGRycy9kb3ducmV2LnhtbESPT2vCQBTE70K/w/IK3nRTlSqpqxSj&#10;VAoe/Hfw9pp9zYZm34bsatJv7xYKHoeZ+Q0zX3a2EjdqfOlYwcswAUGcO11yoeB03AxmIHxA1lg5&#10;JgW/5GG5eOrNMdWu5T3dDqEQEcI+RQUmhDqV0ueGLPqhq4mj9+0aiyHKppC6wTbCbSVHSfIqLZYc&#10;FwzWtDKU/xyuVsE5+zq2Rrefk/U0uUw+1tmu3GdK9Z+79zcQgbrwCP+3t1rBeAp/X+IP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1iXAbGAAAA2wAAAA8AAAAAAAAA&#10;AAAAAAAAoQIAAGRycy9kb3ducmV2LnhtbFBLBQYAAAAABAAEAPkAAACUAwAAAAA=&#10;" strokecolor="#a5a5a5 [2092]" strokeweight="3pt">
                  <v:stroke endarrow="block"/>
                </v:shape>
                <v:shape id="Straight Arrow Connector 38" o:spid="_x0000_s1038" type="#_x0000_t32" style="position:absolute;left:42418;top:1507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omhcAAAADbAAAADwAAAGRycy9kb3ducmV2LnhtbERPS2vCQBC+C/6HZYRepE6aQpHUVUTa&#10;4qUHHxdvQ3aapGZn4+42xn/vHoQeP773YjXYVvXsQ+NEw8ssA8VSOtNIpeF4+HyegwqRxFDrhDXc&#10;OMBqOR4tqDDuKjvu97FSKURCQRrqGLsCMZQ1Wwoz17Ek7sd5SzFBX6HxdE3htsU8y97QUiOpoaaO&#10;NzWX5/2f1YAn+g0f9nt6yeXrlmc9Bm9R66fJsH4HFXmI/+KHe2s0vKax6Uv6Abi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qJoXAAAAA2wAAAA8AAAAAAAAAAAAAAAAA&#10;oQIAAGRycy9kb3ducmV2LnhtbFBLBQYAAAAABAAEAPkAAACOAwAAAAA=&#10;" strokecolor="#a5a5a5 [2092]" strokeweight="3pt">
                  <v:stroke endarrow="block"/>
                </v:shape>
                <v:shape id="Straight Arrow Connector 39" o:spid="_x0000_s1039" type="#_x0000_t32" style="position:absolute;left:42418;top:254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DHsMAAADbAAAADwAAAGRycy9kb3ducmV2LnhtbESPQWvCQBSE7wX/w/KEXoq+NIWi0VWk&#10;1NJLD7VevD2yzySafZvurjH++26h0OMwM98wy/VgW9WzD40TDY/TDBRL6UwjlYb913YyAxUiiaHW&#10;CWu4cYD1anS3pMK4q3xyv4uVShAJBWmoY+wKxFDWbClMXceSvKPzlmKSvkLj6ZrgtsU8y57RUiNp&#10;oaaOX2ouz7uL1YAHOoVX+/HwncvbLc96DN6i1vfjYbMAFXmI/+G/9rvR8DSH3y/pB+D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gx7DAAAA2wAAAA8AAAAAAAAAAAAA&#10;AAAAoQIAAGRycy9kb3ducmV2LnhtbFBLBQYAAAAABAAEAPkAAACRAwAAAAA=&#10;" strokecolor="#a5a5a5 [2092]" strokeweight="3pt">
                  <v:stroke endarrow="block"/>
                </v:shape>
                <v:shape id="Straight Arrow Connector 40" o:spid="_x0000_s1040" type="#_x0000_t32" style="position:absolute;left:42418;top:5080;width:457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23D8IAAADbAAAADwAAAGRycy9kb3ducmV2LnhtbERPy2rCQBTdF/yH4Qrd1UkltBIdpRhL&#10;i9CFr4W7a+aaCWbuhMzUxL93FoLLw3nPFr2txZVaXzlW8D5KQBAXTldcKtjvvt8mIHxA1lg7JgU3&#10;8rCYD15mmGnX8Yau21CKGMI+QwUmhCaT0heGLPqRa4gjd3atxRBhW0rdYhfDbS3HSfIhLVYcGww2&#10;tDRUXLb/VsEhP+06o7t1uvpMjunPKv+rNrlSr8P+awoiUB+e4of7VytI4/r4Jf4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23D8IAAADbAAAADwAAAAAAAAAAAAAA&#10;AAChAgAAZHJzL2Rvd25yZXYueG1sUEsFBgAAAAAEAAQA+QAAAJADAAAAAA==&#10;" strokecolor="#a5a5a5 [2092]" strokeweight="3pt">
                  <v:stroke endarrow="block"/>
                </v:shape>
                <v:rect id="Rectangle 41" o:spid="_x0000_s1041" style="position:absolute;left:33782;top:1185;width:9144;height:27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qm1MYA&#10;AADbAAAADwAAAGRycy9kb3ducmV2LnhtbESPQWvCQBSE74X+h+UVeim6SStFo6uEQku8WSuKt0f2&#10;mQSzb5fsNqb++m5B6HGYmW+YxWowreip841lBek4AUFcWt1wpWD39T6agvABWWNrmRT8kIfV8v5u&#10;gZm2F/6kfhsqESHsM1RQh+AyKX1Zk0E/to44eifbGQxRdpXUHV4i3LTyOUlepcGG40KNjt5qKs/b&#10;b6OgP8w+ro73eV6s0836yU1ersdCqceHIZ+DCDSE//CtXWgFkxT+vs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qm1MYAAADbAAAADwAAAAAAAAAAAAAAAACYAgAAZHJz&#10;L2Rvd25yZXYueG1sUEsFBgAAAAAEAAQA9QAAAIsDAAAAAA==&#10;" fillcolor="#bfbfbf [2412]" strokecolor="black [3200]" strokeweight=".5pt">
                  <v:textbox>
                    <w:txbxContent>
                      <w:p w14:paraId="7142889D" w14:textId="77777777" w:rsidR="00F967F3" w:rsidRPr="00F32C9B" w:rsidRDefault="00F967F3" w:rsidP="00452068">
                        <w:pPr>
                          <w:jc w:val="center"/>
                          <w:rPr>
                            <w:rFonts w:ascii="Arial" w:hAnsi="Arial" w:cs="Arial"/>
                          </w:rPr>
                        </w:pPr>
                        <w:r>
                          <w:rPr>
                            <w:rFonts w:ascii="Arial" w:hAnsi="Arial" w:cs="Arial"/>
                          </w:rPr>
                          <w:t>Reservoirs</w:t>
                        </w:r>
                      </w:p>
                    </w:txbxContent>
                  </v:textbox>
                </v:rect>
                <w10:anchorlock/>
              </v:group>
            </w:pict>
          </mc:Fallback>
        </mc:AlternateContent>
      </w:r>
    </w:p>
    <w:p w14:paraId="60E630E8" w14:textId="67E2525F" w:rsidR="007D448B" w:rsidRPr="007D448B" w:rsidRDefault="007D448B" w:rsidP="00A27011">
      <w:pPr>
        <w:pStyle w:val="ExhibitText"/>
        <w:jc w:val="center"/>
        <w:rPr>
          <w:rFonts w:eastAsia="Arial"/>
        </w:rPr>
      </w:pPr>
    </w:p>
    <w:p w14:paraId="79EF128A" w14:textId="77777777" w:rsidR="007D448B" w:rsidRPr="007D448B" w:rsidRDefault="007D448B" w:rsidP="00A27011">
      <w:pPr>
        <w:pStyle w:val="ExhibitText"/>
        <w:rPr>
          <w:rFonts w:eastAsia="Arial"/>
        </w:rPr>
      </w:pPr>
    </w:p>
    <w:p w14:paraId="63A7254D" w14:textId="7415230F" w:rsidR="007D448B" w:rsidRPr="00196DC2" w:rsidRDefault="007D448B" w:rsidP="005974D3">
      <w:pPr>
        <w:pStyle w:val="Footnote"/>
        <w:jc w:val="both"/>
        <w:rPr>
          <w:rFonts w:eastAsia="Arial"/>
        </w:rPr>
      </w:pPr>
      <w:r w:rsidRPr="00196DC2">
        <w:rPr>
          <w:rFonts w:eastAsia="Arial"/>
        </w:rPr>
        <w:t xml:space="preserve">Source: Created by </w:t>
      </w:r>
      <w:r w:rsidR="00747D82">
        <w:rPr>
          <w:rFonts w:eastAsia="Arial"/>
        </w:rPr>
        <w:t xml:space="preserve">the </w:t>
      </w:r>
      <w:r w:rsidRPr="00196DC2">
        <w:rPr>
          <w:rFonts w:eastAsia="Arial"/>
        </w:rPr>
        <w:t xml:space="preserve">case writer based on </w:t>
      </w:r>
      <w:r w:rsidRPr="00A27011">
        <w:rPr>
          <w:i/>
        </w:rPr>
        <w:t>London’s Water Supply System</w:t>
      </w:r>
      <w:r w:rsidR="00747D82" w:rsidRPr="00A27011">
        <w:rPr>
          <w:i/>
        </w:rPr>
        <w:t>: Teacher Resource Notes</w:t>
      </w:r>
      <w:r w:rsidRPr="00196DC2">
        <w:t xml:space="preserve">, </w:t>
      </w:r>
      <w:r w:rsidR="00B71929">
        <w:t xml:space="preserve">City of </w:t>
      </w:r>
      <w:r w:rsidR="00B71929" w:rsidRPr="000E2BB8">
        <w:t>London</w:t>
      </w:r>
      <w:r w:rsidR="00B71929">
        <w:t>,</w:t>
      </w:r>
      <w:r w:rsidR="00055E0C">
        <w:t xml:space="preserve"> Canada, accessed September 17, </w:t>
      </w:r>
      <w:r w:rsidRPr="00196DC2">
        <w:t>2018</w:t>
      </w:r>
      <w:r w:rsidR="00747D82">
        <w:t>,</w:t>
      </w:r>
      <w:r w:rsidR="00055E0C">
        <w:t> </w:t>
      </w:r>
      <w:r w:rsidR="00055E0C" w:rsidRPr="00055E0C">
        <w:t>www.london.ca/residents/Water/Teacher-</w:t>
      </w:r>
      <w:r w:rsidR="00055E0C">
        <w:t xml:space="preserve">Resources/Documents/Water/London%2 </w:t>
      </w:r>
      <w:r w:rsidR="00550137" w:rsidRPr="005974D3">
        <w:t>7s%20Water%20Supply%20System%20-%20Teacher%20Notes.pdf</w:t>
      </w:r>
      <w:r w:rsidRPr="00196DC2">
        <w:rPr>
          <w:rFonts w:eastAsia="Arial"/>
        </w:rPr>
        <w:t>.</w:t>
      </w:r>
    </w:p>
    <w:p w14:paraId="1E4EEDD7" w14:textId="77777777" w:rsidR="007D448B" w:rsidRPr="007D448B" w:rsidRDefault="007D448B" w:rsidP="00A27011">
      <w:pPr>
        <w:pStyle w:val="ExhibitText"/>
        <w:rPr>
          <w:rFonts w:eastAsia="Arial"/>
        </w:rPr>
      </w:pPr>
    </w:p>
    <w:p w14:paraId="5507160A" w14:textId="209574FC" w:rsidR="007D448B" w:rsidRDefault="007D448B">
      <w:pPr>
        <w:spacing w:after="200" w:line="276" w:lineRule="auto"/>
        <w:rPr>
          <w:sz w:val="22"/>
          <w:szCs w:val="22"/>
        </w:rPr>
      </w:pPr>
      <w:r>
        <w:br w:type="page"/>
      </w:r>
    </w:p>
    <w:p w14:paraId="0BE55BAC" w14:textId="77777777" w:rsidR="007D448B" w:rsidRPr="007D448B" w:rsidRDefault="007D448B" w:rsidP="00196DC2">
      <w:pPr>
        <w:pStyle w:val="ExhibitHeading"/>
        <w:rPr>
          <w:rFonts w:asciiTheme="minorHAnsi" w:eastAsiaTheme="minorHAnsi" w:hAnsiTheme="minorHAnsi"/>
          <w:sz w:val="22"/>
        </w:rPr>
      </w:pPr>
      <w:r w:rsidRPr="007D448B">
        <w:rPr>
          <w:rFonts w:eastAsiaTheme="minorHAnsi"/>
        </w:rPr>
        <w:lastRenderedPageBreak/>
        <w:t>EXHIBIT</w:t>
      </w:r>
      <w:r w:rsidRPr="007D448B">
        <w:rPr>
          <w:rFonts w:eastAsiaTheme="minorHAnsi"/>
          <w:spacing w:val="-5"/>
        </w:rPr>
        <w:t xml:space="preserve"> </w:t>
      </w:r>
      <w:r w:rsidRPr="007D448B">
        <w:rPr>
          <w:rFonts w:eastAsiaTheme="minorHAnsi"/>
          <w:spacing w:val="-1"/>
        </w:rPr>
        <w:t>3:</w:t>
      </w:r>
      <w:r w:rsidRPr="007D448B">
        <w:rPr>
          <w:rFonts w:eastAsiaTheme="minorHAnsi"/>
        </w:rPr>
        <w:t xml:space="preserve"> The City of London Water System</w:t>
      </w:r>
    </w:p>
    <w:p w14:paraId="78FA8762" w14:textId="127AA3D6" w:rsidR="007D448B" w:rsidRDefault="007D448B" w:rsidP="00196DC2">
      <w:pPr>
        <w:pStyle w:val="ExhibitText"/>
      </w:pPr>
    </w:p>
    <w:p w14:paraId="05EC0D61" w14:textId="0A9144D7" w:rsidR="00E0630F" w:rsidRDefault="00DA4D2A" w:rsidP="00A27011">
      <w:pPr>
        <w:pStyle w:val="ExhibitText"/>
        <w:jc w:val="center"/>
      </w:pPr>
      <w:r>
        <w:rPr>
          <w:noProof/>
          <w:lang w:val="en-US"/>
        </w:rPr>
        <w:drawing>
          <wp:inline distT="0" distB="0" distL="0" distR="0" wp14:anchorId="020AA0C9" wp14:editId="258E781E">
            <wp:extent cx="5080000" cy="5969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Exhibit 3-bw.png"/>
                    <pic:cNvPicPr/>
                  </pic:nvPicPr>
                  <pic:blipFill>
                    <a:blip r:embed="rId13">
                      <a:extLst>
                        <a:ext uri="{28A0092B-C50C-407E-A947-70E740481C1C}">
                          <a14:useLocalDpi xmlns:a14="http://schemas.microsoft.com/office/drawing/2010/main" val="0"/>
                        </a:ext>
                      </a:extLst>
                    </a:blip>
                    <a:stretch>
                      <a:fillRect/>
                    </a:stretch>
                  </pic:blipFill>
                  <pic:spPr>
                    <a:xfrm>
                      <a:off x="0" y="0"/>
                      <a:ext cx="5080000" cy="5969000"/>
                    </a:xfrm>
                    <a:prstGeom prst="rect">
                      <a:avLst/>
                    </a:prstGeom>
                  </pic:spPr>
                </pic:pic>
              </a:graphicData>
            </a:graphic>
          </wp:inline>
        </w:drawing>
      </w:r>
    </w:p>
    <w:p w14:paraId="3B6B0465" w14:textId="77777777" w:rsidR="00011B43" w:rsidRDefault="00011B43" w:rsidP="00A27011">
      <w:pPr>
        <w:pStyle w:val="ExhibitText"/>
      </w:pPr>
    </w:p>
    <w:p w14:paraId="13946405" w14:textId="7FC67EFE" w:rsidR="007D448B" w:rsidRPr="00196DC2" w:rsidRDefault="007D448B" w:rsidP="005974D3">
      <w:pPr>
        <w:pStyle w:val="Footnote"/>
        <w:jc w:val="both"/>
        <w:rPr>
          <w:rFonts w:eastAsia="DejaVu Sans"/>
          <w:lang w:bidi="en-US"/>
        </w:rPr>
      </w:pPr>
      <w:r w:rsidRPr="00196DC2">
        <w:t xml:space="preserve">Source: </w:t>
      </w:r>
      <w:r w:rsidRPr="00A27011">
        <w:rPr>
          <w:rFonts w:eastAsia="DejaVu Sans"/>
          <w:i/>
          <w:lang w:bidi="en-US"/>
        </w:rPr>
        <w:t>Water Treatment and Distribution in London</w:t>
      </w:r>
      <w:r w:rsidR="00747D82" w:rsidRPr="00A27011">
        <w:rPr>
          <w:rFonts w:eastAsia="DejaVu Sans"/>
          <w:i/>
          <w:lang w:bidi="en-US"/>
        </w:rPr>
        <w:t>: The Teaching Toolkit</w:t>
      </w:r>
      <w:r w:rsidRPr="00196DC2">
        <w:rPr>
          <w:rFonts w:eastAsia="DejaVu Sans"/>
          <w:lang w:bidi="en-US"/>
        </w:rPr>
        <w:t>, slide 14,</w:t>
      </w:r>
      <w:r w:rsidR="00196DC2">
        <w:rPr>
          <w:rFonts w:eastAsia="DejaVu Sans"/>
          <w:lang w:bidi="en-US"/>
        </w:rPr>
        <w:t xml:space="preserve"> </w:t>
      </w:r>
      <w:r w:rsidR="00550137" w:rsidRPr="00196DC2">
        <w:rPr>
          <w:rFonts w:eastAsia="DejaVu Sans"/>
          <w:lang w:bidi="en-US"/>
        </w:rPr>
        <w:t xml:space="preserve">City of London, </w:t>
      </w:r>
      <w:r w:rsidR="00550137">
        <w:rPr>
          <w:rFonts w:eastAsia="DejaVu Sans"/>
          <w:lang w:bidi="en-US"/>
        </w:rPr>
        <w:t xml:space="preserve">Canada, </w:t>
      </w:r>
      <w:r w:rsidR="00747D82">
        <w:rPr>
          <w:rFonts w:eastAsia="DejaVu Sans"/>
          <w:lang w:bidi="en-US"/>
        </w:rPr>
        <w:t>accessed</w:t>
      </w:r>
      <w:r w:rsidRPr="00196DC2">
        <w:rPr>
          <w:rFonts w:eastAsia="DejaVu Sans"/>
          <w:lang w:bidi="en-US"/>
        </w:rPr>
        <w:t xml:space="preserve"> October</w:t>
      </w:r>
      <w:r w:rsidR="00747D82">
        <w:rPr>
          <w:rFonts w:eastAsia="DejaVu Sans"/>
          <w:lang w:bidi="en-US"/>
        </w:rPr>
        <w:t> </w:t>
      </w:r>
      <w:r w:rsidRPr="00196DC2">
        <w:rPr>
          <w:rFonts w:eastAsia="DejaVu Sans"/>
          <w:lang w:bidi="en-US"/>
        </w:rPr>
        <w:t>19,</w:t>
      </w:r>
      <w:r w:rsidR="00747D82">
        <w:rPr>
          <w:rFonts w:eastAsia="DejaVu Sans"/>
          <w:lang w:bidi="en-US"/>
        </w:rPr>
        <w:t> </w:t>
      </w:r>
      <w:r w:rsidRPr="00196DC2">
        <w:rPr>
          <w:rFonts w:eastAsia="DejaVu Sans"/>
          <w:lang w:bidi="en-US"/>
        </w:rPr>
        <w:t>2017</w:t>
      </w:r>
      <w:r w:rsidR="00196DC2">
        <w:rPr>
          <w:rFonts w:eastAsia="DejaVu Sans"/>
          <w:lang w:bidi="en-US"/>
        </w:rPr>
        <w:t xml:space="preserve">, </w:t>
      </w:r>
      <w:r w:rsidR="00747D82" w:rsidRPr="00747D82">
        <w:rPr>
          <w:rStyle w:val="Hyperlink"/>
          <w:rFonts w:eastAsia="DejaVu Sans"/>
          <w:color w:val="auto"/>
          <w:u w:val="none"/>
          <w:lang w:bidi="en-US"/>
        </w:rPr>
        <w:t>www.london.ca/residents/Water/Teacher-Resources/Pages/Water.aspx</w:t>
      </w:r>
      <w:r w:rsidR="00747D82">
        <w:rPr>
          <w:rStyle w:val="Hyperlink"/>
          <w:rFonts w:eastAsia="DejaVu Sans"/>
          <w:color w:val="auto"/>
          <w:u w:val="none"/>
          <w:lang w:bidi="en-US"/>
        </w:rPr>
        <w:t xml:space="preserve">. </w:t>
      </w:r>
      <w:r w:rsidR="00747D82">
        <w:rPr>
          <w:rFonts w:eastAsia="DejaVu Sans"/>
          <w:lang w:bidi="en-US"/>
        </w:rPr>
        <w:t>Used w</w:t>
      </w:r>
      <w:r w:rsidR="00747D82" w:rsidRPr="00196DC2">
        <w:rPr>
          <w:rFonts w:eastAsia="DejaVu Sans"/>
          <w:lang w:bidi="en-US"/>
        </w:rPr>
        <w:t>ith permission</w:t>
      </w:r>
      <w:r w:rsidR="00747D82">
        <w:rPr>
          <w:rFonts w:eastAsia="DejaVu Sans"/>
          <w:lang w:bidi="en-US"/>
        </w:rPr>
        <w:t>.</w:t>
      </w:r>
      <w:r>
        <w:rPr>
          <w:rFonts w:eastAsia="DejaVu Sans"/>
          <w:szCs w:val="24"/>
          <w:lang w:bidi="en-US"/>
        </w:rPr>
        <w:br w:type="page"/>
      </w:r>
    </w:p>
    <w:p w14:paraId="3ECDD8AD" w14:textId="2417470E" w:rsidR="007D448B" w:rsidRPr="007D448B" w:rsidRDefault="007D448B" w:rsidP="00196DC2">
      <w:pPr>
        <w:pStyle w:val="ExhibitHeading"/>
        <w:rPr>
          <w:rFonts w:asciiTheme="minorHAnsi" w:eastAsiaTheme="minorHAnsi" w:hAnsiTheme="minorHAnsi"/>
          <w:sz w:val="22"/>
        </w:rPr>
      </w:pPr>
      <w:r w:rsidRPr="007D448B">
        <w:rPr>
          <w:rFonts w:eastAsiaTheme="minorHAnsi"/>
        </w:rPr>
        <w:lastRenderedPageBreak/>
        <w:t>EXHIBIT</w:t>
      </w:r>
      <w:r w:rsidRPr="007D448B">
        <w:rPr>
          <w:rFonts w:eastAsiaTheme="minorHAnsi"/>
          <w:spacing w:val="-5"/>
        </w:rPr>
        <w:t xml:space="preserve"> 4</w:t>
      </w:r>
      <w:r w:rsidRPr="007D448B">
        <w:rPr>
          <w:rFonts w:eastAsiaTheme="minorHAnsi"/>
          <w:spacing w:val="-1"/>
        </w:rPr>
        <w:t>:</w:t>
      </w:r>
      <w:r w:rsidRPr="007D448B">
        <w:rPr>
          <w:rFonts w:eastAsiaTheme="minorHAnsi"/>
        </w:rPr>
        <w:t xml:space="preserve"> </w:t>
      </w:r>
      <w:r w:rsidR="0061323B">
        <w:rPr>
          <w:rFonts w:eastAsiaTheme="minorHAnsi"/>
        </w:rPr>
        <w:t xml:space="preserve">Selected </w:t>
      </w:r>
      <w:r w:rsidRPr="007D448B">
        <w:rPr>
          <w:rFonts w:eastAsiaTheme="minorHAnsi"/>
        </w:rPr>
        <w:t>Historic</w:t>
      </w:r>
      <w:r w:rsidR="00592D8B">
        <w:rPr>
          <w:rFonts w:eastAsiaTheme="minorHAnsi"/>
        </w:rPr>
        <w:t>al</w:t>
      </w:r>
      <w:r w:rsidRPr="007D448B">
        <w:rPr>
          <w:rFonts w:eastAsiaTheme="minorHAnsi"/>
        </w:rPr>
        <w:t xml:space="preserve"> Electricity Prices</w:t>
      </w:r>
      <w:r w:rsidR="00F967F3">
        <w:rPr>
          <w:rFonts w:eastAsiaTheme="minorHAnsi"/>
        </w:rPr>
        <w:t xml:space="preserve"> </w:t>
      </w:r>
      <w:r w:rsidR="006529A5">
        <w:rPr>
          <w:rFonts w:eastAsiaTheme="minorHAnsi"/>
        </w:rPr>
        <w:t xml:space="preserve">in london </w:t>
      </w:r>
      <w:r w:rsidR="00F967F3">
        <w:rPr>
          <w:rFonts w:eastAsiaTheme="minorHAnsi"/>
        </w:rPr>
        <w:t>(IN CA$)</w:t>
      </w:r>
    </w:p>
    <w:p w14:paraId="79FE3BE9" w14:textId="77777777" w:rsidR="007D448B" w:rsidRPr="007D448B" w:rsidRDefault="007D448B" w:rsidP="00196DC2">
      <w:pPr>
        <w:pStyle w:val="ExhibitText"/>
        <w:rPr>
          <w:rFonts w:eastAsiaTheme="minorHAnsi"/>
        </w:rPr>
      </w:pPr>
    </w:p>
    <w:tbl>
      <w:tblPr>
        <w:tblW w:w="4524" w:type="dxa"/>
        <w:jc w:val="center"/>
        <w:tblLook w:val="04A0" w:firstRow="1" w:lastRow="0" w:firstColumn="1" w:lastColumn="0" w:noHBand="0" w:noVBand="1"/>
      </w:tblPr>
      <w:tblGrid>
        <w:gridCol w:w="1475"/>
        <w:gridCol w:w="1300"/>
        <w:gridCol w:w="1749"/>
      </w:tblGrid>
      <w:tr w:rsidR="007D448B" w:rsidRPr="007D448B" w14:paraId="2B2595A0" w14:textId="77777777" w:rsidTr="00196DC2">
        <w:trPr>
          <w:trHeight w:val="281"/>
          <w:jc w:val="center"/>
        </w:trPr>
        <w:tc>
          <w:tcPr>
            <w:tcW w:w="1475" w:type="dxa"/>
            <w:shd w:val="clear" w:color="auto" w:fill="auto"/>
            <w:tcMar>
              <w:left w:w="108" w:type="dxa"/>
            </w:tcMar>
            <w:vAlign w:val="center"/>
          </w:tcPr>
          <w:p w14:paraId="294D5C65" w14:textId="77777777" w:rsidR="007D448B" w:rsidRPr="00196DC2" w:rsidRDefault="007D448B" w:rsidP="00196DC2">
            <w:pPr>
              <w:pStyle w:val="ExhibitText"/>
              <w:jc w:val="center"/>
              <w:rPr>
                <w:rFonts w:eastAsiaTheme="minorHAnsi" w:cstheme="minorBidi"/>
                <w:b/>
              </w:rPr>
            </w:pPr>
            <w:r w:rsidRPr="00196DC2">
              <w:rPr>
                <w:b/>
                <w:lang w:eastAsia="en-CA"/>
              </w:rPr>
              <w:t>Date</w:t>
            </w:r>
          </w:p>
        </w:tc>
        <w:tc>
          <w:tcPr>
            <w:tcW w:w="1300" w:type="dxa"/>
            <w:shd w:val="clear" w:color="auto" w:fill="auto"/>
            <w:tcMar>
              <w:left w:w="108" w:type="dxa"/>
            </w:tcMar>
            <w:vAlign w:val="center"/>
          </w:tcPr>
          <w:p w14:paraId="17DE672F" w14:textId="7116E633" w:rsidR="007D448B" w:rsidRPr="00196DC2" w:rsidRDefault="007D448B" w:rsidP="00196DC2">
            <w:pPr>
              <w:pStyle w:val="ExhibitText"/>
              <w:jc w:val="center"/>
              <w:rPr>
                <w:rFonts w:eastAsiaTheme="minorHAnsi" w:cstheme="minorBidi"/>
                <w:b/>
              </w:rPr>
            </w:pPr>
            <w:r w:rsidRPr="00196DC2">
              <w:rPr>
                <w:b/>
                <w:lang w:eastAsia="en-CA"/>
              </w:rPr>
              <w:t>Hour</w:t>
            </w:r>
            <w:r w:rsidR="00592D8B">
              <w:rPr>
                <w:b/>
                <w:lang w:eastAsia="en-CA"/>
              </w:rPr>
              <w:t>*</w:t>
            </w:r>
          </w:p>
        </w:tc>
        <w:tc>
          <w:tcPr>
            <w:tcW w:w="1749" w:type="dxa"/>
            <w:shd w:val="clear" w:color="auto" w:fill="auto"/>
            <w:tcMar>
              <w:left w:w="108" w:type="dxa"/>
            </w:tcMar>
            <w:vAlign w:val="center"/>
          </w:tcPr>
          <w:p w14:paraId="4A293D68" w14:textId="77777777" w:rsidR="007D448B" w:rsidRPr="00196DC2" w:rsidRDefault="007D448B" w:rsidP="00196DC2">
            <w:pPr>
              <w:pStyle w:val="ExhibitText"/>
              <w:jc w:val="center"/>
              <w:rPr>
                <w:rFonts w:eastAsiaTheme="minorHAnsi" w:cstheme="minorBidi"/>
                <w:b/>
              </w:rPr>
            </w:pPr>
            <w:r w:rsidRPr="00196DC2">
              <w:rPr>
                <w:b/>
                <w:lang w:eastAsia="en-CA"/>
              </w:rPr>
              <w:t>HOEP</w:t>
            </w:r>
          </w:p>
        </w:tc>
      </w:tr>
      <w:tr w:rsidR="007D448B" w:rsidRPr="007D448B" w14:paraId="3CAC3ABF" w14:textId="77777777" w:rsidTr="00196DC2">
        <w:trPr>
          <w:trHeight w:val="281"/>
          <w:jc w:val="center"/>
        </w:trPr>
        <w:tc>
          <w:tcPr>
            <w:tcW w:w="1475" w:type="dxa"/>
            <w:shd w:val="clear" w:color="auto" w:fill="auto"/>
            <w:tcMar>
              <w:left w:w="108" w:type="dxa"/>
            </w:tcMar>
            <w:vAlign w:val="center"/>
          </w:tcPr>
          <w:p w14:paraId="5BE9E29B" w14:textId="74F65154" w:rsidR="007D448B" w:rsidRPr="007D448B" w:rsidRDefault="007D448B" w:rsidP="00196DC2">
            <w:pPr>
              <w:pStyle w:val="ExhibitText"/>
              <w:jc w:val="center"/>
              <w:rPr>
                <w:rFonts w:eastAsiaTheme="minorHAnsi" w:cstheme="minorBidi"/>
              </w:rPr>
            </w:pPr>
            <w:r w:rsidRPr="007D448B">
              <w:rPr>
                <w:lang w:eastAsia="en-CA"/>
              </w:rPr>
              <w:t>May</w:t>
            </w:r>
            <w:r w:rsidR="00F967F3">
              <w:rPr>
                <w:lang w:eastAsia="en-CA"/>
              </w:rPr>
              <w:t xml:space="preserve"> 1, </w:t>
            </w:r>
            <w:r w:rsidR="00592D8B">
              <w:rPr>
                <w:lang w:eastAsia="en-CA"/>
              </w:rPr>
              <w:t>20</w:t>
            </w:r>
            <w:r w:rsidRPr="007D448B">
              <w:rPr>
                <w:lang w:eastAsia="en-CA"/>
              </w:rPr>
              <w:t>02</w:t>
            </w:r>
          </w:p>
        </w:tc>
        <w:tc>
          <w:tcPr>
            <w:tcW w:w="1300" w:type="dxa"/>
            <w:shd w:val="clear" w:color="auto" w:fill="auto"/>
            <w:tcMar>
              <w:left w:w="108" w:type="dxa"/>
            </w:tcMar>
            <w:vAlign w:val="center"/>
          </w:tcPr>
          <w:p w14:paraId="36A73917" w14:textId="65C75FAF" w:rsidR="007D448B" w:rsidRPr="007D448B" w:rsidRDefault="00001CD9" w:rsidP="005974D3">
            <w:pPr>
              <w:pStyle w:val="ExhibitText"/>
              <w:tabs>
                <w:tab w:val="decimal" w:pos="683"/>
              </w:tabs>
              <w:rPr>
                <w:rFonts w:eastAsiaTheme="minorHAnsi" w:cstheme="minorBidi"/>
              </w:rPr>
            </w:pPr>
            <w:r>
              <w:rPr>
                <w:lang w:eastAsia="en-CA"/>
              </w:rPr>
              <w:t>0:00</w:t>
            </w:r>
          </w:p>
        </w:tc>
        <w:tc>
          <w:tcPr>
            <w:tcW w:w="1749" w:type="dxa"/>
            <w:shd w:val="clear" w:color="auto" w:fill="auto"/>
            <w:tcMar>
              <w:left w:w="108" w:type="dxa"/>
            </w:tcMar>
            <w:vAlign w:val="center"/>
          </w:tcPr>
          <w:p w14:paraId="4845E698" w14:textId="77777777" w:rsidR="007D448B" w:rsidRPr="007D448B" w:rsidRDefault="007D448B" w:rsidP="005974D3">
            <w:pPr>
              <w:pStyle w:val="ExhibitText"/>
              <w:tabs>
                <w:tab w:val="decimal" w:pos="806"/>
              </w:tabs>
              <w:rPr>
                <w:rFonts w:eastAsiaTheme="minorHAnsi" w:cstheme="minorBidi"/>
              </w:rPr>
            </w:pPr>
            <w:r w:rsidRPr="007D448B">
              <w:rPr>
                <w:lang w:eastAsia="en-CA"/>
              </w:rPr>
              <w:t>22.97</w:t>
            </w:r>
          </w:p>
        </w:tc>
      </w:tr>
      <w:tr w:rsidR="007D448B" w:rsidRPr="007D448B" w14:paraId="4B390082" w14:textId="77777777" w:rsidTr="00196DC2">
        <w:trPr>
          <w:trHeight w:val="281"/>
          <w:jc w:val="center"/>
        </w:trPr>
        <w:tc>
          <w:tcPr>
            <w:tcW w:w="1475" w:type="dxa"/>
            <w:shd w:val="clear" w:color="auto" w:fill="auto"/>
            <w:tcMar>
              <w:left w:w="108" w:type="dxa"/>
            </w:tcMar>
            <w:vAlign w:val="center"/>
          </w:tcPr>
          <w:p w14:paraId="36568FF2" w14:textId="5BC2946B" w:rsidR="007D448B" w:rsidRPr="007D448B" w:rsidRDefault="007D448B" w:rsidP="00196DC2">
            <w:pPr>
              <w:pStyle w:val="ExhibitText"/>
              <w:jc w:val="center"/>
              <w:rPr>
                <w:rFonts w:eastAsiaTheme="minorHAnsi" w:cstheme="minorBidi"/>
              </w:rPr>
            </w:pPr>
            <w:r w:rsidRPr="007D448B">
              <w:rPr>
                <w:lang w:eastAsia="en-CA"/>
              </w:rPr>
              <w:t>May</w:t>
            </w:r>
            <w:r w:rsidR="00F967F3">
              <w:rPr>
                <w:lang w:eastAsia="en-CA"/>
              </w:rPr>
              <w:t xml:space="preserve"> 1, </w:t>
            </w:r>
            <w:r w:rsidR="00592D8B">
              <w:rPr>
                <w:lang w:eastAsia="en-CA"/>
              </w:rPr>
              <w:t>20</w:t>
            </w:r>
            <w:r w:rsidRPr="007D448B">
              <w:rPr>
                <w:lang w:eastAsia="en-CA"/>
              </w:rPr>
              <w:t>02</w:t>
            </w:r>
          </w:p>
        </w:tc>
        <w:tc>
          <w:tcPr>
            <w:tcW w:w="1300" w:type="dxa"/>
            <w:shd w:val="clear" w:color="auto" w:fill="auto"/>
            <w:tcMar>
              <w:left w:w="108" w:type="dxa"/>
            </w:tcMar>
            <w:vAlign w:val="center"/>
          </w:tcPr>
          <w:p w14:paraId="31DD1999" w14:textId="2CAEA8B2" w:rsidR="007D448B" w:rsidRPr="007D448B" w:rsidRDefault="00001CD9" w:rsidP="005974D3">
            <w:pPr>
              <w:pStyle w:val="ExhibitText"/>
              <w:tabs>
                <w:tab w:val="decimal" w:pos="683"/>
              </w:tabs>
              <w:rPr>
                <w:rFonts w:eastAsiaTheme="minorHAnsi" w:cstheme="minorBidi"/>
              </w:rPr>
            </w:pPr>
            <w:r>
              <w:rPr>
                <w:lang w:eastAsia="en-CA"/>
              </w:rPr>
              <w:t>1:00</w:t>
            </w:r>
          </w:p>
        </w:tc>
        <w:tc>
          <w:tcPr>
            <w:tcW w:w="1749" w:type="dxa"/>
            <w:shd w:val="clear" w:color="auto" w:fill="auto"/>
            <w:tcMar>
              <w:left w:w="108" w:type="dxa"/>
            </w:tcMar>
            <w:vAlign w:val="center"/>
          </w:tcPr>
          <w:p w14:paraId="0A2BBE87" w14:textId="77777777" w:rsidR="007D448B" w:rsidRPr="007D448B" w:rsidRDefault="007D448B" w:rsidP="005974D3">
            <w:pPr>
              <w:pStyle w:val="ExhibitText"/>
              <w:tabs>
                <w:tab w:val="decimal" w:pos="806"/>
              </w:tabs>
              <w:rPr>
                <w:rFonts w:eastAsiaTheme="minorHAnsi" w:cstheme="minorBidi"/>
              </w:rPr>
            </w:pPr>
            <w:r w:rsidRPr="007D448B">
              <w:rPr>
                <w:lang w:eastAsia="en-CA"/>
              </w:rPr>
              <w:t>23.27</w:t>
            </w:r>
          </w:p>
        </w:tc>
      </w:tr>
      <w:tr w:rsidR="007D448B" w:rsidRPr="007D448B" w14:paraId="63DC0D51" w14:textId="77777777" w:rsidTr="00196DC2">
        <w:trPr>
          <w:trHeight w:val="281"/>
          <w:jc w:val="center"/>
        </w:trPr>
        <w:tc>
          <w:tcPr>
            <w:tcW w:w="1475" w:type="dxa"/>
            <w:shd w:val="clear" w:color="auto" w:fill="auto"/>
            <w:tcMar>
              <w:left w:w="108" w:type="dxa"/>
            </w:tcMar>
            <w:vAlign w:val="center"/>
          </w:tcPr>
          <w:p w14:paraId="64D54F4B" w14:textId="61CE5127" w:rsidR="007D448B" w:rsidRPr="007D448B" w:rsidRDefault="007D448B" w:rsidP="00196DC2">
            <w:pPr>
              <w:pStyle w:val="ExhibitText"/>
              <w:jc w:val="center"/>
              <w:rPr>
                <w:rFonts w:eastAsiaTheme="minorHAnsi" w:cstheme="minorBidi"/>
              </w:rPr>
            </w:pPr>
            <w:r w:rsidRPr="007D448B">
              <w:rPr>
                <w:lang w:eastAsia="en-CA"/>
              </w:rPr>
              <w:t>May</w:t>
            </w:r>
            <w:r w:rsidR="00F967F3">
              <w:rPr>
                <w:lang w:eastAsia="en-CA"/>
              </w:rPr>
              <w:t xml:space="preserve"> 1, </w:t>
            </w:r>
            <w:r w:rsidR="00592D8B">
              <w:rPr>
                <w:lang w:eastAsia="en-CA"/>
              </w:rPr>
              <w:t>20</w:t>
            </w:r>
            <w:r w:rsidRPr="007D448B">
              <w:rPr>
                <w:lang w:eastAsia="en-CA"/>
              </w:rPr>
              <w:t>02</w:t>
            </w:r>
          </w:p>
        </w:tc>
        <w:tc>
          <w:tcPr>
            <w:tcW w:w="1300" w:type="dxa"/>
            <w:shd w:val="clear" w:color="auto" w:fill="auto"/>
            <w:tcMar>
              <w:left w:w="108" w:type="dxa"/>
            </w:tcMar>
            <w:vAlign w:val="center"/>
          </w:tcPr>
          <w:p w14:paraId="664FE8CE" w14:textId="438A92A0" w:rsidR="007D448B" w:rsidRPr="007D448B" w:rsidRDefault="00001CD9" w:rsidP="005974D3">
            <w:pPr>
              <w:pStyle w:val="ExhibitText"/>
              <w:tabs>
                <w:tab w:val="decimal" w:pos="683"/>
              </w:tabs>
              <w:rPr>
                <w:rFonts w:eastAsiaTheme="minorHAnsi" w:cstheme="minorBidi"/>
              </w:rPr>
            </w:pPr>
            <w:r>
              <w:rPr>
                <w:lang w:eastAsia="en-CA"/>
              </w:rPr>
              <w:t>2:00</w:t>
            </w:r>
          </w:p>
        </w:tc>
        <w:tc>
          <w:tcPr>
            <w:tcW w:w="1749" w:type="dxa"/>
            <w:shd w:val="clear" w:color="auto" w:fill="auto"/>
            <w:tcMar>
              <w:left w:w="108" w:type="dxa"/>
            </w:tcMar>
            <w:vAlign w:val="center"/>
          </w:tcPr>
          <w:p w14:paraId="22A30AA4" w14:textId="77777777" w:rsidR="007D448B" w:rsidRPr="007D448B" w:rsidRDefault="007D448B" w:rsidP="005974D3">
            <w:pPr>
              <w:pStyle w:val="ExhibitText"/>
              <w:tabs>
                <w:tab w:val="decimal" w:pos="806"/>
              </w:tabs>
              <w:rPr>
                <w:rFonts w:eastAsiaTheme="minorHAnsi" w:cstheme="minorBidi"/>
              </w:rPr>
            </w:pPr>
            <w:r w:rsidRPr="007D448B">
              <w:rPr>
                <w:lang w:eastAsia="en-CA"/>
              </w:rPr>
              <w:t>24.54</w:t>
            </w:r>
          </w:p>
        </w:tc>
      </w:tr>
      <w:tr w:rsidR="007D448B" w:rsidRPr="007D448B" w14:paraId="227963B9" w14:textId="77777777" w:rsidTr="00196DC2">
        <w:trPr>
          <w:trHeight w:val="281"/>
          <w:jc w:val="center"/>
        </w:trPr>
        <w:tc>
          <w:tcPr>
            <w:tcW w:w="1475" w:type="dxa"/>
            <w:shd w:val="clear" w:color="auto" w:fill="auto"/>
            <w:tcMar>
              <w:left w:w="108" w:type="dxa"/>
            </w:tcMar>
            <w:vAlign w:val="center"/>
          </w:tcPr>
          <w:p w14:paraId="0BF7D12B" w14:textId="44982FAE" w:rsidR="007D448B" w:rsidRPr="007D448B" w:rsidRDefault="007D448B" w:rsidP="00196DC2">
            <w:pPr>
              <w:pStyle w:val="ExhibitText"/>
              <w:jc w:val="center"/>
              <w:rPr>
                <w:rFonts w:eastAsiaTheme="minorHAnsi" w:cstheme="minorBidi"/>
              </w:rPr>
            </w:pPr>
            <w:r w:rsidRPr="007D448B">
              <w:rPr>
                <w:lang w:eastAsia="en-CA"/>
              </w:rPr>
              <w:t>May</w:t>
            </w:r>
            <w:r w:rsidR="00F967F3">
              <w:rPr>
                <w:lang w:eastAsia="en-CA"/>
              </w:rPr>
              <w:t xml:space="preserve"> 1, </w:t>
            </w:r>
            <w:r w:rsidR="00592D8B">
              <w:rPr>
                <w:lang w:eastAsia="en-CA"/>
              </w:rPr>
              <w:t>20</w:t>
            </w:r>
            <w:r w:rsidRPr="007D448B">
              <w:rPr>
                <w:lang w:eastAsia="en-CA"/>
              </w:rPr>
              <w:t>02</w:t>
            </w:r>
          </w:p>
        </w:tc>
        <w:tc>
          <w:tcPr>
            <w:tcW w:w="1300" w:type="dxa"/>
            <w:shd w:val="clear" w:color="auto" w:fill="auto"/>
            <w:tcMar>
              <w:left w:w="108" w:type="dxa"/>
            </w:tcMar>
            <w:vAlign w:val="center"/>
          </w:tcPr>
          <w:p w14:paraId="3D2011F3" w14:textId="3627D56C" w:rsidR="007D448B" w:rsidRPr="007D448B" w:rsidRDefault="00001CD9" w:rsidP="005974D3">
            <w:pPr>
              <w:pStyle w:val="ExhibitText"/>
              <w:tabs>
                <w:tab w:val="decimal" w:pos="683"/>
              </w:tabs>
              <w:rPr>
                <w:rFonts w:eastAsiaTheme="minorHAnsi" w:cstheme="minorBidi"/>
              </w:rPr>
            </w:pPr>
            <w:r>
              <w:rPr>
                <w:lang w:eastAsia="en-CA"/>
              </w:rPr>
              <w:t>3:00</w:t>
            </w:r>
          </w:p>
        </w:tc>
        <w:tc>
          <w:tcPr>
            <w:tcW w:w="1749" w:type="dxa"/>
            <w:shd w:val="clear" w:color="auto" w:fill="auto"/>
            <w:tcMar>
              <w:left w:w="108" w:type="dxa"/>
            </w:tcMar>
            <w:vAlign w:val="center"/>
          </w:tcPr>
          <w:p w14:paraId="125D5B04" w14:textId="77777777" w:rsidR="007D448B" w:rsidRPr="007D448B" w:rsidRDefault="007D448B" w:rsidP="005974D3">
            <w:pPr>
              <w:pStyle w:val="ExhibitText"/>
              <w:tabs>
                <w:tab w:val="decimal" w:pos="806"/>
              </w:tabs>
              <w:rPr>
                <w:rFonts w:eastAsiaTheme="minorHAnsi" w:cstheme="minorBidi"/>
              </w:rPr>
            </w:pPr>
            <w:r w:rsidRPr="007D448B">
              <w:rPr>
                <w:lang w:eastAsia="en-CA"/>
              </w:rPr>
              <w:t>15.17</w:t>
            </w:r>
          </w:p>
        </w:tc>
      </w:tr>
      <w:tr w:rsidR="007D448B" w:rsidRPr="007D448B" w14:paraId="0F7C9C62" w14:textId="77777777" w:rsidTr="00196DC2">
        <w:trPr>
          <w:trHeight w:val="281"/>
          <w:jc w:val="center"/>
        </w:trPr>
        <w:tc>
          <w:tcPr>
            <w:tcW w:w="1475" w:type="dxa"/>
            <w:shd w:val="clear" w:color="auto" w:fill="auto"/>
            <w:tcMar>
              <w:left w:w="108" w:type="dxa"/>
            </w:tcMar>
            <w:vAlign w:val="center"/>
          </w:tcPr>
          <w:p w14:paraId="25F37DAF" w14:textId="0820526C" w:rsidR="007D448B" w:rsidRPr="007D448B" w:rsidRDefault="007D448B" w:rsidP="00196DC2">
            <w:pPr>
              <w:pStyle w:val="ExhibitText"/>
              <w:jc w:val="center"/>
              <w:rPr>
                <w:rFonts w:eastAsiaTheme="minorHAnsi" w:cstheme="minorBidi"/>
              </w:rPr>
            </w:pPr>
            <w:r w:rsidRPr="007D448B">
              <w:rPr>
                <w:lang w:eastAsia="en-CA"/>
              </w:rPr>
              <w:t>May</w:t>
            </w:r>
            <w:r w:rsidR="00F967F3">
              <w:rPr>
                <w:lang w:eastAsia="en-CA"/>
              </w:rPr>
              <w:t xml:space="preserve"> 1, </w:t>
            </w:r>
            <w:r w:rsidR="00592D8B">
              <w:rPr>
                <w:lang w:eastAsia="en-CA"/>
              </w:rPr>
              <w:t>20</w:t>
            </w:r>
            <w:r w:rsidRPr="007D448B">
              <w:rPr>
                <w:lang w:eastAsia="en-CA"/>
              </w:rPr>
              <w:t>02</w:t>
            </w:r>
          </w:p>
        </w:tc>
        <w:tc>
          <w:tcPr>
            <w:tcW w:w="1300" w:type="dxa"/>
            <w:shd w:val="clear" w:color="auto" w:fill="auto"/>
            <w:tcMar>
              <w:left w:w="108" w:type="dxa"/>
            </w:tcMar>
            <w:vAlign w:val="center"/>
          </w:tcPr>
          <w:p w14:paraId="09297560" w14:textId="31336D26" w:rsidR="007D448B" w:rsidRPr="007D448B" w:rsidRDefault="00001CD9" w:rsidP="005974D3">
            <w:pPr>
              <w:pStyle w:val="ExhibitText"/>
              <w:tabs>
                <w:tab w:val="decimal" w:pos="683"/>
              </w:tabs>
              <w:rPr>
                <w:rFonts w:eastAsiaTheme="minorHAnsi" w:cstheme="minorBidi"/>
              </w:rPr>
            </w:pPr>
            <w:r>
              <w:rPr>
                <w:lang w:eastAsia="en-CA"/>
              </w:rPr>
              <w:t>4:00</w:t>
            </w:r>
          </w:p>
        </w:tc>
        <w:tc>
          <w:tcPr>
            <w:tcW w:w="1749" w:type="dxa"/>
            <w:shd w:val="clear" w:color="auto" w:fill="auto"/>
            <w:tcMar>
              <w:left w:w="108" w:type="dxa"/>
            </w:tcMar>
            <w:vAlign w:val="center"/>
          </w:tcPr>
          <w:p w14:paraId="16888C57" w14:textId="77777777" w:rsidR="007D448B" w:rsidRPr="007D448B" w:rsidRDefault="007D448B" w:rsidP="005974D3">
            <w:pPr>
              <w:pStyle w:val="ExhibitText"/>
              <w:tabs>
                <w:tab w:val="decimal" w:pos="806"/>
              </w:tabs>
              <w:rPr>
                <w:rFonts w:eastAsiaTheme="minorHAnsi" w:cstheme="minorBidi"/>
              </w:rPr>
            </w:pPr>
            <w:r w:rsidRPr="007D448B">
              <w:rPr>
                <w:lang w:eastAsia="en-CA"/>
              </w:rPr>
              <w:t>23.59</w:t>
            </w:r>
          </w:p>
        </w:tc>
      </w:tr>
      <w:tr w:rsidR="007D448B" w:rsidRPr="007D448B" w14:paraId="2F69C014" w14:textId="77777777" w:rsidTr="00196DC2">
        <w:trPr>
          <w:trHeight w:val="281"/>
          <w:jc w:val="center"/>
        </w:trPr>
        <w:tc>
          <w:tcPr>
            <w:tcW w:w="1475" w:type="dxa"/>
            <w:shd w:val="clear" w:color="auto" w:fill="auto"/>
            <w:tcMar>
              <w:left w:w="108" w:type="dxa"/>
            </w:tcMar>
            <w:vAlign w:val="center"/>
          </w:tcPr>
          <w:p w14:paraId="3A88069C" w14:textId="77777777" w:rsidR="007D448B" w:rsidRPr="007D448B" w:rsidRDefault="007D448B" w:rsidP="00196DC2">
            <w:pPr>
              <w:pStyle w:val="ExhibitText"/>
              <w:jc w:val="center"/>
              <w:rPr>
                <w:rFonts w:eastAsiaTheme="minorHAnsi" w:cstheme="minorBidi"/>
              </w:rPr>
            </w:pPr>
            <w:r w:rsidRPr="007D448B">
              <w:rPr>
                <w:lang w:eastAsia="en-CA"/>
              </w:rPr>
              <w:t>…</w:t>
            </w:r>
          </w:p>
        </w:tc>
        <w:tc>
          <w:tcPr>
            <w:tcW w:w="1300" w:type="dxa"/>
            <w:shd w:val="clear" w:color="auto" w:fill="auto"/>
            <w:tcMar>
              <w:left w:w="108" w:type="dxa"/>
            </w:tcMar>
            <w:vAlign w:val="center"/>
          </w:tcPr>
          <w:p w14:paraId="0F72728E" w14:textId="77777777" w:rsidR="007D448B" w:rsidRPr="007D448B" w:rsidRDefault="007D448B" w:rsidP="005974D3">
            <w:pPr>
              <w:pStyle w:val="ExhibitText"/>
              <w:tabs>
                <w:tab w:val="decimal" w:pos="683"/>
              </w:tabs>
              <w:rPr>
                <w:rFonts w:eastAsiaTheme="minorHAnsi" w:cstheme="minorBidi"/>
              </w:rPr>
            </w:pPr>
            <w:r w:rsidRPr="007D448B">
              <w:rPr>
                <w:lang w:eastAsia="en-CA"/>
              </w:rPr>
              <w:t>…</w:t>
            </w:r>
          </w:p>
        </w:tc>
        <w:tc>
          <w:tcPr>
            <w:tcW w:w="1749" w:type="dxa"/>
            <w:shd w:val="clear" w:color="auto" w:fill="auto"/>
            <w:tcMar>
              <w:left w:w="108" w:type="dxa"/>
            </w:tcMar>
            <w:vAlign w:val="center"/>
          </w:tcPr>
          <w:p w14:paraId="34A169EF" w14:textId="77777777" w:rsidR="007D448B" w:rsidRPr="007D448B" w:rsidRDefault="007D448B" w:rsidP="005974D3">
            <w:pPr>
              <w:pStyle w:val="ExhibitText"/>
              <w:tabs>
                <w:tab w:val="decimal" w:pos="806"/>
              </w:tabs>
              <w:jc w:val="left"/>
              <w:rPr>
                <w:rFonts w:eastAsiaTheme="minorHAnsi" w:cstheme="minorBidi"/>
              </w:rPr>
            </w:pPr>
            <w:r w:rsidRPr="007D448B">
              <w:rPr>
                <w:lang w:eastAsia="en-CA"/>
              </w:rPr>
              <w:t>…</w:t>
            </w:r>
          </w:p>
        </w:tc>
      </w:tr>
      <w:tr w:rsidR="007D448B" w:rsidRPr="007D448B" w14:paraId="3FD541BC" w14:textId="77777777" w:rsidTr="00196DC2">
        <w:trPr>
          <w:trHeight w:val="281"/>
          <w:jc w:val="center"/>
        </w:trPr>
        <w:tc>
          <w:tcPr>
            <w:tcW w:w="1475" w:type="dxa"/>
            <w:shd w:val="clear" w:color="auto" w:fill="auto"/>
            <w:tcMar>
              <w:left w:w="108" w:type="dxa"/>
            </w:tcMar>
            <w:vAlign w:val="center"/>
          </w:tcPr>
          <w:p w14:paraId="06FA9955" w14:textId="77777777" w:rsidR="007D448B" w:rsidRPr="007D448B" w:rsidRDefault="007D448B" w:rsidP="00196DC2">
            <w:pPr>
              <w:pStyle w:val="ExhibitText"/>
              <w:jc w:val="center"/>
              <w:rPr>
                <w:rFonts w:eastAsiaTheme="minorHAnsi" w:cstheme="minorBidi"/>
              </w:rPr>
            </w:pPr>
            <w:r w:rsidRPr="007D448B">
              <w:rPr>
                <w:lang w:eastAsia="en-CA"/>
              </w:rPr>
              <w:t>…</w:t>
            </w:r>
          </w:p>
        </w:tc>
        <w:tc>
          <w:tcPr>
            <w:tcW w:w="1300" w:type="dxa"/>
            <w:shd w:val="clear" w:color="auto" w:fill="auto"/>
            <w:tcMar>
              <w:left w:w="108" w:type="dxa"/>
            </w:tcMar>
            <w:vAlign w:val="center"/>
          </w:tcPr>
          <w:p w14:paraId="56D91217" w14:textId="77777777" w:rsidR="007D448B" w:rsidRPr="007D448B" w:rsidRDefault="007D448B" w:rsidP="005974D3">
            <w:pPr>
              <w:pStyle w:val="ExhibitText"/>
              <w:tabs>
                <w:tab w:val="decimal" w:pos="683"/>
              </w:tabs>
              <w:rPr>
                <w:rFonts w:eastAsiaTheme="minorHAnsi" w:cstheme="minorBidi"/>
              </w:rPr>
            </w:pPr>
            <w:r w:rsidRPr="007D448B">
              <w:rPr>
                <w:lang w:eastAsia="en-CA"/>
              </w:rPr>
              <w:t>…</w:t>
            </w:r>
          </w:p>
        </w:tc>
        <w:tc>
          <w:tcPr>
            <w:tcW w:w="1749" w:type="dxa"/>
            <w:shd w:val="clear" w:color="auto" w:fill="auto"/>
            <w:tcMar>
              <w:left w:w="108" w:type="dxa"/>
            </w:tcMar>
            <w:vAlign w:val="center"/>
          </w:tcPr>
          <w:p w14:paraId="6097EFBE" w14:textId="77777777" w:rsidR="007D448B" w:rsidRPr="007D448B" w:rsidRDefault="007D448B" w:rsidP="005974D3">
            <w:pPr>
              <w:pStyle w:val="ExhibitText"/>
              <w:tabs>
                <w:tab w:val="decimal" w:pos="806"/>
              </w:tabs>
              <w:jc w:val="left"/>
              <w:rPr>
                <w:rFonts w:eastAsiaTheme="minorHAnsi" w:cstheme="minorBidi"/>
              </w:rPr>
            </w:pPr>
            <w:r w:rsidRPr="007D448B">
              <w:rPr>
                <w:lang w:eastAsia="en-CA"/>
              </w:rPr>
              <w:t>…</w:t>
            </w:r>
          </w:p>
        </w:tc>
      </w:tr>
      <w:tr w:rsidR="007D448B" w:rsidRPr="007D448B" w14:paraId="036FF844" w14:textId="77777777" w:rsidTr="00196DC2">
        <w:trPr>
          <w:trHeight w:val="281"/>
          <w:jc w:val="center"/>
        </w:trPr>
        <w:tc>
          <w:tcPr>
            <w:tcW w:w="1475" w:type="dxa"/>
            <w:shd w:val="clear" w:color="auto" w:fill="auto"/>
            <w:tcMar>
              <w:left w:w="108" w:type="dxa"/>
            </w:tcMar>
            <w:vAlign w:val="center"/>
          </w:tcPr>
          <w:p w14:paraId="7347B0D8" w14:textId="77777777" w:rsidR="007D448B" w:rsidRPr="007D448B" w:rsidRDefault="007D448B" w:rsidP="00196DC2">
            <w:pPr>
              <w:pStyle w:val="ExhibitText"/>
              <w:jc w:val="center"/>
              <w:rPr>
                <w:rFonts w:eastAsiaTheme="minorHAnsi" w:cstheme="minorBidi"/>
              </w:rPr>
            </w:pPr>
            <w:r w:rsidRPr="007D448B">
              <w:rPr>
                <w:lang w:eastAsia="en-CA"/>
              </w:rPr>
              <w:t>…</w:t>
            </w:r>
          </w:p>
        </w:tc>
        <w:tc>
          <w:tcPr>
            <w:tcW w:w="1300" w:type="dxa"/>
            <w:shd w:val="clear" w:color="auto" w:fill="auto"/>
            <w:tcMar>
              <w:left w:w="108" w:type="dxa"/>
            </w:tcMar>
            <w:vAlign w:val="center"/>
          </w:tcPr>
          <w:p w14:paraId="20584FB9" w14:textId="77777777" w:rsidR="007D448B" w:rsidRPr="007D448B" w:rsidRDefault="007D448B" w:rsidP="005974D3">
            <w:pPr>
              <w:pStyle w:val="ExhibitText"/>
              <w:tabs>
                <w:tab w:val="decimal" w:pos="683"/>
              </w:tabs>
              <w:rPr>
                <w:rFonts w:eastAsiaTheme="minorHAnsi" w:cstheme="minorBidi"/>
              </w:rPr>
            </w:pPr>
            <w:r w:rsidRPr="007D448B">
              <w:rPr>
                <w:lang w:eastAsia="en-CA"/>
              </w:rPr>
              <w:t>…</w:t>
            </w:r>
          </w:p>
        </w:tc>
        <w:tc>
          <w:tcPr>
            <w:tcW w:w="1749" w:type="dxa"/>
            <w:shd w:val="clear" w:color="auto" w:fill="auto"/>
            <w:tcMar>
              <w:left w:w="108" w:type="dxa"/>
            </w:tcMar>
            <w:vAlign w:val="center"/>
          </w:tcPr>
          <w:p w14:paraId="76F72C6B" w14:textId="77777777" w:rsidR="007D448B" w:rsidRPr="007D448B" w:rsidRDefault="007D448B" w:rsidP="005974D3">
            <w:pPr>
              <w:pStyle w:val="ExhibitText"/>
              <w:tabs>
                <w:tab w:val="decimal" w:pos="806"/>
              </w:tabs>
              <w:jc w:val="left"/>
              <w:rPr>
                <w:rFonts w:eastAsiaTheme="minorHAnsi" w:cstheme="minorBidi"/>
              </w:rPr>
            </w:pPr>
            <w:r w:rsidRPr="007D448B">
              <w:rPr>
                <w:lang w:eastAsia="en-CA"/>
              </w:rPr>
              <w:t>…</w:t>
            </w:r>
          </w:p>
        </w:tc>
      </w:tr>
      <w:tr w:rsidR="007D448B" w:rsidRPr="007D448B" w14:paraId="0748FBDB" w14:textId="77777777" w:rsidTr="00196DC2">
        <w:trPr>
          <w:trHeight w:val="281"/>
          <w:jc w:val="center"/>
        </w:trPr>
        <w:tc>
          <w:tcPr>
            <w:tcW w:w="1475" w:type="dxa"/>
            <w:shd w:val="clear" w:color="auto" w:fill="auto"/>
            <w:tcMar>
              <w:left w:w="108" w:type="dxa"/>
            </w:tcMar>
            <w:vAlign w:val="center"/>
          </w:tcPr>
          <w:p w14:paraId="7993F1B0" w14:textId="2A6FF00A" w:rsidR="007D448B" w:rsidRPr="007D448B" w:rsidRDefault="007D448B" w:rsidP="00196DC2">
            <w:pPr>
              <w:pStyle w:val="ExhibitText"/>
              <w:jc w:val="center"/>
              <w:rPr>
                <w:rFonts w:eastAsiaTheme="minorHAnsi" w:cstheme="minorBidi"/>
              </w:rPr>
            </w:pPr>
            <w:r w:rsidRPr="007D448B">
              <w:rPr>
                <w:lang w:eastAsia="en-CA"/>
              </w:rPr>
              <w:t>May</w:t>
            </w:r>
            <w:r w:rsidR="00B71929">
              <w:rPr>
                <w:lang w:eastAsia="en-CA"/>
              </w:rPr>
              <w:t xml:space="preserve"> 1, </w:t>
            </w:r>
            <w:r w:rsidR="00592D8B">
              <w:rPr>
                <w:lang w:eastAsia="en-CA"/>
              </w:rPr>
              <w:t>20</w:t>
            </w:r>
            <w:r w:rsidRPr="007D448B">
              <w:rPr>
                <w:lang w:eastAsia="en-CA"/>
              </w:rPr>
              <w:t>02</w:t>
            </w:r>
          </w:p>
        </w:tc>
        <w:tc>
          <w:tcPr>
            <w:tcW w:w="1300" w:type="dxa"/>
            <w:shd w:val="clear" w:color="auto" w:fill="auto"/>
            <w:tcMar>
              <w:left w:w="108" w:type="dxa"/>
            </w:tcMar>
            <w:vAlign w:val="center"/>
          </w:tcPr>
          <w:p w14:paraId="3BABD47D" w14:textId="1CEF0746" w:rsidR="007D448B" w:rsidRPr="007D448B" w:rsidRDefault="00001CD9" w:rsidP="005974D3">
            <w:pPr>
              <w:pStyle w:val="ExhibitText"/>
              <w:tabs>
                <w:tab w:val="decimal" w:pos="683"/>
              </w:tabs>
              <w:rPr>
                <w:rFonts w:eastAsiaTheme="minorHAnsi" w:cstheme="minorBidi"/>
              </w:rPr>
            </w:pPr>
            <w:r>
              <w:rPr>
                <w:lang w:eastAsia="en-CA"/>
              </w:rPr>
              <w:t>21:00</w:t>
            </w:r>
          </w:p>
        </w:tc>
        <w:tc>
          <w:tcPr>
            <w:tcW w:w="1749" w:type="dxa"/>
            <w:shd w:val="clear" w:color="auto" w:fill="auto"/>
            <w:tcMar>
              <w:left w:w="108" w:type="dxa"/>
            </w:tcMar>
            <w:vAlign w:val="center"/>
          </w:tcPr>
          <w:p w14:paraId="4A039A73" w14:textId="77777777" w:rsidR="007D448B" w:rsidRPr="007D448B" w:rsidRDefault="007D448B" w:rsidP="005974D3">
            <w:pPr>
              <w:pStyle w:val="ExhibitText"/>
              <w:tabs>
                <w:tab w:val="decimal" w:pos="806"/>
              </w:tabs>
              <w:rPr>
                <w:rFonts w:eastAsiaTheme="minorHAnsi" w:cstheme="minorBidi"/>
              </w:rPr>
            </w:pPr>
            <w:r w:rsidRPr="007D448B">
              <w:rPr>
                <w:lang w:eastAsia="en-CA"/>
              </w:rPr>
              <w:t>28.93</w:t>
            </w:r>
          </w:p>
        </w:tc>
      </w:tr>
      <w:tr w:rsidR="007D448B" w:rsidRPr="007D448B" w14:paraId="772003C1" w14:textId="77777777" w:rsidTr="00196DC2">
        <w:trPr>
          <w:trHeight w:val="281"/>
          <w:jc w:val="center"/>
        </w:trPr>
        <w:tc>
          <w:tcPr>
            <w:tcW w:w="1475" w:type="dxa"/>
            <w:shd w:val="clear" w:color="auto" w:fill="auto"/>
            <w:tcMar>
              <w:left w:w="108" w:type="dxa"/>
            </w:tcMar>
            <w:vAlign w:val="center"/>
          </w:tcPr>
          <w:p w14:paraId="15F2BE61" w14:textId="15E3E10A" w:rsidR="007D448B" w:rsidRPr="007D448B" w:rsidRDefault="007D448B" w:rsidP="00196DC2">
            <w:pPr>
              <w:pStyle w:val="ExhibitText"/>
              <w:jc w:val="center"/>
              <w:rPr>
                <w:rFonts w:eastAsiaTheme="minorHAnsi" w:cstheme="minorBidi"/>
              </w:rPr>
            </w:pPr>
            <w:r w:rsidRPr="007D448B">
              <w:rPr>
                <w:lang w:eastAsia="en-CA"/>
              </w:rPr>
              <w:t>May</w:t>
            </w:r>
            <w:r w:rsidR="00B71929">
              <w:rPr>
                <w:lang w:eastAsia="en-CA"/>
              </w:rPr>
              <w:t xml:space="preserve"> 1, </w:t>
            </w:r>
            <w:r w:rsidR="00592D8B">
              <w:rPr>
                <w:lang w:eastAsia="en-CA"/>
              </w:rPr>
              <w:t>20</w:t>
            </w:r>
            <w:r w:rsidRPr="007D448B">
              <w:rPr>
                <w:lang w:eastAsia="en-CA"/>
              </w:rPr>
              <w:t>02</w:t>
            </w:r>
          </w:p>
        </w:tc>
        <w:tc>
          <w:tcPr>
            <w:tcW w:w="1300" w:type="dxa"/>
            <w:shd w:val="clear" w:color="auto" w:fill="auto"/>
            <w:tcMar>
              <w:left w:w="108" w:type="dxa"/>
            </w:tcMar>
            <w:vAlign w:val="center"/>
          </w:tcPr>
          <w:p w14:paraId="1C7E3D19" w14:textId="18F6D250" w:rsidR="007D448B" w:rsidRPr="007D448B" w:rsidRDefault="00001CD9" w:rsidP="005974D3">
            <w:pPr>
              <w:pStyle w:val="ExhibitText"/>
              <w:tabs>
                <w:tab w:val="decimal" w:pos="683"/>
              </w:tabs>
              <w:rPr>
                <w:rFonts w:eastAsiaTheme="minorHAnsi" w:cstheme="minorBidi"/>
              </w:rPr>
            </w:pPr>
            <w:r>
              <w:rPr>
                <w:lang w:eastAsia="en-CA"/>
              </w:rPr>
              <w:t>22:00</w:t>
            </w:r>
          </w:p>
        </w:tc>
        <w:tc>
          <w:tcPr>
            <w:tcW w:w="1749" w:type="dxa"/>
            <w:shd w:val="clear" w:color="auto" w:fill="auto"/>
            <w:tcMar>
              <w:left w:w="108" w:type="dxa"/>
            </w:tcMar>
            <w:vAlign w:val="center"/>
          </w:tcPr>
          <w:p w14:paraId="31FAA1DA" w14:textId="77777777" w:rsidR="007D448B" w:rsidRPr="007D448B" w:rsidRDefault="007D448B" w:rsidP="005974D3">
            <w:pPr>
              <w:pStyle w:val="ExhibitText"/>
              <w:tabs>
                <w:tab w:val="decimal" w:pos="806"/>
              </w:tabs>
              <w:rPr>
                <w:rFonts w:eastAsiaTheme="minorHAnsi" w:cstheme="minorBidi"/>
              </w:rPr>
            </w:pPr>
            <w:r w:rsidRPr="007D448B">
              <w:rPr>
                <w:lang w:eastAsia="en-CA"/>
              </w:rPr>
              <w:t>27.55</w:t>
            </w:r>
          </w:p>
        </w:tc>
      </w:tr>
      <w:tr w:rsidR="007D448B" w:rsidRPr="007D448B" w14:paraId="66A15A6C" w14:textId="77777777" w:rsidTr="00196DC2">
        <w:trPr>
          <w:trHeight w:val="281"/>
          <w:jc w:val="center"/>
        </w:trPr>
        <w:tc>
          <w:tcPr>
            <w:tcW w:w="1475" w:type="dxa"/>
            <w:shd w:val="clear" w:color="auto" w:fill="auto"/>
            <w:tcMar>
              <w:left w:w="108" w:type="dxa"/>
            </w:tcMar>
            <w:vAlign w:val="center"/>
          </w:tcPr>
          <w:p w14:paraId="223D01F8" w14:textId="56A915C8" w:rsidR="007D448B" w:rsidRPr="007D448B" w:rsidRDefault="007D448B" w:rsidP="00196DC2">
            <w:pPr>
              <w:pStyle w:val="ExhibitText"/>
              <w:jc w:val="center"/>
              <w:rPr>
                <w:rFonts w:eastAsiaTheme="minorHAnsi" w:cstheme="minorBidi"/>
              </w:rPr>
            </w:pPr>
            <w:r w:rsidRPr="007D448B">
              <w:rPr>
                <w:lang w:eastAsia="en-CA"/>
              </w:rPr>
              <w:t>May</w:t>
            </w:r>
            <w:r w:rsidR="00B71929">
              <w:rPr>
                <w:lang w:eastAsia="en-CA"/>
              </w:rPr>
              <w:t xml:space="preserve"> 1, </w:t>
            </w:r>
            <w:r w:rsidR="00592D8B">
              <w:rPr>
                <w:lang w:eastAsia="en-CA"/>
              </w:rPr>
              <w:t>20</w:t>
            </w:r>
            <w:r w:rsidRPr="007D448B">
              <w:rPr>
                <w:lang w:eastAsia="en-CA"/>
              </w:rPr>
              <w:t>02</w:t>
            </w:r>
          </w:p>
        </w:tc>
        <w:tc>
          <w:tcPr>
            <w:tcW w:w="1300" w:type="dxa"/>
            <w:shd w:val="clear" w:color="auto" w:fill="auto"/>
            <w:tcMar>
              <w:left w:w="108" w:type="dxa"/>
            </w:tcMar>
            <w:vAlign w:val="center"/>
          </w:tcPr>
          <w:p w14:paraId="19814E81" w14:textId="4FEEFE49" w:rsidR="007D448B" w:rsidRPr="007D448B" w:rsidRDefault="00001CD9" w:rsidP="005974D3">
            <w:pPr>
              <w:pStyle w:val="ExhibitText"/>
              <w:tabs>
                <w:tab w:val="decimal" w:pos="683"/>
              </w:tabs>
              <w:rPr>
                <w:rFonts w:eastAsiaTheme="minorHAnsi" w:cstheme="minorBidi"/>
              </w:rPr>
            </w:pPr>
            <w:r>
              <w:rPr>
                <w:lang w:eastAsia="en-CA"/>
              </w:rPr>
              <w:t>23:00</w:t>
            </w:r>
          </w:p>
        </w:tc>
        <w:tc>
          <w:tcPr>
            <w:tcW w:w="1749" w:type="dxa"/>
            <w:shd w:val="clear" w:color="auto" w:fill="auto"/>
            <w:tcMar>
              <w:left w:w="108" w:type="dxa"/>
            </w:tcMar>
            <w:vAlign w:val="center"/>
          </w:tcPr>
          <w:p w14:paraId="10AD6250" w14:textId="77777777" w:rsidR="007D448B" w:rsidRPr="007D448B" w:rsidRDefault="007D448B" w:rsidP="005974D3">
            <w:pPr>
              <w:pStyle w:val="ExhibitText"/>
              <w:tabs>
                <w:tab w:val="decimal" w:pos="806"/>
              </w:tabs>
              <w:rPr>
                <w:rFonts w:eastAsiaTheme="minorHAnsi" w:cstheme="minorBidi"/>
              </w:rPr>
            </w:pPr>
            <w:r w:rsidRPr="007D448B">
              <w:rPr>
                <w:lang w:eastAsia="en-CA"/>
              </w:rPr>
              <w:t>24.22</w:t>
            </w:r>
          </w:p>
        </w:tc>
      </w:tr>
      <w:tr w:rsidR="00001CD9" w:rsidRPr="007D448B" w14:paraId="52720997" w14:textId="77777777" w:rsidTr="00196DC2">
        <w:trPr>
          <w:trHeight w:val="281"/>
          <w:jc w:val="center"/>
        </w:trPr>
        <w:tc>
          <w:tcPr>
            <w:tcW w:w="1475" w:type="dxa"/>
            <w:shd w:val="clear" w:color="auto" w:fill="auto"/>
            <w:tcMar>
              <w:left w:w="108" w:type="dxa"/>
            </w:tcMar>
            <w:vAlign w:val="center"/>
          </w:tcPr>
          <w:p w14:paraId="5716C663" w14:textId="628F191B" w:rsidR="00001CD9" w:rsidRPr="007D448B" w:rsidRDefault="00001CD9" w:rsidP="00001CD9">
            <w:pPr>
              <w:pStyle w:val="ExhibitText"/>
              <w:jc w:val="center"/>
              <w:rPr>
                <w:rFonts w:eastAsiaTheme="minorHAnsi" w:cstheme="minorBidi"/>
              </w:rPr>
            </w:pPr>
            <w:r w:rsidRPr="007D448B">
              <w:rPr>
                <w:lang w:eastAsia="en-CA"/>
              </w:rPr>
              <w:t>May</w:t>
            </w:r>
            <w:r>
              <w:rPr>
                <w:lang w:eastAsia="en-CA"/>
              </w:rPr>
              <w:t xml:space="preserve"> 2, 20</w:t>
            </w:r>
            <w:r w:rsidRPr="007D448B">
              <w:rPr>
                <w:lang w:eastAsia="en-CA"/>
              </w:rPr>
              <w:t>02</w:t>
            </w:r>
          </w:p>
        </w:tc>
        <w:tc>
          <w:tcPr>
            <w:tcW w:w="1300" w:type="dxa"/>
            <w:shd w:val="clear" w:color="auto" w:fill="auto"/>
            <w:tcMar>
              <w:left w:w="108" w:type="dxa"/>
            </w:tcMar>
            <w:vAlign w:val="center"/>
          </w:tcPr>
          <w:p w14:paraId="1FC5A60C" w14:textId="1E9E0B57" w:rsidR="00001CD9" w:rsidRPr="007D448B" w:rsidRDefault="00001CD9" w:rsidP="00001CD9">
            <w:pPr>
              <w:pStyle w:val="ExhibitText"/>
              <w:tabs>
                <w:tab w:val="decimal" w:pos="683"/>
              </w:tabs>
              <w:rPr>
                <w:rFonts w:eastAsiaTheme="minorHAnsi" w:cstheme="minorBidi"/>
              </w:rPr>
            </w:pPr>
            <w:r>
              <w:rPr>
                <w:lang w:eastAsia="en-CA"/>
              </w:rPr>
              <w:t>0:00</w:t>
            </w:r>
          </w:p>
        </w:tc>
        <w:tc>
          <w:tcPr>
            <w:tcW w:w="1749" w:type="dxa"/>
            <w:shd w:val="clear" w:color="auto" w:fill="auto"/>
            <w:tcMar>
              <w:left w:w="108" w:type="dxa"/>
            </w:tcMar>
            <w:vAlign w:val="center"/>
          </w:tcPr>
          <w:p w14:paraId="7C7FEB47" w14:textId="77777777" w:rsidR="00001CD9" w:rsidRPr="007D448B" w:rsidRDefault="00001CD9" w:rsidP="00001CD9">
            <w:pPr>
              <w:pStyle w:val="ExhibitText"/>
              <w:tabs>
                <w:tab w:val="decimal" w:pos="806"/>
              </w:tabs>
              <w:rPr>
                <w:rFonts w:eastAsiaTheme="minorHAnsi" w:cstheme="minorBidi"/>
              </w:rPr>
            </w:pPr>
            <w:r w:rsidRPr="007D448B">
              <w:rPr>
                <w:lang w:eastAsia="en-CA"/>
              </w:rPr>
              <w:t>18.75</w:t>
            </w:r>
          </w:p>
        </w:tc>
      </w:tr>
      <w:tr w:rsidR="00001CD9" w:rsidRPr="007D448B" w14:paraId="6099724C" w14:textId="77777777" w:rsidTr="00196DC2">
        <w:trPr>
          <w:trHeight w:val="281"/>
          <w:jc w:val="center"/>
        </w:trPr>
        <w:tc>
          <w:tcPr>
            <w:tcW w:w="1475" w:type="dxa"/>
            <w:shd w:val="clear" w:color="auto" w:fill="auto"/>
            <w:tcMar>
              <w:left w:w="108" w:type="dxa"/>
            </w:tcMar>
            <w:vAlign w:val="center"/>
          </w:tcPr>
          <w:p w14:paraId="7BE6B700" w14:textId="2124E355" w:rsidR="00001CD9" w:rsidRPr="007D448B" w:rsidRDefault="00001CD9" w:rsidP="00001CD9">
            <w:pPr>
              <w:pStyle w:val="ExhibitText"/>
              <w:jc w:val="center"/>
              <w:rPr>
                <w:rFonts w:eastAsiaTheme="minorHAnsi" w:cstheme="minorBidi"/>
              </w:rPr>
            </w:pPr>
            <w:r w:rsidRPr="007D448B">
              <w:rPr>
                <w:lang w:eastAsia="en-CA"/>
              </w:rPr>
              <w:t>May</w:t>
            </w:r>
            <w:r>
              <w:rPr>
                <w:lang w:eastAsia="en-CA"/>
              </w:rPr>
              <w:t xml:space="preserve"> 2, 20</w:t>
            </w:r>
            <w:r w:rsidRPr="007D448B">
              <w:rPr>
                <w:lang w:eastAsia="en-CA"/>
              </w:rPr>
              <w:t>02</w:t>
            </w:r>
          </w:p>
        </w:tc>
        <w:tc>
          <w:tcPr>
            <w:tcW w:w="1300" w:type="dxa"/>
            <w:shd w:val="clear" w:color="auto" w:fill="auto"/>
            <w:tcMar>
              <w:left w:w="108" w:type="dxa"/>
            </w:tcMar>
            <w:vAlign w:val="center"/>
          </w:tcPr>
          <w:p w14:paraId="5D077056" w14:textId="3025D3C3" w:rsidR="00001CD9" w:rsidRPr="007D448B" w:rsidRDefault="00001CD9" w:rsidP="00001CD9">
            <w:pPr>
              <w:pStyle w:val="ExhibitText"/>
              <w:tabs>
                <w:tab w:val="decimal" w:pos="683"/>
              </w:tabs>
              <w:rPr>
                <w:rFonts w:eastAsiaTheme="minorHAnsi" w:cstheme="minorBidi"/>
              </w:rPr>
            </w:pPr>
            <w:r>
              <w:rPr>
                <w:lang w:eastAsia="en-CA"/>
              </w:rPr>
              <w:t>1:00</w:t>
            </w:r>
          </w:p>
        </w:tc>
        <w:tc>
          <w:tcPr>
            <w:tcW w:w="1749" w:type="dxa"/>
            <w:shd w:val="clear" w:color="auto" w:fill="auto"/>
            <w:tcMar>
              <w:left w:w="108" w:type="dxa"/>
            </w:tcMar>
            <w:vAlign w:val="center"/>
          </w:tcPr>
          <w:p w14:paraId="016D7E78" w14:textId="77777777" w:rsidR="00001CD9" w:rsidRPr="007D448B" w:rsidRDefault="00001CD9" w:rsidP="00001CD9">
            <w:pPr>
              <w:pStyle w:val="ExhibitText"/>
              <w:tabs>
                <w:tab w:val="decimal" w:pos="806"/>
              </w:tabs>
              <w:rPr>
                <w:rFonts w:eastAsiaTheme="minorHAnsi" w:cstheme="minorBidi"/>
              </w:rPr>
            </w:pPr>
            <w:r w:rsidRPr="007D448B">
              <w:rPr>
                <w:lang w:eastAsia="en-CA"/>
              </w:rPr>
              <w:t>18.89</w:t>
            </w:r>
          </w:p>
        </w:tc>
      </w:tr>
      <w:tr w:rsidR="00001CD9" w:rsidRPr="007D448B" w14:paraId="09D028E3" w14:textId="77777777" w:rsidTr="00196DC2">
        <w:trPr>
          <w:trHeight w:val="281"/>
          <w:jc w:val="center"/>
        </w:trPr>
        <w:tc>
          <w:tcPr>
            <w:tcW w:w="1475" w:type="dxa"/>
            <w:shd w:val="clear" w:color="auto" w:fill="auto"/>
            <w:tcMar>
              <w:left w:w="108" w:type="dxa"/>
            </w:tcMar>
            <w:vAlign w:val="center"/>
          </w:tcPr>
          <w:p w14:paraId="79C2A9FE" w14:textId="5B1D61DB" w:rsidR="00001CD9" w:rsidRPr="007D448B" w:rsidRDefault="00001CD9" w:rsidP="00001CD9">
            <w:pPr>
              <w:pStyle w:val="ExhibitText"/>
              <w:jc w:val="center"/>
              <w:rPr>
                <w:rFonts w:eastAsiaTheme="minorHAnsi" w:cstheme="minorBidi"/>
              </w:rPr>
            </w:pPr>
            <w:r w:rsidRPr="007D448B">
              <w:rPr>
                <w:lang w:eastAsia="en-CA"/>
              </w:rPr>
              <w:t>May</w:t>
            </w:r>
            <w:r>
              <w:rPr>
                <w:lang w:eastAsia="en-CA"/>
              </w:rPr>
              <w:t xml:space="preserve"> 2, 20</w:t>
            </w:r>
            <w:r w:rsidRPr="007D448B">
              <w:rPr>
                <w:lang w:eastAsia="en-CA"/>
              </w:rPr>
              <w:t>02</w:t>
            </w:r>
          </w:p>
        </w:tc>
        <w:tc>
          <w:tcPr>
            <w:tcW w:w="1300" w:type="dxa"/>
            <w:shd w:val="clear" w:color="auto" w:fill="auto"/>
            <w:tcMar>
              <w:left w:w="108" w:type="dxa"/>
            </w:tcMar>
            <w:vAlign w:val="center"/>
          </w:tcPr>
          <w:p w14:paraId="3C007F84" w14:textId="36399A6F" w:rsidR="00001CD9" w:rsidRPr="007D448B" w:rsidRDefault="00001CD9" w:rsidP="00001CD9">
            <w:pPr>
              <w:pStyle w:val="ExhibitText"/>
              <w:tabs>
                <w:tab w:val="decimal" w:pos="683"/>
              </w:tabs>
              <w:rPr>
                <w:rFonts w:eastAsiaTheme="minorHAnsi" w:cstheme="minorBidi"/>
              </w:rPr>
            </w:pPr>
            <w:r>
              <w:rPr>
                <w:lang w:eastAsia="en-CA"/>
              </w:rPr>
              <w:t>2:00</w:t>
            </w:r>
          </w:p>
        </w:tc>
        <w:tc>
          <w:tcPr>
            <w:tcW w:w="1749" w:type="dxa"/>
            <w:shd w:val="clear" w:color="auto" w:fill="auto"/>
            <w:tcMar>
              <w:left w:w="108" w:type="dxa"/>
            </w:tcMar>
            <w:vAlign w:val="center"/>
          </w:tcPr>
          <w:p w14:paraId="7A28C9BC" w14:textId="7A2B989B" w:rsidR="00001CD9" w:rsidRPr="007D448B" w:rsidRDefault="00001CD9" w:rsidP="00001CD9">
            <w:pPr>
              <w:pStyle w:val="ExhibitText"/>
              <w:tabs>
                <w:tab w:val="decimal" w:pos="806"/>
              </w:tabs>
              <w:rPr>
                <w:rFonts w:eastAsiaTheme="minorHAnsi" w:cstheme="minorBidi"/>
              </w:rPr>
            </w:pPr>
            <w:r w:rsidRPr="007D448B">
              <w:rPr>
                <w:lang w:eastAsia="en-CA"/>
              </w:rPr>
              <w:t>23.3</w:t>
            </w:r>
            <w:r>
              <w:rPr>
                <w:lang w:eastAsia="en-CA"/>
              </w:rPr>
              <w:t>0</w:t>
            </w:r>
          </w:p>
        </w:tc>
      </w:tr>
      <w:tr w:rsidR="00001CD9" w:rsidRPr="007D448B" w14:paraId="5CF678C3" w14:textId="77777777" w:rsidTr="00196DC2">
        <w:trPr>
          <w:trHeight w:val="281"/>
          <w:jc w:val="center"/>
        </w:trPr>
        <w:tc>
          <w:tcPr>
            <w:tcW w:w="1475" w:type="dxa"/>
            <w:shd w:val="clear" w:color="auto" w:fill="auto"/>
            <w:tcMar>
              <w:left w:w="108" w:type="dxa"/>
            </w:tcMar>
            <w:vAlign w:val="center"/>
          </w:tcPr>
          <w:p w14:paraId="11BD3C0C" w14:textId="5CC33737" w:rsidR="00001CD9" w:rsidRPr="007D448B" w:rsidRDefault="00001CD9" w:rsidP="00001CD9">
            <w:pPr>
              <w:pStyle w:val="ExhibitText"/>
              <w:jc w:val="center"/>
              <w:rPr>
                <w:rFonts w:eastAsiaTheme="minorHAnsi" w:cstheme="minorBidi"/>
              </w:rPr>
            </w:pPr>
            <w:r w:rsidRPr="007D448B">
              <w:rPr>
                <w:lang w:eastAsia="en-CA"/>
              </w:rPr>
              <w:t>May</w:t>
            </w:r>
            <w:r>
              <w:rPr>
                <w:lang w:eastAsia="en-CA"/>
              </w:rPr>
              <w:t xml:space="preserve"> 2, 20</w:t>
            </w:r>
            <w:r w:rsidRPr="007D448B">
              <w:rPr>
                <w:lang w:eastAsia="en-CA"/>
              </w:rPr>
              <w:t>02</w:t>
            </w:r>
          </w:p>
        </w:tc>
        <w:tc>
          <w:tcPr>
            <w:tcW w:w="1300" w:type="dxa"/>
            <w:shd w:val="clear" w:color="auto" w:fill="auto"/>
            <w:tcMar>
              <w:left w:w="108" w:type="dxa"/>
            </w:tcMar>
            <w:vAlign w:val="center"/>
          </w:tcPr>
          <w:p w14:paraId="23B558F3" w14:textId="5AE66FCF" w:rsidR="00001CD9" w:rsidRPr="007D448B" w:rsidRDefault="00001CD9" w:rsidP="00001CD9">
            <w:pPr>
              <w:pStyle w:val="ExhibitText"/>
              <w:tabs>
                <w:tab w:val="decimal" w:pos="683"/>
              </w:tabs>
              <w:rPr>
                <w:rFonts w:eastAsiaTheme="minorHAnsi" w:cstheme="minorBidi"/>
              </w:rPr>
            </w:pPr>
            <w:r>
              <w:rPr>
                <w:lang w:eastAsia="en-CA"/>
              </w:rPr>
              <w:t>3:00</w:t>
            </w:r>
          </w:p>
        </w:tc>
        <w:tc>
          <w:tcPr>
            <w:tcW w:w="1749" w:type="dxa"/>
            <w:shd w:val="clear" w:color="auto" w:fill="auto"/>
            <w:tcMar>
              <w:left w:w="108" w:type="dxa"/>
            </w:tcMar>
            <w:vAlign w:val="center"/>
          </w:tcPr>
          <w:p w14:paraId="7F222BC7" w14:textId="77777777" w:rsidR="00001CD9" w:rsidRPr="007D448B" w:rsidRDefault="00001CD9" w:rsidP="00001CD9">
            <w:pPr>
              <w:pStyle w:val="ExhibitText"/>
              <w:tabs>
                <w:tab w:val="decimal" w:pos="806"/>
              </w:tabs>
              <w:rPr>
                <w:rFonts w:eastAsiaTheme="minorHAnsi" w:cstheme="minorBidi"/>
              </w:rPr>
            </w:pPr>
            <w:r w:rsidRPr="007D448B">
              <w:rPr>
                <w:lang w:eastAsia="en-CA"/>
              </w:rPr>
              <w:t>20.56</w:t>
            </w:r>
          </w:p>
        </w:tc>
      </w:tr>
      <w:tr w:rsidR="007D448B" w:rsidRPr="007D448B" w14:paraId="07886AEB" w14:textId="77777777" w:rsidTr="00196DC2">
        <w:trPr>
          <w:trHeight w:val="281"/>
          <w:jc w:val="center"/>
        </w:trPr>
        <w:tc>
          <w:tcPr>
            <w:tcW w:w="1475" w:type="dxa"/>
            <w:shd w:val="clear" w:color="auto" w:fill="auto"/>
            <w:tcMar>
              <w:left w:w="108" w:type="dxa"/>
            </w:tcMar>
            <w:vAlign w:val="center"/>
          </w:tcPr>
          <w:p w14:paraId="7683BA43" w14:textId="77777777" w:rsidR="007D448B" w:rsidRPr="007D448B" w:rsidRDefault="007D448B" w:rsidP="00196DC2">
            <w:pPr>
              <w:pStyle w:val="ExhibitText"/>
              <w:jc w:val="center"/>
              <w:rPr>
                <w:rFonts w:eastAsiaTheme="minorHAnsi" w:cstheme="minorBidi"/>
              </w:rPr>
            </w:pPr>
            <w:r w:rsidRPr="007D448B">
              <w:rPr>
                <w:lang w:eastAsia="en-CA"/>
              </w:rPr>
              <w:t>…</w:t>
            </w:r>
          </w:p>
        </w:tc>
        <w:tc>
          <w:tcPr>
            <w:tcW w:w="1300" w:type="dxa"/>
            <w:shd w:val="clear" w:color="auto" w:fill="auto"/>
            <w:tcMar>
              <w:left w:w="108" w:type="dxa"/>
            </w:tcMar>
            <w:vAlign w:val="center"/>
          </w:tcPr>
          <w:p w14:paraId="368D8BFC" w14:textId="77777777" w:rsidR="007D448B" w:rsidRPr="007D448B" w:rsidRDefault="007D448B" w:rsidP="005974D3">
            <w:pPr>
              <w:pStyle w:val="ExhibitText"/>
              <w:tabs>
                <w:tab w:val="decimal" w:pos="683"/>
              </w:tabs>
              <w:rPr>
                <w:rFonts w:eastAsiaTheme="minorHAnsi" w:cstheme="minorBidi"/>
              </w:rPr>
            </w:pPr>
            <w:r w:rsidRPr="007D448B">
              <w:rPr>
                <w:lang w:eastAsia="en-CA"/>
              </w:rPr>
              <w:t>…</w:t>
            </w:r>
          </w:p>
        </w:tc>
        <w:tc>
          <w:tcPr>
            <w:tcW w:w="1749" w:type="dxa"/>
            <w:shd w:val="clear" w:color="auto" w:fill="auto"/>
            <w:tcMar>
              <w:left w:w="108" w:type="dxa"/>
            </w:tcMar>
            <w:vAlign w:val="center"/>
          </w:tcPr>
          <w:p w14:paraId="6F400EE5" w14:textId="77777777" w:rsidR="007D448B" w:rsidRPr="007D448B" w:rsidRDefault="007D448B" w:rsidP="005974D3">
            <w:pPr>
              <w:pStyle w:val="ExhibitText"/>
              <w:tabs>
                <w:tab w:val="decimal" w:pos="806"/>
              </w:tabs>
              <w:rPr>
                <w:rFonts w:eastAsiaTheme="minorHAnsi" w:cstheme="minorBidi"/>
              </w:rPr>
            </w:pPr>
            <w:r w:rsidRPr="007D448B">
              <w:rPr>
                <w:lang w:eastAsia="en-CA"/>
              </w:rPr>
              <w:t>…</w:t>
            </w:r>
          </w:p>
        </w:tc>
      </w:tr>
      <w:tr w:rsidR="007D448B" w:rsidRPr="007D448B" w14:paraId="7D8A85E6" w14:textId="77777777" w:rsidTr="00196DC2">
        <w:trPr>
          <w:trHeight w:val="281"/>
          <w:jc w:val="center"/>
        </w:trPr>
        <w:tc>
          <w:tcPr>
            <w:tcW w:w="1475" w:type="dxa"/>
            <w:shd w:val="clear" w:color="auto" w:fill="auto"/>
            <w:tcMar>
              <w:left w:w="108" w:type="dxa"/>
            </w:tcMar>
            <w:vAlign w:val="center"/>
          </w:tcPr>
          <w:p w14:paraId="177A7970" w14:textId="77777777" w:rsidR="007D448B" w:rsidRPr="007D448B" w:rsidRDefault="007D448B" w:rsidP="00196DC2">
            <w:pPr>
              <w:pStyle w:val="ExhibitText"/>
              <w:jc w:val="center"/>
              <w:rPr>
                <w:rFonts w:eastAsiaTheme="minorHAnsi" w:cstheme="minorBidi"/>
              </w:rPr>
            </w:pPr>
            <w:r w:rsidRPr="007D448B">
              <w:rPr>
                <w:lang w:eastAsia="en-CA"/>
              </w:rPr>
              <w:t>…</w:t>
            </w:r>
          </w:p>
        </w:tc>
        <w:tc>
          <w:tcPr>
            <w:tcW w:w="1300" w:type="dxa"/>
            <w:shd w:val="clear" w:color="auto" w:fill="auto"/>
            <w:tcMar>
              <w:left w:w="108" w:type="dxa"/>
            </w:tcMar>
            <w:vAlign w:val="center"/>
          </w:tcPr>
          <w:p w14:paraId="50917CC7" w14:textId="77777777" w:rsidR="007D448B" w:rsidRPr="007D448B" w:rsidRDefault="007D448B" w:rsidP="005974D3">
            <w:pPr>
              <w:pStyle w:val="ExhibitText"/>
              <w:tabs>
                <w:tab w:val="decimal" w:pos="683"/>
              </w:tabs>
              <w:rPr>
                <w:rFonts w:eastAsiaTheme="minorHAnsi" w:cstheme="minorBidi"/>
              </w:rPr>
            </w:pPr>
            <w:r w:rsidRPr="007D448B">
              <w:rPr>
                <w:lang w:eastAsia="en-CA"/>
              </w:rPr>
              <w:t>…</w:t>
            </w:r>
          </w:p>
        </w:tc>
        <w:tc>
          <w:tcPr>
            <w:tcW w:w="1749" w:type="dxa"/>
            <w:shd w:val="clear" w:color="auto" w:fill="auto"/>
            <w:tcMar>
              <w:left w:w="108" w:type="dxa"/>
            </w:tcMar>
            <w:vAlign w:val="center"/>
          </w:tcPr>
          <w:p w14:paraId="786CB5E2" w14:textId="77777777" w:rsidR="007D448B" w:rsidRPr="007D448B" w:rsidRDefault="007D448B" w:rsidP="005974D3">
            <w:pPr>
              <w:pStyle w:val="ExhibitText"/>
              <w:tabs>
                <w:tab w:val="decimal" w:pos="806"/>
              </w:tabs>
              <w:rPr>
                <w:rFonts w:eastAsiaTheme="minorHAnsi" w:cstheme="minorBidi"/>
              </w:rPr>
            </w:pPr>
            <w:r w:rsidRPr="007D448B">
              <w:rPr>
                <w:lang w:eastAsia="en-CA"/>
              </w:rPr>
              <w:t>…</w:t>
            </w:r>
          </w:p>
        </w:tc>
      </w:tr>
      <w:tr w:rsidR="007D448B" w:rsidRPr="007D448B" w14:paraId="6CA1F72D" w14:textId="77777777" w:rsidTr="00196DC2">
        <w:trPr>
          <w:trHeight w:val="281"/>
          <w:jc w:val="center"/>
        </w:trPr>
        <w:tc>
          <w:tcPr>
            <w:tcW w:w="1475" w:type="dxa"/>
            <w:shd w:val="clear" w:color="auto" w:fill="auto"/>
            <w:tcMar>
              <w:left w:w="108" w:type="dxa"/>
            </w:tcMar>
            <w:vAlign w:val="center"/>
          </w:tcPr>
          <w:p w14:paraId="463FD0D9" w14:textId="77777777" w:rsidR="007D448B" w:rsidRPr="007D448B" w:rsidRDefault="007D448B" w:rsidP="00196DC2">
            <w:pPr>
              <w:pStyle w:val="ExhibitText"/>
              <w:jc w:val="center"/>
              <w:rPr>
                <w:rFonts w:eastAsiaTheme="minorHAnsi" w:cstheme="minorBidi"/>
              </w:rPr>
            </w:pPr>
            <w:r w:rsidRPr="007D448B">
              <w:rPr>
                <w:lang w:eastAsia="en-CA"/>
              </w:rPr>
              <w:t>…</w:t>
            </w:r>
          </w:p>
        </w:tc>
        <w:tc>
          <w:tcPr>
            <w:tcW w:w="1300" w:type="dxa"/>
            <w:shd w:val="clear" w:color="auto" w:fill="auto"/>
            <w:tcMar>
              <w:left w:w="108" w:type="dxa"/>
            </w:tcMar>
            <w:vAlign w:val="center"/>
          </w:tcPr>
          <w:p w14:paraId="193BFE42" w14:textId="77777777" w:rsidR="007D448B" w:rsidRPr="007D448B" w:rsidRDefault="007D448B" w:rsidP="005974D3">
            <w:pPr>
              <w:pStyle w:val="ExhibitText"/>
              <w:tabs>
                <w:tab w:val="decimal" w:pos="683"/>
              </w:tabs>
              <w:rPr>
                <w:rFonts w:eastAsiaTheme="minorHAnsi" w:cstheme="minorBidi"/>
              </w:rPr>
            </w:pPr>
            <w:r w:rsidRPr="007D448B">
              <w:rPr>
                <w:lang w:eastAsia="en-CA"/>
              </w:rPr>
              <w:t>…</w:t>
            </w:r>
          </w:p>
        </w:tc>
        <w:tc>
          <w:tcPr>
            <w:tcW w:w="1749" w:type="dxa"/>
            <w:shd w:val="clear" w:color="auto" w:fill="auto"/>
            <w:tcMar>
              <w:left w:w="108" w:type="dxa"/>
            </w:tcMar>
            <w:vAlign w:val="center"/>
          </w:tcPr>
          <w:p w14:paraId="2D95F342" w14:textId="77777777" w:rsidR="007D448B" w:rsidRPr="007D448B" w:rsidRDefault="007D448B" w:rsidP="005974D3">
            <w:pPr>
              <w:pStyle w:val="ExhibitText"/>
              <w:tabs>
                <w:tab w:val="decimal" w:pos="806"/>
              </w:tabs>
              <w:rPr>
                <w:rFonts w:eastAsiaTheme="minorHAnsi" w:cstheme="minorBidi"/>
              </w:rPr>
            </w:pPr>
            <w:r w:rsidRPr="007D448B">
              <w:rPr>
                <w:lang w:eastAsia="en-CA"/>
              </w:rPr>
              <w:t>…</w:t>
            </w:r>
          </w:p>
        </w:tc>
      </w:tr>
      <w:tr w:rsidR="007D448B" w:rsidRPr="007D448B" w14:paraId="64D1372B" w14:textId="77777777" w:rsidTr="00196DC2">
        <w:trPr>
          <w:trHeight w:val="281"/>
          <w:jc w:val="center"/>
        </w:trPr>
        <w:tc>
          <w:tcPr>
            <w:tcW w:w="1475" w:type="dxa"/>
            <w:shd w:val="clear" w:color="auto" w:fill="auto"/>
            <w:tcMar>
              <w:left w:w="108" w:type="dxa"/>
            </w:tcMar>
            <w:vAlign w:val="center"/>
          </w:tcPr>
          <w:p w14:paraId="1C946F23" w14:textId="139657A4"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057859E0" w14:textId="555C5015" w:rsidR="007D448B" w:rsidRPr="007D448B" w:rsidRDefault="00001CD9" w:rsidP="005974D3">
            <w:pPr>
              <w:pStyle w:val="ExhibitText"/>
              <w:tabs>
                <w:tab w:val="decimal" w:pos="683"/>
              </w:tabs>
              <w:rPr>
                <w:rFonts w:eastAsiaTheme="minorHAnsi" w:cstheme="minorBidi"/>
              </w:rPr>
            </w:pPr>
            <w:r>
              <w:rPr>
                <w:rFonts w:eastAsiaTheme="minorHAnsi"/>
              </w:rPr>
              <w:t>9:00</w:t>
            </w:r>
          </w:p>
        </w:tc>
        <w:tc>
          <w:tcPr>
            <w:tcW w:w="1749" w:type="dxa"/>
            <w:shd w:val="clear" w:color="auto" w:fill="auto"/>
            <w:tcMar>
              <w:left w:w="108" w:type="dxa"/>
            </w:tcMar>
            <w:vAlign w:val="center"/>
          </w:tcPr>
          <w:p w14:paraId="751C96C7"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5.11</w:t>
            </w:r>
          </w:p>
        </w:tc>
      </w:tr>
      <w:tr w:rsidR="007D448B" w:rsidRPr="007D448B" w14:paraId="20EA14F1" w14:textId="77777777" w:rsidTr="00196DC2">
        <w:trPr>
          <w:trHeight w:val="281"/>
          <w:jc w:val="center"/>
        </w:trPr>
        <w:tc>
          <w:tcPr>
            <w:tcW w:w="1475" w:type="dxa"/>
            <w:shd w:val="clear" w:color="auto" w:fill="auto"/>
            <w:tcMar>
              <w:left w:w="108" w:type="dxa"/>
            </w:tcMar>
            <w:vAlign w:val="center"/>
          </w:tcPr>
          <w:p w14:paraId="493E5598" w14:textId="4B12461B"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7766946A" w14:textId="51792772" w:rsidR="007D448B" w:rsidRPr="007D448B" w:rsidRDefault="00001CD9" w:rsidP="005974D3">
            <w:pPr>
              <w:pStyle w:val="ExhibitText"/>
              <w:tabs>
                <w:tab w:val="decimal" w:pos="683"/>
              </w:tabs>
              <w:rPr>
                <w:rFonts w:eastAsiaTheme="minorHAnsi" w:cstheme="minorBidi"/>
              </w:rPr>
            </w:pPr>
            <w:r>
              <w:rPr>
                <w:rFonts w:eastAsiaTheme="minorHAnsi"/>
              </w:rPr>
              <w:t>10:00</w:t>
            </w:r>
          </w:p>
        </w:tc>
        <w:tc>
          <w:tcPr>
            <w:tcW w:w="1749" w:type="dxa"/>
            <w:shd w:val="clear" w:color="auto" w:fill="auto"/>
            <w:tcMar>
              <w:left w:w="108" w:type="dxa"/>
            </w:tcMar>
            <w:vAlign w:val="center"/>
          </w:tcPr>
          <w:p w14:paraId="35588B70"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5.87</w:t>
            </w:r>
          </w:p>
        </w:tc>
      </w:tr>
      <w:tr w:rsidR="007D448B" w:rsidRPr="007D448B" w14:paraId="75C9A8EB" w14:textId="77777777" w:rsidTr="00196DC2">
        <w:trPr>
          <w:trHeight w:val="281"/>
          <w:jc w:val="center"/>
        </w:trPr>
        <w:tc>
          <w:tcPr>
            <w:tcW w:w="1475" w:type="dxa"/>
            <w:shd w:val="clear" w:color="auto" w:fill="auto"/>
            <w:tcMar>
              <w:left w:w="108" w:type="dxa"/>
            </w:tcMar>
            <w:vAlign w:val="center"/>
          </w:tcPr>
          <w:p w14:paraId="4F321F71" w14:textId="1E58D5EE"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50ED0D3D" w14:textId="2FEB16E2" w:rsidR="007D448B" w:rsidRPr="007D448B" w:rsidRDefault="00001CD9" w:rsidP="005974D3">
            <w:pPr>
              <w:pStyle w:val="ExhibitText"/>
              <w:tabs>
                <w:tab w:val="decimal" w:pos="683"/>
              </w:tabs>
              <w:rPr>
                <w:rFonts w:eastAsiaTheme="minorHAnsi" w:cstheme="minorBidi"/>
              </w:rPr>
            </w:pPr>
            <w:r>
              <w:rPr>
                <w:rFonts w:eastAsiaTheme="minorHAnsi"/>
              </w:rPr>
              <w:t>11:00</w:t>
            </w:r>
          </w:p>
        </w:tc>
        <w:tc>
          <w:tcPr>
            <w:tcW w:w="1749" w:type="dxa"/>
            <w:shd w:val="clear" w:color="auto" w:fill="auto"/>
            <w:tcMar>
              <w:left w:w="108" w:type="dxa"/>
            </w:tcMar>
            <w:vAlign w:val="center"/>
          </w:tcPr>
          <w:p w14:paraId="3121B92C"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5.91</w:t>
            </w:r>
          </w:p>
        </w:tc>
      </w:tr>
      <w:tr w:rsidR="007D448B" w:rsidRPr="007D448B" w14:paraId="0E18C813" w14:textId="77777777" w:rsidTr="00196DC2">
        <w:trPr>
          <w:trHeight w:val="281"/>
          <w:jc w:val="center"/>
        </w:trPr>
        <w:tc>
          <w:tcPr>
            <w:tcW w:w="1475" w:type="dxa"/>
            <w:shd w:val="clear" w:color="auto" w:fill="auto"/>
            <w:tcMar>
              <w:left w:w="108" w:type="dxa"/>
            </w:tcMar>
            <w:vAlign w:val="center"/>
          </w:tcPr>
          <w:p w14:paraId="54623AB4" w14:textId="029B74CC"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5772E4A1" w14:textId="68D9A71A" w:rsidR="007D448B" w:rsidRPr="007D448B" w:rsidRDefault="00001CD9" w:rsidP="005974D3">
            <w:pPr>
              <w:pStyle w:val="ExhibitText"/>
              <w:tabs>
                <w:tab w:val="decimal" w:pos="683"/>
              </w:tabs>
              <w:rPr>
                <w:rFonts w:eastAsiaTheme="minorHAnsi" w:cstheme="minorBidi"/>
              </w:rPr>
            </w:pPr>
            <w:r>
              <w:rPr>
                <w:rFonts w:eastAsiaTheme="minorHAnsi"/>
              </w:rPr>
              <w:t>12:00</w:t>
            </w:r>
          </w:p>
        </w:tc>
        <w:tc>
          <w:tcPr>
            <w:tcW w:w="1749" w:type="dxa"/>
            <w:shd w:val="clear" w:color="auto" w:fill="auto"/>
            <w:tcMar>
              <w:left w:w="108" w:type="dxa"/>
            </w:tcMar>
            <w:vAlign w:val="center"/>
          </w:tcPr>
          <w:p w14:paraId="6DB9DB23"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5.89</w:t>
            </w:r>
          </w:p>
        </w:tc>
      </w:tr>
      <w:tr w:rsidR="007D448B" w:rsidRPr="007D448B" w14:paraId="5698A9F9" w14:textId="77777777" w:rsidTr="00196DC2">
        <w:trPr>
          <w:trHeight w:val="281"/>
          <w:jc w:val="center"/>
        </w:trPr>
        <w:tc>
          <w:tcPr>
            <w:tcW w:w="1475" w:type="dxa"/>
            <w:shd w:val="clear" w:color="auto" w:fill="auto"/>
            <w:tcMar>
              <w:left w:w="108" w:type="dxa"/>
            </w:tcMar>
            <w:vAlign w:val="center"/>
          </w:tcPr>
          <w:p w14:paraId="67C04C34" w14:textId="41642155"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573855C9" w14:textId="00EC89D5" w:rsidR="007D448B" w:rsidRPr="007D448B" w:rsidRDefault="00001CD9" w:rsidP="005974D3">
            <w:pPr>
              <w:pStyle w:val="ExhibitText"/>
              <w:tabs>
                <w:tab w:val="decimal" w:pos="683"/>
              </w:tabs>
              <w:rPr>
                <w:rFonts w:eastAsiaTheme="minorHAnsi" w:cstheme="minorBidi"/>
              </w:rPr>
            </w:pPr>
            <w:r>
              <w:rPr>
                <w:rFonts w:eastAsiaTheme="minorHAnsi"/>
              </w:rPr>
              <w:t>13:00</w:t>
            </w:r>
          </w:p>
        </w:tc>
        <w:tc>
          <w:tcPr>
            <w:tcW w:w="1749" w:type="dxa"/>
            <w:shd w:val="clear" w:color="auto" w:fill="auto"/>
            <w:tcMar>
              <w:left w:w="108" w:type="dxa"/>
            </w:tcMar>
            <w:vAlign w:val="center"/>
          </w:tcPr>
          <w:p w14:paraId="273FD344"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5.84</w:t>
            </w:r>
          </w:p>
        </w:tc>
      </w:tr>
      <w:tr w:rsidR="007D448B" w:rsidRPr="007D448B" w14:paraId="23D735E9" w14:textId="77777777" w:rsidTr="00196DC2">
        <w:trPr>
          <w:trHeight w:val="281"/>
          <w:jc w:val="center"/>
        </w:trPr>
        <w:tc>
          <w:tcPr>
            <w:tcW w:w="1475" w:type="dxa"/>
            <w:shd w:val="clear" w:color="auto" w:fill="auto"/>
            <w:tcMar>
              <w:left w:w="108" w:type="dxa"/>
            </w:tcMar>
            <w:vAlign w:val="center"/>
          </w:tcPr>
          <w:p w14:paraId="39BDA03B" w14:textId="22C9CA7C"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3AB8CB0E" w14:textId="0D706DC0" w:rsidR="007D448B" w:rsidRPr="007D448B" w:rsidRDefault="00001CD9" w:rsidP="005974D3">
            <w:pPr>
              <w:pStyle w:val="ExhibitText"/>
              <w:tabs>
                <w:tab w:val="decimal" w:pos="683"/>
              </w:tabs>
              <w:rPr>
                <w:rFonts w:eastAsiaTheme="minorHAnsi" w:cstheme="minorBidi"/>
              </w:rPr>
            </w:pPr>
            <w:r>
              <w:rPr>
                <w:rFonts w:eastAsiaTheme="minorHAnsi"/>
              </w:rPr>
              <w:t>14:00</w:t>
            </w:r>
          </w:p>
        </w:tc>
        <w:tc>
          <w:tcPr>
            <w:tcW w:w="1749" w:type="dxa"/>
            <w:shd w:val="clear" w:color="auto" w:fill="auto"/>
            <w:tcMar>
              <w:left w:w="108" w:type="dxa"/>
            </w:tcMar>
            <w:vAlign w:val="center"/>
          </w:tcPr>
          <w:p w14:paraId="5E52A6D6"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5.77</w:t>
            </w:r>
          </w:p>
        </w:tc>
      </w:tr>
      <w:tr w:rsidR="007D448B" w:rsidRPr="007D448B" w14:paraId="2B8C0B43" w14:textId="77777777" w:rsidTr="00196DC2">
        <w:trPr>
          <w:trHeight w:val="281"/>
          <w:jc w:val="center"/>
        </w:trPr>
        <w:tc>
          <w:tcPr>
            <w:tcW w:w="1475" w:type="dxa"/>
            <w:shd w:val="clear" w:color="auto" w:fill="auto"/>
            <w:tcMar>
              <w:left w:w="108" w:type="dxa"/>
            </w:tcMar>
            <w:vAlign w:val="center"/>
          </w:tcPr>
          <w:p w14:paraId="123C0124" w14:textId="1B7D5FD2"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23047F39" w14:textId="2D2F0929" w:rsidR="007D448B" w:rsidRPr="007D448B" w:rsidRDefault="00001CD9" w:rsidP="005974D3">
            <w:pPr>
              <w:pStyle w:val="ExhibitText"/>
              <w:tabs>
                <w:tab w:val="decimal" w:pos="683"/>
              </w:tabs>
              <w:rPr>
                <w:rFonts w:eastAsiaTheme="minorHAnsi" w:cstheme="minorBidi"/>
              </w:rPr>
            </w:pPr>
            <w:r>
              <w:rPr>
                <w:rFonts w:eastAsiaTheme="minorHAnsi"/>
              </w:rPr>
              <w:t>15:00</w:t>
            </w:r>
          </w:p>
        </w:tc>
        <w:tc>
          <w:tcPr>
            <w:tcW w:w="1749" w:type="dxa"/>
            <w:shd w:val="clear" w:color="auto" w:fill="auto"/>
            <w:tcMar>
              <w:left w:w="108" w:type="dxa"/>
            </w:tcMar>
            <w:vAlign w:val="center"/>
          </w:tcPr>
          <w:p w14:paraId="7E916992"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5.48</w:t>
            </w:r>
          </w:p>
        </w:tc>
      </w:tr>
      <w:tr w:rsidR="007D448B" w:rsidRPr="007D448B" w14:paraId="7D995771" w14:textId="77777777" w:rsidTr="00196DC2">
        <w:trPr>
          <w:trHeight w:val="281"/>
          <w:jc w:val="center"/>
        </w:trPr>
        <w:tc>
          <w:tcPr>
            <w:tcW w:w="1475" w:type="dxa"/>
            <w:shd w:val="clear" w:color="auto" w:fill="auto"/>
            <w:tcMar>
              <w:left w:w="108" w:type="dxa"/>
            </w:tcMar>
            <w:vAlign w:val="center"/>
          </w:tcPr>
          <w:p w14:paraId="3698E1AE" w14:textId="0D94ED9A"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2216AFF9" w14:textId="007F47E5" w:rsidR="007D448B" w:rsidRPr="007D448B" w:rsidRDefault="00001CD9" w:rsidP="005974D3">
            <w:pPr>
              <w:pStyle w:val="ExhibitText"/>
              <w:tabs>
                <w:tab w:val="decimal" w:pos="683"/>
              </w:tabs>
              <w:rPr>
                <w:rFonts w:eastAsiaTheme="minorHAnsi" w:cstheme="minorBidi"/>
              </w:rPr>
            </w:pPr>
            <w:r>
              <w:rPr>
                <w:rFonts w:eastAsiaTheme="minorHAnsi"/>
              </w:rPr>
              <w:t>16:00</w:t>
            </w:r>
          </w:p>
        </w:tc>
        <w:tc>
          <w:tcPr>
            <w:tcW w:w="1749" w:type="dxa"/>
            <w:shd w:val="clear" w:color="auto" w:fill="auto"/>
            <w:tcMar>
              <w:left w:w="108" w:type="dxa"/>
            </w:tcMar>
            <w:vAlign w:val="center"/>
          </w:tcPr>
          <w:p w14:paraId="5B699C2D"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7.27</w:t>
            </w:r>
          </w:p>
        </w:tc>
      </w:tr>
      <w:tr w:rsidR="007D448B" w:rsidRPr="007D448B" w14:paraId="08A5C97B" w14:textId="77777777" w:rsidTr="00196DC2">
        <w:trPr>
          <w:trHeight w:val="281"/>
          <w:jc w:val="center"/>
        </w:trPr>
        <w:tc>
          <w:tcPr>
            <w:tcW w:w="1475" w:type="dxa"/>
            <w:shd w:val="clear" w:color="auto" w:fill="auto"/>
            <w:tcMar>
              <w:left w:w="108" w:type="dxa"/>
            </w:tcMar>
            <w:vAlign w:val="center"/>
          </w:tcPr>
          <w:p w14:paraId="7EBC75DE" w14:textId="39DA7AE3"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1F02D48A" w14:textId="2DF5DDCB" w:rsidR="007D448B" w:rsidRPr="007D448B" w:rsidRDefault="00001CD9" w:rsidP="005974D3">
            <w:pPr>
              <w:pStyle w:val="ExhibitText"/>
              <w:tabs>
                <w:tab w:val="decimal" w:pos="683"/>
              </w:tabs>
              <w:rPr>
                <w:rFonts w:eastAsiaTheme="minorHAnsi" w:cstheme="minorBidi"/>
              </w:rPr>
            </w:pPr>
            <w:r>
              <w:rPr>
                <w:rFonts w:eastAsiaTheme="minorHAnsi"/>
              </w:rPr>
              <w:t>17:00</w:t>
            </w:r>
          </w:p>
        </w:tc>
        <w:tc>
          <w:tcPr>
            <w:tcW w:w="1749" w:type="dxa"/>
            <w:shd w:val="clear" w:color="auto" w:fill="auto"/>
            <w:tcMar>
              <w:left w:w="108" w:type="dxa"/>
            </w:tcMar>
            <w:vAlign w:val="center"/>
          </w:tcPr>
          <w:p w14:paraId="4AA07498"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5.89</w:t>
            </w:r>
          </w:p>
        </w:tc>
      </w:tr>
      <w:tr w:rsidR="007D448B" w:rsidRPr="007D448B" w14:paraId="7A64DBB6" w14:textId="77777777" w:rsidTr="00196DC2">
        <w:trPr>
          <w:trHeight w:val="281"/>
          <w:jc w:val="center"/>
        </w:trPr>
        <w:tc>
          <w:tcPr>
            <w:tcW w:w="1475" w:type="dxa"/>
            <w:shd w:val="clear" w:color="auto" w:fill="auto"/>
            <w:tcMar>
              <w:left w:w="108" w:type="dxa"/>
            </w:tcMar>
            <w:vAlign w:val="center"/>
          </w:tcPr>
          <w:p w14:paraId="5B2F3A7D" w14:textId="2B451953"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3DE3C033" w14:textId="4C4A7C6A" w:rsidR="007D448B" w:rsidRPr="007D448B" w:rsidRDefault="00001CD9" w:rsidP="005974D3">
            <w:pPr>
              <w:pStyle w:val="ExhibitText"/>
              <w:tabs>
                <w:tab w:val="decimal" w:pos="683"/>
              </w:tabs>
              <w:rPr>
                <w:rFonts w:eastAsiaTheme="minorHAnsi" w:cstheme="minorBidi"/>
              </w:rPr>
            </w:pPr>
            <w:r>
              <w:rPr>
                <w:rFonts w:eastAsiaTheme="minorHAnsi"/>
              </w:rPr>
              <w:t>18:00</w:t>
            </w:r>
          </w:p>
        </w:tc>
        <w:tc>
          <w:tcPr>
            <w:tcW w:w="1749" w:type="dxa"/>
            <w:shd w:val="clear" w:color="auto" w:fill="auto"/>
            <w:tcMar>
              <w:left w:w="108" w:type="dxa"/>
            </w:tcMar>
            <w:vAlign w:val="center"/>
          </w:tcPr>
          <w:p w14:paraId="655148DB"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7.36</w:t>
            </w:r>
          </w:p>
        </w:tc>
      </w:tr>
      <w:tr w:rsidR="007D448B" w:rsidRPr="007D448B" w14:paraId="1B76BAD3" w14:textId="77777777" w:rsidTr="00196DC2">
        <w:trPr>
          <w:trHeight w:val="281"/>
          <w:jc w:val="center"/>
        </w:trPr>
        <w:tc>
          <w:tcPr>
            <w:tcW w:w="1475" w:type="dxa"/>
            <w:shd w:val="clear" w:color="auto" w:fill="auto"/>
            <w:tcMar>
              <w:left w:w="108" w:type="dxa"/>
            </w:tcMar>
            <w:vAlign w:val="center"/>
          </w:tcPr>
          <w:p w14:paraId="0A4DD360" w14:textId="55E2DF7B"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66B2BFE5" w14:textId="6093DD06" w:rsidR="007D448B" w:rsidRPr="007D448B" w:rsidRDefault="00001CD9" w:rsidP="005974D3">
            <w:pPr>
              <w:pStyle w:val="ExhibitText"/>
              <w:tabs>
                <w:tab w:val="decimal" w:pos="683"/>
              </w:tabs>
              <w:rPr>
                <w:rFonts w:eastAsiaTheme="minorHAnsi" w:cstheme="minorBidi"/>
              </w:rPr>
            </w:pPr>
            <w:r>
              <w:rPr>
                <w:rFonts w:eastAsiaTheme="minorHAnsi"/>
              </w:rPr>
              <w:t>19:00</w:t>
            </w:r>
          </w:p>
        </w:tc>
        <w:tc>
          <w:tcPr>
            <w:tcW w:w="1749" w:type="dxa"/>
            <w:shd w:val="clear" w:color="auto" w:fill="auto"/>
            <w:tcMar>
              <w:left w:w="108" w:type="dxa"/>
            </w:tcMar>
            <w:vAlign w:val="center"/>
          </w:tcPr>
          <w:p w14:paraId="7278B2F8"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4.52</w:t>
            </w:r>
          </w:p>
        </w:tc>
      </w:tr>
      <w:tr w:rsidR="007D448B" w:rsidRPr="007D448B" w14:paraId="60F07B7D" w14:textId="77777777" w:rsidTr="00196DC2">
        <w:trPr>
          <w:trHeight w:val="281"/>
          <w:jc w:val="center"/>
        </w:trPr>
        <w:tc>
          <w:tcPr>
            <w:tcW w:w="1475" w:type="dxa"/>
            <w:shd w:val="clear" w:color="auto" w:fill="auto"/>
            <w:tcMar>
              <w:left w:w="108" w:type="dxa"/>
            </w:tcMar>
            <w:vAlign w:val="center"/>
          </w:tcPr>
          <w:p w14:paraId="34E9E554" w14:textId="6C0B81A8"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0C0F9598" w14:textId="23932C50" w:rsidR="007D448B" w:rsidRPr="007D448B" w:rsidRDefault="00001CD9" w:rsidP="005974D3">
            <w:pPr>
              <w:pStyle w:val="ExhibitText"/>
              <w:tabs>
                <w:tab w:val="decimal" w:pos="683"/>
              </w:tabs>
              <w:rPr>
                <w:rFonts w:eastAsiaTheme="minorHAnsi" w:cstheme="minorBidi"/>
              </w:rPr>
            </w:pPr>
            <w:r>
              <w:rPr>
                <w:rFonts w:eastAsiaTheme="minorHAnsi"/>
              </w:rPr>
              <w:t>20:00</w:t>
            </w:r>
          </w:p>
        </w:tc>
        <w:tc>
          <w:tcPr>
            <w:tcW w:w="1749" w:type="dxa"/>
            <w:shd w:val="clear" w:color="auto" w:fill="auto"/>
            <w:tcMar>
              <w:left w:w="108" w:type="dxa"/>
            </w:tcMar>
            <w:vAlign w:val="center"/>
          </w:tcPr>
          <w:p w14:paraId="4CEAA609"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1.29</w:t>
            </w:r>
          </w:p>
        </w:tc>
      </w:tr>
      <w:tr w:rsidR="007D448B" w:rsidRPr="007D448B" w14:paraId="6900E1E1" w14:textId="77777777" w:rsidTr="00196DC2">
        <w:trPr>
          <w:trHeight w:val="281"/>
          <w:jc w:val="center"/>
        </w:trPr>
        <w:tc>
          <w:tcPr>
            <w:tcW w:w="1475" w:type="dxa"/>
            <w:shd w:val="clear" w:color="auto" w:fill="auto"/>
            <w:tcMar>
              <w:left w:w="108" w:type="dxa"/>
            </w:tcMar>
            <w:vAlign w:val="center"/>
          </w:tcPr>
          <w:p w14:paraId="04BE4A8C" w14:textId="31219D00"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133E9210" w14:textId="6017B993" w:rsidR="007D448B" w:rsidRPr="007D448B" w:rsidRDefault="00001CD9" w:rsidP="005974D3">
            <w:pPr>
              <w:pStyle w:val="ExhibitText"/>
              <w:tabs>
                <w:tab w:val="decimal" w:pos="683"/>
              </w:tabs>
              <w:rPr>
                <w:rFonts w:eastAsiaTheme="minorHAnsi" w:cstheme="minorBidi"/>
              </w:rPr>
            </w:pPr>
            <w:r>
              <w:rPr>
                <w:rFonts w:eastAsiaTheme="minorHAnsi"/>
              </w:rPr>
              <w:t>21:00</w:t>
            </w:r>
          </w:p>
        </w:tc>
        <w:tc>
          <w:tcPr>
            <w:tcW w:w="1749" w:type="dxa"/>
            <w:shd w:val="clear" w:color="auto" w:fill="auto"/>
            <w:tcMar>
              <w:left w:w="108" w:type="dxa"/>
            </w:tcMar>
            <w:vAlign w:val="center"/>
          </w:tcPr>
          <w:p w14:paraId="627621F0"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0</w:t>
            </w:r>
          </w:p>
        </w:tc>
      </w:tr>
      <w:tr w:rsidR="007D448B" w:rsidRPr="007D448B" w14:paraId="75C04432" w14:textId="77777777" w:rsidTr="00196DC2">
        <w:trPr>
          <w:trHeight w:val="281"/>
          <w:jc w:val="center"/>
        </w:trPr>
        <w:tc>
          <w:tcPr>
            <w:tcW w:w="1475" w:type="dxa"/>
            <w:shd w:val="clear" w:color="auto" w:fill="auto"/>
            <w:tcMar>
              <w:left w:w="108" w:type="dxa"/>
            </w:tcMar>
            <w:vAlign w:val="center"/>
          </w:tcPr>
          <w:p w14:paraId="61E671F1" w14:textId="5A1F7488"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60AE1865" w14:textId="0937254E" w:rsidR="007D448B" w:rsidRPr="007D448B" w:rsidRDefault="00001CD9" w:rsidP="005974D3">
            <w:pPr>
              <w:pStyle w:val="ExhibitText"/>
              <w:tabs>
                <w:tab w:val="decimal" w:pos="683"/>
              </w:tabs>
              <w:rPr>
                <w:rFonts w:eastAsiaTheme="minorHAnsi" w:cstheme="minorBidi"/>
              </w:rPr>
            </w:pPr>
            <w:r>
              <w:rPr>
                <w:rFonts w:eastAsiaTheme="minorHAnsi"/>
              </w:rPr>
              <w:t>22:00</w:t>
            </w:r>
          </w:p>
        </w:tc>
        <w:tc>
          <w:tcPr>
            <w:tcW w:w="1749" w:type="dxa"/>
            <w:shd w:val="clear" w:color="auto" w:fill="auto"/>
            <w:tcMar>
              <w:left w:w="108" w:type="dxa"/>
            </w:tcMar>
            <w:vAlign w:val="center"/>
          </w:tcPr>
          <w:p w14:paraId="11EABF79"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0</w:t>
            </w:r>
          </w:p>
        </w:tc>
      </w:tr>
      <w:tr w:rsidR="007D448B" w:rsidRPr="007D448B" w14:paraId="45446903" w14:textId="77777777" w:rsidTr="00196DC2">
        <w:trPr>
          <w:trHeight w:val="281"/>
          <w:jc w:val="center"/>
        </w:trPr>
        <w:tc>
          <w:tcPr>
            <w:tcW w:w="1475" w:type="dxa"/>
            <w:shd w:val="clear" w:color="auto" w:fill="auto"/>
            <w:tcMar>
              <w:left w:w="108" w:type="dxa"/>
            </w:tcMar>
            <w:vAlign w:val="center"/>
          </w:tcPr>
          <w:p w14:paraId="6C0517B1" w14:textId="6F0F6539" w:rsidR="007D448B" w:rsidRPr="007D448B" w:rsidRDefault="007D448B" w:rsidP="00196DC2">
            <w:pPr>
              <w:pStyle w:val="ExhibitText"/>
              <w:jc w:val="center"/>
              <w:rPr>
                <w:rFonts w:eastAsiaTheme="minorHAnsi" w:cstheme="minorBidi"/>
              </w:rPr>
            </w:pPr>
            <w:r w:rsidRPr="007D448B">
              <w:rPr>
                <w:rFonts w:eastAsiaTheme="minorHAnsi"/>
              </w:rPr>
              <w:t>Dec</w:t>
            </w:r>
            <w:r w:rsidR="00B71929">
              <w:rPr>
                <w:rFonts w:eastAsiaTheme="minorHAnsi"/>
              </w:rPr>
              <w:t xml:space="preserve"> 31, </w:t>
            </w:r>
            <w:r w:rsidR="00592D8B">
              <w:rPr>
                <w:lang w:eastAsia="en-CA"/>
              </w:rPr>
              <w:t>20</w:t>
            </w:r>
            <w:r w:rsidRPr="007D448B">
              <w:rPr>
                <w:rFonts w:eastAsiaTheme="minorHAnsi"/>
              </w:rPr>
              <w:t>15</w:t>
            </w:r>
          </w:p>
        </w:tc>
        <w:tc>
          <w:tcPr>
            <w:tcW w:w="1300" w:type="dxa"/>
            <w:shd w:val="clear" w:color="auto" w:fill="auto"/>
            <w:tcMar>
              <w:left w:w="108" w:type="dxa"/>
            </w:tcMar>
            <w:vAlign w:val="center"/>
          </w:tcPr>
          <w:p w14:paraId="1A6ABFF0" w14:textId="239EE034" w:rsidR="007D448B" w:rsidRPr="007D448B" w:rsidRDefault="00001CD9" w:rsidP="005974D3">
            <w:pPr>
              <w:pStyle w:val="ExhibitText"/>
              <w:tabs>
                <w:tab w:val="decimal" w:pos="683"/>
              </w:tabs>
              <w:rPr>
                <w:rFonts w:eastAsiaTheme="minorHAnsi" w:cstheme="minorBidi"/>
              </w:rPr>
            </w:pPr>
            <w:r>
              <w:rPr>
                <w:rFonts w:eastAsiaTheme="minorHAnsi"/>
              </w:rPr>
              <w:t>23:00</w:t>
            </w:r>
          </w:p>
        </w:tc>
        <w:tc>
          <w:tcPr>
            <w:tcW w:w="1749" w:type="dxa"/>
            <w:shd w:val="clear" w:color="auto" w:fill="auto"/>
            <w:tcMar>
              <w:left w:w="108" w:type="dxa"/>
            </w:tcMar>
            <w:vAlign w:val="center"/>
          </w:tcPr>
          <w:p w14:paraId="0C521D8D" w14:textId="77777777" w:rsidR="007D448B" w:rsidRPr="007D448B" w:rsidRDefault="007D448B" w:rsidP="005974D3">
            <w:pPr>
              <w:pStyle w:val="ExhibitText"/>
              <w:tabs>
                <w:tab w:val="decimal" w:pos="806"/>
              </w:tabs>
              <w:rPr>
                <w:rFonts w:eastAsiaTheme="minorHAnsi" w:cstheme="minorBidi"/>
              </w:rPr>
            </w:pPr>
            <w:r w:rsidRPr="007D448B">
              <w:rPr>
                <w:rFonts w:eastAsiaTheme="minorHAnsi"/>
              </w:rPr>
              <w:t>0.38</w:t>
            </w:r>
          </w:p>
        </w:tc>
      </w:tr>
    </w:tbl>
    <w:p w14:paraId="6C7D7A2B" w14:textId="77777777" w:rsidR="00196DC2" w:rsidRDefault="00196DC2" w:rsidP="00196DC2">
      <w:pPr>
        <w:pStyle w:val="ExhibitText"/>
        <w:rPr>
          <w:rFonts w:eastAsiaTheme="minorHAnsi"/>
        </w:rPr>
      </w:pPr>
    </w:p>
    <w:p w14:paraId="3BFD2971" w14:textId="633E8D0E" w:rsidR="00592D8B" w:rsidRDefault="00592D8B" w:rsidP="00196DC2">
      <w:pPr>
        <w:pStyle w:val="Footnote"/>
      </w:pPr>
      <w:r>
        <w:t>Note: * Hour is based on the 24-hour clock where 13 = 1:00 p.m., and so on</w:t>
      </w:r>
      <w:r w:rsidR="00C6539E">
        <w:t>; HOEP = hourly Ontario electricity price</w:t>
      </w:r>
      <w:r>
        <w:t xml:space="preserve">. </w:t>
      </w:r>
    </w:p>
    <w:p w14:paraId="24C4BAE9" w14:textId="3CAB4101" w:rsidR="007D448B" w:rsidRPr="00196DC2" w:rsidRDefault="007D448B" w:rsidP="00196DC2">
      <w:pPr>
        <w:pStyle w:val="Footnote"/>
      </w:pPr>
      <w:r w:rsidRPr="00196DC2">
        <w:t>Source: Created</w:t>
      </w:r>
      <w:r w:rsidRPr="00196DC2">
        <w:rPr>
          <w:rFonts w:eastAsia="DejaVu Sans"/>
          <w:lang w:bidi="en-US"/>
        </w:rPr>
        <w:t xml:space="preserve"> by the </w:t>
      </w:r>
      <w:r w:rsidR="00DA4D2A">
        <w:rPr>
          <w:rFonts w:eastAsia="DejaVu Sans"/>
          <w:lang w:bidi="en-US"/>
        </w:rPr>
        <w:t xml:space="preserve">case </w:t>
      </w:r>
      <w:r w:rsidRPr="00196DC2">
        <w:rPr>
          <w:rFonts w:eastAsia="DejaVu Sans"/>
          <w:lang w:bidi="en-US"/>
        </w:rPr>
        <w:t>author based on</w:t>
      </w:r>
      <w:r w:rsidR="006D6F8F">
        <w:rPr>
          <w:rFonts w:eastAsia="DejaVu Sans"/>
          <w:lang w:bidi="en-US"/>
        </w:rPr>
        <w:t xml:space="preserve"> “Data Directory: Price: Hourly Ontario Energy Price (HOEP),”</w:t>
      </w:r>
      <w:r w:rsidRPr="00196DC2">
        <w:rPr>
          <w:rFonts w:eastAsia="DejaVu Sans"/>
          <w:lang w:bidi="en-US"/>
        </w:rPr>
        <w:t xml:space="preserve"> Independent Electricity</w:t>
      </w:r>
      <w:r w:rsidR="006D6F8F">
        <w:rPr>
          <w:rFonts w:eastAsia="DejaVu Sans"/>
          <w:lang w:bidi="en-US"/>
        </w:rPr>
        <w:t xml:space="preserve"> </w:t>
      </w:r>
      <w:r w:rsidR="006D6F8F" w:rsidRPr="000E2BB8">
        <w:rPr>
          <w:spacing w:val="-1"/>
        </w:rPr>
        <w:t>System Operator</w:t>
      </w:r>
      <w:r w:rsidR="006D6F8F">
        <w:rPr>
          <w:spacing w:val="-1"/>
        </w:rPr>
        <w:t xml:space="preserve">, accessed October 29, 2018, </w:t>
      </w:r>
      <w:r w:rsidR="006D6F8F" w:rsidRPr="006D6F8F">
        <w:rPr>
          <w:spacing w:val="-1"/>
        </w:rPr>
        <w:t>www.ieso.ca/en/Power-Data/Data-Directory</w:t>
      </w:r>
      <w:r w:rsidR="00196DC2">
        <w:rPr>
          <w:rFonts w:eastAsia="DejaVu Sans"/>
          <w:lang w:bidi="en-US"/>
        </w:rPr>
        <w:t>.</w:t>
      </w:r>
    </w:p>
    <w:p w14:paraId="2A4336B7" w14:textId="77777777" w:rsidR="007D448B" w:rsidRPr="009C2666" w:rsidRDefault="007D448B" w:rsidP="007D448B">
      <w:pPr>
        <w:pStyle w:val="BodyTextMain"/>
      </w:pPr>
    </w:p>
    <w:sectPr w:rsidR="007D448B" w:rsidRPr="009C2666" w:rsidSect="00751E0B">
      <w:headerReference w:type="defaul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D31FEE" w16cid:durableId="200D1B0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3895C" w14:textId="77777777" w:rsidR="004F45DC" w:rsidRDefault="004F45DC" w:rsidP="00D75295">
      <w:r>
        <w:separator/>
      </w:r>
    </w:p>
  </w:endnote>
  <w:endnote w:type="continuationSeparator" w:id="0">
    <w:p w14:paraId="30E40DA8" w14:textId="77777777" w:rsidR="004F45DC" w:rsidRDefault="004F45D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83532" w14:textId="77777777" w:rsidR="004F45DC" w:rsidRDefault="004F45DC" w:rsidP="00D75295">
      <w:r>
        <w:separator/>
      </w:r>
    </w:p>
  </w:footnote>
  <w:footnote w:type="continuationSeparator" w:id="0">
    <w:p w14:paraId="353E5E7B" w14:textId="77777777" w:rsidR="004F45DC" w:rsidRDefault="004F45DC" w:rsidP="00D75295">
      <w:r>
        <w:continuationSeparator/>
      </w:r>
    </w:p>
  </w:footnote>
  <w:footnote w:id="1">
    <w:p w14:paraId="538426AF" w14:textId="77777777" w:rsidR="00F967F3" w:rsidRDefault="00F967F3" w:rsidP="007A3F42">
      <w:pPr>
        <w:pStyle w:val="Footnote"/>
        <w:jc w:val="both"/>
      </w:pPr>
      <w:r w:rsidRPr="00216F30">
        <w:rPr>
          <w:rStyle w:val="FootnoteReference"/>
        </w:rPr>
        <w:footnoteRef/>
      </w:r>
      <w:r>
        <w:t xml:space="preserve"> </w:t>
      </w:r>
      <w:r w:rsidRPr="00E66022">
        <w:rPr>
          <w:rStyle w:val="FootnoteChar"/>
        </w:rPr>
        <w:t>This case has been written on the basis of published sources only. Consequently, the interpretation and perspectives presented in this case a</w:t>
      </w:r>
      <w:r>
        <w:rPr>
          <w:rStyle w:val="FootnoteChar"/>
        </w:rPr>
        <w:t>re not necessarily those of City of London Water</w:t>
      </w:r>
      <w:r w:rsidRPr="00E66022">
        <w:rPr>
          <w:rStyle w:val="FootnoteChar"/>
        </w:rPr>
        <w:t xml:space="preserve"> or any of its employees.</w:t>
      </w:r>
    </w:p>
  </w:footnote>
  <w:footnote w:id="2">
    <w:p w14:paraId="3173F9DF" w14:textId="2B8F7CEC" w:rsidR="00F967F3" w:rsidRPr="00B87499" w:rsidRDefault="00F967F3" w:rsidP="00B87499">
      <w:pPr>
        <w:pStyle w:val="Footnote"/>
        <w:rPr>
          <w:lang w:val="en-US"/>
        </w:rPr>
      </w:pPr>
      <w:r>
        <w:rPr>
          <w:rStyle w:val="FootnoteReference"/>
        </w:rPr>
        <w:footnoteRef/>
      </w:r>
      <w:r>
        <w:t xml:space="preserve"> </w:t>
      </w:r>
      <w:r w:rsidRPr="00B61D0E">
        <w:t>Tina S</w:t>
      </w:r>
      <w:r>
        <w:t>o</w:t>
      </w:r>
      <w:r w:rsidRPr="00B61D0E">
        <w:t>ltani is a fictitious name, assumed for the purpose of the case.</w:t>
      </w:r>
    </w:p>
  </w:footnote>
  <w:footnote w:id="3">
    <w:p w14:paraId="0FCCD8BA" w14:textId="5C8D1B65" w:rsidR="00F967F3" w:rsidRPr="00F27C4E" w:rsidRDefault="00F967F3" w:rsidP="007A3F42">
      <w:pPr>
        <w:pStyle w:val="Footnote"/>
        <w:jc w:val="both"/>
      </w:pPr>
      <w:r w:rsidRPr="00216F30">
        <w:rPr>
          <w:rStyle w:val="FootnoteReference"/>
        </w:rPr>
        <w:footnoteRef/>
      </w:r>
      <w:r>
        <w:t xml:space="preserve"> </w:t>
      </w:r>
      <w:r w:rsidRPr="00A27011">
        <w:rPr>
          <w:i/>
        </w:rPr>
        <w:t xml:space="preserve">Multi-Year Budget for the City of London 2016–2019: Water and Wastewater </w:t>
      </w:r>
      <w:r>
        <w:rPr>
          <w:i/>
        </w:rPr>
        <w:t>&amp;</w:t>
      </w:r>
      <w:r w:rsidRPr="00A27011">
        <w:rPr>
          <w:i/>
        </w:rPr>
        <w:t xml:space="preserve"> Treatment</w:t>
      </w:r>
      <w:r>
        <w:t>, draft</w:t>
      </w:r>
      <w:r w:rsidRPr="000E2BB8">
        <w:t xml:space="preserve">, </w:t>
      </w:r>
      <w:r>
        <w:t xml:space="preserve">City of </w:t>
      </w:r>
      <w:r w:rsidRPr="000E2BB8">
        <w:t>London</w:t>
      </w:r>
      <w:r>
        <w:t>,</w:t>
      </w:r>
      <w:r w:rsidRPr="000E2BB8">
        <w:t xml:space="preserve"> Canada, </w:t>
      </w:r>
      <w:r>
        <w:t xml:space="preserve">January 11, 2016, </w:t>
      </w:r>
      <w:r w:rsidRPr="000E2BB8">
        <w:t>accessed September 17, 2018, www.london.ca/city-hall/budget-business/budget/Documents/2016-2019%20Water%20and%20Wastewater%20Treatment%20Budget.pdf</w:t>
      </w:r>
      <w:r>
        <w:t>.</w:t>
      </w:r>
    </w:p>
  </w:footnote>
  <w:footnote w:id="4">
    <w:p w14:paraId="0526CA40" w14:textId="5F669521" w:rsidR="00F967F3" w:rsidRPr="00B87499" w:rsidRDefault="00F967F3" w:rsidP="007A3F42">
      <w:pPr>
        <w:pStyle w:val="Footnote"/>
        <w:jc w:val="both"/>
        <w:rPr>
          <w:lang w:val="en-US"/>
        </w:rPr>
      </w:pPr>
      <w:r>
        <w:rPr>
          <w:rStyle w:val="FootnoteReference"/>
        </w:rPr>
        <w:footnoteRef/>
      </w:r>
      <w:r>
        <w:t xml:space="preserve"> </w:t>
      </w:r>
      <w:r w:rsidRPr="007A3F42">
        <w:rPr>
          <w:i/>
        </w:rPr>
        <w:t>Energy Efficiency in Water and Wastewater Facilities</w:t>
      </w:r>
      <w:r>
        <w:t xml:space="preserve">, U.S. Environmental Protection Agency, 2013, </w:t>
      </w:r>
      <w:r w:rsidRPr="000E2BB8">
        <w:t xml:space="preserve">accessed </w:t>
      </w:r>
      <w:r>
        <w:t>January 13, 2019</w:t>
      </w:r>
      <w:r w:rsidRPr="000E2BB8">
        <w:t>,</w:t>
      </w:r>
      <w:r>
        <w:t xml:space="preserve"> </w:t>
      </w:r>
      <w:r w:rsidR="000539BC">
        <w:t>www</w:t>
      </w:r>
      <w:r w:rsidRPr="00B61D0E">
        <w:t>.epa.gov/sites/production/files/2015-08/documents/wastewater-guide.pdf</w:t>
      </w:r>
      <w:r>
        <w:t>.</w:t>
      </w:r>
    </w:p>
  </w:footnote>
  <w:footnote w:id="5">
    <w:p w14:paraId="76AC0FAB" w14:textId="5C96DC5C" w:rsidR="00F967F3" w:rsidRPr="007A3F42" w:rsidRDefault="00F967F3" w:rsidP="007A3F42">
      <w:pPr>
        <w:pStyle w:val="Footnote"/>
        <w:jc w:val="both"/>
        <w:rPr>
          <w:lang w:val="en-CA"/>
        </w:rPr>
      </w:pPr>
      <w:r>
        <w:rPr>
          <w:rStyle w:val="FootnoteReference"/>
        </w:rPr>
        <w:footnoteRef/>
      </w:r>
      <w:r w:rsidRPr="007A3F42">
        <w:rPr>
          <w:rStyle w:val="FootnoteReference"/>
          <w:vertAlign w:val="baseline"/>
        </w:rPr>
        <w:t xml:space="preserve"> </w:t>
      </w:r>
      <w:r>
        <w:rPr>
          <w:i/>
        </w:rPr>
        <w:t>Multi-Year Budget for the City of London 2016–2019</w:t>
      </w:r>
      <w:r>
        <w:t>, op. cit.</w:t>
      </w:r>
    </w:p>
  </w:footnote>
  <w:footnote w:id="6">
    <w:p w14:paraId="40A3002F" w14:textId="4A4BD09B" w:rsidR="00F967F3" w:rsidRPr="000E2BB8" w:rsidRDefault="00F967F3" w:rsidP="007A3F42">
      <w:pPr>
        <w:pStyle w:val="Footnote"/>
        <w:jc w:val="both"/>
      </w:pPr>
      <w:r w:rsidRPr="00216F30">
        <w:rPr>
          <w:rStyle w:val="FootnoteReference"/>
        </w:rPr>
        <w:footnoteRef/>
      </w:r>
      <w:r>
        <w:t xml:space="preserve"> </w:t>
      </w:r>
      <w:r w:rsidRPr="00A27011">
        <w:rPr>
          <w:i/>
        </w:rPr>
        <w:t>London’s Water Supply System: Teacher Resource Notes</w:t>
      </w:r>
      <w:r w:rsidRPr="000E2BB8">
        <w:t xml:space="preserve">, </w:t>
      </w:r>
      <w:r>
        <w:t xml:space="preserve">City of </w:t>
      </w:r>
      <w:r w:rsidRPr="000E2BB8">
        <w:t>London</w:t>
      </w:r>
      <w:r>
        <w:t>,</w:t>
      </w:r>
      <w:r w:rsidRPr="000E2BB8">
        <w:t xml:space="preserve"> Canada, accessed September 17, 2018</w:t>
      </w:r>
      <w:r>
        <w:t>,</w:t>
      </w:r>
      <w:r w:rsidRPr="000E2BB8">
        <w:t xml:space="preserve"> www.london.ca/residents/Water/Teacher-Resources/Documents/Water/London%27s%20Water%20Supply%20System%20-%20Teacher%20Notes.pdf</w:t>
      </w:r>
      <w:r>
        <w:t>.</w:t>
      </w:r>
    </w:p>
  </w:footnote>
  <w:footnote w:id="7">
    <w:p w14:paraId="6BA731E7" w14:textId="654B3BED" w:rsidR="00F967F3" w:rsidRDefault="00F967F3" w:rsidP="007A3F42">
      <w:pPr>
        <w:pStyle w:val="Footnote"/>
        <w:jc w:val="both"/>
      </w:pPr>
      <w:r>
        <w:rPr>
          <w:rStyle w:val="FootnoteReference"/>
        </w:rPr>
        <w:footnoteRef/>
      </w:r>
      <w:r w:rsidR="00055E0C">
        <w:t> “Source Water Protection,” City of London, Canada, accessed October 30, 2018, </w:t>
      </w:r>
      <w:r w:rsidR="000539BC">
        <w:t>www</w:t>
      </w:r>
      <w:r w:rsidRPr="003A04D3">
        <w:t>.london.ca/residents/Water/Water-Conservation/Pages/Source-Water-Protection.aspx</w:t>
      </w:r>
      <w:r>
        <w:t>.</w:t>
      </w:r>
    </w:p>
  </w:footnote>
  <w:footnote w:id="8">
    <w:p w14:paraId="46662075" w14:textId="47ABEA53" w:rsidR="00F967F3" w:rsidRPr="007A3F42" w:rsidRDefault="00F967F3" w:rsidP="007A3F42">
      <w:pPr>
        <w:pStyle w:val="Footnote"/>
        <w:jc w:val="both"/>
        <w:rPr>
          <w:lang w:val="en-CA"/>
        </w:rPr>
      </w:pPr>
      <w:r>
        <w:rPr>
          <w:rStyle w:val="FootnoteReference"/>
        </w:rPr>
        <w:footnoteRef/>
      </w:r>
      <w:r w:rsidRPr="007A3F42">
        <w:rPr>
          <w:rStyle w:val="FootnoteReference"/>
          <w:vertAlign w:val="baseline"/>
        </w:rPr>
        <w:t xml:space="preserve"> </w:t>
      </w:r>
      <w:r>
        <w:t>All currency amounts are shown in CA$.</w:t>
      </w:r>
    </w:p>
  </w:footnote>
  <w:footnote w:id="9">
    <w:p w14:paraId="484ACFC9" w14:textId="41AF5F2B" w:rsidR="00F967F3" w:rsidRPr="000E2BB8" w:rsidRDefault="00F967F3" w:rsidP="007A3F42">
      <w:pPr>
        <w:pStyle w:val="Footnote"/>
        <w:jc w:val="both"/>
      </w:pPr>
      <w:r w:rsidRPr="00216F30">
        <w:rPr>
          <w:rStyle w:val="FootnoteReference"/>
        </w:rPr>
        <w:footnoteRef/>
      </w:r>
      <w:r>
        <w:t xml:space="preserve"> </w:t>
      </w:r>
      <w:r w:rsidRPr="00A27011">
        <w:rPr>
          <w:i/>
        </w:rPr>
        <w:t>City of London 2015 Drinking Water Summary Report</w:t>
      </w:r>
      <w:r w:rsidRPr="000E2BB8">
        <w:t xml:space="preserve">, </w:t>
      </w:r>
      <w:r>
        <w:t xml:space="preserve">City of </w:t>
      </w:r>
      <w:r w:rsidRPr="000E2BB8">
        <w:t>London</w:t>
      </w:r>
      <w:r>
        <w:t>,</w:t>
      </w:r>
      <w:r w:rsidRPr="000E2BB8">
        <w:t xml:space="preserve"> Canada, </w:t>
      </w:r>
      <w:r>
        <w:t xml:space="preserve">February 2016, </w:t>
      </w:r>
      <w:r w:rsidRPr="000E2BB8">
        <w:t>accessed September 17, 2018,</w:t>
      </w:r>
      <w:r w:rsidR="00055E0C">
        <w:t> </w:t>
      </w:r>
      <w:r w:rsidR="000539BC">
        <w:t>www</w:t>
      </w:r>
      <w:r w:rsidR="00055E0C" w:rsidRPr="00055E0C">
        <w:t>.london.ca/city-hall/master-plans-</w:t>
      </w:r>
      <w:r w:rsidR="00055E0C">
        <w:t xml:space="preserve">reports/reports/Documents/2015%20Summary%20Annual%20Report%2 </w:t>
      </w:r>
      <w:r w:rsidRPr="000E2BB8">
        <w:t>0Full%20Appendices%20FINAL.pdf</w:t>
      </w:r>
      <w:r>
        <w:t>.</w:t>
      </w:r>
    </w:p>
  </w:footnote>
  <w:footnote w:id="10">
    <w:p w14:paraId="79121B25" w14:textId="698AA450" w:rsidR="00F967F3" w:rsidRDefault="00F967F3" w:rsidP="007D448B">
      <w:pPr>
        <w:pStyle w:val="Footnote"/>
      </w:pPr>
      <w:r w:rsidRPr="00216F30">
        <w:rPr>
          <w:rStyle w:val="FootnoteReference"/>
        </w:rPr>
        <w:footnoteRef/>
      </w:r>
      <w:r>
        <w:t xml:space="preserve"> Ibid.</w:t>
      </w:r>
    </w:p>
  </w:footnote>
  <w:footnote w:id="11">
    <w:p w14:paraId="46A8656F" w14:textId="3C988536" w:rsidR="00F967F3" w:rsidRPr="000E2BB8" w:rsidRDefault="00F967F3" w:rsidP="007A3F42">
      <w:pPr>
        <w:pStyle w:val="Footnote"/>
        <w:jc w:val="both"/>
      </w:pPr>
      <w:r w:rsidRPr="00216F30">
        <w:rPr>
          <w:rStyle w:val="FootnoteReference"/>
        </w:rPr>
        <w:footnoteRef/>
      </w:r>
      <w:r>
        <w:t xml:space="preserve"> Joe Naoum-Sawaya, Bissan </w:t>
      </w:r>
      <w:r w:rsidRPr="000E2BB8">
        <w:t xml:space="preserve">Ghaddar, Ernesto Arandia, </w:t>
      </w:r>
      <w:r>
        <w:t xml:space="preserve">and </w:t>
      </w:r>
      <w:r w:rsidRPr="000E2BB8">
        <w:t>Bradley Eck, “Simulation-</w:t>
      </w:r>
      <w:r>
        <w:t>O</w:t>
      </w:r>
      <w:r w:rsidRPr="000E2BB8">
        <w:t xml:space="preserve">ptimization </w:t>
      </w:r>
      <w:r>
        <w:t>A</w:t>
      </w:r>
      <w:r w:rsidRPr="000E2BB8">
        <w:t xml:space="preserve">pproaches for </w:t>
      </w:r>
      <w:r>
        <w:t>W</w:t>
      </w:r>
      <w:r w:rsidRPr="000E2BB8">
        <w:t xml:space="preserve">ater </w:t>
      </w:r>
      <w:r>
        <w:t>P</w:t>
      </w:r>
      <w:r w:rsidRPr="000E2BB8">
        <w:t xml:space="preserve">ump </w:t>
      </w:r>
      <w:r>
        <w:t>S</w:t>
      </w:r>
      <w:r w:rsidRPr="000E2BB8">
        <w:t xml:space="preserve">cheduling and </w:t>
      </w:r>
      <w:r>
        <w:t>P</w:t>
      </w:r>
      <w:r w:rsidRPr="000E2BB8">
        <w:t xml:space="preserve">ipe </w:t>
      </w:r>
      <w:r>
        <w:t>R</w:t>
      </w:r>
      <w:r w:rsidRPr="000E2BB8">
        <w:t xml:space="preserve">eplacement </w:t>
      </w:r>
      <w:r>
        <w:t>P</w:t>
      </w:r>
      <w:r w:rsidRPr="000E2BB8">
        <w:t>roblems</w:t>
      </w:r>
      <w:r>
        <w:t>,</w:t>
      </w:r>
      <w:r w:rsidRPr="000E2BB8">
        <w:t xml:space="preserve">” </w:t>
      </w:r>
      <w:r w:rsidRPr="00A27011">
        <w:rPr>
          <w:i/>
        </w:rPr>
        <w:t>European Journal of Operational Research</w:t>
      </w:r>
      <w:r w:rsidRPr="000E2BB8">
        <w:t xml:space="preserve"> 246</w:t>
      </w:r>
      <w:r>
        <w:t>, no.</w:t>
      </w:r>
      <w:r w:rsidRPr="000E2BB8">
        <w:t xml:space="preserve"> 1 (2015): 293</w:t>
      </w:r>
      <w:r>
        <w:t>–</w:t>
      </w:r>
      <w:r w:rsidRPr="000E2BB8">
        <w:t xml:space="preserve">306, accessed September 17, 2018 </w:t>
      </w:r>
      <w:r w:rsidR="000539BC">
        <w:t>www</w:t>
      </w:r>
      <w:r w:rsidRPr="000E2BB8">
        <w:t>.sciencedirect.com/science/article/pii/S0377221715003215</w:t>
      </w:r>
      <w:r>
        <w:t>.</w:t>
      </w:r>
    </w:p>
  </w:footnote>
  <w:footnote w:id="12">
    <w:p w14:paraId="4A2E7AD8" w14:textId="3DC1BD29" w:rsidR="00F967F3" w:rsidRPr="007A3F42" w:rsidRDefault="00F967F3" w:rsidP="00EB21E1">
      <w:pPr>
        <w:pStyle w:val="FootnoteText"/>
        <w:rPr>
          <w:rFonts w:ascii="Arial" w:hAnsi="Arial" w:cs="Arial"/>
          <w:sz w:val="17"/>
          <w:szCs w:val="17"/>
        </w:rPr>
      </w:pPr>
      <w:r w:rsidRPr="007A3F42">
        <w:rPr>
          <w:rStyle w:val="FootnoteReference"/>
          <w:rFonts w:ascii="Arial" w:hAnsi="Arial" w:cs="Arial"/>
          <w:sz w:val="17"/>
          <w:szCs w:val="17"/>
        </w:rPr>
        <w:footnoteRef/>
      </w:r>
      <w:r w:rsidRPr="007A3F42">
        <w:rPr>
          <w:rFonts w:ascii="Arial" w:hAnsi="Arial" w:cs="Arial"/>
          <w:sz w:val="17"/>
          <w:szCs w:val="17"/>
        </w:rPr>
        <w:t xml:space="preserve"> </w:t>
      </w:r>
      <w:r w:rsidRPr="007A3F42">
        <w:rPr>
          <w:rFonts w:ascii="Arial" w:hAnsi="Arial" w:cs="Arial"/>
          <w:i/>
          <w:sz w:val="17"/>
          <w:szCs w:val="17"/>
        </w:rPr>
        <w:t>Energy Efficiency in Water and Wastewater Facilities</w:t>
      </w:r>
      <w:r>
        <w:rPr>
          <w:rFonts w:ascii="Arial" w:hAnsi="Arial" w:cs="Arial"/>
          <w:sz w:val="17"/>
          <w:szCs w:val="17"/>
        </w:rPr>
        <w:t xml:space="preserve">, op. cit. </w:t>
      </w:r>
    </w:p>
  </w:footnote>
  <w:footnote w:id="13">
    <w:p w14:paraId="7CA8F98C" w14:textId="01AEC5CA" w:rsidR="00F967F3" w:rsidRPr="000E2BB8" w:rsidRDefault="00F967F3" w:rsidP="007A3F42">
      <w:pPr>
        <w:pStyle w:val="Footnote"/>
        <w:jc w:val="both"/>
      </w:pPr>
      <w:r w:rsidRPr="00216F30">
        <w:rPr>
          <w:rStyle w:val="FootnoteReference"/>
        </w:rPr>
        <w:footnoteRef/>
      </w:r>
      <w:r>
        <w:t xml:space="preserve"> </w:t>
      </w:r>
      <w:r w:rsidRPr="00A27011">
        <w:rPr>
          <w:i/>
        </w:rPr>
        <w:t>Toronto 2017 Budget: Operating Program Summary</w:t>
      </w:r>
      <w:r>
        <w:t xml:space="preserve">, City of Toronto, Canada, March 31, 2017, accessed </w:t>
      </w:r>
      <w:r w:rsidRPr="000E2BB8">
        <w:t>September 17, 2018</w:t>
      </w:r>
      <w:r w:rsidR="00055E0C">
        <w:t>, </w:t>
      </w:r>
      <w:r w:rsidR="000539BC">
        <w:rPr>
          <w:rStyle w:val="Hyperlink"/>
          <w:color w:val="auto"/>
          <w:u w:val="none"/>
        </w:rPr>
        <w:t>www</w:t>
      </w:r>
      <w:r w:rsidR="00055E0C" w:rsidRPr="00055E0C">
        <w:rPr>
          <w:rStyle w:val="Hyperlink"/>
          <w:color w:val="auto"/>
          <w:u w:val="none"/>
        </w:rPr>
        <w:t>.toronto.ca/wp-content/uploads/2017/12/93eb-FINAL-2017-Toronto-Water-Public-Book-Operating-</w:t>
      </w:r>
      <w:r w:rsidR="00055E0C">
        <w:rPr>
          <w:rStyle w:val="Hyperlink"/>
          <w:color w:val="auto"/>
          <w:u w:val="none"/>
        </w:rPr>
        <w:t xml:space="preserve">Progra </w:t>
      </w:r>
      <w:r w:rsidRPr="007A3F42">
        <w:rPr>
          <w:rStyle w:val="Hyperlink"/>
          <w:color w:val="auto"/>
          <w:u w:val="none"/>
        </w:rPr>
        <w:t>m-Summary.pdf</w:t>
      </w:r>
      <w:r>
        <w:rPr>
          <w:rStyle w:val="Hyperlink"/>
          <w:color w:val="auto"/>
          <w:u w:val="none"/>
        </w:rPr>
        <w:t xml:space="preserve">; </w:t>
      </w:r>
      <w:r w:rsidRPr="00A27011">
        <w:rPr>
          <w:i/>
        </w:rPr>
        <w:t>London’s Water Supply System</w:t>
      </w:r>
      <w:r w:rsidRPr="00B87499">
        <w:t xml:space="preserve">, </w:t>
      </w:r>
      <w:r>
        <w:t xml:space="preserve">City of </w:t>
      </w:r>
      <w:r w:rsidRPr="000E2BB8">
        <w:t>London</w:t>
      </w:r>
      <w:r>
        <w:t>,</w:t>
      </w:r>
      <w:r w:rsidRPr="000E2BB8">
        <w:t xml:space="preserve"> Canada, </w:t>
      </w:r>
      <w:r w:rsidRPr="00B87499">
        <w:t>accessed January 13, 2019,</w:t>
      </w:r>
      <w:r>
        <w:rPr>
          <w:i/>
        </w:rPr>
        <w:t xml:space="preserve"> </w:t>
      </w:r>
      <w:r w:rsidR="000539BC">
        <w:t>www</w:t>
      </w:r>
      <w:r w:rsidRPr="00490849">
        <w:t>.london.ca/residents/Water/Water-System/Pages/Water-System.aspx</w:t>
      </w:r>
      <w:r>
        <w:t>.</w:t>
      </w:r>
    </w:p>
  </w:footnote>
  <w:footnote w:id="14">
    <w:p w14:paraId="38B534E9" w14:textId="29321551" w:rsidR="00F967F3" w:rsidRPr="00B87499" w:rsidRDefault="00F967F3" w:rsidP="007A3F42">
      <w:pPr>
        <w:pStyle w:val="Footnote"/>
        <w:jc w:val="both"/>
        <w:rPr>
          <w:lang w:val="en-US"/>
        </w:rPr>
      </w:pPr>
      <w:r>
        <w:rPr>
          <w:rStyle w:val="FootnoteReference"/>
        </w:rPr>
        <w:footnoteRef/>
      </w:r>
      <w:r>
        <w:t xml:space="preserve"> “</w:t>
      </w:r>
      <w:r>
        <w:rPr>
          <w:lang w:val="en-US"/>
        </w:rPr>
        <w:t xml:space="preserve">Hourly Ontario Energy Price (HOEP),” </w:t>
      </w:r>
      <w:r>
        <w:t>Independent Electricity System Operator,</w:t>
      </w:r>
      <w:r>
        <w:rPr>
          <w:lang w:val="en-US"/>
        </w:rPr>
        <w:t xml:space="preserve"> accessed January 13, 2019 </w:t>
      </w:r>
      <w:r w:rsidRPr="0086682E">
        <w:rPr>
          <w:lang w:val="en-US"/>
        </w:rPr>
        <w:t>www.ieso.ca/en/Power-Data/Price-Overview/Hourly-Ontario-Energy-Price</w:t>
      </w:r>
      <w:r>
        <w:rPr>
          <w:lang w:val="en-US"/>
        </w:rPr>
        <w:t>.</w:t>
      </w:r>
    </w:p>
  </w:footnote>
  <w:footnote w:id="15">
    <w:p w14:paraId="77178D2C" w14:textId="6468C19F" w:rsidR="00F967F3" w:rsidRPr="007A3F42" w:rsidRDefault="00F967F3" w:rsidP="007A3F42">
      <w:pPr>
        <w:pStyle w:val="Footnote"/>
        <w:rPr>
          <w:lang w:val="en-CA"/>
        </w:rPr>
      </w:pPr>
      <w:r>
        <w:rPr>
          <w:rStyle w:val="FootnoteReference"/>
        </w:rPr>
        <w:footnoteRef/>
      </w:r>
      <w:r>
        <w:t xml:space="preserve"> </w:t>
      </w:r>
      <w:r>
        <w:rPr>
          <w:i/>
        </w:rPr>
        <w:t>London’s Water Supply System</w:t>
      </w:r>
      <w:r>
        <w:t>, op. cit.</w:t>
      </w:r>
    </w:p>
  </w:footnote>
  <w:footnote w:id="16">
    <w:p w14:paraId="17A62B30" w14:textId="214539A6" w:rsidR="00F967F3" w:rsidRPr="00B87499" w:rsidRDefault="00F967F3" w:rsidP="007A3F42">
      <w:pPr>
        <w:pStyle w:val="Footnote"/>
        <w:jc w:val="both"/>
        <w:rPr>
          <w:lang w:val="en-US"/>
        </w:rPr>
      </w:pPr>
      <w:r>
        <w:rPr>
          <w:rStyle w:val="FootnoteReference"/>
        </w:rPr>
        <w:footnoteRef/>
      </w:r>
      <w:r>
        <w:t xml:space="preserve"> </w:t>
      </w:r>
      <w:r>
        <w:rPr>
          <w:lang w:val="en-US"/>
        </w:rPr>
        <w:t xml:space="preserve">“Global Adjustment,” </w:t>
      </w:r>
      <w:r>
        <w:t>Independent Electricity System Operator,</w:t>
      </w:r>
      <w:r>
        <w:rPr>
          <w:lang w:val="en-US"/>
        </w:rPr>
        <w:t xml:space="preserve"> accessed January 13, 2019, </w:t>
      </w:r>
      <w:r w:rsidRPr="0086682E">
        <w:rPr>
          <w:lang w:val="en-US"/>
        </w:rPr>
        <w:t>www.ieso.ca/power-data/price-overview/global-adjustment</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57266" w14:textId="761883EE" w:rsidR="00F967F3" w:rsidRPr="00C92CC4" w:rsidRDefault="00F967F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D6DEE">
      <w:rPr>
        <w:rFonts w:ascii="Arial" w:hAnsi="Arial"/>
        <w:b/>
        <w:noProof/>
      </w:rPr>
      <w:t>8</w:t>
    </w:r>
    <w:r>
      <w:rPr>
        <w:rFonts w:ascii="Arial" w:hAnsi="Arial"/>
        <w:b/>
      </w:rPr>
      <w:fldChar w:fldCharType="end"/>
    </w:r>
    <w:r w:rsidR="00055E0C">
      <w:rPr>
        <w:rFonts w:ascii="Arial" w:hAnsi="Arial"/>
        <w:b/>
      </w:rPr>
      <w:tab/>
      <w:t>9B19E004</w:t>
    </w:r>
  </w:p>
  <w:p w14:paraId="19B27837" w14:textId="77777777" w:rsidR="00F967F3" w:rsidRDefault="00F967F3" w:rsidP="00D13667">
    <w:pPr>
      <w:pStyle w:val="Header"/>
      <w:tabs>
        <w:tab w:val="clear" w:pos="4680"/>
      </w:tabs>
      <w:rPr>
        <w:sz w:val="18"/>
        <w:szCs w:val="18"/>
      </w:rPr>
    </w:pPr>
  </w:p>
  <w:p w14:paraId="6EBAA28E" w14:textId="77777777" w:rsidR="00F967F3" w:rsidRDefault="00F967F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8F627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8CDF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48FB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861F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5C48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2B9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8B2C3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84D5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84D6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3A32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CD9"/>
    <w:rsid w:val="00011B43"/>
    <w:rsid w:val="00013360"/>
    <w:rsid w:val="00016759"/>
    <w:rsid w:val="000216CE"/>
    <w:rsid w:val="00024ED4"/>
    <w:rsid w:val="00025DC7"/>
    <w:rsid w:val="00035F09"/>
    <w:rsid w:val="00044ECC"/>
    <w:rsid w:val="000531D3"/>
    <w:rsid w:val="000539BC"/>
    <w:rsid w:val="00055E0C"/>
    <w:rsid w:val="0005646B"/>
    <w:rsid w:val="0006072A"/>
    <w:rsid w:val="00072D61"/>
    <w:rsid w:val="0008102D"/>
    <w:rsid w:val="00094C0E"/>
    <w:rsid w:val="000B1B5E"/>
    <w:rsid w:val="000D3813"/>
    <w:rsid w:val="000D7091"/>
    <w:rsid w:val="000F0C22"/>
    <w:rsid w:val="000F6B09"/>
    <w:rsid w:val="000F6FDC"/>
    <w:rsid w:val="00104567"/>
    <w:rsid w:val="00104916"/>
    <w:rsid w:val="00104AA7"/>
    <w:rsid w:val="001065B0"/>
    <w:rsid w:val="0012732D"/>
    <w:rsid w:val="00143F25"/>
    <w:rsid w:val="001469C9"/>
    <w:rsid w:val="00152682"/>
    <w:rsid w:val="00154FC9"/>
    <w:rsid w:val="0019241A"/>
    <w:rsid w:val="00196DC2"/>
    <w:rsid w:val="001A22D1"/>
    <w:rsid w:val="001A38A4"/>
    <w:rsid w:val="001A752D"/>
    <w:rsid w:val="001A757E"/>
    <w:rsid w:val="001B5032"/>
    <w:rsid w:val="001C4B23"/>
    <w:rsid w:val="001C7777"/>
    <w:rsid w:val="001E364F"/>
    <w:rsid w:val="001F4222"/>
    <w:rsid w:val="00203AA1"/>
    <w:rsid w:val="00213E98"/>
    <w:rsid w:val="00216F30"/>
    <w:rsid w:val="00224E54"/>
    <w:rsid w:val="0023081A"/>
    <w:rsid w:val="00284A5C"/>
    <w:rsid w:val="00291005"/>
    <w:rsid w:val="002D5DF1"/>
    <w:rsid w:val="002E5BB6"/>
    <w:rsid w:val="002F460C"/>
    <w:rsid w:val="002F48D6"/>
    <w:rsid w:val="00304F1D"/>
    <w:rsid w:val="00317391"/>
    <w:rsid w:val="00326216"/>
    <w:rsid w:val="00336580"/>
    <w:rsid w:val="00350DC8"/>
    <w:rsid w:val="00354899"/>
    <w:rsid w:val="00355FD6"/>
    <w:rsid w:val="00364A5C"/>
    <w:rsid w:val="00373FB1"/>
    <w:rsid w:val="00396C76"/>
    <w:rsid w:val="003A04D3"/>
    <w:rsid w:val="003B30D8"/>
    <w:rsid w:val="003B7EF2"/>
    <w:rsid w:val="003C1C7D"/>
    <w:rsid w:val="003C3FA4"/>
    <w:rsid w:val="003D0BA1"/>
    <w:rsid w:val="003D69DF"/>
    <w:rsid w:val="003F2B0C"/>
    <w:rsid w:val="003F456B"/>
    <w:rsid w:val="003F7D59"/>
    <w:rsid w:val="004105B2"/>
    <w:rsid w:val="00412900"/>
    <w:rsid w:val="004221E4"/>
    <w:rsid w:val="004273F8"/>
    <w:rsid w:val="004355A3"/>
    <w:rsid w:val="00445796"/>
    <w:rsid w:val="00446546"/>
    <w:rsid w:val="00452068"/>
    <w:rsid w:val="00452769"/>
    <w:rsid w:val="00455DD3"/>
    <w:rsid w:val="00465348"/>
    <w:rsid w:val="00490849"/>
    <w:rsid w:val="004B1CCB"/>
    <w:rsid w:val="004B632F"/>
    <w:rsid w:val="004C0BA6"/>
    <w:rsid w:val="004D3FB1"/>
    <w:rsid w:val="004D6F21"/>
    <w:rsid w:val="004D73A5"/>
    <w:rsid w:val="004F45DC"/>
    <w:rsid w:val="004F5B8D"/>
    <w:rsid w:val="005160F1"/>
    <w:rsid w:val="00524F2F"/>
    <w:rsid w:val="00527E5C"/>
    <w:rsid w:val="00532CF5"/>
    <w:rsid w:val="0053598D"/>
    <w:rsid w:val="00550137"/>
    <w:rsid w:val="005528CB"/>
    <w:rsid w:val="0055668B"/>
    <w:rsid w:val="00566771"/>
    <w:rsid w:val="00581E2E"/>
    <w:rsid w:val="00584F15"/>
    <w:rsid w:val="0058718A"/>
    <w:rsid w:val="00592D8B"/>
    <w:rsid w:val="0059514B"/>
    <w:rsid w:val="005974D3"/>
    <w:rsid w:val="005A1B0F"/>
    <w:rsid w:val="005A5004"/>
    <w:rsid w:val="005E701B"/>
    <w:rsid w:val="006001CF"/>
    <w:rsid w:val="0061323B"/>
    <w:rsid w:val="00614FB1"/>
    <w:rsid w:val="006163F7"/>
    <w:rsid w:val="00627C63"/>
    <w:rsid w:val="00631F43"/>
    <w:rsid w:val="0063350B"/>
    <w:rsid w:val="00652606"/>
    <w:rsid w:val="006529A5"/>
    <w:rsid w:val="006946EE"/>
    <w:rsid w:val="006A58A9"/>
    <w:rsid w:val="006A606D"/>
    <w:rsid w:val="006C0371"/>
    <w:rsid w:val="006C08B6"/>
    <w:rsid w:val="006C0B1A"/>
    <w:rsid w:val="006C6065"/>
    <w:rsid w:val="006C7F9F"/>
    <w:rsid w:val="006D045F"/>
    <w:rsid w:val="006D37B4"/>
    <w:rsid w:val="006D4B40"/>
    <w:rsid w:val="006D6367"/>
    <w:rsid w:val="006D6F8F"/>
    <w:rsid w:val="006E2F6D"/>
    <w:rsid w:val="006E58F6"/>
    <w:rsid w:val="006E77E1"/>
    <w:rsid w:val="006F131D"/>
    <w:rsid w:val="00711642"/>
    <w:rsid w:val="00713035"/>
    <w:rsid w:val="00735033"/>
    <w:rsid w:val="00747D82"/>
    <w:rsid w:val="007507C6"/>
    <w:rsid w:val="00751E0B"/>
    <w:rsid w:val="0075216B"/>
    <w:rsid w:val="00752BCD"/>
    <w:rsid w:val="007658C0"/>
    <w:rsid w:val="00766DA1"/>
    <w:rsid w:val="00780D94"/>
    <w:rsid w:val="007866A6"/>
    <w:rsid w:val="00787708"/>
    <w:rsid w:val="007A130D"/>
    <w:rsid w:val="007A3F42"/>
    <w:rsid w:val="007D1A2D"/>
    <w:rsid w:val="007D4102"/>
    <w:rsid w:val="007D448B"/>
    <w:rsid w:val="007E4DB8"/>
    <w:rsid w:val="007E6E6B"/>
    <w:rsid w:val="007F43B7"/>
    <w:rsid w:val="007F7C82"/>
    <w:rsid w:val="00805EDF"/>
    <w:rsid w:val="0081143D"/>
    <w:rsid w:val="00821FFC"/>
    <w:rsid w:val="008271CA"/>
    <w:rsid w:val="008467D5"/>
    <w:rsid w:val="0086682E"/>
    <w:rsid w:val="0087182E"/>
    <w:rsid w:val="008727A1"/>
    <w:rsid w:val="008A4DC4"/>
    <w:rsid w:val="008B438C"/>
    <w:rsid w:val="008D06CA"/>
    <w:rsid w:val="008D3A46"/>
    <w:rsid w:val="0090135D"/>
    <w:rsid w:val="009067A4"/>
    <w:rsid w:val="00924C11"/>
    <w:rsid w:val="00930885"/>
    <w:rsid w:val="00933D68"/>
    <w:rsid w:val="009340DB"/>
    <w:rsid w:val="0094618C"/>
    <w:rsid w:val="0095684B"/>
    <w:rsid w:val="00972498"/>
    <w:rsid w:val="0097481F"/>
    <w:rsid w:val="00974CC6"/>
    <w:rsid w:val="00976AD4"/>
    <w:rsid w:val="00985332"/>
    <w:rsid w:val="00995547"/>
    <w:rsid w:val="009A312F"/>
    <w:rsid w:val="009A5348"/>
    <w:rsid w:val="009B0AB7"/>
    <w:rsid w:val="009C76D5"/>
    <w:rsid w:val="009F21F2"/>
    <w:rsid w:val="009F7AA4"/>
    <w:rsid w:val="00A10AD7"/>
    <w:rsid w:val="00A27011"/>
    <w:rsid w:val="00A33918"/>
    <w:rsid w:val="00A559DB"/>
    <w:rsid w:val="00A569EA"/>
    <w:rsid w:val="00A65F15"/>
    <w:rsid w:val="00A71D5C"/>
    <w:rsid w:val="00A91D48"/>
    <w:rsid w:val="00A97517"/>
    <w:rsid w:val="00AA4198"/>
    <w:rsid w:val="00AB738A"/>
    <w:rsid w:val="00AD4403"/>
    <w:rsid w:val="00AF35FC"/>
    <w:rsid w:val="00AF5556"/>
    <w:rsid w:val="00B03639"/>
    <w:rsid w:val="00B0652A"/>
    <w:rsid w:val="00B40937"/>
    <w:rsid w:val="00B423EF"/>
    <w:rsid w:val="00B453DE"/>
    <w:rsid w:val="00B61D0E"/>
    <w:rsid w:val="00B71929"/>
    <w:rsid w:val="00B72597"/>
    <w:rsid w:val="00B87499"/>
    <w:rsid w:val="00B901F9"/>
    <w:rsid w:val="00BC5573"/>
    <w:rsid w:val="00BC7F94"/>
    <w:rsid w:val="00BD6EFB"/>
    <w:rsid w:val="00C154C2"/>
    <w:rsid w:val="00C1584D"/>
    <w:rsid w:val="00C15BE2"/>
    <w:rsid w:val="00C3447F"/>
    <w:rsid w:val="00C55A56"/>
    <w:rsid w:val="00C571BC"/>
    <w:rsid w:val="00C6539E"/>
    <w:rsid w:val="00C67102"/>
    <w:rsid w:val="00C81491"/>
    <w:rsid w:val="00C81676"/>
    <w:rsid w:val="00C85C5D"/>
    <w:rsid w:val="00C92CC4"/>
    <w:rsid w:val="00CA0AFB"/>
    <w:rsid w:val="00CA2CE1"/>
    <w:rsid w:val="00CA3976"/>
    <w:rsid w:val="00CA50E3"/>
    <w:rsid w:val="00CA757B"/>
    <w:rsid w:val="00CC1787"/>
    <w:rsid w:val="00CC182C"/>
    <w:rsid w:val="00CD0824"/>
    <w:rsid w:val="00CD2908"/>
    <w:rsid w:val="00CD4DFA"/>
    <w:rsid w:val="00D0214F"/>
    <w:rsid w:val="00D03A82"/>
    <w:rsid w:val="00D13667"/>
    <w:rsid w:val="00D15344"/>
    <w:rsid w:val="00D23F57"/>
    <w:rsid w:val="00D31BEC"/>
    <w:rsid w:val="00D63150"/>
    <w:rsid w:val="00D636BA"/>
    <w:rsid w:val="00D64A32"/>
    <w:rsid w:val="00D64EFC"/>
    <w:rsid w:val="00D7303F"/>
    <w:rsid w:val="00D75295"/>
    <w:rsid w:val="00D76CE9"/>
    <w:rsid w:val="00D97F12"/>
    <w:rsid w:val="00DA4D2A"/>
    <w:rsid w:val="00DA577F"/>
    <w:rsid w:val="00DA6095"/>
    <w:rsid w:val="00DB2A4C"/>
    <w:rsid w:val="00DB42E7"/>
    <w:rsid w:val="00DD43AC"/>
    <w:rsid w:val="00DE01A6"/>
    <w:rsid w:val="00DE4C91"/>
    <w:rsid w:val="00DE7A98"/>
    <w:rsid w:val="00DF32C2"/>
    <w:rsid w:val="00E0630F"/>
    <w:rsid w:val="00E148D5"/>
    <w:rsid w:val="00E15DD8"/>
    <w:rsid w:val="00E220BC"/>
    <w:rsid w:val="00E363CC"/>
    <w:rsid w:val="00E3783C"/>
    <w:rsid w:val="00E471A7"/>
    <w:rsid w:val="00E635CF"/>
    <w:rsid w:val="00E66519"/>
    <w:rsid w:val="00EB21E1"/>
    <w:rsid w:val="00EC6E0A"/>
    <w:rsid w:val="00ED4E18"/>
    <w:rsid w:val="00ED6DEE"/>
    <w:rsid w:val="00EE1F37"/>
    <w:rsid w:val="00F0159C"/>
    <w:rsid w:val="00F105B7"/>
    <w:rsid w:val="00F13220"/>
    <w:rsid w:val="00F17A21"/>
    <w:rsid w:val="00F25769"/>
    <w:rsid w:val="00F37B27"/>
    <w:rsid w:val="00F46556"/>
    <w:rsid w:val="00F50E91"/>
    <w:rsid w:val="00F57D29"/>
    <w:rsid w:val="00F96201"/>
    <w:rsid w:val="00F967F3"/>
    <w:rsid w:val="00FB7300"/>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528D18"/>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5F15"/>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A65F15"/>
    <w:pPr>
      <w:keepNext/>
    </w:pPr>
    <w:rPr>
      <w:rFonts w:ascii="Arial" w:hAnsi="Arial" w:cs="Arial"/>
      <w:b/>
      <w:caps/>
      <w:sz w:val="20"/>
      <w:szCs w:val="20"/>
    </w:rPr>
  </w:style>
  <w:style w:type="character" w:customStyle="1" w:styleId="Casehead1Char">
    <w:name w:val="Casehead 1 Char"/>
    <w:basedOn w:val="BodyTextMainChar"/>
    <w:link w:val="Casehead1"/>
    <w:rsid w:val="00A65F15"/>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character" w:styleId="FootnoteReference">
    <w:name w:val="footnote reference"/>
    <w:basedOn w:val="DefaultParagraphFont"/>
    <w:unhideWhenUsed/>
    <w:rsid w:val="00E363CC"/>
    <w:rPr>
      <w:b w:val="0"/>
      <w:color w:val="auto"/>
      <w:vertAlign w:val="superscript"/>
    </w:rPr>
  </w:style>
  <w:style w:type="paragraph" w:customStyle="1" w:styleId="Footnote">
    <w:name w:val="Footnote"/>
    <w:basedOn w:val="Normal"/>
    <w:link w:val="FootnoteChar"/>
    <w:qFormat/>
    <w:rsid w:val="00A65F15"/>
    <w:rPr>
      <w:rFonts w:ascii="Arial" w:hAnsi="Arial" w:cs="Arial"/>
      <w:sz w:val="17"/>
      <w:szCs w:val="17"/>
    </w:rPr>
  </w:style>
  <w:style w:type="character" w:customStyle="1" w:styleId="FootnoteChar">
    <w:name w:val="Footnote Char"/>
    <w:basedOn w:val="DefaultParagraphFont"/>
    <w:link w:val="Footnote"/>
    <w:rsid w:val="00A65F15"/>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7D4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unhideWhenUsed/>
    <w:rsid w:val="003A04D3"/>
  </w:style>
  <w:style w:type="character" w:customStyle="1" w:styleId="FootnoteTextChar">
    <w:name w:val="Footnote Text Char"/>
    <w:basedOn w:val="DefaultParagraphFont"/>
    <w:link w:val="FootnoteText"/>
    <w:semiHidden/>
    <w:rsid w:val="003A04D3"/>
    <w:rPr>
      <w:rFonts w:ascii="Times New Roman" w:eastAsia="Times New Roman" w:hAnsi="Times New Roman" w:cs="Times New Roman"/>
      <w:sz w:val="20"/>
      <w:szCs w:val="20"/>
      <w:lang w:val="en-GB"/>
    </w:rPr>
  </w:style>
  <w:style w:type="character" w:customStyle="1" w:styleId="UnresolvedMention1">
    <w:name w:val="Unresolved Mention1"/>
    <w:basedOn w:val="DefaultParagraphFont"/>
    <w:uiPriority w:val="99"/>
    <w:semiHidden/>
    <w:unhideWhenUsed/>
    <w:rsid w:val="00304F1D"/>
    <w:rPr>
      <w:color w:val="808080"/>
      <w:shd w:val="clear" w:color="auto" w:fill="E6E6E6"/>
    </w:rPr>
  </w:style>
  <w:style w:type="character" w:customStyle="1" w:styleId="UnresolvedMention">
    <w:name w:val="Unresolved Mention"/>
    <w:basedOn w:val="DefaultParagraphFont"/>
    <w:uiPriority w:val="99"/>
    <w:semiHidden/>
    <w:unhideWhenUsed/>
    <w:rsid w:val="00600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mPk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A000002527TU"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veypubs.my.salesforce.com/003A000002527T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24C0B-A8B8-46E6-9612-F3C422646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2019-03-25T15:46:00Z</dcterms:created>
  <dcterms:modified xsi:type="dcterms:W3CDTF">2019-04-02T19:53:00Z</dcterms:modified>
</cp:coreProperties>
</file>