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F61AFC2" w:rsidR="00C02410" w:rsidRDefault="00DD3329" w:rsidP="00C02410">
      <w:pPr>
        <w:pStyle w:val="ProductNumber"/>
      </w:pPr>
      <w:r>
        <w:t>9B19E016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5E232E8A" w:rsidR="00013360" w:rsidRDefault="00DD3329" w:rsidP="00013360">
      <w:pPr>
        <w:pStyle w:val="CaseTitle"/>
        <w:spacing w:after="0" w:line="240" w:lineRule="auto"/>
        <w:rPr>
          <w:sz w:val="20"/>
          <w:szCs w:val="20"/>
        </w:rPr>
      </w:pPr>
      <w:r w:rsidRPr="00650229">
        <w:rPr>
          <w:lang w:val="en-GB"/>
        </w:rPr>
        <w:t xml:space="preserve">volkswagen group: adapting </w:t>
      </w:r>
      <w:r w:rsidR="00D00E4E">
        <w:rPr>
          <w:lang w:val="en-GB"/>
        </w:rPr>
        <w:t>in the</w:t>
      </w:r>
      <w:bookmarkStart w:id="0" w:name="_GoBack"/>
      <w:bookmarkEnd w:id="0"/>
      <w:r w:rsidRPr="00650229">
        <w:rPr>
          <w:lang w:val="en-GB"/>
        </w:rPr>
        <w:t xml:space="preserve"> age of ai</w:t>
      </w:r>
      <w:r w:rsidR="0088622F">
        <w:rPr>
          <w:rStyle w:val="FootnoteReference"/>
          <w:lang w:val="en-GB"/>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F471279" w:rsidR="00086B26" w:rsidRPr="00287D6F" w:rsidRDefault="00DD3329" w:rsidP="00086B26">
      <w:pPr>
        <w:pStyle w:val="StyleCopyrightStatementAfter0ptBottomSinglesolidline1"/>
        <w:rPr>
          <w:lang w:val="en-GB"/>
        </w:rPr>
      </w:pPr>
      <w:proofErr w:type="spellStart"/>
      <w:r>
        <w:t>Duan</w:t>
      </w:r>
      <w:proofErr w:type="spellEnd"/>
      <w:r>
        <w:t xml:space="preserve"> Yang</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Professors Ning Su and Yulin Fang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13B8C13"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D3329">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DD3329">
        <w:rPr>
          <w:rFonts w:cs="Arial"/>
          <w:iCs w:val="0"/>
          <w:color w:val="auto"/>
          <w:szCs w:val="16"/>
        </w:rPr>
        <w:t>19</w:t>
      </w:r>
      <w:r w:rsidRPr="00A323B0">
        <w:rPr>
          <w:rFonts w:cs="Arial"/>
          <w:iCs w:val="0"/>
          <w:color w:val="auto"/>
          <w:szCs w:val="16"/>
        </w:rPr>
        <w:t>-</w:t>
      </w:r>
      <w:r w:rsidR="00DD3329">
        <w:rPr>
          <w:rFonts w:cs="Arial"/>
          <w:iCs w:val="0"/>
          <w:color w:val="auto"/>
          <w:szCs w:val="16"/>
        </w:rPr>
        <w:t>12</w:t>
      </w:r>
      <w:r w:rsidRPr="00A323B0">
        <w:rPr>
          <w:rFonts w:cs="Arial"/>
          <w:iCs w:val="0"/>
          <w:color w:val="auto"/>
          <w:szCs w:val="16"/>
        </w:rPr>
        <w:t>-</w:t>
      </w:r>
      <w:r w:rsidR="00DD3329">
        <w:rPr>
          <w:rFonts w:cs="Arial"/>
          <w:iCs w:val="0"/>
          <w:color w:val="auto"/>
          <w:szCs w:val="16"/>
        </w:rPr>
        <w:t>1</w:t>
      </w:r>
      <w:r w:rsidR="00DD688F">
        <w:rPr>
          <w:rFonts w:cs="Arial"/>
          <w:iCs w:val="0"/>
          <w:color w:val="auto"/>
          <w:szCs w:val="16"/>
        </w:rPr>
        <w:t>8</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06F1E74" w14:textId="77777777" w:rsidR="00DD3329" w:rsidRPr="00790E25" w:rsidRDefault="00DD3329" w:rsidP="0088622F">
      <w:pPr>
        <w:pStyle w:val="BodyTextMain"/>
        <w:rPr>
          <w:spacing w:val="-2"/>
          <w:lang w:val="en-GB"/>
        </w:rPr>
      </w:pPr>
      <w:bookmarkStart w:id="1" w:name="_Hlk9113086"/>
      <w:r w:rsidRPr="00790E25">
        <w:rPr>
          <w:spacing w:val="-2"/>
          <w:lang w:val="en-GB"/>
        </w:rPr>
        <w:t>Becoming a “world-leading provider of sustainable mobility</w:t>
      </w:r>
      <w:bookmarkEnd w:id="1"/>
      <w:r w:rsidRPr="00790E25">
        <w:rPr>
          <w:spacing w:val="-2"/>
          <w:lang w:val="en-GB"/>
        </w:rPr>
        <w:t>:” that was the ambition. In mid-2016, the Volkswagen Group (VW Group) revealed its vision for the company’s future with the announcement of Together–Strategy 2025, “the biggest change process” the company had ever initiated.</w:t>
      </w:r>
      <w:r w:rsidRPr="00790E25">
        <w:rPr>
          <w:spacing w:val="-2"/>
          <w:vertAlign w:val="superscript"/>
          <w:lang w:val="en-GB"/>
        </w:rPr>
        <w:footnoteReference w:id="2"/>
      </w:r>
      <w:r w:rsidRPr="00790E25">
        <w:rPr>
          <w:spacing w:val="-2"/>
          <w:lang w:val="en-GB"/>
        </w:rPr>
        <w:t xml:space="preserve"> While acknowledging the overall success of Strategy 2018, the strengths of which had included unique innovation capability, robust finance, and strong customer confidence,</w:t>
      </w:r>
      <w:r w:rsidRPr="00790E25">
        <w:rPr>
          <w:spacing w:val="-2"/>
          <w:vertAlign w:val="superscript"/>
          <w:lang w:val="en-GB"/>
        </w:rPr>
        <w:footnoteReference w:id="3"/>
      </w:r>
      <w:r w:rsidRPr="00790E25">
        <w:rPr>
          <w:spacing w:val="-2"/>
          <w:lang w:val="en-GB"/>
        </w:rPr>
        <w:t xml:space="preserve"> the established automaker set its eyes on a comprehensive transformation in response to rapid changes in the automotive industry. The VW Group made it clear that innovation and technology would be essential enablers for a successful new strategy, especially in the areas of business transformation and mobility solution development (see Exhibits 1 and 2).</w:t>
      </w:r>
      <w:r w:rsidRPr="00790E25">
        <w:rPr>
          <w:spacing w:val="-2"/>
          <w:vertAlign w:val="superscript"/>
          <w:lang w:val="en-GB"/>
        </w:rPr>
        <w:footnoteReference w:id="4"/>
      </w:r>
      <w:r w:rsidRPr="00790E25">
        <w:rPr>
          <w:spacing w:val="-2"/>
          <w:lang w:val="en-GB"/>
        </w:rPr>
        <w:t xml:space="preserve"> </w:t>
      </w:r>
    </w:p>
    <w:p w14:paraId="61EFFA31" w14:textId="77777777" w:rsidR="00DD3329" w:rsidRPr="00DD3329" w:rsidRDefault="00DD3329" w:rsidP="0088622F">
      <w:pPr>
        <w:pStyle w:val="BodyTextMain"/>
        <w:rPr>
          <w:lang w:val="en-GB"/>
        </w:rPr>
      </w:pPr>
    </w:p>
    <w:p w14:paraId="4E5E1087" w14:textId="77777777" w:rsidR="00DD3329" w:rsidRPr="00DD3329" w:rsidRDefault="00DD3329" w:rsidP="0088622F">
      <w:pPr>
        <w:pStyle w:val="BodyTextMain"/>
        <w:rPr>
          <w:lang w:val="en-GB"/>
        </w:rPr>
      </w:pPr>
      <w:r w:rsidRPr="00DD3329">
        <w:rPr>
          <w:i/>
          <w:iCs/>
          <w:lang w:val="en-GB"/>
        </w:rPr>
        <w:t>Note to the Participant:</w:t>
      </w:r>
      <w:r w:rsidRPr="00DD3329">
        <w:rPr>
          <w:lang w:val="en-GB"/>
        </w:rPr>
        <w:t xml:space="preserve"> In this exercise, you are expected to take full advantage of the emerging information technologies, especially artificial intelligence (AI), to help the VW Group achieve its long-term ambition. Serving this purpose, your team has been tasked with planning a feasible priority initiative that could comprehensively facilitate the company’s evolution. The company executives will be open to hearing innovative yet practical initiatives from you and your competitors at an upcoming meeting.</w:t>
      </w:r>
    </w:p>
    <w:p w14:paraId="09ACE602" w14:textId="77777777" w:rsidR="00DD3329" w:rsidRPr="00DD3329" w:rsidRDefault="00DD3329" w:rsidP="0088622F">
      <w:pPr>
        <w:pStyle w:val="BodyTextMain"/>
        <w:rPr>
          <w:lang w:val="en-GB"/>
        </w:rPr>
      </w:pPr>
    </w:p>
    <w:p w14:paraId="4900A1D5" w14:textId="77777777" w:rsidR="00DD3329" w:rsidRPr="00DD3329" w:rsidRDefault="00DD3329" w:rsidP="0088622F">
      <w:pPr>
        <w:pStyle w:val="BodyTextMain"/>
        <w:rPr>
          <w:lang w:val="en-GB"/>
        </w:rPr>
      </w:pPr>
    </w:p>
    <w:p w14:paraId="384D50AE" w14:textId="77777777" w:rsidR="00DD3329" w:rsidRPr="00DD3329" w:rsidRDefault="00DD3329" w:rsidP="0088622F">
      <w:pPr>
        <w:pStyle w:val="Casehead1"/>
        <w:rPr>
          <w:lang w:val="en-GB"/>
        </w:rPr>
      </w:pPr>
      <w:r w:rsidRPr="00DD3329">
        <w:rPr>
          <w:lang w:val="en-GB"/>
        </w:rPr>
        <w:t>Company Background</w:t>
      </w:r>
    </w:p>
    <w:p w14:paraId="091CF70F" w14:textId="77777777" w:rsidR="00DD3329" w:rsidRPr="00DD3329" w:rsidRDefault="00DD3329" w:rsidP="0088622F">
      <w:pPr>
        <w:pStyle w:val="BodyTextMain"/>
        <w:rPr>
          <w:lang w:val="en-GB"/>
        </w:rPr>
      </w:pPr>
    </w:p>
    <w:p w14:paraId="373EB7BE" w14:textId="77777777" w:rsidR="00DD3329" w:rsidRPr="00DD3329" w:rsidRDefault="00DD3329" w:rsidP="0088622F">
      <w:pPr>
        <w:pStyle w:val="BodyTextMain"/>
        <w:rPr>
          <w:lang w:val="en-GB"/>
        </w:rPr>
      </w:pPr>
      <w:r w:rsidRPr="00DD3329">
        <w:rPr>
          <w:lang w:val="en-GB"/>
        </w:rPr>
        <w:t>The VW Group was founded in Wolfsburg, Germany, in 1937. As a state-owned company, it had focused on the design and production of a small-</w:t>
      </w:r>
      <w:proofErr w:type="spellStart"/>
      <w:r w:rsidRPr="00DD3329">
        <w:rPr>
          <w:lang w:val="en-GB"/>
        </w:rPr>
        <w:t>engined</w:t>
      </w:r>
      <w:proofErr w:type="spellEnd"/>
      <w:r w:rsidRPr="00DD3329">
        <w:rPr>
          <w:lang w:val="en-GB"/>
        </w:rPr>
        <w:t xml:space="preserve">, economical vehicle for the mass market. However, the outbreak of World War II meant that this mass production did not begin until 1946. As the company’s operations resumed in the 1950s and 1960s, backed by a surge in sales both at home and abroad, the company grew quickly through acquisitions. At the beginning of 1965, the VW Group acquired Auto Union GmbH from Daimler-Benz AG, an acquisition that marked the initiation of the VW Group’s multi-brand development strategy. In 1969, the company acquired another German automobile manufacturer, NSU </w:t>
      </w:r>
      <w:proofErr w:type="spellStart"/>
      <w:r w:rsidRPr="00DD3329">
        <w:rPr>
          <w:lang w:val="en-GB"/>
        </w:rPr>
        <w:lastRenderedPageBreak/>
        <w:t>Motorenwerke</w:t>
      </w:r>
      <w:proofErr w:type="spellEnd"/>
      <w:r w:rsidRPr="00DD3329">
        <w:rPr>
          <w:lang w:val="en-GB"/>
        </w:rPr>
        <w:t xml:space="preserve"> AG, and merged it with Auto Union GmbH, creating a new subsidiary called Audi NSU Auto Union AG, today’s Audi AG.</w:t>
      </w:r>
      <w:r w:rsidRPr="00DD3329">
        <w:rPr>
          <w:vertAlign w:val="superscript"/>
          <w:lang w:val="en-GB"/>
        </w:rPr>
        <w:footnoteReference w:id="5"/>
      </w:r>
    </w:p>
    <w:p w14:paraId="7C1BBDD3" w14:textId="77777777" w:rsidR="00DD3329" w:rsidRPr="00DD3329" w:rsidRDefault="00DD3329" w:rsidP="0088622F">
      <w:pPr>
        <w:pStyle w:val="BodyTextMain"/>
        <w:rPr>
          <w:lang w:val="en-GB"/>
        </w:rPr>
      </w:pPr>
    </w:p>
    <w:p w14:paraId="4F4E44A2" w14:textId="77777777" w:rsidR="00DD3329" w:rsidRPr="00DD3329" w:rsidRDefault="00DD3329" w:rsidP="0088622F">
      <w:pPr>
        <w:pStyle w:val="BodyTextMain"/>
        <w:rPr>
          <w:lang w:val="en-GB"/>
        </w:rPr>
      </w:pPr>
      <w:r w:rsidRPr="00DD3329">
        <w:rPr>
          <w:lang w:val="en-GB"/>
        </w:rPr>
        <w:t xml:space="preserve">Early in the 1970s, the VW Group expanded its </w:t>
      </w:r>
      <w:proofErr w:type="spellStart"/>
      <w:r w:rsidRPr="00DD3329">
        <w:rPr>
          <w:lang w:val="en-GB"/>
        </w:rPr>
        <w:t>lineup</w:t>
      </w:r>
      <w:proofErr w:type="spellEnd"/>
      <w:r w:rsidRPr="00DD3329">
        <w:rPr>
          <w:lang w:val="en-GB"/>
        </w:rPr>
        <w:t xml:space="preserve"> with some of its best-selling models, including the Passat, the Polo, the Jetta, and the Golf (see Exhibit 3).</w:t>
      </w:r>
      <w:r w:rsidRPr="00DD3329">
        <w:rPr>
          <w:vertAlign w:val="superscript"/>
          <w:lang w:val="en-GB"/>
        </w:rPr>
        <w:footnoteReference w:id="6"/>
      </w:r>
      <w:r w:rsidRPr="00DD3329">
        <w:rPr>
          <w:lang w:val="en-GB"/>
        </w:rPr>
        <w:t xml:space="preserve"> The 1980s and early 1990s witnessed the company’s development through new brands and in new markets. The VW Group further enriched its brand portfolio with the acquisitions of Spanish car maker SEAT SA in 1986 and Czech car maker </w:t>
      </w:r>
      <w:proofErr w:type="spellStart"/>
      <w:r w:rsidRPr="00DD3329">
        <w:rPr>
          <w:lang w:val="en-GB"/>
        </w:rPr>
        <w:t>Škoda</w:t>
      </w:r>
      <w:proofErr w:type="spellEnd"/>
      <w:r w:rsidRPr="00DD3329">
        <w:rPr>
          <w:lang w:val="en-GB"/>
        </w:rPr>
        <w:t xml:space="preserve"> Auto in 1991. The company also established joint ventures in China and cooperation agreements with multiple automobile manufacturers, including Nissan Motor Co. Ltd., Ford Motor Company, and Toyota Motor Corporation,</w:t>
      </w:r>
      <w:r w:rsidRPr="00DD3329">
        <w:rPr>
          <w:vertAlign w:val="superscript"/>
          <w:lang w:val="en-GB"/>
        </w:rPr>
        <w:footnoteReference w:id="7"/>
      </w:r>
      <w:r w:rsidRPr="00DD3329">
        <w:rPr>
          <w:lang w:val="en-GB"/>
        </w:rPr>
        <w:t xml:space="preserve"> which gave the company access to promising markets in various developing countries. Specifically, the joint ventures in China laid solid foundations for the VW Group’s substantial development in the region over the next 33 years. With the number of vehicles sold and produced in China both exceeding 4.1 million in 2018,</w:t>
      </w:r>
      <w:r w:rsidRPr="00DD3329">
        <w:rPr>
          <w:vertAlign w:val="superscript"/>
          <w:lang w:val="en-GB"/>
        </w:rPr>
        <w:footnoteReference w:id="8"/>
      </w:r>
      <w:r w:rsidRPr="00DD3329">
        <w:rPr>
          <w:lang w:val="en-GB"/>
        </w:rPr>
        <w:t xml:space="preserve"> the VW Group had already seized a considerable share in its biggest single-country market.</w:t>
      </w:r>
    </w:p>
    <w:p w14:paraId="08ABD3CC" w14:textId="77777777" w:rsidR="00DD3329" w:rsidRPr="00DD3329" w:rsidRDefault="00DD3329" w:rsidP="0088622F">
      <w:pPr>
        <w:pStyle w:val="BodyTextMain"/>
        <w:rPr>
          <w:lang w:val="en-GB"/>
        </w:rPr>
      </w:pPr>
    </w:p>
    <w:p w14:paraId="42E8DD86" w14:textId="716D4CFA" w:rsidR="00DD3329" w:rsidRPr="00DD3329" w:rsidRDefault="00DD3329" w:rsidP="0088622F">
      <w:pPr>
        <w:pStyle w:val="BodyTextMain"/>
        <w:rPr>
          <w:lang w:val="en-GB"/>
        </w:rPr>
      </w:pPr>
      <w:r w:rsidRPr="00DD3329">
        <w:rPr>
          <w:lang w:val="en-GB"/>
        </w:rPr>
        <w:t>In the 1990s, the VW Group continued to enrich its selection of brands with the formation of Volkswagen Commercial Vehicles (VWCV) and the acquisitions of Bentley Motors Ltd., Lamborghini, and Bugatti Automobiles. These acquisition</w:t>
      </w:r>
      <w:r w:rsidR="00790E25">
        <w:rPr>
          <w:lang w:val="en-GB"/>
        </w:rPr>
        <w:t>s</w:t>
      </w:r>
      <w:r w:rsidRPr="00DD3329">
        <w:rPr>
          <w:lang w:val="en-GB"/>
        </w:rPr>
        <w:t xml:space="preserve"> also enabled the company to extend its business to the luxury vehicle segment. During this period, the VW Group also consolidated its financial services business—which included leasing, banking, and insurance—and created an independent subsidiary, Volkswagen Financial Services AG, to manage its financial service operations.</w:t>
      </w:r>
      <w:r w:rsidRPr="00DD3329">
        <w:rPr>
          <w:vertAlign w:val="superscript"/>
          <w:lang w:val="en-GB"/>
        </w:rPr>
        <w:footnoteReference w:id="9"/>
      </w:r>
    </w:p>
    <w:p w14:paraId="7A874228" w14:textId="77777777" w:rsidR="00DD3329" w:rsidRPr="00DD3329" w:rsidRDefault="00DD3329" w:rsidP="0088622F">
      <w:pPr>
        <w:pStyle w:val="BodyTextMain"/>
        <w:rPr>
          <w:lang w:val="en-GB"/>
        </w:rPr>
      </w:pPr>
    </w:p>
    <w:p w14:paraId="3201E8A0" w14:textId="77777777" w:rsidR="00DD3329" w:rsidRPr="00DD3329" w:rsidRDefault="00DD3329" w:rsidP="0088622F">
      <w:pPr>
        <w:pStyle w:val="BodyTextMain"/>
        <w:rPr>
          <w:lang w:val="en-GB"/>
        </w:rPr>
      </w:pPr>
      <w:r w:rsidRPr="00DD3329">
        <w:rPr>
          <w:lang w:val="en-GB"/>
        </w:rPr>
        <w:t xml:space="preserve">In the new century, the VW Group continued its steady pace of globalization and expansion. The acquisitions of Scania AB in 2008 and MAN SE in 2011 enabled the company to create a commercial vehicles group consisting of these two leading commercial vehicle manufacturers as well as VWCV. In 2012, a merger with Porsche AG and the acquisition of Ducati Motor Holding </w:t>
      </w:r>
      <w:proofErr w:type="spellStart"/>
      <w:r w:rsidRPr="00DD3329">
        <w:rPr>
          <w:lang w:val="en-GB"/>
        </w:rPr>
        <w:t>SpA</w:t>
      </w:r>
      <w:proofErr w:type="spellEnd"/>
      <w:r w:rsidRPr="00DD3329">
        <w:rPr>
          <w:lang w:val="en-GB"/>
        </w:rPr>
        <w:t xml:space="preserve"> further enhanced the company’s presence in the high-end vehicle market.</w:t>
      </w:r>
      <w:r w:rsidRPr="00DD3329">
        <w:rPr>
          <w:vertAlign w:val="superscript"/>
          <w:lang w:val="en-GB"/>
        </w:rPr>
        <w:t xml:space="preserve"> </w:t>
      </w:r>
      <w:r w:rsidRPr="00DD3329">
        <w:rPr>
          <w:vertAlign w:val="superscript"/>
          <w:lang w:val="en-GB"/>
        </w:rPr>
        <w:footnoteReference w:id="10"/>
      </w:r>
      <w:r w:rsidRPr="00DD3329">
        <w:rPr>
          <w:lang w:val="en-GB"/>
        </w:rPr>
        <w:t xml:space="preserve"> As of 2018, the VW Group owned a portfolio of 12 brands that covered a wide spectrum of passenger and commercial vehicles. In 2018, with a sales revenue of €236 billion</w:t>
      </w:r>
      <w:r w:rsidRPr="00DD3329">
        <w:rPr>
          <w:vertAlign w:val="superscript"/>
          <w:lang w:val="en-GB"/>
        </w:rPr>
        <w:footnoteReference w:id="11"/>
      </w:r>
      <w:r w:rsidRPr="00DD3329">
        <w:rPr>
          <w:lang w:val="en-GB"/>
        </w:rPr>
        <w:t xml:space="preserve"> generated by its operations in 153 countries and regions, the VW Group was an indisputable leader in the global automotive industry.</w:t>
      </w:r>
      <w:r w:rsidRPr="00DD3329">
        <w:rPr>
          <w:vertAlign w:val="superscript"/>
          <w:lang w:val="en-GB"/>
        </w:rPr>
        <w:footnoteReference w:id="12"/>
      </w:r>
    </w:p>
    <w:p w14:paraId="0E4611C7" w14:textId="77777777" w:rsidR="00DD3329" w:rsidRPr="00DD3329" w:rsidRDefault="00DD3329" w:rsidP="0088622F">
      <w:pPr>
        <w:pStyle w:val="BodyTextMain"/>
        <w:rPr>
          <w:lang w:val="en-GB"/>
        </w:rPr>
      </w:pPr>
    </w:p>
    <w:p w14:paraId="3124B5FE" w14:textId="77777777" w:rsidR="00DD3329" w:rsidRPr="00DD3329" w:rsidRDefault="00DD3329" w:rsidP="0088622F">
      <w:pPr>
        <w:pStyle w:val="BodyTextMain"/>
        <w:rPr>
          <w:lang w:val="en-GB"/>
        </w:rPr>
      </w:pPr>
    </w:p>
    <w:p w14:paraId="68669BAD" w14:textId="77777777" w:rsidR="00DD3329" w:rsidRPr="00DD3329" w:rsidRDefault="00DD3329" w:rsidP="0088622F">
      <w:pPr>
        <w:pStyle w:val="Casehead1"/>
        <w:rPr>
          <w:lang w:val="en-GB"/>
        </w:rPr>
      </w:pPr>
      <w:r w:rsidRPr="00DD3329">
        <w:rPr>
          <w:lang w:val="en-GB"/>
        </w:rPr>
        <w:t>Current Organization</w:t>
      </w:r>
    </w:p>
    <w:p w14:paraId="436F23D9" w14:textId="77777777" w:rsidR="00DD3329" w:rsidRPr="00DD3329" w:rsidRDefault="00DD3329" w:rsidP="0088622F">
      <w:pPr>
        <w:pStyle w:val="BodyTextMain"/>
        <w:rPr>
          <w:lang w:val="en-GB"/>
        </w:rPr>
      </w:pPr>
    </w:p>
    <w:p w14:paraId="19BF1A2B" w14:textId="77777777" w:rsidR="00DD3329" w:rsidRPr="00DD3329" w:rsidRDefault="00DD3329" w:rsidP="0088622F">
      <w:pPr>
        <w:pStyle w:val="BodyTextMain"/>
        <w:rPr>
          <w:lang w:val="en-GB"/>
        </w:rPr>
      </w:pPr>
      <w:r w:rsidRPr="00DD3329">
        <w:rPr>
          <w:lang w:val="en-GB"/>
        </w:rPr>
        <w:t xml:space="preserve">In 2018, the VW Group had two business divisions, the automotive division and the financial services division (see Exhibit 4). The automotive division, consisting of three major business areas—passenger cars, commercial vehicles, and power engineering—was responsible for the development, production, and sales of vehicles, engines, and other vehicle components and machinery. The financial services division, on the </w:t>
      </w:r>
      <w:r w:rsidRPr="00DD3329">
        <w:rPr>
          <w:lang w:val="en-GB"/>
        </w:rPr>
        <w:lastRenderedPageBreak/>
        <w:t>other hand, provided a wide range of financial services, including dealer and customer financing, vehicle leasing, direct banking, insurance, fleet management, and mobility offerings.</w:t>
      </w:r>
      <w:r w:rsidRPr="00DD3329">
        <w:rPr>
          <w:vertAlign w:val="superscript"/>
          <w:lang w:val="en-GB"/>
        </w:rPr>
        <w:footnoteReference w:id="13"/>
      </w:r>
    </w:p>
    <w:p w14:paraId="535BB165" w14:textId="77777777" w:rsidR="00DD3329" w:rsidRPr="00DD3329" w:rsidRDefault="00DD3329" w:rsidP="0088622F">
      <w:pPr>
        <w:pStyle w:val="BodyTextMain"/>
        <w:rPr>
          <w:lang w:val="en-GB"/>
        </w:rPr>
      </w:pPr>
    </w:p>
    <w:p w14:paraId="7FB15E5B" w14:textId="77777777" w:rsidR="00DD3329" w:rsidRPr="00DD3329" w:rsidRDefault="00DD3329" w:rsidP="0088622F">
      <w:pPr>
        <w:pStyle w:val="BodyTextMain"/>
        <w:rPr>
          <w:lang w:val="en-GB"/>
        </w:rPr>
      </w:pPr>
      <w:bookmarkStart w:id="4" w:name="_Hlk9113825"/>
      <w:r w:rsidRPr="00DD3329">
        <w:rPr>
          <w:lang w:val="en-GB"/>
        </w:rPr>
        <w:t xml:space="preserve">In 2018, </w:t>
      </w:r>
      <w:r w:rsidRPr="00DD3329">
        <w:rPr>
          <w:rFonts w:eastAsia="PMingLiU"/>
          <w:lang w:val="en-GB" w:eastAsia="zh-TW"/>
        </w:rPr>
        <w:t xml:space="preserve">the VW Group </w:t>
      </w:r>
      <w:r w:rsidRPr="00DD3329">
        <w:rPr>
          <w:lang w:val="en-GB"/>
        </w:rPr>
        <w:t>became the world’s top-selling vehicle manufacturer for five consecutive years in terms of sales volume, selling 10.9 million</w:t>
      </w:r>
      <w:r w:rsidRPr="00DD3329">
        <w:rPr>
          <w:vertAlign w:val="superscript"/>
          <w:lang w:val="en-GB"/>
        </w:rPr>
        <w:footnoteReference w:id="14"/>
      </w:r>
      <w:r w:rsidRPr="00DD3329">
        <w:rPr>
          <w:lang w:val="en-GB"/>
        </w:rPr>
        <w:t xml:space="preserve"> vehicles around the world.</w:t>
      </w:r>
      <w:bookmarkEnd w:id="4"/>
      <w:r w:rsidRPr="00DD3329">
        <w:rPr>
          <w:vertAlign w:val="superscript"/>
          <w:lang w:val="en-GB"/>
        </w:rPr>
        <w:footnoteReference w:id="15"/>
      </w:r>
      <w:r w:rsidRPr="00DD3329">
        <w:rPr>
          <w:lang w:val="en-GB"/>
        </w:rPr>
        <w:t xml:space="preserve"> In 2018, the Volkswagen Passenger Car remained the most popular brand within the VW Group, accounting for 34.08 per cent (3.715 million units) of total sales. Audi, </w:t>
      </w:r>
      <w:proofErr w:type="spellStart"/>
      <w:r w:rsidRPr="00DD3329">
        <w:rPr>
          <w:lang w:val="en-GB"/>
        </w:rPr>
        <w:t>Škoda</w:t>
      </w:r>
      <w:proofErr w:type="spellEnd"/>
      <w:r w:rsidRPr="00DD3329">
        <w:rPr>
          <w:lang w:val="en-GB"/>
        </w:rPr>
        <w:t>, and SEAT ranked second, third, and fourth, contributing 1.467 million, 957 thousand, and 608 thousand units, respectively, to the company’s total sales in 2018 (see Exhibit 5). Over 84 per cent of the VW Group’s sales were from Europe (about 4.739 million units) and Asia-Pacific (about 4.64 million units, including sales of VW China), while the North American and South American markets (about 925,000 units and about 596,000 units, respectively) accounted for the rest.</w:t>
      </w:r>
      <w:r w:rsidRPr="00DD3329">
        <w:rPr>
          <w:vertAlign w:val="superscript"/>
          <w:lang w:val="en-GB"/>
        </w:rPr>
        <w:footnoteReference w:id="16"/>
      </w:r>
      <w:r w:rsidRPr="00DD3329">
        <w:rPr>
          <w:lang w:val="en-GB"/>
        </w:rPr>
        <w:t xml:space="preserve"> In 2018, the company was also the best-selling automaker in terms of sales revenue,</w:t>
      </w:r>
      <w:r w:rsidRPr="00DD3329">
        <w:rPr>
          <w:vertAlign w:val="superscript"/>
          <w:lang w:val="en-GB"/>
        </w:rPr>
        <w:footnoteReference w:id="17"/>
      </w:r>
      <w:r w:rsidRPr="00DD3329">
        <w:rPr>
          <w:lang w:val="en-GB"/>
        </w:rPr>
        <w:t xml:space="preserve"> ahead of Toyota Motor Corporation’s €226 billion.</w:t>
      </w:r>
      <w:r w:rsidRPr="00DD3329">
        <w:rPr>
          <w:vertAlign w:val="superscript"/>
          <w:lang w:val="en-GB"/>
        </w:rPr>
        <w:footnoteReference w:id="18"/>
      </w:r>
      <w:r w:rsidRPr="00DD3329">
        <w:rPr>
          <w:lang w:val="en-GB"/>
        </w:rPr>
        <w:t xml:space="preserve"> The VW Group had an impressive after-tax profit of €12.153 billion for the year, a 6 per cent increase compared to the 2017 figure (see Exhibit 6).</w:t>
      </w:r>
      <w:r w:rsidRPr="00DD3329">
        <w:rPr>
          <w:vertAlign w:val="superscript"/>
          <w:lang w:val="en-GB"/>
        </w:rPr>
        <w:footnoteReference w:id="19"/>
      </w:r>
    </w:p>
    <w:p w14:paraId="527DD420" w14:textId="77777777" w:rsidR="00DD3329" w:rsidRPr="00DD3329" w:rsidRDefault="00DD3329" w:rsidP="0088622F">
      <w:pPr>
        <w:pStyle w:val="BodyTextMain"/>
        <w:rPr>
          <w:lang w:val="en-GB"/>
        </w:rPr>
      </w:pPr>
    </w:p>
    <w:p w14:paraId="403FAE42" w14:textId="324F8FC5" w:rsidR="00DD3329" w:rsidRPr="00DD3329" w:rsidRDefault="00DD3329" w:rsidP="0088622F">
      <w:pPr>
        <w:pStyle w:val="BodyTextMain"/>
        <w:rPr>
          <w:lang w:val="en-GB"/>
        </w:rPr>
      </w:pPr>
      <w:r w:rsidRPr="00DD3329">
        <w:rPr>
          <w:lang w:val="en-GB"/>
        </w:rPr>
        <w:t xml:space="preserve">While it had enjoyed strong financial and sales performance, the </w:t>
      </w:r>
      <w:bookmarkStart w:id="5" w:name="_Hlk9115545"/>
      <w:r w:rsidRPr="00DD3329">
        <w:rPr>
          <w:lang w:val="en-GB"/>
        </w:rPr>
        <w:t>VW Group also experienced major troubles in recent years</w:t>
      </w:r>
      <w:bookmarkEnd w:id="5"/>
      <w:r w:rsidRPr="00DD3329">
        <w:rPr>
          <w:lang w:val="en-GB"/>
        </w:rPr>
        <w:t>. In September 2015, the United States Environment</w:t>
      </w:r>
      <w:r w:rsidR="00DD688F">
        <w:rPr>
          <w:lang w:val="en-GB"/>
        </w:rPr>
        <w:t>al</w:t>
      </w:r>
      <w:r w:rsidRPr="00DD3329">
        <w:rPr>
          <w:lang w:val="en-GB"/>
        </w:rPr>
        <w:t xml:space="preserve"> Protection Agency (EPA) issued a notice of violation revealing that the VW Group had </w:t>
      </w:r>
      <w:bookmarkStart w:id="6" w:name="_Hlk9116291"/>
      <w:r w:rsidRPr="00DD3329">
        <w:rPr>
          <w:lang w:val="en-GB"/>
        </w:rPr>
        <w:t>intentionally installed undisclosed management software</w:t>
      </w:r>
      <w:bookmarkEnd w:id="6"/>
      <w:r w:rsidRPr="00DD3329">
        <w:rPr>
          <w:lang w:val="en-GB"/>
        </w:rPr>
        <w:t xml:space="preserve"> on various Volkswagen and Audi vehicle models since 2009 </w:t>
      </w:r>
      <w:bookmarkStart w:id="7" w:name="_Hlk9116298"/>
      <w:r w:rsidRPr="00DD3329">
        <w:rPr>
          <w:lang w:val="en-GB"/>
        </w:rPr>
        <w:t xml:space="preserve">to control the vehicles’ performance in regulatory tests </w:t>
      </w:r>
      <w:bookmarkEnd w:id="7"/>
      <w:r w:rsidRPr="00DD3329">
        <w:rPr>
          <w:lang w:val="en-GB"/>
        </w:rPr>
        <w:t>of nitrogen oxide (NO</w:t>
      </w:r>
      <w:r w:rsidRPr="00DD3329">
        <w:rPr>
          <w:vertAlign w:val="subscript"/>
          <w:lang w:val="en-GB"/>
        </w:rPr>
        <w:t>x</w:t>
      </w:r>
      <w:r w:rsidRPr="00DD3329">
        <w:rPr>
          <w:lang w:val="en-GB"/>
        </w:rPr>
        <w:t>) emissions, which meant that test results differed substantially from results generated under real driving conditions (up to 40 times more).</w:t>
      </w:r>
      <w:r w:rsidRPr="00DD3329">
        <w:rPr>
          <w:vertAlign w:val="superscript"/>
          <w:lang w:val="en-GB"/>
        </w:rPr>
        <w:footnoteReference w:id="20"/>
      </w:r>
      <w:r w:rsidRPr="00DD3329">
        <w:rPr>
          <w:lang w:val="en-GB"/>
        </w:rPr>
        <w:t xml:space="preserve"> The company later admitted to the existence of the issue and announced that it would be “working intensively” to clarify the irregularities.</w:t>
      </w:r>
      <w:r w:rsidRPr="00DD3329">
        <w:rPr>
          <w:vertAlign w:val="superscript"/>
          <w:lang w:val="en-GB"/>
        </w:rPr>
        <w:footnoteReference w:id="21"/>
      </w:r>
      <w:r w:rsidRPr="00DD3329">
        <w:rPr>
          <w:lang w:val="en-GB"/>
        </w:rPr>
        <w:t xml:space="preserve"> External investigations commenced shortly after the emissions scandal, as did extensive internal inquiries to review the relevant processes, reporting and control systems, and management infrastructure. The scandal led to a US$2.8 billion fine in April 2017</w:t>
      </w:r>
      <w:r w:rsidRPr="00DD3329">
        <w:rPr>
          <w:vertAlign w:val="superscript"/>
          <w:lang w:val="en-GB"/>
        </w:rPr>
        <w:footnoteReference w:id="22"/>
      </w:r>
      <w:r w:rsidRPr="00DD3329">
        <w:rPr>
          <w:lang w:val="en-GB"/>
        </w:rPr>
        <w:t xml:space="preserve"> and a series of criminal indictments in May 2018 that involved managers and executives.</w:t>
      </w:r>
      <w:r w:rsidRPr="00DD3329">
        <w:rPr>
          <w:vertAlign w:val="superscript"/>
          <w:lang w:val="en-GB"/>
        </w:rPr>
        <w:footnoteReference w:id="23"/>
      </w:r>
      <w:r w:rsidRPr="00DD3329">
        <w:rPr>
          <w:lang w:val="en-GB"/>
        </w:rPr>
        <w:t xml:space="preserve"> With around 11 million vehicles affected,</w:t>
      </w:r>
      <w:r w:rsidRPr="00DD3329">
        <w:rPr>
          <w:vertAlign w:val="superscript"/>
          <w:lang w:val="en-GB"/>
        </w:rPr>
        <w:footnoteReference w:id="24"/>
      </w:r>
      <w:r w:rsidRPr="00DD3329">
        <w:rPr>
          <w:lang w:val="en-GB"/>
        </w:rPr>
        <w:t xml:space="preserve"> the VW Group consequently announced a worldwide recall plan to provide hardware and software fixes to the affected vehicles; the massive recall was still in progress at the end of 2018. The scandal </w:t>
      </w:r>
      <w:bookmarkStart w:id="8" w:name="_Hlk9116232"/>
      <w:r w:rsidRPr="00DD3329">
        <w:rPr>
          <w:lang w:val="en-GB"/>
        </w:rPr>
        <w:t>resulted in a total loss of €29 billion for the VW Group from 2015 to 2018.</w:t>
      </w:r>
      <w:bookmarkEnd w:id="8"/>
      <w:r w:rsidRPr="00DD3329">
        <w:rPr>
          <w:vertAlign w:val="superscript"/>
          <w:lang w:val="en-GB"/>
        </w:rPr>
        <w:footnoteReference w:id="25"/>
      </w:r>
    </w:p>
    <w:p w14:paraId="660D03A0" w14:textId="77777777" w:rsidR="00DD3329" w:rsidRPr="00DD3329" w:rsidRDefault="00DD3329" w:rsidP="0088622F">
      <w:pPr>
        <w:pStyle w:val="BodyTextMain"/>
        <w:rPr>
          <w:lang w:val="en-GB"/>
        </w:rPr>
      </w:pPr>
    </w:p>
    <w:p w14:paraId="1C50EF50" w14:textId="77777777" w:rsidR="00DD3329" w:rsidRPr="00DD3329" w:rsidRDefault="00DD3329" w:rsidP="0088622F">
      <w:pPr>
        <w:pStyle w:val="Casehead1"/>
        <w:rPr>
          <w:lang w:val="en-GB"/>
        </w:rPr>
      </w:pPr>
      <w:r w:rsidRPr="00DD3329">
        <w:rPr>
          <w:lang w:val="en-GB"/>
        </w:rPr>
        <w:lastRenderedPageBreak/>
        <w:t>Together–Strategy 2025</w:t>
      </w:r>
    </w:p>
    <w:p w14:paraId="67F98FE6" w14:textId="77777777" w:rsidR="00DD3329" w:rsidRPr="00DD3329" w:rsidRDefault="00DD3329" w:rsidP="0088622F">
      <w:pPr>
        <w:pStyle w:val="BodyTextMain"/>
        <w:rPr>
          <w:lang w:val="en-GB"/>
        </w:rPr>
      </w:pPr>
    </w:p>
    <w:p w14:paraId="6C126177" w14:textId="77777777" w:rsidR="00DD3329" w:rsidRPr="00DD3329" w:rsidRDefault="00DD3329" w:rsidP="0088622F">
      <w:pPr>
        <w:pStyle w:val="BodyTextMain"/>
        <w:rPr>
          <w:lang w:val="en-GB"/>
        </w:rPr>
      </w:pPr>
      <w:r w:rsidRPr="00DD3329">
        <w:rPr>
          <w:lang w:val="en-GB"/>
        </w:rPr>
        <w:t>With the announcement of Together–Strategy 2025, the VW Group initiated a grand transformation to secure its position in tomorrow’s world of mobility. For its new corporate strategy, the VW Group set its eyes on four key components</w:t>
      </w:r>
      <w:bookmarkStart w:id="9" w:name="_Hlk9113332"/>
      <w:r w:rsidRPr="00DD3329">
        <w:rPr>
          <w:lang w:val="en-GB"/>
        </w:rPr>
        <w:t>: transforming its core business, building the mobility solution business, strengthening innovation power, and securing funding</w:t>
      </w:r>
      <w:bookmarkEnd w:id="9"/>
      <w:r w:rsidRPr="00DD3329">
        <w:rPr>
          <w:lang w:val="en-GB"/>
        </w:rPr>
        <w:t xml:space="preserve"> (see Exhibit 1).</w:t>
      </w:r>
      <w:r w:rsidRPr="00DD3329">
        <w:rPr>
          <w:vertAlign w:val="superscript"/>
          <w:lang w:val="en-GB"/>
        </w:rPr>
        <w:footnoteReference w:id="26"/>
      </w:r>
      <w:r w:rsidRPr="00DD3329">
        <w:rPr>
          <w:lang w:val="en-GB"/>
        </w:rPr>
        <w:t xml:space="preserve"> </w:t>
      </w:r>
    </w:p>
    <w:p w14:paraId="1831F630" w14:textId="77777777" w:rsidR="00DD3329" w:rsidRPr="00DD3329" w:rsidRDefault="00DD3329" w:rsidP="0088622F">
      <w:pPr>
        <w:pStyle w:val="BodyTextMain"/>
        <w:rPr>
          <w:lang w:val="en-GB"/>
        </w:rPr>
      </w:pPr>
    </w:p>
    <w:p w14:paraId="4FBE4EE7" w14:textId="77777777" w:rsidR="00DD3329" w:rsidRPr="00DD3329" w:rsidRDefault="00DD3329" w:rsidP="0088622F">
      <w:pPr>
        <w:pStyle w:val="BodyTextMain"/>
        <w:rPr>
          <w:lang w:val="en-GB"/>
        </w:rPr>
      </w:pPr>
      <w:r w:rsidRPr="00DD3329">
        <w:rPr>
          <w:lang w:val="en-GB"/>
        </w:rPr>
        <w:t xml:space="preserve">Aiming at developing several new competencies that would be vital for the future, the company had set over a dozen major initiatives in motion. Specifically, the company had set up an ambitious goal in electric vehicles: </w:t>
      </w:r>
      <w:bookmarkStart w:id="10" w:name="_Hlk9113631"/>
      <w:r w:rsidRPr="00DD3329">
        <w:rPr>
          <w:lang w:val="en-GB"/>
        </w:rPr>
        <w:t xml:space="preserve">offering more than 30 new </w:t>
      </w:r>
      <w:bookmarkStart w:id="11" w:name="_Hlk9113427"/>
      <w:r w:rsidRPr="00DD3329">
        <w:rPr>
          <w:lang w:val="en-GB"/>
        </w:rPr>
        <w:t>pure battery-powered electric vehicles</w:t>
      </w:r>
      <w:bookmarkEnd w:id="11"/>
      <w:r w:rsidRPr="00DD3329">
        <w:rPr>
          <w:lang w:val="en-GB"/>
        </w:rPr>
        <w:t xml:space="preserve"> and achieving annual unit sales of 2–3 million electric cars by 2025. This goal was equivalent to 20 to 25 per cent of its total sales</w:t>
      </w:r>
      <w:bookmarkEnd w:id="10"/>
      <w:r w:rsidRPr="00DD3329">
        <w:rPr>
          <w:lang w:val="en-GB"/>
        </w:rPr>
        <w:t xml:space="preserve">, and would thereby make the e-car </w:t>
      </w:r>
      <w:bookmarkStart w:id="12" w:name="_Hlk9113677"/>
      <w:r w:rsidRPr="00DD3329">
        <w:rPr>
          <w:lang w:val="en-GB"/>
        </w:rPr>
        <w:t>a new hallmark for the company, which was positioning itself as a driving force behind the expansion of electro-mobility</w:t>
      </w:r>
      <w:bookmarkEnd w:id="12"/>
      <w:r w:rsidRPr="00DD3329">
        <w:rPr>
          <w:lang w:val="en-GB"/>
        </w:rPr>
        <w:t>. The VW Group was also working on autonomous vehicles and was determined to cover all relevant market segments and develop self-driving systems in-house.</w:t>
      </w:r>
      <w:r w:rsidRPr="00DD3329">
        <w:rPr>
          <w:vertAlign w:val="superscript"/>
          <w:lang w:val="en-GB"/>
        </w:rPr>
        <w:footnoteReference w:id="27"/>
      </w:r>
      <w:r w:rsidRPr="00DD3329">
        <w:rPr>
          <w:lang w:val="en-GB"/>
        </w:rPr>
        <w:t xml:space="preserve"> It had laid grand plans for its development in mobility solutions through the establishment of a </w:t>
      </w:r>
      <w:bookmarkStart w:id="13" w:name="_Hlk9113456"/>
      <w:r w:rsidRPr="00DD3329">
        <w:rPr>
          <w:lang w:val="en-GB"/>
        </w:rPr>
        <w:t>new, independent subsidiary</w:t>
      </w:r>
      <w:bookmarkEnd w:id="13"/>
      <w:r w:rsidRPr="00DD3329">
        <w:rPr>
          <w:lang w:val="en-GB"/>
        </w:rPr>
        <w:t xml:space="preserve"> named MOIA, which would provide customized transport solutions worldwide.</w:t>
      </w:r>
      <w:r w:rsidRPr="00DD3329">
        <w:rPr>
          <w:vertAlign w:val="superscript"/>
          <w:lang w:val="en-GB"/>
        </w:rPr>
        <w:footnoteReference w:id="28"/>
      </w:r>
      <w:r w:rsidRPr="00DD3329">
        <w:rPr>
          <w:lang w:val="en-GB"/>
        </w:rPr>
        <w:t xml:space="preserve"> The VW Group expected MOIA to be a leader in mobility solutions and </w:t>
      </w:r>
      <w:bookmarkStart w:id="14" w:name="_Hlk9113465"/>
      <w:r w:rsidRPr="00DD3329">
        <w:rPr>
          <w:lang w:val="en-GB"/>
        </w:rPr>
        <w:t>to generate billion-dollar sales revenue by 2025</w:t>
      </w:r>
      <w:bookmarkEnd w:id="14"/>
      <w:r w:rsidRPr="00DD3329">
        <w:rPr>
          <w:lang w:val="en-GB"/>
        </w:rPr>
        <w:t>.</w:t>
      </w:r>
    </w:p>
    <w:p w14:paraId="52E5C7FD" w14:textId="77777777" w:rsidR="00DD3329" w:rsidRPr="00DD3329" w:rsidRDefault="00DD3329" w:rsidP="0088622F">
      <w:pPr>
        <w:pStyle w:val="BodyTextMain"/>
        <w:rPr>
          <w:lang w:val="en-GB"/>
        </w:rPr>
      </w:pPr>
    </w:p>
    <w:p w14:paraId="5436071B" w14:textId="77777777" w:rsidR="00DD3329" w:rsidRPr="00DD688F" w:rsidRDefault="00DD3329" w:rsidP="0088622F">
      <w:pPr>
        <w:pStyle w:val="BodyTextMain"/>
        <w:rPr>
          <w:spacing w:val="-2"/>
          <w:lang w:val="en-GB"/>
        </w:rPr>
      </w:pPr>
      <w:r w:rsidRPr="00DD688F">
        <w:rPr>
          <w:spacing w:val="-2"/>
          <w:lang w:val="en-GB"/>
        </w:rPr>
        <w:t>The VW Group made it clear that innovations would be of paramount importance to the success of its forward-looking strategy. The company had been investing significantly on research and development (R&amp;D) activities to enhance its competitiveness and prepare itself for the future. Since 2014, the company had been spending over €12 billion annually on R&amp;D activities, making itself a top R&amp;D spender in the world.</w:t>
      </w:r>
      <w:r w:rsidRPr="00DD688F">
        <w:rPr>
          <w:spacing w:val="-2"/>
          <w:vertAlign w:val="superscript"/>
          <w:lang w:val="en-GB"/>
        </w:rPr>
        <w:footnoteReference w:id="29"/>
      </w:r>
    </w:p>
    <w:p w14:paraId="37BB7A9D" w14:textId="77777777" w:rsidR="00DD3329" w:rsidRPr="00DD3329" w:rsidRDefault="00DD3329" w:rsidP="0088622F">
      <w:pPr>
        <w:pStyle w:val="BodyTextMain"/>
        <w:rPr>
          <w:lang w:val="en-GB"/>
        </w:rPr>
      </w:pPr>
    </w:p>
    <w:p w14:paraId="2E5BB0C7" w14:textId="77777777" w:rsidR="00DD3329" w:rsidRPr="00DD3329" w:rsidRDefault="00DD3329" w:rsidP="0088622F">
      <w:pPr>
        <w:pStyle w:val="BodyTextMain"/>
        <w:rPr>
          <w:lang w:val="en-GB"/>
        </w:rPr>
      </w:pPr>
      <w:r w:rsidRPr="00DD3329">
        <w:rPr>
          <w:lang w:val="en-GB"/>
        </w:rPr>
        <w:t>In order to finance the future-proofing investments in Together–Strategy 2025, the company emphasized improvements in operational efficiency. In particular, the VW Group envisioned significant reductions to the costs of capital expenditures; R&amp;D; and selling, general and administrative expenses relative to its sales revenue. Additionally, the company set a list of key performance indicators, including net cash flow, net liquidity, and return on investment, which would be used to monitor and to evaluate the growth in its profitability. Specifically, the company was aiming for a 7–8 per cent operating return-to-sales revenue ratio by 2025 (the ratio for 2015 was 6 per cent).</w:t>
      </w:r>
      <w:r w:rsidRPr="00DD3329">
        <w:rPr>
          <w:vertAlign w:val="superscript"/>
          <w:lang w:val="en-GB"/>
        </w:rPr>
        <w:footnoteReference w:id="30"/>
      </w:r>
    </w:p>
    <w:p w14:paraId="0E9990AC" w14:textId="77777777" w:rsidR="00DD3329" w:rsidRPr="00DD3329" w:rsidRDefault="00DD3329" w:rsidP="0088622F">
      <w:pPr>
        <w:pStyle w:val="BodyTextMain"/>
        <w:rPr>
          <w:lang w:val="en-GB"/>
        </w:rPr>
      </w:pPr>
    </w:p>
    <w:p w14:paraId="344FC9D0" w14:textId="77777777" w:rsidR="00DD3329" w:rsidRPr="00DD3329" w:rsidRDefault="00DD3329" w:rsidP="0088622F">
      <w:pPr>
        <w:pStyle w:val="BodyTextMain"/>
        <w:rPr>
          <w:lang w:val="en-GB"/>
        </w:rPr>
      </w:pPr>
    </w:p>
    <w:p w14:paraId="73FDF44B" w14:textId="77777777" w:rsidR="00DD3329" w:rsidRPr="00DD3329" w:rsidRDefault="00DD3329" w:rsidP="0088622F">
      <w:pPr>
        <w:pStyle w:val="Casehead1"/>
        <w:rPr>
          <w:lang w:val="en-GB"/>
        </w:rPr>
      </w:pPr>
      <w:r w:rsidRPr="00DD3329">
        <w:rPr>
          <w:lang w:val="en-GB"/>
        </w:rPr>
        <w:t>The Promise of Artificial Intelligence</w:t>
      </w:r>
    </w:p>
    <w:p w14:paraId="7091E93D" w14:textId="77777777" w:rsidR="00DD3329" w:rsidRPr="00DD3329" w:rsidRDefault="00DD3329" w:rsidP="0088622F">
      <w:pPr>
        <w:pStyle w:val="BodyTextMain"/>
        <w:rPr>
          <w:lang w:val="en-GB"/>
        </w:rPr>
      </w:pPr>
    </w:p>
    <w:p w14:paraId="28ADBD13" w14:textId="77777777" w:rsidR="00DD3329" w:rsidRPr="00DD3329" w:rsidRDefault="00DD3329" w:rsidP="0088622F">
      <w:pPr>
        <w:pStyle w:val="BodyTextMain"/>
        <w:rPr>
          <w:lang w:val="en-GB"/>
        </w:rPr>
      </w:pPr>
      <w:r w:rsidRPr="00DD3329">
        <w:rPr>
          <w:lang w:val="en-GB"/>
        </w:rPr>
        <w:t xml:space="preserve">One technology that led to heated discussions was </w:t>
      </w:r>
      <w:bookmarkStart w:id="15" w:name="_Hlk9117019"/>
      <w:r w:rsidRPr="00DD3329">
        <w:rPr>
          <w:lang w:val="en-GB"/>
        </w:rPr>
        <w:t>AI, which a PwC report defined as a “a collective term for computer systems that can sense their environment, think, learn, and take action in response to what they’re sensing and their objectives.”</w:t>
      </w:r>
      <w:bookmarkStart w:id="16" w:name="_Hlk9117025"/>
      <w:bookmarkEnd w:id="15"/>
      <w:r w:rsidRPr="00DD3329">
        <w:rPr>
          <w:vertAlign w:val="superscript"/>
          <w:lang w:val="en-GB"/>
        </w:rPr>
        <w:footnoteReference w:id="31"/>
      </w:r>
      <w:bookmarkEnd w:id="16"/>
      <w:r w:rsidRPr="00DD3329">
        <w:rPr>
          <w:lang w:val="en-GB"/>
        </w:rPr>
        <w:t xml:space="preserve"> </w:t>
      </w:r>
      <w:bookmarkStart w:id="17" w:name="_Hlk9117051"/>
      <w:r w:rsidRPr="00DD3329">
        <w:rPr>
          <w:lang w:val="en-GB"/>
        </w:rPr>
        <w:t xml:space="preserve">According to PwC, the application of AI could be further classified into four categories: automated intelligence, which focused on the automation of tasks; assisted intelligence, which could help with work efficiency; augmented intelligence, which could support the decision-making </w:t>
      </w:r>
      <w:r w:rsidRPr="00DD3329">
        <w:rPr>
          <w:lang w:val="en-GB"/>
        </w:rPr>
        <w:lastRenderedPageBreak/>
        <w:t>process; and autonomous intelligence, which was capable of making decisions automatically.</w:t>
      </w:r>
      <w:r w:rsidRPr="00DD3329">
        <w:rPr>
          <w:vertAlign w:val="superscript"/>
          <w:lang w:val="en-GB"/>
        </w:rPr>
        <w:footnoteReference w:id="32"/>
      </w:r>
      <w:bookmarkEnd w:id="17"/>
      <w:r w:rsidRPr="00DD3329">
        <w:rPr>
          <w:lang w:val="en-GB"/>
        </w:rPr>
        <w:t xml:space="preserve"> </w:t>
      </w:r>
      <w:bookmarkStart w:id="18" w:name="_Hlk9117860"/>
      <w:r w:rsidRPr="00DD3329">
        <w:rPr>
          <w:lang w:val="en-GB"/>
        </w:rPr>
        <w:t>AI had been widely applied across various industries in forms including robotic process automation, machine learning, and natural language processing. Enterprises had been actively exploring the application of AI as an enabler for innovation and productivity in different dimensions of business operations.</w:t>
      </w:r>
      <w:bookmarkEnd w:id="18"/>
    </w:p>
    <w:p w14:paraId="2C3B5BBE" w14:textId="77777777" w:rsidR="00DD3329" w:rsidRPr="00DD3329" w:rsidRDefault="00DD3329" w:rsidP="0088622F">
      <w:pPr>
        <w:pStyle w:val="BodyTextMain"/>
        <w:rPr>
          <w:lang w:val="en-GB"/>
        </w:rPr>
      </w:pPr>
    </w:p>
    <w:p w14:paraId="7C3B59B1" w14:textId="77777777" w:rsidR="00DD3329" w:rsidRPr="00DD3329" w:rsidRDefault="00DD3329" w:rsidP="0088622F">
      <w:pPr>
        <w:pStyle w:val="BodyTextMain"/>
        <w:rPr>
          <w:lang w:val="en-GB"/>
        </w:rPr>
      </w:pPr>
      <w:r w:rsidRPr="00DD3329">
        <w:rPr>
          <w:lang w:val="en-GB"/>
        </w:rPr>
        <w:t>The VW Group held a strongly positive attitude towards the application of AI. In late 2013, the company set up</w:t>
      </w:r>
      <w:bookmarkStart w:id="19" w:name="_Hlk9163479"/>
      <w:r w:rsidRPr="00DD3329">
        <w:rPr>
          <w:lang w:val="en-GB"/>
        </w:rPr>
        <w:t xml:space="preserve"> a research centre called </w:t>
      </w:r>
      <w:proofErr w:type="spellStart"/>
      <w:proofErr w:type="gramStart"/>
      <w:r w:rsidRPr="00DD3329">
        <w:rPr>
          <w:lang w:val="en-GB"/>
        </w:rPr>
        <w:t>Data:Lab</w:t>
      </w:r>
      <w:bookmarkEnd w:id="19"/>
      <w:proofErr w:type="spellEnd"/>
      <w:proofErr w:type="gramEnd"/>
      <w:r w:rsidRPr="00DD3329">
        <w:rPr>
          <w:lang w:val="en-GB"/>
        </w:rPr>
        <w:t xml:space="preserve"> Munich, which was tasked with undertaking dedicated research and application development on AI, automotive data science, and machine learning. The company planned to apply AI technologies in areas such as data analytics, production automation, as well as customer service. On the company’s involvement in AI research, Martin Hofmann, chief information officer of the Volkswagen Group, commented, “We assess every single AI-based application to see how helpful it can be</w:t>
      </w:r>
      <w:proofErr w:type="gramStart"/>
      <w:r w:rsidRPr="00DD3329">
        <w:rPr>
          <w:lang w:val="en-GB"/>
        </w:rPr>
        <w:t>. . . .</w:t>
      </w:r>
      <w:proofErr w:type="gramEnd"/>
      <w:r w:rsidRPr="00DD3329">
        <w:rPr>
          <w:lang w:val="en-GB"/>
        </w:rPr>
        <w:t xml:space="preserve"> Our aim is to use AI to provide even better support for our teams at factories and offices. Because that will generate lasting benefits for the entire company.”</w:t>
      </w:r>
      <w:r w:rsidRPr="00DD3329">
        <w:rPr>
          <w:vertAlign w:val="superscript"/>
          <w:lang w:val="en-GB"/>
        </w:rPr>
        <w:footnoteReference w:id="33"/>
      </w:r>
    </w:p>
    <w:p w14:paraId="0BECDB0F" w14:textId="77777777" w:rsidR="00DD3329" w:rsidRPr="00DD3329" w:rsidRDefault="00DD3329" w:rsidP="0088622F">
      <w:pPr>
        <w:pStyle w:val="BodyTextMain"/>
        <w:rPr>
          <w:lang w:val="en-GB"/>
        </w:rPr>
      </w:pPr>
    </w:p>
    <w:p w14:paraId="189C7664" w14:textId="77777777" w:rsidR="00DD3329" w:rsidRPr="00DD3329" w:rsidRDefault="00DD3329" w:rsidP="0088622F">
      <w:pPr>
        <w:pStyle w:val="BodyTextMain"/>
        <w:rPr>
          <w:lang w:val="en-GB"/>
        </w:rPr>
      </w:pPr>
    </w:p>
    <w:p w14:paraId="457686B0" w14:textId="77777777" w:rsidR="00DD3329" w:rsidRPr="00DD3329" w:rsidRDefault="00DD3329" w:rsidP="0088622F">
      <w:pPr>
        <w:pStyle w:val="Casehead1"/>
        <w:rPr>
          <w:lang w:val="en-GB"/>
        </w:rPr>
      </w:pPr>
      <w:r w:rsidRPr="00DD3329">
        <w:rPr>
          <w:lang w:val="en-GB"/>
        </w:rPr>
        <w:t>preparing for the Upcoming Executive Meeting</w:t>
      </w:r>
    </w:p>
    <w:p w14:paraId="6F19D5CB" w14:textId="77777777" w:rsidR="00DD3329" w:rsidRPr="00DD3329" w:rsidRDefault="00DD3329" w:rsidP="0088622F">
      <w:pPr>
        <w:pStyle w:val="BodyTextMain"/>
        <w:rPr>
          <w:lang w:val="en-GB"/>
        </w:rPr>
      </w:pPr>
    </w:p>
    <w:p w14:paraId="4D2BAE01" w14:textId="77777777" w:rsidR="00DD3329" w:rsidRPr="00DD3329" w:rsidRDefault="00DD3329" w:rsidP="0088622F">
      <w:pPr>
        <w:pStyle w:val="BodyTextMain"/>
        <w:rPr>
          <w:lang w:val="en-GB"/>
        </w:rPr>
      </w:pPr>
      <w:r w:rsidRPr="00DD3329">
        <w:rPr>
          <w:i/>
          <w:iCs/>
          <w:lang w:val="en-GB"/>
        </w:rPr>
        <w:t>Note to the Participant:</w:t>
      </w:r>
      <w:r w:rsidRPr="00DD3329">
        <w:rPr>
          <w:lang w:val="en-GB"/>
        </w:rPr>
        <w:t xml:space="preserve"> Your team is expected to devise and present an initiative that could considerably boost the company’s development to achieve the goals in Together–Strategy 2025. Artificial intelligence should hold a major significance in the initiative. The presentation should comprise an initiative outline, a demonstration of expected advantages, a proposed budget summary, and a brief plan for implementation. It should also list potential risks along with plans for mitigating these risks. The executives will assess each initiative they receive and will single out the most promising one before revealing the selection rationale at the end of the meeting.</w:t>
      </w:r>
    </w:p>
    <w:p w14:paraId="1FBF2D83" w14:textId="77777777" w:rsidR="00DD3329" w:rsidRPr="00DD3329" w:rsidRDefault="00DD3329" w:rsidP="0088622F">
      <w:pPr>
        <w:pStyle w:val="BodyTextMain"/>
        <w:rPr>
          <w:lang w:val="en-GB"/>
        </w:rPr>
      </w:pPr>
    </w:p>
    <w:p w14:paraId="0441C991" w14:textId="77777777" w:rsidR="00DD3329" w:rsidRPr="00DD3329" w:rsidRDefault="00DD3329" w:rsidP="0088622F">
      <w:pPr>
        <w:pStyle w:val="BodyTextMain"/>
        <w:rPr>
          <w:lang w:val="en-GB"/>
        </w:rPr>
      </w:pPr>
      <w:r w:rsidRPr="00DD3329">
        <w:rPr>
          <w:lang w:val="en-GB"/>
        </w:rPr>
        <w:br w:type="page"/>
      </w:r>
    </w:p>
    <w:p w14:paraId="6ADE8462" w14:textId="77777777" w:rsidR="00DD3329" w:rsidRPr="00DD3329" w:rsidRDefault="00DD3329" w:rsidP="0088622F">
      <w:pPr>
        <w:pStyle w:val="Casehead1"/>
        <w:jc w:val="center"/>
        <w:rPr>
          <w:lang w:val="en-GB"/>
        </w:rPr>
      </w:pPr>
      <w:r w:rsidRPr="00DD3329">
        <w:rPr>
          <w:lang w:val="en-GB"/>
        </w:rPr>
        <w:lastRenderedPageBreak/>
        <w:t>Exhibit 1: Volkswagen Group Strategy 2025</w:t>
      </w:r>
    </w:p>
    <w:p w14:paraId="75899318" w14:textId="77777777" w:rsidR="00DD3329" w:rsidRPr="00DD3329" w:rsidRDefault="00DD3329" w:rsidP="00DD3329">
      <w:pPr>
        <w:jc w:val="both"/>
        <w:rPr>
          <w:rFonts w:ascii="Arial" w:hAnsi="Arial" w:cs="Arial"/>
          <w:sz w:val="18"/>
          <w:szCs w:val="18"/>
          <w:lang w:val="en-GB"/>
        </w:rPr>
      </w:pPr>
    </w:p>
    <w:p w14:paraId="39DCE459"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With the future program TOGETHER–STRATEGY 2025 announced in 2016, we aim to make the Volkswagen Group more focused, efficient, innovative, customer-oriented and sustainable, and systematically geared towards generating profitable growth. The program creates the framework and lays the cornerstones for us to achieve our vision of being one of the world’s leading providers of sustainable mobility</w:t>
      </w:r>
      <w:proofErr w:type="gramStart"/>
      <w:r w:rsidRPr="00DD3329">
        <w:rPr>
          <w:rFonts w:ascii="Arial" w:hAnsi="Arial" w:cs="Arial"/>
          <w:sz w:val="18"/>
          <w:szCs w:val="18"/>
          <w:lang w:val="en-GB"/>
        </w:rPr>
        <w:t>. . . .</w:t>
      </w:r>
      <w:proofErr w:type="gramEnd"/>
    </w:p>
    <w:p w14:paraId="6A310212" w14:textId="77777777" w:rsidR="00DD3329" w:rsidRPr="00DD3329" w:rsidRDefault="00DD3329" w:rsidP="00DD3329">
      <w:pPr>
        <w:jc w:val="both"/>
        <w:rPr>
          <w:rFonts w:ascii="Arial" w:hAnsi="Arial" w:cs="Arial"/>
          <w:sz w:val="14"/>
          <w:szCs w:val="14"/>
          <w:lang w:val="en-GB"/>
        </w:rPr>
      </w:pPr>
    </w:p>
    <w:p w14:paraId="75296146"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 xml:space="preserve">Our Group strategy comprises a raft of far-reaching strategic decisions and specific initiatives aimed at safeguarding the long-term future and generating profitable growth. It is composed of four building blocks which cover strategic Group initiatives. We regularly review the progress of these initiatives so as to </w:t>
      </w:r>
      <w:proofErr w:type="spellStart"/>
      <w:r w:rsidRPr="00DD3329">
        <w:rPr>
          <w:rFonts w:ascii="Arial" w:hAnsi="Arial" w:cs="Arial"/>
          <w:sz w:val="18"/>
          <w:szCs w:val="18"/>
          <w:lang w:val="en-GB"/>
        </w:rPr>
        <w:t>analyze</w:t>
      </w:r>
      <w:proofErr w:type="spellEnd"/>
      <w:r w:rsidRPr="00DD3329">
        <w:rPr>
          <w:rFonts w:ascii="Arial" w:hAnsi="Arial" w:cs="Arial"/>
          <w:sz w:val="18"/>
          <w:szCs w:val="18"/>
          <w:lang w:val="en-GB"/>
        </w:rPr>
        <w:t xml:space="preserve"> the significance, suitability and target achievement of the measures defined. We are thus able to adjust the Group initiatives specifically according to the dynamic changes occurring within our Company.</w:t>
      </w:r>
    </w:p>
    <w:p w14:paraId="4F85BA7B" w14:textId="77777777" w:rsidR="00DD3329" w:rsidRPr="00DD3329" w:rsidRDefault="00DD3329" w:rsidP="00DD3329">
      <w:pPr>
        <w:jc w:val="both"/>
        <w:rPr>
          <w:rFonts w:ascii="Arial" w:hAnsi="Arial" w:cs="Arial"/>
          <w:sz w:val="14"/>
          <w:szCs w:val="14"/>
          <w:lang w:val="en-GB"/>
        </w:rPr>
      </w:pPr>
    </w:p>
    <w:p w14:paraId="584FEADB"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 xml:space="preserve">The first of these is the transformation of the core automotive business. Developing, building and selling vehicles will remain essential for the Volkswagen Group going forward. However, there will be far-reaching and lasting changes to this business in the future. That is the reason why we are comprehensively restructuring our core business to face this new era of mobility. </w:t>
      </w:r>
    </w:p>
    <w:p w14:paraId="0CF1BC29" w14:textId="77777777" w:rsidR="00DD3329" w:rsidRPr="00DD3329" w:rsidRDefault="00DD3329" w:rsidP="00DD3329">
      <w:pPr>
        <w:jc w:val="both"/>
        <w:rPr>
          <w:rFonts w:ascii="Arial" w:hAnsi="Arial" w:cs="Arial"/>
          <w:sz w:val="14"/>
          <w:szCs w:val="14"/>
          <w:lang w:val="en-GB"/>
        </w:rPr>
      </w:pPr>
    </w:p>
    <w:p w14:paraId="30CC3A40" w14:textId="735A8803" w:rsidR="00DD3329" w:rsidRDefault="00DD3329" w:rsidP="00DD3329">
      <w:pPr>
        <w:jc w:val="both"/>
        <w:rPr>
          <w:rFonts w:ascii="Arial" w:hAnsi="Arial" w:cs="Arial"/>
          <w:sz w:val="18"/>
          <w:szCs w:val="18"/>
          <w:lang w:val="en-GB"/>
        </w:rPr>
      </w:pPr>
      <w:r w:rsidRPr="00DD3329">
        <w:rPr>
          <w:rFonts w:ascii="Arial" w:hAnsi="Arial" w:cs="Arial"/>
          <w:sz w:val="18"/>
          <w:szCs w:val="18"/>
          <w:lang w:val="en-GB"/>
        </w:rPr>
        <w:t>The second key building block in our Group strategy is establishing a new mobility solutions business. In this business, we are developing innovative and efficient, attractive yet profitable mobility services that are tailored to customer requirements with the goal of being one of the leading providers in this growth market in the future.</w:t>
      </w:r>
    </w:p>
    <w:p w14:paraId="7320DF1C" w14:textId="77777777" w:rsidR="00DD688F" w:rsidRPr="00DD3329" w:rsidRDefault="00DD688F" w:rsidP="00DD3329">
      <w:pPr>
        <w:jc w:val="both"/>
        <w:rPr>
          <w:rFonts w:ascii="Arial" w:hAnsi="Arial" w:cs="Arial"/>
          <w:sz w:val="18"/>
          <w:szCs w:val="18"/>
          <w:lang w:val="en-GB"/>
        </w:rPr>
      </w:pPr>
    </w:p>
    <w:p w14:paraId="25E37C6C" w14:textId="4F1C3779" w:rsidR="00DD3329" w:rsidRPr="00DD688F" w:rsidRDefault="00DD3329" w:rsidP="00DD3329">
      <w:pPr>
        <w:jc w:val="both"/>
        <w:rPr>
          <w:rFonts w:ascii="Arial" w:hAnsi="Arial" w:cs="Arial"/>
          <w:spacing w:val="-2"/>
          <w:sz w:val="18"/>
          <w:szCs w:val="18"/>
          <w:lang w:val="en-GB"/>
        </w:rPr>
      </w:pPr>
      <w:r w:rsidRPr="00DD688F">
        <w:rPr>
          <w:rFonts w:ascii="Arial" w:hAnsi="Arial" w:cs="Arial"/>
          <w:spacing w:val="-2"/>
          <w:sz w:val="18"/>
          <w:szCs w:val="18"/>
          <w:lang w:val="en-GB"/>
        </w:rPr>
        <w:t>With the third key building block, we are intensifying our traditionally excellent innovative strength and placing it on an even broader footing. This is necessary both for the transformation of our core business and for the establishment of the new mobility solutions business. To this end, we are pushing ahead with the digital transformation in all parts of the Company.</w:t>
      </w:r>
    </w:p>
    <w:p w14:paraId="2329068A" w14:textId="77777777" w:rsidR="00DD3329" w:rsidRPr="00DD3329" w:rsidRDefault="00DD3329" w:rsidP="00DD3329">
      <w:pPr>
        <w:jc w:val="both"/>
        <w:rPr>
          <w:rFonts w:ascii="Arial" w:hAnsi="Arial" w:cs="Arial"/>
          <w:sz w:val="14"/>
          <w:szCs w:val="14"/>
          <w:lang w:val="en-GB"/>
        </w:rPr>
      </w:pPr>
    </w:p>
    <w:p w14:paraId="77ECA4A9"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Becoming one of the world’s leading providers of sustainable mobility calls for substantial capital expenditure. This will be financed in particular through efficiency gains along the entire value chain—from product development and procurement through to production and distribution as well as in the central supporting areas. Additional funds for future investment can also be generated by optimizing the existing portfolio of brands and equity investments. Through the fourth key building block of the Group strategy we will safeguard the financing of the Volkswagen Group and place it on a solid basis</w:t>
      </w:r>
      <w:proofErr w:type="gramStart"/>
      <w:r w:rsidRPr="00DD3329">
        <w:rPr>
          <w:rFonts w:ascii="Arial" w:hAnsi="Arial" w:cs="Arial"/>
          <w:sz w:val="18"/>
          <w:szCs w:val="18"/>
          <w:lang w:val="en-GB"/>
        </w:rPr>
        <w:t>. . . .</w:t>
      </w:r>
      <w:proofErr w:type="gramEnd"/>
    </w:p>
    <w:p w14:paraId="4C75E101" w14:textId="77777777" w:rsidR="00DD3329" w:rsidRPr="00DD3329" w:rsidRDefault="00DD3329" w:rsidP="00DD3329">
      <w:pPr>
        <w:jc w:val="both"/>
        <w:rPr>
          <w:rFonts w:ascii="Arial" w:hAnsi="Arial" w:cs="Arial"/>
          <w:sz w:val="14"/>
          <w:szCs w:val="14"/>
          <w:lang w:val="en-GB"/>
        </w:rPr>
      </w:pPr>
    </w:p>
    <w:p w14:paraId="6145B5B5" w14:textId="77777777" w:rsidR="00DD3329" w:rsidRPr="00DD3329" w:rsidRDefault="00DD3329" w:rsidP="00DD3329">
      <w:pPr>
        <w:jc w:val="both"/>
        <w:rPr>
          <w:rFonts w:ascii="Arial" w:hAnsi="Arial" w:cs="Arial"/>
          <w:b/>
          <w:sz w:val="18"/>
          <w:szCs w:val="18"/>
          <w:lang w:val="en-GB"/>
        </w:rPr>
      </w:pPr>
      <w:r w:rsidRPr="00DD3329">
        <w:rPr>
          <w:rFonts w:ascii="Arial" w:hAnsi="Arial" w:cs="Arial"/>
          <w:b/>
          <w:sz w:val="18"/>
          <w:szCs w:val="18"/>
          <w:lang w:val="en-GB"/>
        </w:rPr>
        <w:t>Building Blocks and Strategic Group Initiatives</w:t>
      </w:r>
    </w:p>
    <w:p w14:paraId="4A58D27F" w14:textId="77777777" w:rsidR="00DD3329" w:rsidRPr="00DD3329" w:rsidRDefault="00DD3329" w:rsidP="00DD3329">
      <w:pPr>
        <w:jc w:val="both"/>
        <w:rPr>
          <w:rFonts w:ascii="Arial" w:hAnsi="Arial" w:cs="Arial"/>
          <w:sz w:val="14"/>
          <w:szCs w:val="14"/>
          <w:lang w:val="en-GB"/>
        </w:rPr>
      </w:pPr>
    </w:p>
    <w:p w14:paraId="4C9021A3"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Transform Core Business</w:t>
      </w:r>
    </w:p>
    <w:p w14:paraId="50673957"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Sharpen positioning of brands</w:t>
      </w:r>
    </w:p>
    <w:p w14:paraId="230F9141"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Develop successful vehicle and drivetrain portfolio</w:t>
      </w:r>
    </w:p>
    <w:p w14:paraId="27442B81"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Partner with regional players to win in economy segment</w:t>
      </w:r>
    </w:p>
    <w:p w14:paraId="7D45B2E0"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Streamline modular toolkits</w:t>
      </w:r>
    </w:p>
    <w:p w14:paraId="75EC325C"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Implement model line organization</w:t>
      </w:r>
    </w:p>
    <w:p w14:paraId="0154DE59"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Realign “Components” business</w:t>
      </w:r>
    </w:p>
    <w:p w14:paraId="2FE2B79A"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Develop battery technology as new core competency</w:t>
      </w:r>
    </w:p>
    <w:p w14:paraId="27AA5C6D"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Develop self-driving system for autonomous vehicles and artificial intelligence</w:t>
      </w:r>
    </w:p>
    <w:p w14:paraId="4DA87988" w14:textId="77777777" w:rsidR="00DD3329" w:rsidRPr="00DD3329" w:rsidRDefault="00DD3329" w:rsidP="00DD3329">
      <w:pPr>
        <w:numPr>
          <w:ilvl w:val="0"/>
          <w:numId w:val="26"/>
        </w:numPr>
        <w:jc w:val="both"/>
        <w:rPr>
          <w:rFonts w:ascii="Arial" w:hAnsi="Arial" w:cs="Arial"/>
          <w:sz w:val="18"/>
          <w:szCs w:val="18"/>
          <w:lang w:val="en-GB"/>
        </w:rPr>
      </w:pPr>
      <w:r w:rsidRPr="00DD3329">
        <w:rPr>
          <w:rFonts w:ascii="Arial" w:hAnsi="Arial" w:cs="Arial"/>
          <w:sz w:val="18"/>
          <w:szCs w:val="18"/>
          <w:lang w:val="en-GB"/>
        </w:rPr>
        <w:t>Develop best-in-class user experience across brands and customer touchpoints</w:t>
      </w:r>
    </w:p>
    <w:p w14:paraId="534B33E1" w14:textId="77777777" w:rsidR="00DD3329" w:rsidRPr="00DD3329" w:rsidRDefault="00DD3329" w:rsidP="00DD3329">
      <w:pPr>
        <w:jc w:val="both"/>
        <w:rPr>
          <w:rFonts w:ascii="Arial" w:hAnsi="Arial" w:cs="Arial"/>
          <w:sz w:val="14"/>
          <w:szCs w:val="14"/>
          <w:lang w:val="en-GB"/>
        </w:rPr>
      </w:pPr>
    </w:p>
    <w:p w14:paraId="07121C41"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Build Mobility Solutions Business</w:t>
      </w:r>
    </w:p>
    <w:p w14:paraId="5CD29119" w14:textId="77777777" w:rsidR="00DD3329" w:rsidRPr="00DD3329" w:rsidRDefault="00DD3329" w:rsidP="00DD3329">
      <w:pPr>
        <w:numPr>
          <w:ilvl w:val="0"/>
          <w:numId w:val="25"/>
        </w:numPr>
        <w:jc w:val="both"/>
        <w:rPr>
          <w:rFonts w:ascii="Arial" w:hAnsi="Arial" w:cs="Arial"/>
          <w:sz w:val="18"/>
          <w:szCs w:val="18"/>
          <w:lang w:val="en-GB"/>
        </w:rPr>
      </w:pPr>
      <w:r w:rsidRPr="00DD3329">
        <w:rPr>
          <w:rFonts w:ascii="Arial" w:hAnsi="Arial" w:cs="Arial"/>
          <w:sz w:val="18"/>
          <w:szCs w:val="18"/>
          <w:lang w:val="en-GB"/>
        </w:rPr>
        <w:t>Establish mobility solutions business</w:t>
      </w:r>
    </w:p>
    <w:p w14:paraId="151561B9" w14:textId="77777777" w:rsidR="00DD3329" w:rsidRPr="00DD3329" w:rsidRDefault="00DD3329" w:rsidP="00DD3329">
      <w:pPr>
        <w:numPr>
          <w:ilvl w:val="0"/>
          <w:numId w:val="25"/>
        </w:numPr>
        <w:jc w:val="both"/>
        <w:rPr>
          <w:rFonts w:ascii="Arial" w:hAnsi="Arial" w:cs="Arial"/>
          <w:sz w:val="18"/>
          <w:szCs w:val="18"/>
          <w:lang w:val="en-GB"/>
        </w:rPr>
      </w:pPr>
      <w:r w:rsidRPr="00DD3329">
        <w:rPr>
          <w:rFonts w:ascii="Arial" w:hAnsi="Arial" w:cs="Arial"/>
          <w:sz w:val="18"/>
          <w:szCs w:val="18"/>
          <w:lang w:val="en-GB"/>
        </w:rPr>
        <w:t>Develop and expand attractive and profitable smart mobility offering</w:t>
      </w:r>
    </w:p>
    <w:p w14:paraId="7052B06C" w14:textId="77777777" w:rsidR="00DD3329" w:rsidRPr="00DD3329" w:rsidRDefault="00DD3329" w:rsidP="00DD3329">
      <w:pPr>
        <w:jc w:val="both"/>
        <w:rPr>
          <w:rFonts w:ascii="Arial" w:hAnsi="Arial" w:cs="Arial"/>
          <w:sz w:val="14"/>
          <w:szCs w:val="14"/>
          <w:lang w:val="en-GB"/>
        </w:rPr>
      </w:pPr>
    </w:p>
    <w:p w14:paraId="2F47249C"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Strengthen Innovation Power</w:t>
      </w:r>
    </w:p>
    <w:p w14:paraId="5754346F" w14:textId="77777777" w:rsidR="00DD3329" w:rsidRPr="00DD3329" w:rsidRDefault="00DD3329" w:rsidP="00DD3329">
      <w:pPr>
        <w:numPr>
          <w:ilvl w:val="0"/>
          <w:numId w:val="24"/>
        </w:numPr>
        <w:jc w:val="both"/>
        <w:rPr>
          <w:rFonts w:ascii="Arial" w:hAnsi="Arial" w:cs="Arial"/>
          <w:sz w:val="18"/>
          <w:szCs w:val="18"/>
          <w:lang w:val="en-GB"/>
        </w:rPr>
      </w:pPr>
      <w:r w:rsidRPr="00DD3329">
        <w:rPr>
          <w:rFonts w:ascii="Arial" w:hAnsi="Arial" w:cs="Arial"/>
          <w:sz w:val="18"/>
          <w:szCs w:val="18"/>
          <w:lang w:val="en-GB"/>
        </w:rPr>
        <w:t>Drive digital transformation</w:t>
      </w:r>
    </w:p>
    <w:p w14:paraId="546C7644" w14:textId="77777777" w:rsidR="00DD3329" w:rsidRPr="00DD3329" w:rsidRDefault="00DD3329" w:rsidP="00DD3329">
      <w:pPr>
        <w:numPr>
          <w:ilvl w:val="0"/>
          <w:numId w:val="24"/>
        </w:numPr>
        <w:jc w:val="both"/>
        <w:rPr>
          <w:rFonts w:ascii="Arial" w:hAnsi="Arial" w:cs="Arial"/>
          <w:sz w:val="18"/>
          <w:szCs w:val="18"/>
          <w:lang w:val="en-GB"/>
        </w:rPr>
      </w:pPr>
      <w:r w:rsidRPr="00DD3329">
        <w:rPr>
          <w:rFonts w:ascii="Arial" w:hAnsi="Arial" w:cs="Arial"/>
          <w:sz w:val="18"/>
          <w:szCs w:val="18"/>
          <w:lang w:val="en-GB"/>
        </w:rPr>
        <w:t>Create organization 4.0</w:t>
      </w:r>
    </w:p>
    <w:p w14:paraId="6001F6C7" w14:textId="77777777" w:rsidR="00DD3329" w:rsidRPr="00DD3329" w:rsidRDefault="00DD3329" w:rsidP="00DD3329">
      <w:pPr>
        <w:jc w:val="both"/>
        <w:rPr>
          <w:rFonts w:ascii="Arial" w:hAnsi="Arial" w:cs="Arial"/>
          <w:sz w:val="14"/>
          <w:szCs w:val="14"/>
          <w:lang w:val="en-GB"/>
        </w:rPr>
      </w:pPr>
    </w:p>
    <w:p w14:paraId="46651599" w14:textId="77777777" w:rsidR="00DD3329" w:rsidRPr="00DD3329" w:rsidRDefault="00DD3329" w:rsidP="00DD3329">
      <w:pPr>
        <w:jc w:val="both"/>
        <w:rPr>
          <w:rFonts w:ascii="Arial" w:hAnsi="Arial" w:cs="Arial"/>
          <w:sz w:val="18"/>
          <w:szCs w:val="18"/>
          <w:lang w:val="en-GB"/>
        </w:rPr>
      </w:pPr>
      <w:r w:rsidRPr="00DD3329">
        <w:rPr>
          <w:rFonts w:ascii="Arial" w:hAnsi="Arial" w:cs="Arial"/>
          <w:sz w:val="18"/>
          <w:szCs w:val="18"/>
          <w:lang w:val="en-GB"/>
        </w:rPr>
        <w:t>Secure Funding</w:t>
      </w:r>
    </w:p>
    <w:p w14:paraId="2EFA583D" w14:textId="77777777" w:rsidR="00DD3329" w:rsidRPr="00DD3329" w:rsidRDefault="00DD3329" w:rsidP="00DD3329">
      <w:pPr>
        <w:numPr>
          <w:ilvl w:val="0"/>
          <w:numId w:val="23"/>
        </w:numPr>
        <w:jc w:val="both"/>
        <w:rPr>
          <w:rFonts w:ascii="Arial" w:hAnsi="Arial" w:cs="Arial"/>
          <w:sz w:val="18"/>
          <w:szCs w:val="18"/>
          <w:lang w:val="en-GB"/>
        </w:rPr>
      </w:pPr>
      <w:r w:rsidRPr="00DD3329">
        <w:rPr>
          <w:rFonts w:ascii="Arial" w:hAnsi="Arial" w:cs="Arial"/>
          <w:sz w:val="18"/>
          <w:szCs w:val="18"/>
          <w:lang w:val="en-GB"/>
        </w:rPr>
        <w:t>Improve operational excellence</w:t>
      </w:r>
    </w:p>
    <w:p w14:paraId="5517E4D7" w14:textId="77777777" w:rsidR="00DD3329" w:rsidRPr="00DD3329" w:rsidRDefault="00DD3329" w:rsidP="00DD3329">
      <w:pPr>
        <w:numPr>
          <w:ilvl w:val="0"/>
          <w:numId w:val="23"/>
        </w:numPr>
        <w:jc w:val="both"/>
        <w:rPr>
          <w:rFonts w:ascii="Arial" w:hAnsi="Arial" w:cs="Arial"/>
          <w:sz w:val="18"/>
          <w:szCs w:val="18"/>
          <w:lang w:val="en-GB"/>
        </w:rPr>
      </w:pPr>
      <w:r w:rsidRPr="00DD3329">
        <w:rPr>
          <w:rFonts w:ascii="Arial" w:hAnsi="Arial" w:cs="Arial"/>
          <w:sz w:val="18"/>
          <w:szCs w:val="18"/>
          <w:lang w:val="en-GB"/>
        </w:rPr>
        <w:t>Optimize business portfolio</w:t>
      </w:r>
    </w:p>
    <w:p w14:paraId="10B2ED4A" w14:textId="77777777" w:rsidR="00DD3329" w:rsidRPr="00DD3329" w:rsidRDefault="00DD3329" w:rsidP="00DD3329">
      <w:pPr>
        <w:numPr>
          <w:ilvl w:val="0"/>
          <w:numId w:val="23"/>
        </w:numPr>
        <w:jc w:val="both"/>
        <w:rPr>
          <w:rFonts w:ascii="Arial" w:hAnsi="Arial" w:cs="Arial"/>
          <w:sz w:val="18"/>
          <w:szCs w:val="18"/>
          <w:lang w:val="en-GB"/>
        </w:rPr>
      </w:pPr>
      <w:r w:rsidRPr="00DD3329">
        <w:rPr>
          <w:rFonts w:ascii="Arial" w:hAnsi="Arial" w:cs="Arial"/>
          <w:sz w:val="18"/>
          <w:szCs w:val="18"/>
          <w:lang w:val="en-GB"/>
        </w:rPr>
        <w:t>Integrate strategy and planning process</w:t>
      </w:r>
    </w:p>
    <w:p w14:paraId="3B45F9EA" w14:textId="77777777" w:rsidR="00DD3329" w:rsidRPr="00DD3329" w:rsidRDefault="00DD3329" w:rsidP="0088622F">
      <w:pPr>
        <w:pStyle w:val="FootnoteText1"/>
        <w:rPr>
          <w:lang w:val="en-GB"/>
        </w:rPr>
      </w:pPr>
    </w:p>
    <w:p w14:paraId="06914B2C" w14:textId="77777777" w:rsidR="00DD3329" w:rsidRPr="00DD3329" w:rsidRDefault="00DD3329" w:rsidP="0088622F">
      <w:pPr>
        <w:pStyle w:val="FootnoteText1"/>
        <w:rPr>
          <w:lang w:val="en-GB"/>
        </w:rPr>
      </w:pPr>
      <w:r w:rsidRPr="00DD3329">
        <w:rPr>
          <w:lang w:val="en-GB"/>
        </w:rPr>
        <w:t>Source:</w:t>
      </w:r>
      <w:r w:rsidRPr="00DD3329">
        <w:rPr>
          <w:spacing w:val="-2"/>
          <w:lang w:val="en-GB"/>
        </w:rPr>
        <w:t xml:space="preserve"> Excerpted from Volkswagen AG, </w:t>
      </w:r>
      <w:r w:rsidRPr="00DD3329">
        <w:rPr>
          <w:i/>
          <w:spacing w:val="-2"/>
          <w:lang w:val="en-GB"/>
        </w:rPr>
        <w:t>Full Speed Ahead to the Future: Annual Report 2018</w:t>
      </w:r>
      <w:r w:rsidRPr="00DD3329">
        <w:rPr>
          <w:spacing w:val="-2"/>
          <w:lang w:val="en-GB"/>
        </w:rPr>
        <w:t>, 51–52, 2019, accessed April 17, 2019, www.volkswagenag.com/presence/investorrelation/publications/annual-reports/2019/volkswagen/en/Y_2018_e.pdf.</w:t>
      </w:r>
    </w:p>
    <w:p w14:paraId="0EFD7D33" w14:textId="77777777" w:rsidR="00DD3329" w:rsidRPr="00DD3329" w:rsidRDefault="00DD3329" w:rsidP="0088622F">
      <w:pPr>
        <w:pStyle w:val="Casehead1"/>
        <w:jc w:val="center"/>
        <w:rPr>
          <w:lang w:val="en-GB"/>
        </w:rPr>
      </w:pPr>
      <w:r w:rsidRPr="00DD3329">
        <w:rPr>
          <w:lang w:val="en-GB"/>
        </w:rPr>
        <w:lastRenderedPageBreak/>
        <w:t>Exhibit 2: VOLKswagen Group, together–Strategy 2025 Building blocks</w:t>
      </w:r>
    </w:p>
    <w:p w14:paraId="2DB8D96E" w14:textId="77777777" w:rsidR="00DD3329" w:rsidRPr="00DD3329" w:rsidRDefault="00DD3329" w:rsidP="0088622F">
      <w:pPr>
        <w:pStyle w:val="BodyTextMain"/>
        <w:rPr>
          <w:lang w:val="en-GB"/>
        </w:rPr>
      </w:pPr>
    </w:p>
    <w:p w14:paraId="277A2AE0" w14:textId="77777777" w:rsidR="00DD3329" w:rsidRPr="008F2E24" w:rsidRDefault="00DD3329" w:rsidP="00DD3329">
      <w:pPr>
        <w:jc w:val="both"/>
        <w:rPr>
          <w:rStyle w:val="BodyTextMainChar"/>
        </w:rPr>
      </w:pPr>
      <w:r w:rsidRPr="00DD3329">
        <w:rPr>
          <w:noProof/>
          <w:sz w:val="22"/>
          <w:szCs w:val="22"/>
          <w:lang w:eastAsia="zh-TW"/>
        </w:rPr>
        <w:drawing>
          <wp:inline distT="0" distB="0" distL="0" distR="0" wp14:anchorId="1873D31A" wp14:editId="2E763B6D">
            <wp:extent cx="5943600" cy="3821842"/>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1842"/>
                    </a:xfrm>
                    <a:prstGeom prst="rect">
                      <a:avLst/>
                    </a:prstGeom>
                    <a:noFill/>
                    <a:ln>
                      <a:noFill/>
                    </a:ln>
                  </pic:spPr>
                </pic:pic>
              </a:graphicData>
            </a:graphic>
          </wp:inline>
        </w:drawing>
      </w:r>
    </w:p>
    <w:p w14:paraId="14CBAC05" w14:textId="77777777" w:rsidR="00DD3329" w:rsidRPr="00DD3329" w:rsidRDefault="00DD3329" w:rsidP="0088622F">
      <w:pPr>
        <w:pStyle w:val="FootnoteText1"/>
        <w:rPr>
          <w:lang w:val="en-GB"/>
        </w:rPr>
      </w:pPr>
    </w:p>
    <w:p w14:paraId="6492EAB8" w14:textId="77777777" w:rsidR="00DD3329" w:rsidRPr="00DD3329" w:rsidRDefault="00DD3329" w:rsidP="0088622F">
      <w:pPr>
        <w:pStyle w:val="FootnoteText1"/>
        <w:rPr>
          <w:lang w:val="en-GB"/>
        </w:rPr>
      </w:pPr>
      <w:r w:rsidRPr="00DD3329">
        <w:rPr>
          <w:lang w:val="en-GB"/>
        </w:rPr>
        <w:t xml:space="preserve">Source: Created by the case authors based on information from Volkswagen AG, </w:t>
      </w:r>
      <w:r w:rsidRPr="00DD3329">
        <w:rPr>
          <w:i/>
          <w:lang w:val="en-GB"/>
        </w:rPr>
        <w:t>Full Speed Ahead to the Future: Annual Report 2018</w:t>
      </w:r>
      <w:r w:rsidRPr="00DD3329">
        <w:rPr>
          <w:lang w:val="en-GB"/>
        </w:rPr>
        <w:t>, 52</w:t>
      </w:r>
      <w:r w:rsidRPr="00DD3329">
        <w:rPr>
          <w:i/>
          <w:lang w:val="en-GB"/>
        </w:rPr>
        <w:t xml:space="preserve">, </w:t>
      </w:r>
      <w:r w:rsidRPr="00DD3329">
        <w:rPr>
          <w:lang w:val="en-GB"/>
        </w:rPr>
        <w:t>2019, accessed April 17, 2019, www.volkswagenag.com/presence/investorrelation/publications/annual-reports/2019/volkswagen/en/Y_2018_e.pdf.</w:t>
      </w:r>
    </w:p>
    <w:p w14:paraId="734389CE" w14:textId="77777777" w:rsidR="00DD3329" w:rsidRPr="00DD3329" w:rsidRDefault="00DD3329" w:rsidP="0088622F">
      <w:pPr>
        <w:pStyle w:val="BodyTextMain"/>
        <w:rPr>
          <w:lang w:val="en-GB"/>
        </w:rPr>
      </w:pPr>
    </w:p>
    <w:p w14:paraId="010A926F" w14:textId="77777777" w:rsidR="00DD3329" w:rsidRPr="00DD3329" w:rsidRDefault="00DD3329" w:rsidP="0088622F">
      <w:pPr>
        <w:pStyle w:val="BodyTextMain"/>
        <w:rPr>
          <w:lang w:val="en-GB"/>
        </w:rPr>
      </w:pPr>
      <w:r w:rsidRPr="00DD3329">
        <w:rPr>
          <w:lang w:val="en-GB"/>
        </w:rPr>
        <w:br w:type="page"/>
      </w:r>
    </w:p>
    <w:p w14:paraId="0DA063B3" w14:textId="77777777" w:rsidR="00DD3329" w:rsidRPr="00DD3329" w:rsidRDefault="00DD3329" w:rsidP="0088622F">
      <w:pPr>
        <w:pStyle w:val="Casehead1"/>
        <w:jc w:val="center"/>
        <w:rPr>
          <w:lang w:val="en-GB"/>
        </w:rPr>
      </w:pPr>
      <w:bookmarkStart w:id="20" w:name="OLE_LINK1"/>
      <w:bookmarkStart w:id="21" w:name="OLE_LINK2"/>
      <w:r w:rsidRPr="00DD3329">
        <w:rPr>
          <w:lang w:val="en-GB"/>
        </w:rPr>
        <w:lastRenderedPageBreak/>
        <w:t xml:space="preserve">Exhibit 3: Volkswagen Passenger Cars—Worldwide Production by Vehicle Type, 2018 Versus </w:t>
      </w:r>
      <w:bookmarkEnd w:id="20"/>
      <w:bookmarkEnd w:id="21"/>
      <w:r w:rsidRPr="00DD3329">
        <w:rPr>
          <w:lang w:val="en-GB"/>
        </w:rPr>
        <w:t>2017</w:t>
      </w:r>
    </w:p>
    <w:p w14:paraId="5D1D866B" w14:textId="77777777" w:rsidR="00DD3329" w:rsidRPr="00DD3329" w:rsidRDefault="00DD3329" w:rsidP="0088622F">
      <w:pPr>
        <w:pStyle w:val="BodyTextMain"/>
        <w:rPr>
          <w:lang w:val="en-GB"/>
        </w:rPr>
      </w:pPr>
    </w:p>
    <w:tbl>
      <w:tblPr>
        <w:tblStyle w:val="TableGrid1"/>
        <w:tblW w:w="0" w:type="auto"/>
        <w:jc w:val="center"/>
        <w:tblLook w:val="04A0" w:firstRow="1" w:lastRow="0" w:firstColumn="1" w:lastColumn="0" w:noHBand="0" w:noVBand="1"/>
      </w:tblPr>
      <w:tblGrid>
        <w:gridCol w:w="1662"/>
        <w:gridCol w:w="2428"/>
        <w:gridCol w:w="2428"/>
      </w:tblGrid>
      <w:tr w:rsidR="00DD3329" w:rsidRPr="00DD3329" w14:paraId="11B014FF" w14:textId="77777777" w:rsidTr="00CF01F0">
        <w:trPr>
          <w:jc w:val="center"/>
        </w:trPr>
        <w:tc>
          <w:tcPr>
            <w:tcW w:w="0" w:type="auto"/>
          </w:tcPr>
          <w:p w14:paraId="50BAABA5" w14:textId="77777777" w:rsidR="00DD3329" w:rsidRPr="00DD3329" w:rsidRDefault="00DD3329" w:rsidP="00DD3329">
            <w:pPr>
              <w:jc w:val="center"/>
              <w:rPr>
                <w:rFonts w:ascii="Arial" w:hAnsi="Arial" w:cs="Arial"/>
                <w:b/>
                <w:lang w:val="en-GB"/>
              </w:rPr>
            </w:pPr>
            <w:r w:rsidRPr="00DD3329">
              <w:rPr>
                <w:rFonts w:ascii="Arial" w:hAnsi="Arial" w:cs="Arial"/>
                <w:b/>
                <w:lang w:val="en-GB"/>
              </w:rPr>
              <w:t>Model</w:t>
            </w:r>
          </w:p>
        </w:tc>
        <w:tc>
          <w:tcPr>
            <w:tcW w:w="0" w:type="auto"/>
          </w:tcPr>
          <w:p w14:paraId="2457C956" w14:textId="77777777" w:rsidR="00DD3329" w:rsidRPr="00DD3329" w:rsidRDefault="00DD3329" w:rsidP="00DD3329">
            <w:pPr>
              <w:jc w:val="center"/>
              <w:rPr>
                <w:rFonts w:ascii="Arial" w:hAnsi="Arial" w:cs="Arial"/>
                <w:b/>
                <w:lang w:val="en-GB"/>
              </w:rPr>
            </w:pPr>
            <w:r w:rsidRPr="00DD3329">
              <w:rPr>
                <w:rFonts w:ascii="Arial" w:hAnsi="Arial" w:cs="Arial"/>
                <w:b/>
                <w:lang w:val="en-GB"/>
              </w:rPr>
              <w:t>Units Produced in 2018</w:t>
            </w:r>
          </w:p>
        </w:tc>
        <w:tc>
          <w:tcPr>
            <w:tcW w:w="0" w:type="auto"/>
          </w:tcPr>
          <w:p w14:paraId="56D3AD66" w14:textId="77777777" w:rsidR="00DD3329" w:rsidRPr="00DD3329" w:rsidRDefault="00DD3329" w:rsidP="00DD3329">
            <w:pPr>
              <w:jc w:val="center"/>
              <w:rPr>
                <w:rFonts w:ascii="Arial" w:hAnsi="Arial" w:cs="Arial"/>
                <w:b/>
                <w:lang w:val="en-GB"/>
              </w:rPr>
            </w:pPr>
            <w:r w:rsidRPr="00DD3329">
              <w:rPr>
                <w:rFonts w:ascii="Arial" w:hAnsi="Arial" w:cs="Arial"/>
                <w:b/>
                <w:lang w:val="en-GB"/>
              </w:rPr>
              <w:t>Units Produced in 2017</w:t>
            </w:r>
          </w:p>
        </w:tc>
      </w:tr>
      <w:tr w:rsidR="00DD3329" w:rsidRPr="00DD3329" w14:paraId="72F3EC44" w14:textId="77777777" w:rsidTr="00CF01F0">
        <w:trPr>
          <w:jc w:val="center"/>
        </w:trPr>
        <w:tc>
          <w:tcPr>
            <w:tcW w:w="0" w:type="auto"/>
            <w:vAlign w:val="center"/>
          </w:tcPr>
          <w:p w14:paraId="2B22468A" w14:textId="77777777" w:rsidR="00DD3329" w:rsidRPr="00DD3329" w:rsidRDefault="00DD3329" w:rsidP="00DD3329">
            <w:pPr>
              <w:rPr>
                <w:rFonts w:ascii="Arial" w:hAnsi="Arial" w:cs="Arial"/>
                <w:lang w:val="en-GB"/>
              </w:rPr>
            </w:pPr>
            <w:r w:rsidRPr="00DD3329">
              <w:rPr>
                <w:rFonts w:ascii="Arial" w:hAnsi="Arial" w:cs="Arial"/>
                <w:lang w:val="en-GB"/>
              </w:rPr>
              <w:t>Tiguan</w:t>
            </w:r>
          </w:p>
        </w:tc>
        <w:tc>
          <w:tcPr>
            <w:tcW w:w="0" w:type="auto"/>
          </w:tcPr>
          <w:p w14:paraId="5CF8F60C" w14:textId="77777777" w:rsidR="00DD3329" w:rsidRPr="00DD3329" w:rsidRDefault="00DD3329" w:rsidP="00DD3329">
            <w:pPr>
              <w:jc w:val="right"/>
              <w:rPr>
                <w:rFonts w:ascii="Arial" w:hAnsi="Arial" w:cs="Arial"/>
                <w:lang w:val="en-GB"/>
              </w:rPr>
            </w:pPr>
            <w:r w:rsidRPr="00DD3329">
              <w:rPr>
                <w:rFonts w:ascii="Arial" w:hAnsi="Arial" w:cs="Arial"/>
                <w:lang w:val="en-GB"/>
              </w:rPr>
              <w:t>861,331</w:t>
            </w:r>
          </w:p>
        </w:tc>
        <w:tc>
          <w:tcPr>
            <w:tcW w:w="0" w:type="auto"/>
          </w:tcPr>
          <w:p w14:paraId="56040300" w14:textId="77777777" w:rsidR="00DD3329" w:rsidRPr="00DD3329" w:rsidRDefault="00DD3329" w:rsidP="00DD3329">
            <w:pPr>
              <w:jc w:val="right"/>
              <w:rPr>
                <w:rFonts w:ascii="Arial" w:hAnsi="Arial" w:cs="Arial"/>
                <w:lang w:val="en-GB"/>
              </w:rPr>
            </w:pPr>
            <w:r w:rsidRPr="00DD3329">
              <w:rPr>
                <w:rFonts w:ascii="Arial" w:hAnsi="Arial" w:cs="Arial"/>
                <w:lang w:val="en-GB"/>
              </w:rPr>
              <w:t>769,870</w:t>
            </w:r>
          </w:p>
        </w:tc>
      </w:tr>
      <w:tr w:rsidR="00DD3329" w:rsidRPr="00DD3329" w14:paraId="27B5879C" w14:textId="77777777" w:rsidTr="00CF01F0">
        <w:trPr>
          <w:jc w:val="center"/>
        </w:trPr>
        <w:tc>
          <w:tcPr>
            <w:tcW w:w="0" w:type="auto"/>
            <w:vAlign w:val="center"/>
          </w:tcPr>
          <w:p w14:paraId="12BBE1AB" w14:textId="77777777" w:rsidR="00DD3329" w:rsidRPr="00DD3329" w:rsidRDefault="00DD3329" w:rsidP="00DD3329">
            <w:pPr>
              <w:rPr>
                <w:rFonts w:ascii="Arial" w:hAnsi="Arial" w:cs="Arial"/>
                <w:lang w:val="en-GB"/>
              </w:rPr>
            </w:pPr>
            <w:r w:rsidRPr="00DD3329">
              <w:rPr>
                <w:rFonts w:ascii="Arial" w:hAnsi="Arial" w:cs="Arial"/>
                <w:lang w:val="en-GB"/>
              </w:rPr>
              <w:t>Polo/Virtus</w:t>
            </w:r>
          </w:p>
        </w:tc>
        <w:tc>
          <w:tcPr>
            <w:tcW w:w="0" w:type="auto"/>
          </w:tcPr>
          <w:p w14:paraId="4CCD256D" w14:textId="77777777" w:rsidR="00DD3329" w:rsidRPr="00DD3329" w:rsidRDefault="00DD3329" w:rsidP="00DD3329">
            <w:pPr>
              <w:jc w:val="right"/>
              <w:rPr>
                <w:rFonts w:ascii="Arial" w:hAnsi="Arial" w:cs="Arial"/>
                <w:lang w:val="en-GB"/>
              </w:rPr>
            </w:pPr>
            <w:r w:rsidRPr="00DD3329">
              <w:rPr>
                <w:rFonts w:ascii="Arial" w:hAnsi="Arial" w:cs="Arial"/>
                <w:lang w:val="en-GB"/>
              </w:rPr>
              <w:t>855,179</w:t>
            </w:r>
          </w:p>
        </w:tc>
        <w:tc>
          <w:tcPr>
            <w:tcW w:w="0" w:type="auto"/>
          </w:tcPr>
          <w:p w14:paraId="7521AB4C" w14:textId="77777777" w:rsidR="00DD3329" w:rsidRPr="00DD3329" w:rsidRDefault="00DD3329" w:rsidP="00DD3329">
            <w:pPr>
              <w:jc w:val="right"/>
              <w:rPr>
                <w:rFonts w:ascii="Arial" w:hAnsi="Arial" w:cs="Arial"/>
                <w:lang w:val="en-GB"/>
              </w:rPr>
            </w:pPr>
            <w:r w:rsidRPr="00DD3329">
              <w:rPr>
                <w:rFonts w:ascii="Arial" w:hAnsi="Arial" w:cs="Arial"/>
                <w:lang w:val="en-GB"/>
              </w:rPr>
              <w:t>755,506</w:t>
            </w:r>
          </w:p>
        </w:tc>
      </w:tr>
      <w:tr w:rsidR="00DD3329" w:rsidRPr="00DD3329" w14:paraId="00ADB213" w14:textId="77777777" w:rsidTr="00CF01F0">
        <w:trPr>
          <w:jc w:val="center"/>
        </w:trPr>
        <w:tc>
          <w:tcPr>
            <w:tcW w:w="0" w:type="auto"/>
            <w:vAlign w:val="center"/>
          </w:tcPr>
          <w:p w14:paraId="7A202F07" w14:textId="77777777" w:rsidR="00DD3329" w:rsidRPr="00DD3329" w:rsidRDefault="00DD3329" w:rsidP="00DD3329">
            <w:pPr>
              <w:rPr>
                <w:rFonts w:ascii="Arial" w:hAnsi="Arial" w:cs="Arial"/>
                <w:lang w:val="en-GB"/>
              </w:rPr>
            </w:pPr>
            <w:r w:rsidRPr="00DD3329">
              <w:rPr>
                <w:rFonts w:ascii="Arial" w:hAnsi="Arial" w:cs="Arial"/>
                <w:lang w:val="en-GB"/>
              </w:rPr>
              <w:t>Golf</w:t>
            </w:r>
          </w:p>
        </w:tc>
        <w:tc>
          <w:tcPr>
            <w:tcW w:w="0" w:type="auto"/>
          </w:tcPr>
          <w:p w14:paraId="3FB92B0F" w14:textId="77777777" w:rsidR="00DD3329" w:rsidRPr="00DD3329" w:rsidRDefault="00DD3329" w:rsidP="00DD3329">
            <w:pPr>
              <w:jc w:val="right"/>
              <w:rPr>
                <w:rFonts w:ascii="Arial" w:hAnsi="Arial" w:cs="Arial"/>
                <w:lang w:val="en-GB"/>
              </w:rPr>
            </w:pPr>
            <w:r w:rsidRPr="00DD3329">
              <w:rPr>
                <w:rFonts w:ascii="Arial" w:hAnsi="Arial" w:cs="Arial"/>
                <w:lang w:val="en-GB"/>
              </w:rPr>
              <w:t>805,752</w:t>
            </w:r>
          </w:p>
        </w:tc>
        <w:tc>
          <w:tcPr>
            <w:tcW w:w="0" w:type="auto"/>
          </w:tcPr>
          <w:p w14:paraId="3DB5C0AE" w14:textId="77777777" w:rsidR="00DD3329" w:rsidRPr="00DD3329" w:rsidRDefault="00DD3329" w:rsidP="00DD3329">
            <w:pPr>
              <w:jc w:val="right"/>
              <w:rPr>
                <w:rFonts w:ascii="Arial" w:hAnsi="Arial" w:cs="Arial"/>
                <w:lang w:val="en-GB"/>
              </w:rPr>
            </w:pPr>
            <w:r w:rsidRPr="00DD3329">
              <w:rPr>
                <w:rFonts w:ascii="Arial" w:hAnsi="Arial" w:cs="Arial"/>
                <w:lang w:val="en-GB"/>
              </w:rPr>
              <w:t>968,284</w:t>
            </w:r>
          </w:p>
        </w:tc>
      </w:tr>
      <w:tr w:rsidR="00DD3329" w:rsidRPr="00DD3329" w14:paraId="2CB06B39" w14:textId="77777777" w:rsidTr="00CF01F0">
        <w:trPr>
          <w:jc w:val="center"/>
        </w:trPr>
        <w:tc>
          <w:tcPr>
            <w:tcW w:w="0" w:type="auto"/>
            <w:vAlign w:val="center"/>
          </w:tcPr>
          <w:p w14:paraId="229534BB" w14:textId="77777777" w:rsidR="00DD3329" w:rsidRPr="00DD3329" w:rsidRDefault="00DD3329" w:rsidP="00DD3329">
            <w:pPr>
              <w:rPr>
                <w:rFonts w:ascii="Arial" w:hAnsi="Arial" w:cs="Arial"/>
                <w:lang w:val="en-GB"/>
              </w:rPr>
            </w:pPr>
            <w:r w:rsidRPr="00DD3329">
              <w:rPr>
                <w:rFonts w:ascii="Arial" w:hAnsi="Arial" w:cs="Arial"/>
                <w:lang w:val="en-GB"/>
              </w:rPr>
              <w:t>Jetta/</w:t>
            </w:r>
            <w:proofErr w:type="spellStart"/>
            <w:r w:rsidRPr="00DD3329">
              <w:rPr>
                <w:rFonts w:ascii="Arial" w:hAnsi="Arial" w:cs="Arial"/>
                <w:lang w:val="en-GB"/>
              </w:rPr>
              <w:t>Sagitar</w:t>
            </w:r>
            <w:proofErr w:type="spellEnd"/>
          </w:p>
        </w:tc>
        <w:tc>
          <w:tcPr>
            <w:tcW w:w="0" w:type="auto"/>
          </w:tcPr>
          <w:p w14:paraId="5114BBC1" w14:textId="77777777" w:rsidR="00DD3329" w:rsidRPr="00DD3329" w:rsidRDefault="00DD3329" w:rsidP="00DD3329">
            <w:pPr>
              <w:jc w:val="right"/>
              <w:rPr>
                <w:rFonts w:ascii="Arial" w:hAnsi="Arial" w:cs="Arial"/>
                <w:lang w:val="en-GB"/>
              </w:rPr>
            </w:pPr>
            <w:r w:rsidRPr="00DD3329">
              <w:rPr>
                <w:rFonts w:ascii="Arial" w:hAnsi="Arial" w:cs="Arial"/>
                <w:lang w:val="en-GB"/>
              </w:rPr>
              <w:t>770,447</w:t>
            </w:r>
          </w:p>
        </w:tc>
        <w:tc>
          <w:tcPr>
            <w:tcW w:w="0" w:type="auto"/>
          </w:tcPr>
          <w:p w14:paraId="2373CDF1" w14:textId="77777777" w:rsidR="00DD3329" w:rsidRPr="00DD3329" w:rsidRDefault="00DD3329" w:rsidP="00DD3329">
            <w:pPr>
              <w:jc w:val="right"/>
              <w:rPr>
                <w:rFonts w:ascii="Arial" w:hAnsi="Arial" w:cs="Arial"/>
                <w:lang w:val="en-GB"/>
              </w:rPr>
            </w:pPr>
            <w:r w:rsidRPr="00DD3329">
              <w:rPr>
                <w:rFonts w:ascii="Arial" w:hAnsi="Arial" w:cs="Arial"/>
                <w:lang w:val="en-GB"/>
              </w:rPr>
              <w:t>883,346</w:t>
            </w:r>
          </w:p>
        </w:tc>
      </w:tr>
      <w:tr w:rsidR="00DD3329" w:rsidRPr="00DD3329" w14:paraId="6EBE3FE0" w14:textId="77777777" w:rsidTr="00CF01F0">
        <w:trPr>
          <w:jc w:val="center"/>
        </w:trPr>
        <w:tc>
          <w:tcPr>
            <w:tcW w:w="0" w:type="auto"/>
            <w:vAlign w:val="center"/>
          </w:tcPr>
          <w:p w14:paraId="070E26ED" w14:textId="77777777" w:rsidR="00DD3329" w:rsidRPr="00DD3329" w:rsidRDefault="00DD3329" w:rsidP="00DD3329">
            <w:pPr>
              <w:rPr>
                <w:rFonts w:ascii="Arial" w:hAnsi="Arial" w:cs="Arial"/>
                <w:lang w:val="en-GB"/>
              </w:rPr>
            </w:pPr>
            <w:r w:rsidRPr="00DD3329">
              <w:rPr>
                <w:rFonts w:ascii="Arial" w:hAnsi="Arial" w:cs="Arial"/>
                <w:lang w:val="en-GB"/>
              </w:rPr>
              <w:t>Passat/</w:t>
            </w:r>
            <w:proofErr w:type="spellStart"/>
            <w:r w:rsidRPr="00DD3329">
              <w:rPr>
                <w:rFonts w:ascii="Arial" w:hAnsi="Arial" w:cs="Arial"/>
                <w:lang w:val="en-GB"/>
              </w:rPr>
              <w:t>Magotan</w:t>
            </w:r>
            <w:proofErr w:type="spellEnd"/>
          </w:p>
        </w:tc>
        <w:tc>
          <w:tcPr>
            <w:tcW w:w="0" w:type="auto"/>
          </w:tcPr>
          <w:p w14:paraId="44F814EF" w14:textId="77777777" w:rsidR="00DD3329" w:rsidRPr="00DD3329" w:rsidRDefault="00DD3329" w:rsidP="00DD3329">
            <w:pPr>
              <w:jc w:val="right"/>
              <w:rPr>
                <w:rFonts w:ascii="Arial" w:hAnsi="Arial" w:cs="Arial"/>
                <w:lang w:val="en-GB"/>
              </w:rPr>
            </w:pPr>
            <w:r w:rsidRPr="00DD3329">
              <w:rPr>
                <w:rFonts w:ascii="Arial" w:hAnsi="Arial" w:cs="Arial"/>
                <w:lang w:val="en-GB"/>
              </w:rPr>
              <w:t>656,249</w:t>
            </w:r>
          </w:p>
        </w:tc>
        <w:tc>
          <w:tcPr>
            <w:tcW w:w="0" w:type="auto"/>
          </w:tcPr>
          <w:p w14:paraId="7C47EF8F" w14:textId="77777777" w:rsidR="00DD3329" w:rsidRPr="00DD3329" w:rsidRDefault="00DD3329" w:rsidP="00DD3329">
            <w:pPr>
              <w:jc w:val="right"/>
              <w:rPr>
                <w:rFonts w:ascii="Arial" w:hAnsi="Arial" w:cs="Arial"/>
                <w:lang w:val="en-GB"/>
              </w:rPr>
            </w:pPr>
            <w:r w:rsidRPr="00DD3329">
              <w:rPr>
                <w:rFonts w:ascii="Arial" w:hAnsi="Arial" w:cs="Arial"/>
                <w:lang w:val="en-GB"/>
              </w:rPr>
              <w:t>660,996</w:t>
            </w:r>
          </w:p>
        </w:tc>
      </w:tr>
      <w:tr w:rsidR="00DD3329" w:rsidRPr="00DD3329" w14:paraId="7A6EED8F" w14:textId="77777777" w:rsidTr="00CF01F0">
        <w:trPr>
          <w:jc w:val="center"/>
        </w:trPr>
        <w:tc>
          <w:tcPr>
            <w:tcW w:w="0" w:type="auto"/>
            <w:vAlign w:val="center"/>
          </w:tcPr>
          <w:p w14:paraId="13A56931" w14:textId="77777777" w:rsidR="00DD3329" w:rsidRPr="00DD3329" w:rsidRDefault="00DD3329" w:rsidP="00DD3329">
            <w:pPr>
              <w:rPr>
                <w:rFonts w:ascii="Arial" w:hAnsi="Arial" w:cs="Arial"/>
                <w:lang w:val="en-GB"/>
              </w:rPr>
            </w:pPr>
            <w:proofErr w:type="spellStart"/>
            <w:r w:rsidRPr="00DD3329">
              <w:rPr>
                <w:rFonts w:ascii="Arial" w:hAnsi="Arial" w:cs="Arial"/>
                <w:lang w:val="en-GB"/>
              </w:rPr>
              <w:t>Lavida</w:t>
            </w:r>
            <w:proofErr w:type="spellEnd"/>
          </w:p>
        </w:tc>
        <w:tc>
          <w:tcPr>
            <w:tcW w:w="0" w:type="auto"/>
          </w:tcPr>
          <w:p w14:paraId="4BC1372B" w14:textId="77777777" w:rsidR="00DD3329" w:rsidRPr="00DD3329" w:rsidRDefault="00DD3329" w:rsidP="00DD3329">
            <w:pPr>
              <w:jc w:val="right"/>
              <w:rPr>
                <w:rFonts w:ascii="Arial" w:hAnsi="Arial" w:cs="Arial"/>
                <w:lang w:val="en-GB"/>
              </w:rPr>
            </w:pPr>
            <w:r w:rsidRPr="00DD3329">
              <w:rPr>
                <w:rFonts w:ascii="Arial" w:hAnsi="Arial" w:cs="Arial"/>
                <w:lang w:val="en-GB"/>
              </w:rPr>
              <w:t>513,556</w:t>
            </w:r>
          </w:p>
        </w:tc>
        <w:tc>
          <w:tcPr>
            <w:tcW w:w="0" w:type="auto"/>
          </w:tcPr>
          <w:p w14:paraId="4E6E5991" w14:textId="77777777" w:rsidR="00DD3329" w:rsidRPr="00DD3329" w:rsidRDefault="00DD3329" w:rsidP="00DD3329">
            <w:pPr>
              <w:jc w:val="right"/>
              <w:rPr>
                <w:rFonts w:ascii="Arial" w:hAnsi="Arial" w:cs="Arial"/>
                <w:lang w:val="en-GB"/>
              </w:rPr>
            </w:pPr>
            <w:r w:rsidRPr="00DD3329">
              <w:rPr>
                <w:rFonts w:ascii="Arial" w:hAnsi="Arial" w:cs="Arial"/>
                <w:lang w:val="en-GB"/>
              </w:rPr>
              <w:t>507,574</w:t>
            </w:r>
          </w:p>
        </w:tc>
      </w:tr>
      <w:tr w:rsidR="00DD3329" w:rsidRPr="00DD3329" w14:paraId="6D427D63" w14:textId="77777777" w:rsidTr="00CF01F0">
        <w:trPr>
          <w:jc w:val="center"/>
        </w:trPr>
        <w:tc>
          <w:tcPr>
            <w:tcW w:w="0" w:type="auto"/>
            <w:vAlign w:val="center"/>
          </w:tcPr>
          <w:p w14:paraId="0C9C77A5" w14:textId="77777777" w:rsidR="00DD3329" w:rsidRPr="00DD3329" w:rsidRDefault="00DD3329" w:rsidP="00DD3329">
            <w:pPr>
              <w:rPr>
                <w:rFonts w:ascii="Arial" w:hAnsi="Arial" w:cs="Arial"/>
                <w:lang w:val="en-GB"/>
              </w:rPr>
            </w:pPr>
            <w:r w:rsidRPr="00DD3329">
              <w:rPr>
                <w:rFonts w:ascii="Arial" w:hAnsi="Arial" w:cs="Arial"/>
                <w:lang w:val="en-GB"/>
              </w:rPr>
              <w:t>Santana</w:t>
            </w:r>
          </w:p>
        </w:tc>
        <w:tc>
          <w:tcPr>
            <w:tcW w:w="0" w:type="auto"/>
          </w:tcPr>
          <w:p w14:paraId="69A6AF9C" w14:textId="77777777" w:rsidR="00DD3329" w:rsidRPr="00DD3329" w:rsidRDefault="00DD3329" w:rsidP="00DD3329">
            <w:pPr>
              <w:jc w:val="right"/>
              <w:rPr>
                <w:rFonts w:ascii="Arial" w:hAnsi="Arial" w:cs="Arial"/>
                <w:lang w:val="en-GB"/>
              </w:rPr>
            </w:pPr>
            <w:r w:rsidRPr="00DD3329">
              <w:rPr>
                <w:rFonts w:ascii="Arial" w:hAnsi="Arial" w:cs="Arial"/>
                <w:lang w:val="en-GB"/>
              </w:rPr>
              <w:t>272,080</w:t>
            </w:r>
          </w:p>
        </w:tc>
        <w:tc>
          <w:tcPr>
            <w:tcW w:w="0" w:type="auto"/>
          </w:tcPr>
          <w:p w14:paraId="3AABD621" w14:textId="77777777" w:rsidR="00DD3329" w:rsidRPr="00DD3329" w:rsidRDefault="00DD3329" w:rsidP="00DD3329">
            <w:pPr>
              <w:jc w:val="right"/>
              <w:rPr>
                <w:rFonts w:ascii="Arial" w:hAnsi="Arial" w:cs="Arial"/>
                <w:lang w:val="en-GB"/>
              </w:rPr>
            </w:pPr>
            <w:r w:rsidRPr="00DD3329">
              <w:rPr>
                <w:rFonts w:ascii="Arial" w:hAnsi="Arial" w:cs="Arial"/>
                <w:lang w:val="en-GB"/>
              </w:rPr>
              <w:t>293,313</w:t>
            </w:r>
          </w:p>
        </w:tc>
      </w:tr>
      <w:tr w:rsidR="00DD3329" w:rsidRPr="00DD3329" w14:paraId="514F7986" w14:textId="77777777" w:rsidTr="00CF01F0">
        <w:trPr>
          <w:jc w:val="center"/>
        </w:trPr>
        <w:tc>
          <w:tcPr>
            <w:tcW w:w="0" w:type="auto"/>
            <w:vAlign w:val="center"/>
          </w:tcPr>
          <w:p w14:paraId="2AD13128" w14:textId="77777777" w:rsidR="00DD3329" w:rsidRPr="00DD3329" w:rsidRDefault="00DD3329" w:rsidP="00DD3329">
            <w:pPr>
              <w:rPr>
                <w:rFonts w:ascii="Arial" w:hAnsi="Arial" w:cs="Arial"/>
                <w:lang w:val="en-GB"/>
              </w:rPr>
            </w:pPr>
            <w:r w:rsidRPr="00DD3329">
              <w:rPr>
                <w:rFonts w:ascii="Arial" w:hAnsi="Arial" w:cs="Arial"/>
                <w:lang w:val="en-GB"/>
              </w:rPr>
              <w:t>Bora</w:t>
            </w:r>
          </w:p>
        </w:tc>
        <w:tc>
          <w:tcPr>
            <w:tcW w:w="0" w:type="auto"/>
          </w:tcPr>
          <w:p w14:paraId="36579E7A" w14:textId="77777777" w:rsidR="00DD3329" w:rsidRPr="00DD3329" w:rsidRDefault="00DD3329" w:rsidP="00DD3329">
            <w:pPr>
              <w:jc w:val="right"/>
              <w:rPr>
                <w:rFonts w:ascii="Arial" w:hAnsi="Arial" w:cs="Arial"/>
                <w:lang w:val="en-GB"/>
              </w:rPr>
            </w:pPr>
            <w:r w:rsidRPr="00DD3329">
              <w:rPr>
                <w:rFonts w:ascii="Arial" w:hAnsi="Arial" w:cs="Arial"/>
                <w:lang w:val="en-GB"/>
              </w:rPr>
              <w:t>272,080</w:t>
            </w:r>
          </w:p>
        </w:tc>
        <w:tc>
          <w:tcPr>
            <w:tcW w:w="0" w:type="auto"/>
          </w:tcPr>
          <w:p w14:paraId="5A678B15" w14:textId="77777777" w:rsidR="00DD3329" w:rsidRPr="00DD3329" w:rsidRDefault="00DD3329" w:rsidP="00DD3329">
            <w:pPr>
              <w:jc w:val="right"/>
              <w:rPr>
                <w:rFonts w:ascii="Arial" w:hAnsi="Arial" w:cs="Arial"/>
                <w:lang w:val="en-GB"/>
              </w:rPr>
            </w:pPr>
            <w:r w:rsidRPr="00DD3329">
              <w:rPr>
                <w:rFonts w:ascii="Arial" w:hAnsi="Arial" w:cs="Arial"/>
                <w:lang w:val="en-GB"/>
              </w:rPr>
              <w:t>293,313</w:t>
            </w:r>
          </w:p>
        </w:tc>
      </w:tr>
      <w:tr w:rsidR="00DD3329" w:rsidRPr="00DD3329" w14:paraId="13A83030" w14:textId="77777777" w:rsidTr="00CF01F0">
        <w:trPr>
          <w:jc w:val="center"/>
        </w:trPr>
        <w:tc>
          <w:tcPr>
            <w:tcW w:w="0" w:type="auto"/>
            <w:vAlign w:val="center"/>
          </w:tcPr>
          <w:p w14:paraId="70F5DBCC" w14:textId="77777777" w:rsidR="00DD3329" w:rsidRPr="00DD3329" w:rsidRDefault="00DD3329" w:rsidP="00DD3329">
            <w:pPr>
              <w:rPr>
                <w:rFonts w:ascii="Arial" w:hAnsi="Arial" w:cs="Arial"/>
                <w:lang w:val="en-GB"/>
              </w:rPr>
            </w:pPr>
            <w:r w:rsidRPr="00DD3329">
              <w:rPr>
                <w:rFonts w:ascii="Arial" w:hAnsi="Arial" w:cs="Arial"/>
                <w:lang w:val="en-GB"/>
              </w:rPr>
              <w:t>T-Roc</w:t>
            </w:r>
          </w:p>
        </w:tc>
        <w:tc>
          <w:tcPr>
            <w:tcW w:w="0" w:type="auto"/>
          </w:tcPr>
          <w:p w14:paraId="22FE2450" w14:textId="77777777" w:rsidR="00DD3329" w:rsidRPr="00DD3329" w:rsidRDefault="00DD3329" w:rsidP="00DD3329">
            <w:pPr>
              <w:jc w:val="right"/>
              <w:rPr>
                <w:rFonts w:ascii="Arial" w:hAnsi="Arial" w:cs="Arial"/>
                <w:lang w:val="en-GB"/>
              </w:rPr>
            </w:pPr>
            <w:r w:rsidRPr="00DD3329">
              <w:rPr>
                <w:rFonts w:ascii="Arial" w:hAnsi="Arial" w:cs="Arial"/>
                <w:lang w:val="en-GB"/>
              </w:rPr>
              <w:t>236,977</w:t>
            </w:r>
          </w:p>
        </w:tc>
        <w:tc>
          <w:tcPr>
            <w:tcW w:w="0" w:type="auto"/>
          </w:tcPr>
          <w:p w14:paraId="0AC3C6A4" w14:textId="77777777" w:rsidR="00DD3329" w:rsidRPr="00DD3329" w:rsidRDefault="00DD3329" w:rsidP="00DD3329">
            <w:pPr>
              <w:jc w:val="right"/>
              <w:rPr>
                <w:rFonts w:ascii="Arial" w:hAnsi="Arial" w:cs="Arial"/>
                <w:lang w:val="en-GB"/>
              </w:rPr>
            </w:pPr>
            <w:r w:rsidRPr="00DD3329">
              <w:rPr>
                <w:rFonts w:ascii="Arial" w:hAnsi="Arial" w:cs="Arial"/>
                <w:lang w:val="en-GB"/>
              </w:rPr>
              <w:t>22,724</w:t>
            </w:r>
          </w:p>
        </w:tc>
      </w:tr>
      <w:tr w:rsidR="00DD3329" w:rsidRPr="00DD3329" w14:paraId="23E99225" w14:textId="77777777" w:rsidTr="00CF01F0">
        <w:trPr>
          <w:jc w:val="center"/>
        </w:trPr>
        <w:tc>
          <w:tcPr>
            <w:tcW w:w="0" w:type="auto"/>
            <w:vAlign w:val="center"/>
          </w:tcPr>
          <w:p w14:paraId="364D542A" w14:textId="77777777" w:rsidR="00DD3329" w:rsidRPr="00DD3329" w:rsidRDefault="00DD3329" w:rsidP="00DD3329">
            <w:pPr>
              <w:rPr>
                <w:rFonts w:ascii="Arial" w:hAnsi="Arial" w:cs="Arial"/>
                <w:lang w:val="en-GB"/>
              </w:rPr>
            </w:pPr>
            <w:r w:rsidRPr="00DD3329">
              <w:rPr>
                <w:rFonts w:ascii="Arial" w:hAnsi="Arial" w:cs="Arial"/>
                <w:lang w:val="en-GB"/>
              </w:rPr>
              <w:t>Atlas/</w:t>
            </w:r>
            <w:proofErr w:type="spellStart"/>
            <w:r w:rsidRPr="00DD3329">
              <w:rPr>
                <w:rFonts w:ascii="Arial" w:hAnsi="Arial" w:cs="Arial"/>
                <w:lang w:val="en-GB"/>
              </w:rPr>
              <w:t>Teramont</w:t>
            </w:r>
            <w:proofErr w:type="spellEnd"/>
          </w:p>
        </w:tc>
        <w:tc>
          <w:tcPr>
            <w:tcW w:w="0" w:type="auto"/>
          </w:tcPr>
          <w:p w14:paraId="4FA2A7F9" w14:textId="77777777" w:rsidR="00DD3329" w:rsidRPr="00DD3329" w:rsidRDefault="00DD3329" w:rsidP="00DD3329">
            <w:pPr>
              <w:jc w:val="right"/>
              <w:rPr>
                <w:rFonts w:ascii="Arial" w:hAnsi="Arial" w:cs="Arial"/>
                <w:lang w:val="en-GB"/>
              </w:rPr>
            </w:pPr>
            <w:r w:rsidRPr="00DD3329">
              <w:rPr>
                <w:rFonts w:ascii="Arial" w:hAnsi="Arial" w:cs="Arial"/>
                <w:lang w:val="en-GB"/>
              </w:rPr>
              <w:t>166,034</w:t>
            </w:r>
          </w:p>
        </w:tc>
        <w:tc>
          <w:tcPr>
            <w:tcW w:w="0" w:type="auto"/>
          </w:tcPr>
          <w:p w14:paraId="2E12D7B2" w14:textId="77777777" w:rsidR="00DD3329" w:rsidRPr="00DD3329" w:rsidRDefault="00DD3329" w:rsidP="00DD3329">
            <w:pPr>
              <w:jc w:val="right"/>
              <w:rPr>
                <w:rFonts w:ascii="Arial" w:hAnsi="Arial" w:cs="Arial"/>
                <w:lang w:val="en-GB"/>
              </w:rPr>
            </w:pPr>
            <w:r w:rsidRPr="00DD3329">
              <w:rPr>
                <w:rFonts w:ascii="Arial" w:hAnsi="Arial" w:cs="Arial"/>
                <w:lang w:val="en-GB"/>
              </w:rPr>
              <w:t>129,724</w:t>
            </w:r>
          </w:p>
        </w:tc>
      </w:tr>
      <w:tr w:rsidR="00DD3329" w:rsidRPr="00DD3329" w14:paraId="2BDF995F" w14:textId="77777777" w:rsidTr="00CF01F0">
        <w:trPr>
          <w:jc w:val="center"/>
        </w:trPr>
        <w:tc>
          <w:tcPr>
            <w:tcW w:w="0" w:type="auto"/>
            <w:vAlign w:val="center"/>
          </w:tcPr>
          <w:p w14:paraId="52985E0C" w14:textId="77777777" w:rsidR="00DD3329" w:rsidRPr="00DD3329" w:rsidRDefault="00DD3329" w:rsidP="00DD3329">
            <w:pPr>
              <w:rPr>
                <w:rFonts w:ascii="Arial" w:hAnsi="Arial" w:cs="Arial"/>
                <w:lang w:val="en-GB"/>
              </w:rPr>
            </w:pPr>
            <w:r w:rsidRPr="00DD3329">
              <w:rPr>
                <w:rFonts w:ascii="Arial" w:hAnsi="Arial" w:cs="Arial"/>
                <w:lang w:val="en-GB"/>
              </w:rPr>
              <w:t>Gol</w:t>
            </w:r>
          </w:p>
        </w:tc>
        <w:tc>
          <w:tcPr>
            <w:tcW w:w="0" w:type="auto"/>
          </w:tcPr>
          <w:p w14:paraId="3A5CCC93" w14:textId="77777777" w:rsidR="00DD3329" w:rsidRPr="00DD3329" w:rsidRDefault="00DD3329" w:rsidP="00DD3329">
            <w:pPr>
              <w:jc w:val="right"/>
              <w:rPr>
                <w:rFonts w:ascii="Arial" w:hAnsi="Arial" w:cs="Arial"/>
                <w:lang w:val="en-GB"/>
              </w:rPr>
            </w:pPr>
            <w:r w:rsidRPr="00DD3329">
              <w:rPr>
                <w:rFonts w:ascii="Arial" w:hAnsi="Arial" w:cs="Arial"/>
                <w:lang w:val="en-GB"/>
              </w:rPr>
              <w:t>156,410</w:t>
            </w:r>
          </w:p>
        </w:tc>
        <w:tc>
          <w:tcPr>
            <w:tcW w:w="0" w:type="auto"/>
          </w:tcPr>
          <w:p w14:paraId="1520F18E" w14:textId="77777777" w:rsidR="00DD3329" w:rsidRPr="00DD3329" w:rsidRDefault="00DD3329" w:rsidP="00DD3329">
            <w:pPr>
              <w:jc w:val="right"/>
              <w:rPr>
                <w:rFonts w:ascii="Arial" w:hAnsi="Arial" w:cs="Arial"/>
                <w:lang w:val="en-GB"/>
              </w:rPr>
            </w:pPr>
            <w:r w:rsidRPr="00DD3329">
              <w:rPr>
                <w:rFonts w:ascii="Arial" w:hAnsi="Arial" w:cs="Arial"/>
                <w:lang w:val="en-GB"/>
              </w:rPr>
              <w:t>203,148</w:t>
            </w:r>
          </w:p>
        </w:tc>
      </w:tr>
      <w:tr w:rsidR="00DD3329" w:rsidRPr="00DD3329" w14:paraId="66B329FF" w14:textId="77777777" w:rsidTr="00CF01F0">
        <w:trPr>
          <w:jc w:val="center"/>
        </w:trPr>
        <w:tc>
          <w:tcPr>
            <w:tcW w:w="0" w:type="auto"/>
            <w:vAlign w:val="center"/>
          </w:tcPr>
          <w:p w14:paraId="3C0BA19C" w14:textId="77777777" w:rsidR="00DD3329" w:rsidRPr="00DD3329" w:rsidRDefault="00DD3329" w:rsidP="00DD3329">
            <w:pPr>
              <w:rPr>
                <w:rFonts w:ascii="Arial" w:hAnsi="Arial" w:cs="Arial"/>
                <w:lang w:val="en-GB"/>
              </w:rPr>
            </w:pPr>
            <w:proofErr w:type="spellStart"/>
            <w:r w:rsidRPr="00DD3329">
              <w:rPr>
                <w:rFonts w:ascii="Arial" w:hAnsi="Arial" w:cs="Arial"/>
                <w:lang w:val="en-GB"/>
              </w:rPr>
              <w:t>Lamando</w:t>
            </w:r>
            <w:proofErr w:type="spellEnd"/>
          </w:p>
        </w:tc>
        <w:tc>
          <w:tcPr>
            <w:tcW w:w="0" w:type="auto"/>
          </w:tcPr>
          <w:p w14:paraId="2543BE2E" w14:textId="77777777" w:rsidR="00DD3329" w:rsidRPr="00DD3329" w:rsidRDefault="00DD3329" w:rsidP="00DD3329">
            <w:pPr>
              <w:jc w:val="right"/>
              <w:rPr>
                <w:rFonts w:ascii="Arial" w:hAnsi="Arial" w:cs="Arial"/>
                <w:lang w:val="en-GB"/>
              </w:rPr>
            </w:pPr>
            <w:r w:rsidRPr="00DD3329">
              <w:rPr>
                <w:rFonts w:ascii="Arial" w:hAnsi="Arial" w:cs="Arial"/>
                <w:lang w:val="en-GB"/>
              </w:rPr>
              <w:t>141,076</w:t>
            </w:r>
          </w:p>
        </w:tc>
        <w:tc>
          <w:tcPr>
            <w:tcW w:w="0" w:type="auto"/>
          </w:tcPr>
          <w:p w14:paraId="32E3C2C1" w14:textId="77777777" w:rsidR="00DD3329" w:rsidRPr="00DD3329" w:rsidRDefault="00DD3329" w:rsidP="00DD3329">
            <w:pPr>
              <w:jc w:val="right"/>
              <w:rPr>
                <w:rFonts w:ascii="Arial" w:hAnsi="Arial" w:cs="Arial"/>
                <w:lang w:val="en-GB"/>
              </w:rPr>
            </w:pPr>
            <w:r w:rsidRPr="00DD3329">
              <w:rPr>
                <w:rFonts w:ascii="Arial" w:hAnsi="Arial" w:cs="Arial"/>
                <w:lang w:val="en-GB"/>
              </w:rPr>
              <w:t>138,943</w:t>
            </w:r>
          </w:p>
        </w:tc>
      </w:tr>
      <w:tr w:rsidR="00DD3329" w:rsidRPr="00DD3329" w14:paraId="59D048C9" w14:textId="77777777" w:rsidTr="00CF01F0">
        <w:trPr>
          <w:jc w:val="center"/>
        </w:trPr>
        <w:tc>
          <w:tcPr>
            <w:tcW w:w="0" w:type="auto"/>
            <w:vAlign w:val="center"/>
          </w:tcPr>
          <w:p w14:paraId="025F0B36" w14:textId="77777777" w:rsidR="00DD3329" w:rsidRPr="00DD3329" w:rsidRDefault="00DD3329" w:rsidP="00DD3329">
            <w:pPr>
              <w:rPr>
                <w:rFonts w:ascii="Arial" w:hAnsi="Arial" w:cs="Arial"/>
                <w:lang w:val="en-GB"/>
              </w:rPr>
            </w:pPr>
            <w:r w:rsidRPr="00DD3329">
              <w:rPr>
                <w:rFonts w:ascii="Arial" w:hAnsi="Arial" w:cs="Arial"/>
                <w:lang w:val="en-GB"/>
              </w:rPr>
              <w:t>up!</w:t>
            </w:r>
          </w:p>
        </w:tc>
        <w:tc>
          <w:tcPr>
            <w:tcW w:w="0" w:type="auto"/>
          </w:tcPr>
          <w:p w14:paraId="133DB57E" w14:textId="77777777" w:rsidR="00DD3329" w:rsidRPr="00DD3329" w:rsidRDefault="00DD3329" w:rsidP="00DD3329">
            <w:pPr>
              <w:jc w:val="right"/>
              <w:rPr>
                <w:rFonts w:ascii="Arial" w:hAnsi="Arial" w:cs="Arial"/>
                <w:lang w:val="en-GB"/>
              </w:rPr>
            </w:pPr>
            <w:r w:rsidRPr="00DD3329">
              <w:rPr>
                <w:rFonts w:ascii="Arial" w:hAnsi="Arial" w:cs="Arial"/>
                <w:lang w:val="en-GB"/>
              </w:rPr>
              <w:t>136,512</w:t>
            </w:r>
          </w:p>
        </w:tc>
        <w:tc>
          <w:tcPr>
            <w:tcW w:w="0" w:type="auto"/>
          </w:tcPr>
          <w:p w14:paraId="41684FF5" w14:textId="77777777" w:rsidR="00DD3329" w:rsidRPr="00DD3329" w:rsidRDefault="00DD3329" w:rsidP="00DD3329">
            <w:pPr>
              <w:jc w:val="right"/>
              <w:rPr>
                <w:rFonts w:ascii="Arial" w:hAnsi="Arial" w:cs="Arial"/>
                <w:lang w:val="en-GB"/>
              </w:rPr>
            </w:pPr>
            <w:r w:rsidRPr="00DD3329">
              <w:rPr>
                <w:rFonts w:ascii="Arial" w:hAnsi="Arial" w:cs="Arial"/>
                <w:lang w:val="en-GB"/>
              </w:rPr>
              <w:t>158,795</w:t>
            </w:r>
          </w:p>
        </w:tc>
      </w:tr>
      <w:tr w:rsidR="00DD3329" w:rsidRPr="00DD3329" w14:paraId="1B1F2066" w14:textId="77777777" w:rsidTr="00CF01F0">
        <w:trPr>
          <w:jc w:val="center"/>
        </w:trPr>
        <w:tc>
          <w:tcPr>
            <w:tcW w:w="0" w:type="auto"/>
            <w:vAlign w:val="center"/>
          </w:tcPr>
          <w:p w14:paraId="26853E9B" w14:textId="77777777" w:rsidR="00DD3329" w:rsidRPr="00DD3329" w:rsidRDefault="00DD3329" w:rsidP="00DD3329">
            <w:pPr>
              <w:rPr>
                <w:rFonts w:ascii="Arial" w:hAnsi="Arial" w:cs="Arial"/>
                <w:lang w:val="en-GB"/>
              </w:rPr>
            </w:pPr>
            <w:proofErr w:type="spellStart"/>
            <w:r w:rsidRPr="00DD3329">
              <w:rPr>
                <w:rFonts w:ascii="Arial" w:hAnsi="Arial" w:cs="Arial"/>
                <w:lang w:val="en-GB"/>
              </w:rPr>
              <w:t>Touran</w:t>
            </w:r>
            <w:proofErr w:type="spellEnd"/>
          </w:p>
        </w:tc>
        <w:tc>
          <w:tcPr>
            <w:tcW w:w="0" w:type="auto"/>
          </w:tcPr>
          <w:p w14:paraId="60BF9640" w14:textId="77777777" w:rsidR="00DD3329" w:rsidRPr="00DD3329" w:rsidRDefault="00DD3329" w:rsidP="00DD3329">
            <w:pPr>
              <w:jc w:val="right"/>
              <w:rPr>
                <w:rFonts w:ascii="Arial" w:hAnsi="Arial" w:cs="Arial"/>
                <w:lang w:val="en-GB"/>
              </w:rPr>
            </w:pPr>
            <w:r w:rsidRPr="00DD3329">
              <w:rPr>
                <w:rFonts w:ascii="Arial" w:hAnsi="Arial" w:cs="Arial"/>
                <w:lang w:val="en-GB"/>
              </w:rPr>
              <w:t>130,417</w:t>
            </w:r>
          </w:p>
        </w:tc>
        <w:tc>
          <w:tcPr>
            <w:tcW w:w="0" w:type="auto"/>
          </w:tcPr>
          <w:p w14:paraId="30F3FC34" w14:textId="77777777" w:rsidR="00DD3329" w:rsidRPr="00DD3329" w:rsidRDefault="00DD3329" w:rsidP="00DD3329">
            <w:pPr>
              <w:jc w:val="right"/>
              <w:rPr>
                <w:rFonts w:ascii="Arial" w:hAnsi="Arial" w:cs="Arial"/>
                <w:lang w:val="en-GB"/>
              </w:rPr>
            </w:pPr>
            <w:r w:rsidRPr="00DD3329">
              <w:rPr>
                <w:rFonts w:ascii="Arial" w:hAnsi="Arial" w:cs="Arial"/>
                <w:lang w:val="en-GB"/>
              </w:rPr>
              <w:t>144,676</w:t>
            </w:r>
          </w:p>
        </w:tc>
      </w:tr>
      <w:tr w:rsidR="00DD3329" w:rsidRPr="00DD3329" w14:paraId="294EEDED" w14:textId="77777777" w:rsidTr="00CF01F0">
        <w:trPr>
          <w:jc w:val="center"/>
        </w:trPr>
        <w:tc>
          <w:tcPr>
            <w:tcW w:w="0" w:type="auto"/>
            <w:vAlign w:val="center"/>
          </w:tcPr>
          <w:p w14:paraId="142AA3CD" w14:textId="77777777" w:rsidR="00DD3329" w:rsidRPr="00DD3329" w:rsidRDefault="00DD3329" w:rsidP="00DD3329">
            <w:pPr>
              <w:rPr>
                <w:rFonts w:ascii="Arial" w:hAnsi="Arial" w:cs="Arial"/>
                <w:lang w:val="en-GB"/>
              </w:rPr>
            </w:pPr>
            <w:proofErr w:type="spellStart"/>
            <w:r w:rsidRPr="00DD3329">
              <w:rPr>
                <w:rFonts w:ascii="Arial" w:hAnsi="Arial" w:cs="Arial"/>
                <w:lang w:val="en-GB"/>
              </w:rPr>
              <w:t>Saverio</w:t>
            </w:r>
            <w:proofErr w:type="spellEnd"/>
          </w:p>
        </w:tc>
        <w:tc>
          <w:tcPr>
            <w:tcW w:w="0" w:type="auto"/>
          </w:tcPr>
          <w:p w14:paraId="42DAB289" w14:textId="77777777" w:rsidR="00DD3329" w:rsidRPr="00DD3329" w:rsidRDefault="00DD3329" w:rsidP="00DD3329">
            <w:pPr>
              <w:jc w:val="right"/>
              <w:rPr>
                <w:rFonts w:ascii="Arial" w:hAnsi="Arial" w:cs="Arial"/>
                <w:lang w:val="en-GB"/>
              </w:rPr>
            </w:pPr>
            <w:r w:rsidRPr="00DD3329">
              <w:rPr>
                <w:rFonts w:ascii="Arial" w:hAnsi="Arial" w:cs="Arial"/>
                <w:lang w:val="en-GB"/>
              </w:rPr>
              <w:t>59,233</w:t>
            </w:r>
          </w:p>
        </w:tc>
        <w:tc>
          <w:tcPr>
            <w:tcW w:w="0" w:type="auto"/>
          </w:tcPr>
          <w:p w14:paraId="5AFFFB0C" w14:textId="77777777" w:rsidR="00DD3329" w:rsidRPr="00DD3329" w:rsidRDefault="00DD3329" w:rsidP="00DD3329">
            <w:pPr>
              <w:jc w:val="right"/>
              <w:rPr>
                <w:rFonts w:ascii="Arial" w:hAnsi="Arial" w:cs="Arial"/>
                <w:lang w:val="en-GB"/>
              </w:rPr>
            </w:pPr>
            <w:r w:rsidRPr="00DD3329">
              <w:rPr>
                <w:rFonts w:ascii="Arial" w:hAnsi="Arial" w:cs="Arial"/>
                <w:lang w:val="en-GB"/>
              </w:rPr>
              <w:t>66,431</w:t>
            </w:r>
          </w:p>
        </w:tc>
      </w:tr>
      <w:tr w:rsidR="00DD3329" w:rsidRPr="00DD3329" w14:paraId="24AD821B" w14:textId="77777777" w:rsidTr="00CF01F0">
        <w:trPr>
          <w:jc w:val="center"/>
        </w:trPr>
        <w:tc>
          <w:tcPr>
            <w:tcW w:w="0" w:type="auto"/>
            <w:vAlign w:val="center"/>
          </w:tcPr>
          <w:p w14:paraId="540A6C85" w14:textId="77777777" w:rsidR="00DD3329" w:rsidRPr="00DD3329" w:rsidRDefault="00DD3329" w:rsidP="00DD3329">
            <w:pPr>
              <w:rPr>
                <w:rFonts w:ascii="Arial" w:hAnsi="Arial" w:cs="Arial"/>
                <w:lang w:val="en-GB"/>
              </w:rPr>
            </w:pPr>
            <w:proofErr w:type="spellStart"/>
            <w:r w:rsidRPr="00DD3329">
              <w:rPr>
                <w:rFonts w:ascii="Arial" w:hAnsi="Arial" w:cs="Arial"/>
                <w:lang w:val="en-GB"/>
              </w:rPr>
              <w:t>Arteon</w:t>
            </w:r>
            <w:proofErr w:type="spellEnd"/>
            <w:r w:rsidRPr="00DD3329">
              <w:rPr>
                <w:rFonts w:ascii="Arial" w:hAnsi="Arial" w:cs="Arial"/>
                <w:lang w:val="en-GB"/>
              </w:rPr>
              <w:t>/CC</w:t>
            </w:r>
          </w:p>
        </w:tc>
        <w:tc>
          <w:tcPr>
            <w:tcW w:w="0" w:type="auto"/>
          </w:tcPr>
          <w:p w14:paraId="2EF218D6" w14:textId="77777777" w:rsidR="00DD3329" w:rsidRPr="00DD3329" w:rsidRDefault="00DD3329" w:rsidP="00DD3329">
            <w:pPr>
              <w:jc w:val="right"/>
              <w:rPr>
                <w:rFonts w:ascii="Arial" w:hAnsi="Arial" w:cs="Arial"/>
                <w:lang w:val="en-GB"/>
              </w:rPr>
            </w:pPr>
            <w:r w:rsidRPr="00DD3329">
              <w:rPr>
                <w:rFonts w:ascii="Arial" w:hAnsi="Arial" w:cs="Arial"/>
                <w:lang w:val="en-GB"/>
              </w:rPr>
              <w:t>49,735</w:t>
            </w:r>
          </w:p>
        </w:tc>
        <w:tc>
          <w:tcPr>
            <w:tcW w:w="0" w:type="auto"/>
          </w:tcPr>
          <w:p w14:paraId="18AFA083" w14:textId="77777777" w:rsidR="00DD3329" w:rsidRPr="00DD3329" w:rsidRDefault="00DD3329" w:rsidP="00DD3329">
            <w:pPr>
              <w:jc w:val="right"/>
              <w:rPr>
                <w:rFonts w:ascii="Arial" w:hAnsi="Arial" w:cs="Arial"/>
                <w:lang w:val="en-GB"/>
              </w:rPr>
            </w:pPr>
            <w:r w:rsidRPr="00DD3329">
              <w:rPr>
                <w:rFonts w:ascii="Arial" w:hAnsi="Arial" w:cs="Arial"/>
                <w:lang w:val="en-GB"/>
              </w:rPr>
              <w:t>37,972</w:t>
            </w:r>
          </w:p>
        </w:tc>
      </w:tr>
      <w:tr w:rsidR="00DD3329" w:rsidRPr="00DD3329" w14:paraId="1FFD1AC9" w14:textId="77777777" w:rsidTr="00CF01F0">
        <w:trPr>
          <w:jc w:val="center"/>
        </w:trPr>
        <w:tc>
          <w:tcPr>
            <w:tcW w:w="0" w:type="auto"/>
            <w:vAlign w:val="center"/>
          </w:tcPr>
          <w:p w14:paraId="2F650859" w14:textId="77777777" w:rsidR="00DD3329" w:rsidRPr="00DD3329" w:rsidRDefault="00DD3329" w:rsidP="00DD3329">
            <w:pPr>
              <w:rPr>
                <w:rFonts w:ascii="Arial" w:hAnsi="Arial" w:cs="Arial"/>
                <w:lang w:val="en-GB"/>
              </w:rPr>
            </w:pPr>
            <w:r w:rsidRPr="00DD3329">
              <w:rPr>
                <w:rFonts w:ascii="Arial" w:hAnsi="Arial" w:cs="Arial"/>
                <w:lang w:val="en-GB"/>
              </w:rPr>
              <w:t>Fox</w:t>
            </w:r>
          </w:p>
        </w:tc>
        <w:tc>
          <w:tcPr>
            <w:tcW w:w="0" w:type="auto"/>
          </w:tcPr>
          <w:p w14:paraId="51FDFD32" w14:textId="77777777" w:rsidR="00DD3329" w:rsidRPr="00DD3329" w:rsidRDefault="00DD3329" w:rsidP="00DD3329">
            <w:pPr>
              <w:jc w:val="right"/>
              <w:rPr>
                <w:rFonts w:ascii="Arial" w:hAnsi="Arial" w:cs="Arial"/>
                <w:lang w:val="en-GB"/>
              </w:rPr>
            </w:pPr>
            <w:r w:rsidRPr="00DD3329">
              <w:rPr>
                <w:rFonts w:ascii="Arial" w:hAnsi="Arial" w:cs="Arial"/>
                <w:lang w:val="en-GB"/>
              </w:rPr>
              <w:t>40,596</w:t>
            </w:r>
          </w:p>
        </w:tc>
        <w:tc>
          <w:tcPr>
            <w:tcW w:w="0" w:type="auto"/>
          </w:tcPr>
          <w:p w14:paraId="17E75037" w14:textId="77777777" w:rsidR="00DD3329" w:rsidRPr="00DD3329" w:rsidRDefault="00DD3329" w:rsidP="00DD3329">
            <w:pPr>
              <w:jc w:val="right"/>
              <w:rPr>
                <w:rFonts w:ascii="Arial" w:hAnsi="Arial" w:cs="Arial"/>
                <w:lang w:val="en-GB"/>
              </w:rPr>
            </w:pPr>
            <w:r w:rsidRPr="00DD3329">
              <w:rPr>
                <w:rFonts w:ascii="Arial" w:hAnsi="Arial" w:cs="Arial"/>
                <w:lang w:val="en-GB"/>
              </w:rPr>
              <w:t>50,739</w:t>
            </w:r>
          </w:p>
        </w:tc>
      </w:tr>
      <w:tr w:rsidR="00DD3329" w:rsidRPr="00DD3329" w14:paraId="2AF4ECF1" w14:textId="77777777" w:rsidTr="00CF01F0">
        <w:trPr>
          <w:jc w:val="center"/>
        </w:trPr>
        <w:tc>
          <w:tcPr>
            <w:tcW w:w="0" w:type="auto"/>
            <w:vAlign w:val="center"/>
          </w:tcPr>
          <w:p w14:paraId="4BF94B77" w14:textId="77777777" w:rsidR="00DD3329" w:rsidRPr="00DD3329" w:rsidRDefault="00DD3329" w:rsidP="00DD3329">
            <w:pPr>
              <w:rPr>
                <w:rFonts w:ascii="Arial" w:hAnsi="Arial" w:cs="Arial"/>
                <w:lang w:val="en-GB"/>
              </w:rPr>
            </w:pPr>
            <w:proofErr w:type="spellStart"/>
            <w:r w:rsidRPr="00DD3329">
              <w:rPr>
                <w:rFonts w:ascii="Arial" w:hAnsi="Arial" w:cs="Arial"/>
                <w:lang w:val="en-GB"/>
              </w:rPr>
              <w:t>Touareg</w:t>
            </w:r>
            <w:proofErr w:type="spellEnd"/>
          </w:p>
        </w:tc>
        <w:tc>
          <w:tcPr>
            <w:tcW w:w="0" w:type="auto"/>
          </w:tcPr>
          <w:p w14:paraId="35D0E1C8" w14:textId="77777777" w:rsidR="00DD3329" w:rsidRPr="00DD3329" w:rsidRDefault="00DD3329" w:rsidP="00DD3329">
            <w:pPr>
              <w:jc w:val="right"/>
              <w:rPr>
                <w:rFonts w:ascii="Arial" w:hAnsi="Arial" w:cs="Arial"/>
                <w:lang w:val="en-GB"/>
              </w:rPr>
            </w:pPr>
            <w:r w:rsidRPr="00DD3329">
              <w:rPr>
                <w:rFonts w:ascii="Arial" w:hAnsi="Arial" w:cs="Arial"/>
                <w:lang w:val="en-GB"/>
              </w:rPr>
              <w:t>40,387</w:t>
            </w:r>
          </w:p>
        </w:tc>
        <w:tc>
          <w:tcPr>
            <w:tcW w:w="0" w:type="auto"/>
          </w:tcPr>
          <w:p w14:paraId="29728F6C" w14:textId="77777777" w:rsidR="00DD3329" w:rsidRPr="00DD3329" w:rsidRDefault="00DD3329" w:rsidP="00DD3329">
            <w:pPr>
              <w:jc w:val="right"/>
              <w:rPr>
                <w:rFonts w:ascii="Arial" w:hAnsi="Arial" w:cs="Arial"/>
                <w:lang w:val="en-GB"/>
              </w:rPr>
            </w:pPr>
            <w:r w:rsidRPr="00DD3329">
              <w:rPr>
                <w:rFonts w:ascii="Arial" w:hAnsi="Arial" w:cs="Arial"/>
                <w:lang w:val="en-GB"/>
              </w:rPr>
              <w:t>42,407</w:t>
            </w:r>
          </w:p>
        </w:tc>
      </w:tr>
      <w:tr w:rsidR="00DD3329" w:rsidRPr="00DD3329" w14:paraId="5CB7CEAC" w14:textId="77777777" w:rsidTr="00CF01F0">
        <w:trPr>
          <w:jc w:val="center"/>
        </w:trPr>
        <w:tc>
          <w:tcPr>
            <w:tcW w:w="0" w:type="auto"/>
            <w:vAlign w:val="center"/>
          </w:tcPr>
          <w:p w14:paraId="113290B4" w14:textId="77777777" w:rsidR="00DD3329" w:rsidRPr="00DD3329" w:rsidRDefault="00DD3329" w:rsidP="00DD3329">
            <w:pPr>
              <w:rPr>
                <w:rFonts w:ascii="Arial" w:hAnsi="Arial" w:cs="Arial"/>
                <w:lang w:val="en-GB"/>
              </w:rPr>
            </w:pPr>
            <w:r w:rsidRPr="00DD3329">
              <w:rPr>
                <w:rFonts w:ascii="Arial" w:hAnsi="Arial" w:cs="Arial"/>
                <w:lang w:val="en-GB"/>
              </w:rPr>
              <w:t>Beetle</w:t>
            </w:r>
          </w:p>
        </w:tc>
        <w:tc>
          <w:tcPr>
            <w:tcW w:w="0" w:type="auto"/>
          </w:tcPr>
          <w:p w14:paraId="5BE5F0E0" w14:textId="77777777" w:rsidR="00DD3329" w:rsidRPr="00DD3329" w:rsidRDefault="00DD3329" w:rsidP="00DD3329">
            <w:pPr>
              <w:jc w:val="right"/>
              <w:rPr>
                <w:rFonts w:ascii="Arial" w:hAnsi="Arial" w:cs="Arial"/>
                <w:lang w:val="en-GB"/>
              </w:rPr>
            </w:pPr>
            <w:r w:rsidRPr="00DD3329">
              <w:rPr>
                <w:rFonts w:ascii="Arial" w:hAnsi="Arial" w:cs="Arial"/>
                <w:lang w:val="en-GB"/>
              </w:rPr>
              <w:t>37,846</w:t>
            </w:r>
          </w:p>
        </w:tc>
        <w:tc>
          <w:tcPr>
            <w:tcW w:w="0" w:type="auto"/>
          </w:tcPr>
          <w:p w14:paraId="1F56B704" w14:textId="77777777" w:rsidR="00DD3329" w:rsidRPr="00DD3329" w:rsidRDefault="00DD3329" w:rsidP="00DD3329">
            <w:pPr>
              <w:jc w:val="right"/>
              <w:rPr>
                <w:rFonts w:ascii="Arial" w:hAnsi="Arial" w:cs="Arial"/>
                <w:lang w:val="en-GB"/>
              </w:rPr>
            </w:pPr>
            <w:r w:rsidRPr="00DD3329">
              <w:rPr>
                <w:rFonts w:ascii="Arial" w:hAnsi="Arial" w:cs="Arial"/>
                <w:lang w:val="en-GB"/>
              </w:rPr>
              <w:t>59,483</w:t>
            </w:r>
          </w:p>
        </w:tc>
      </w:tr>
      <w:tr w:rsidR="00DD3329" w:rsidRPr="00DD3329" w14:paraId="5D1B0136" w14:textId="77777777" w:rsidTr="00CF01F0">
        <w:trPr>
          <w:jc w:val="center"/>
        </w:trPr>
        <w:tc>
          <w:tcPr>
            <w:tcW w:w="0" w:type="auto"/>
            <w:vAlign w:val="center"/>
          </w:tcPr>
          <w:p w14:paraId="12807B7F" w14:textId="77777777" w:rsidR="00DD3329" w:rsidRPr="00DD3329" w:rsidRDefault="00DD3329" w:rsidP="00DD3329">
            <w:pPr>
              <w:rPr>
                <w:rFonts w:ascii="Arial" w:hAnsi="Arial" w:cs="Arial"/>
                <w:lang w:val="en-GB"/>
              </w:rPr>
            </w:pPr>
            <w:r w:rsidRPr="00DD3329">
              <w:rPr>
                <w:rFonts w:ascii="Arial" w:hAnsi="Arial" w:cs="Arial"/>
                <w:lang w:val="en-GB"/>
              </w:rPr>
              <w:t>Sharan</w:t>
            </w:r>
          </w:p>
        </w:tc>
        <w:tc>
          <w:tcPr>
            <w:tcW w:w="0" w:type="auto"/>
          </w:tcPr>
          <w:p w14:paraId="660E76E6" w14:textId="77777777" w:rsidR="00DD3329" w:rsidRPr="00DD3329" w:rsidRDefault="00DD3329" w:rsidP="00DD3329">
            <w:pPr>
              <w:jc w:val="right"/>
              <w:rPr>
                <w:rFonts w:ascii="Arial" w:hAnsi="Arial" w:cs="Arial"/>
                <w:lang w:val="en-GB"/>
              </w:rPr>
            </w:pPr>
            <w:r w:rsidRPr="00DD3329">
              <w:rPr>
                <w:rFonts w:ascii="Arial" w:hAnsi="Arial" w:cs="Arial"/>
                <w:lang w:val="en-GB"/>
              </w:rPr>
              <w:t>30,459</w:t>
            </w:r>
          </w:p>
        </w:tc>
        <w:tc>
          <w:tcPr>
            <w:tcW w:w="0" w:type="auto"/>
          </w:tcPr>
          <w:p w14:paraId="53F4457F" w14:textId="77777777" w:rsidR="00DD3329" w:rsidRPr="00DD3329" w:rsidRDefault="00DD3329" w:rsidP="00DD3329">
            <w:pPr>
              <w:jc w:val="right"/>
              <w:rPr>
                <w:rFonts w:ascii="Arial" w:hAnsi="Arial" w:cs="Arial"/>
                <w:lang w:val="en-GB"/>
              </w:rPr>
            </w:pPr>
            <w:r w:rsidRPr="00DD3329">
              <w:rPr>
                <w:rFonts w:ascii="Arial" w:hAnsi="Arial" w:cs="Arial"/>
                <w:lang w:val="en-GB"/>
              </w:rPr>
              <w:t>45,695</w:t>
            </w:r>
          </w:p>
        </w:tc>
      </w:tr>
      <w:tr w:rsidR="00DD3329" w:rsidRPr="00DD3329" w14:paraId="32B9FAC8" w14:textId="77777777" w:rsidTr="00CF01F0">
        <w:trPr>
          <w:jc w:val="center"/>
        </w:trPr>
        <w:tc>
          <w:tcPr>
            <w:tcW w:w="0" w:type="auto"/>
            <w:vAlign w:val="center"/>
          </w:tcPr>
          <w:p w14:paraId="700A59EB" w14:textId="77777777" w:rsidR="00DD3329" w:rsidRPr="00DD3329" w:rsidRDefault="00DD3329" w:rsidP="00DD3329">
            <w:pPr>
              <w:rPr>
                <w:rFonts w:ascii="Arial" w:hAnsi="Arial" w:cs="Arial"/>
                <w:lang w:val="en-GB"/>
              </w:rPr>
            </w:pPr>
            <w:proofErr w:type="spellStart"/>
            <w:r w:rsidRPr="00DD3329">
              <w:rPr>
                <w:rFonts w:ascii="Arial" w:hAnsi="Arial" w:cs="Arial"/>
                <w:lang w:val="en-GB"/>
              </w:rPr>
              <w:t>Tharu</w:t>
            </w:r>
            <w:proofErr w:type="spellEnd"/>
          </w:p>
        </w:tc>
        <w:tc>
          <w:tcPr>
            <w:tcW w:w="0" w:type="auto"/>
          </w:tcPr>
          <w:p w14:paraId="58287C63" w14:textId="77777777" w:rsidR="00DD3329" w:rsidRPr="00DD3329" w:rsidRDefault="00DD3329" w:rsidP="00DD3329">
            <w:pPr>
              <w:jc w:val="right"/>
              <w:rPr>
                <w:rFonts w:ascii="Arial" w:hAnsi="Arial" w:cs="Arial"/>
                <w:lang w:val="en-GB"/>
              </w:rPr>
            </w:pPr>
            <w:r w:rsidRPr="00DD3329">
              <w:rPr>
                <w:rFonts w:ascii="Arial" w:hAnsi="Arial" w:cs="Arial"/>
                <w:lang w:val="en-GB"/>
              </w:rPr>
              <w:t>26,986</w:t>
            </w:r>
          </w:p>
        </w:tc>
        <w:tc>
          <w:tcPr>
            <w:tcW w:w="0" w:type="auto"/>
          </w:tcPr>
          <w:p w14:paraId="2438D116" w14:textId="77777777" w:rsidR="00DD3329" w:rsidRPr="00DD3329" w:rsidRDefault="00DD3329" w:rsidP="00DD3329">
            <w:pPr>
              <w:jc w:val="right"/>
              <w:rPr>
                <w:rFonts w:ascii="Arial" w:hAnsi="Arial" w:cs="Arial"/>
                <w:lang w:val="en-GB"/>
              </w:rPr>
            </w:pPr>
            <w:r w:rsidRPr="00DD3329">
              <w:rPr>
                <w:rFonts w:ascii="Arial" w:hAnsi="Arial" w:cs="Arial"/>
                <w:lang w:val="en-GB"/>
              </w:rPr>
              <w:t>—</w:t>
            </w:r>
          </w:p>
        </w:tc>
      </w:tr>
      <w:tr w:rsidR="00DD3329" w:rsidRPr="00DD3329" w14:paraId="55435438" w14:textId="77777777" w:rsidTr="00CF01F0">
        <w:trPr>
          <w:jc w:val="center"/>
        </w:trPr>
        <w:tc>
          <w:tcPr>
            <w:tcW w:w="0" w:type="auto"/>
            <w:vAlign w:val="center"/>
          </w:tcPr>
          <w:p w14:paraId="23D69091" w14:textId="77777777" w:rsidR="00DD3329" w:rsidRPr="00DD3329" w:rsidRDefault="00DD3329" w:rsidP="00DD3329">
            <w:pPr>
              <w:rPr>
                <w:rFonts w:ascii="Arial" w:hAnsi="Arial" w:cs="Arial"/>
                <w:lang w:val="en-GB"/>
              </w:rPr>
            </w:pPr>
            <w:proofErr w:type="spellStart"/>
            <w:r w:rsidRPr="00DD3329">
              <w:rPr>
                <w:rFonts w:ascii="Arial" w:hAnsi="Arial" w:cs="Arial"/>
                <w:lang w:val="en-GB"/>
              </w:rPr>
              <w:t>Phideon</w:t>
            </w:r>
            <w:proofErr w:type="spellEnd"/>
          </w:p>
        </w:tc>
        <w:tc>
          <w:tcPr>
            <w:tcW w:w="0" w:type="auto"/>
          </w:tcPr>
          <w:p w14:paraId="7974D035" w14:textId="77777777" w:rsidR="00DD3329" w:rsidRPr="00DD3329" w:rsidRDefault="00DD3329" w:rsidP="00DD3329">
            <w:pPr>
              <w:jc w:val="right"/>
              <w:rPr>
                <w:rFonts w:ascii="Arial" w:hAnsi="Arial" w:cs="Arial"/>
                <w:lang w:val="en-GB"/>
              </w:rPr>
            </w:pPr>
            <w:r w:rsidRPr="00DD3329">
              <w:rPr>
                <w:rFonts w:ascii="Arial" w:hAnsi="Arial" w:cs="Arial"/>
                <w:lang w:val="en-GB"/>
              </w:rPr>
              <w:t>24,102</w:t>
            </w:r>
          </w:p>
        </w:tc>
        <w:tc>
          <w:tcPr>
            <w:tcW w:w="0" w:type="auto"/>
          </w:tcPr>
          <w:p w14:paraId="116470AD" w14:textId="77777777" w:rsidR="00DD3329" w:rsidRPr="00DD3329" w:rsidRDefault="00DD3329" w:rsidP="00DD3329">
            <w:pPr>
              <w:jc w:val="right"/>
              <w:rPr>
                <w:rFonts w:ascii="Arial" w:hAnsi="Arial" w:cs="Arial"/>
                <w:lang w:val="en-GB"/>
              </w:rPr>
            </w:pPr>
            <w:r w:rsidRPr="00DD3329">
              <w:rPr>
                <w:rFonts w:ascii="Arial" w:hAnsi="Arial" w:cs="Arial"/>
                <w:lang w:val="en-GB"/>
              </w:rPr>
              <w:t>13,014</w:t>
            </w:r>
          </w:p>
        </w:tc>
      </w:tr>
      <w:tr w:rsidR="00DD3329" w:rsidRPr="00DD3329" w14:paraId="262606A6" w14:textId="77777777" w:rsidTr="00CF01F0">
        <w:trPr>
          <w:jc w:val="center"/>
        </w:trPr>
        <w:tc>
          <w:tcPr>
            <w:tcW w:w="0" w:type="auto"/>
            <w:vAlign w:val="center"/>
          </w:tcPr>
          <w:p w14:paraId="1302CB1A" w14:textId="77777777" w:rsidR="00DD3329" w:rsidRPr="00DD3329" w:rsidRDefault="00DD3329" w:rsidP="00DD3329">
            <w:pPr>
              <w:rPr>
                <w:rFonts w:ascii="Arial" w:hAnsi="Arial" w:cs="Arial"/>
                <w:lang w:val="en-GB"/>
              </w:rPr>
            </w:pPr>
            <w:proofErr w:type="spellStart"/>
            <w:r w:rsidRPr="00DD3329">
              <w:rPr>
                <w:rFonts w:ascii="Arial" w:hAnsi="Arial" w:cs="Arial"/>
                <w:lang w:val="en-GB"/>
              </w:rPr>
              <w:t>Suran</w:t>
            </w:r>
            <w:proofErr w:type="spellEnd"/>
          </w:p>
        </w:tc>
        <w:tc>
          <w:tcPr>
            <w:tcW w:w="0" w:type="auto"/>
          </w:tcPr>
          <w:p w14:paraId="6D36675B" w14:textId="77777777" w:rsidR="00DD3329" w:rsidRPr="00DD3329" w:rsidRDefault="00DD3329" w:rsidP="00DD3329">
            <w:pPr>
              <w:jc w:val="right"/>
              <w:rPr>
                <w:rFonts w:ascii="Arial" w:hAnsi="Arial" w:cs="Arial"/>
                <w:lang w:val="en-GB"/>
              </w:rPr>
            </w:pPr>
            <w:r w:rsidRPr="00DD3329">
              <w:rPr>
                <w:rFonts w:ascii="Arial" w:hAnsi="Arial" w:cs="Arial"/>
                <w:lang w:val="en-GB"/>
              </w:rPr>
              <w:t>16,356</w:t>
            </w:r>
          </w:p>
        </w:tc>
        <w:tc>
          <w:tcPr>
            <w:tcW w:w="0" w:type="auto"/>
          </w:tcPr>
          <w:p w14:paraId="5B27EFC4" w14:textId="77777777" w:rsidR="00DD3329" w:rsidRPr="00DD3329" w:rsidRDefault="00DD3329" w:rsidP="00DD3329">
            <w:pPr>
              <w:jc w:val="right"/>
              <w:rPr>
                <w:rFonts w:ascii="Arial" w:hAnsi="Arial" w:cs="Arial"/>
                <w:lang w:val="en-GB"/>
              </w:rPr>
            </w:pPr>
            <w:r w:rsidRPr="00DD3329">
              <w:rPr>
                <w:rFonts w:ascii="Arial" w:hAnsi="Arial" w:cs="Arial"/>
                <w:lang w:val="en-GB"/>
              </w:rPr>
              <w:t>21,093</w:t>
            </w:r>
          </w:p>
        </w:tc>
      </w:tr>
      <w:tr w:rsidR="00DD3329" w:rsidRPr="00DD3329" w14:paraId="45DFFE1C" w14:textId="77777777" w:rsidTr="00CF01F0">
        <w:trPr>
          <w:jc w:val="center"/>
        </w:trPr>
        <w:tc>
          <w:tcPr>
            <w:tcW w:w="0" w:type="auto"/>
            <w:vAlign w:val="center"/>
          </w:tcPr>
          <w:p w14:paraId="1BD9DCFB" w14:textId="77777777" w:rsidR="00DD3329" w:rsidRPr="00DD3329" w:rsidRDefault="00DD3329" w:rsidP="00DD3329">
            <w:pPr>
              <w:rPr>
                <w:rFonts w:ascii="Arial" w:hAnsi="Arial" w:cs="Arial"/>
                <w:lang w:val="en-GB"/>
              </w:rPr>
            </w:pPr>
            <w:r w:rsidRPr="00DD3329">
              <w:rPr>
                <w:rFonts w:ascii="Arial" w:hAnsi="Arial" w:cs="Arial"/>
                <w:lang w:val="en-GB"/>
              </w:rPr>
              <w:t>Scirocco</w:t>
            </w:r>
          </w:p>
        </w:tc>
        <w:tc>
          <w:tcPr>
            <w:tcW w:w="0" w:type="auto"/>
          </w:tcPr>
          <w:p w14:paraId="0FFF5863" w14:textId="77777777" w:rsidR="00DD3329" w:rsidRPr="00DD3329" w:rsidRDefault="00DD3329" w:rsidP="00DD3329">
            <w:pPr>
              <w:jc w:val="right"/>
              <w:rPr>
                <w:rFonts w:ascii="Arial" w:hAnsi="Arial" w:cs="Arial"/>
                <w:lang w:val="en-GB"/>
              </w:rPr>
            </w:pPr>
            <w:r w:rsidRPr="00DD3329">
              <w:rPr>
                <w:rFonts w:ascii="Arial" w:hAnsi="Arial" w:cs="Arial"/>
                <w:lang w:val="en-GB"/>
              </w:rPr>
              <w:t>—</w:t>
            </w:r>
          </w:p>
        </w:tc>
        <w:tc>
          <w:tcPr>
            <w:tcW w:w="0" w:type="auto"/>
          </w:tcPr>
          <w:p w14:paraId="51EE8137" w14:textId="77777777" w:rsidR="00DD3329" w:rsidRPr="00DD3329" w:rsidRDefault="00DD3329" w:rsidP="00DD3329">
            <w:pPr>
              <w:jc w:val="right"/>
              <w:rPr>
                <w:rFonts w:ascii="Arial" w:hAnsi="Arial" w:cs="Arial"/>
                <w:lang w:val="en-GB"/>
              </w:rPr>
            </w:pPr>
            <w:r w:rsidRPr="00DD3329">
              <w:rPr>
                <w:rFonts w:ascii="Arial" w:hAnsi="Arial" w:cs="Arial"/>
                <w:lang w:val="en-GB"/>
              </w:rPr>
              <w:t>8,199</w:t>
            </w:r>
          </w:p>
        </w:tc>
      </w:tr>
      <w:tr w:rsidR="00DD3329" w:rsidRPr="00DD3329" w14:paraId="30D3FDE6" w14:textId="77777777" w:rsidTr="00CF01F0">
        <w:trPr>
          <w:jc w:val="center"/>
        </w:trPr>
        <w:tc>
          <w:tcPr>
            <w:tcW w:w="0" w:type="auto"/>
            <w:vAlign w:val="center"/>
          </w:tcPr>
          <w:p w14:paraId="3D245DED" w14:textId="77777777" w:rsidR="00DD3329" w:rsidRPr="00DD3329" w:rsidRDefault="00DD3329" w:rsidP="00DD3329">
            <w:pPr>
              <w:rPr>
                <w:rFonts w:ascii="Arial" w:hAnsi="Arial" w:cs="Arial"/>
                <w:b/>
                <w:lang w:val="en-GB"/>
              </w:rPr>
            </w:pPr>
            <w:r w:rsidRPr="00DD3329">
              <w:rPr>
                <w:rFonts w:ascii="Arial" w:hAnsi="Arial" w:cs="Arial"/>
                <w:b/>
                <w:lang w:val="en-GB"/>
              </w:rPr>
              <w:t>Total</w:t>
            </w:r>
          </w:p>
        </w:tc>
        <w:tc>
          <w:tcPr>
            <w:tcW w:w="0" w:type="auto"/>
          </w:tcPr>
          <w:p w14:paraId="37341A33" w14:textId="77777777" w:rsidR="00DD3329" w:rsidRPr="00DD3329" w:rsidRDefault="00DD3329" w:rsidP="00DD3329">
            <w:pPr>
              <w:jc w:val="right"/>
              <w:rPr>
                <w:rFonts w:ascii="Arial" w:hAnsi="Arial" w:cs="Arial"/>
                <w:lang w:val="en-GB"/>
              </w:rPr>
            </w:pPr>
            <w:r w:rsidRPr="00DD3329">
              <w:rPr>
                <w:rFonts w:ascii="Arial" w:hAnsi="Arial" w:cs="Arial"/>
                <w:lang w:val="en-GB"/>
              </w:rPr>
              <w:t>6,297,110</w:t>
            </w:r>
          </w:p>
        </w:tc>
        <w:tc>
          <w:tcPr>
            <w:tcW w:w="0" w:type="auto"/>
          </w:tcPr>
          <w:p w14:paraId="64DDECD8" w14:textId="77777777" w:rsidR="00DD3329" w:rsidRPr="00DD3329" w:rsidRDefault="00DD3329" w:rsidP="00DD3329">
            <w:pPr>
              <w:jc w:val="right"/>
              <w:rPr>
                <w:rFonts w:ascii="Arial" w:hAnsi="Arial" w:cs="Arial"/>
                <w:lang w:val="en-GB"/>
              </w:rPr>
            </w:pPr>
            <w:r w:rsidRPr="00DD3329">
              <w:rPr>
                <w:rFonts w:ascii="Arial" w:hAnsi="Arial" w:cs="Arial"/>
                <w:lang w:val="en-GB"/>
              </w:rPr>
              <w:t>6,316,832</w:t>
            </w:r>
          </w:p>
        </w:tc>
      </w:tr>
    </w:tbl>
    <w:p w14:paraId="4FC03BD1" w14:textId="77777777" w:rsidR="00DD3329" w:rsidRPr="00DD3329" w:rsidRDefault="00DD3329" w:rsidP="0088622F">
      <w:pPr>
        <w:pStyle w:val="FootnoteText1"/>
        <w:rPr>
          <w:lang w:val="en-GB"/>
        </w:rPr>
      </w:pPr>
    </w:p>
    <w:p w14:paraId="761ED8C3" w14:textId="2DC49964" w:rsidR="00790E25" w:rsidRDefault="00DD3329" w:rsidP="0088622F">
      <w:pPr>
        <w:pStyle w:val="FootnoteText1"/>
        <w:rPr>
          <w:lang w:val="en-GB"/>
        </w:rPr>
      </w:pPr>
      <w:r w:rsidRPr="00DD3329">
        <w:rPr>
          <w:lang w:val="en-GB"/>
        </w:rPr>
        <w:t xml:space="preserve">Source: Created by the case authors using data from Volkswagen AG, </w:t>
      </w:r>
      <w:r w:rsidRPr="00DD3329">
        <w:rPr>
          <w:i/>
          <w:lang w:val="en-GB"/>
        </w:rPr>
        <w:t>Full Speed Ahead to the Future: Annual Report 2018</w:t>
      </w:r>
      <w:r w:rsidRPr="00DD3329">
        <w:rPr>
          <w:lang w:val="en-GB"/>
        </w:rPr>
        <w:t>,</w:t>
      </w:r>
      <w:r w:rsidRPr="00DD3329">
        <w:rPr>
          <w:i/>
          <w:lang w:val="en-GB"/>
        </w:rPr>
        <w:t xml:space="preserve"> 25,</w:t>
      </w:r>
      <w:r w:rsidRPr="00DD3329">
        <w:rPr>
          <w:lang w:val="en-GB"/>
        </w:rPr>
        <w:t xml:space="preserve"> 2019, accessed April 17, 2019, </w:t>
      </w:r>
      <w:r w:rsidR="00790E25" w:rsidRPr="00790E25">
        <w:rPr>
          <w:lang w:val="en-GB"/>
        </w:rPr>
        <w:t>www.volkswagenag.com/presence/investorrelation/publications/annual-reports/2019/volks</w:t>
      </w:r>
    </w:p>
    <w:p w14:paraId="1CC3A3E9" w14:textId="46B057A3" w:rsidR="00DD3329" w:rsidRPr="00DD3329" w:rsidRDefault="00DD3329" w:rsidP="0088622F">
      <w:pPr>
        <w:pStyle w:val="FootnoteText1"/>
        <w:rPr>
          <w:lang w:val="en-GB"/>
        </w:rPr>
      </w:pPr>
      <w:proofErr w:type="spellStart"/>
      <w:r w:rsidRPr="00DD3329">
        <w:rPr>
          <w:lang w:val="en-GB"/>
        </w:rPr>
        <w:t>wagen</w:t>
      </w:r>
      <w:proofErr w:type="spellEnd"/>
      <w:r w:rsidRPr="00DD3329">
        <w:rPr>
          <w:lang w:val="en-GB"/>
        </w:rPr>
        <w:t>/</w:t>
      </w:r>
      <w:proofErr w:type="spellStart"/>
      <w:r w:rsidRPr="00DD3329">
        <w:rPr>
          <w:lang w:val="en-GB"/>
        </w:rPr>
        <w:t>en</w:t>
      </w:r>
      <w:proofErr w:type="spellEnd"/>
      <w:r w:rsidRPr="00DD3329">
        <w:rPr>
          <w:lang w:val="en-GB"/>
        </w:rPr>
        <w:t>/Y_2018_e.pdf.</w:t>
      </w:r>
    </w:p>
    <w:p w14:paraId="2C183161" w14:textId="2358703E" w:rsidR="00B87DC0" w:rsidRDefault="00B87DC0" w:rsidP="00DD3329">
      <w:pPr>
        <w:pStyle w:val="BodyTextMain"/>
      </w:pPr>
    </w:p>
    <w:p w14:paraId="4FD3F8DC" w14:textId="77777777" w:rsidR="00CF01F0" w:rsidRDefault="00CF01F0" w:rsidP="00DD3329">
      <w:pPr>
        <w:pStyle w:val="BodyTextMain"/>
        <w:sectPr w:rsidR="00CF01F0" w:rsidSect="00751E0B">
          <w:headerReference w:type="default" r:id="rId10"/>
          <w:pgSz w:w="12240" w:h="15840" w:code="1"/>
          <w:pgMar w:top="1080" w:right="1440" w:bottom="1440" w:left="1440" w:header="1080" w:footer="720" w:gutter="0"/>
          <w:cols w:space="720"/>
          <w:titlePg/>
          <w:docGrid w:linePitch="360"/>
        </w:sectPr>
      </w:pPr>
    </w:p>
    <w:p w14:paraId="01B2BF28" w14:textId="77777777" w:rsidR="00CF01F0" w:rsidRPr="00650229" w:rsidRDefault="00CF01F0" w:rsidP="0088622F">
      <w:pPr>
        <w:pStyle w:val="Casehead1"/>
        <w:jc w:val="center"/>
        <w:rPr>
          <w:lang w:val="en-GB"/>
        </w:rPr>
      </w:pPr>
      <w:r w:rsidRPr="00650229">
        <w:rPr>
          <w:lang w:val="en-GB"/>
        </w:rPr>
        <w:lastRenderedPageBreak/>
        <w:t xml:space="preserve">Exhibit </w:t>
      </w:r>
      <w:r w:rsidRPr="00650229">
        <w:rPr>
          <w:rStyle w:val="ExhibitNumberChar"/>
          <w:lang w:val="en-GB"/>
        </w:rPr>
        <w:t>4</w:t>
      </w:r>
      <w:r w:rsidRPr="00650229">
        <w:rPr>
          <w:lang w:val="en-GB"/>
        </w:rPr>
        <w:t>: V</w:t>
      </w:r>
      <w:r>
        <w:rPr>
          <w:lang w:val="en-GB"/>
        </w:rPr>
        <w:t>olkswagen</w:t>
      </w:r>
      <w:r w:rsidRPr="00650229">
        <w:rPr>
          <w:lang w:val="en-GB"/>
        </w:rPr>
        <w:t xml:space="preserve"> Group—Major Brands and Business Fields, 2018</w:t>
      </w:r>
    </w:p>
    <w:p w14:paraId="415C0BB7" w14:textId="77777777" w:rsidR="00CF01F0" w:rsidRPr="00650229" w:rsidRDefault="00CF01F0" w:rsidP="00CF01F0">
      <w:pPr>
        <w:pStyle w:val="BodyTextMain"/>
        <w:rPr>
          <w:lang w:val="en-GB"/>
        </w:rPr>
      </w:pPr>
    </w:p>
    <w:p w14:paraId="033A4F71" w14:textId="77777777" w:rsidR="00CF01F0" w:rsidRPr="00650229" w:rsidRDefault="00CF01F0" w:rsidP="00CF01F0">
      <w:pPr>
        <w:pStyle w:val="BodyTextMain"/>
        <w:jc w:val="center"/>
        <w:rPr>
          <w:lang w:val="en-GB"/>
        </w:rPr>
      </w:pPr>
      <w:r w:rsidRPr="00650229">
        <w:rPr>
          <w:noProof/>
          <w:lang w:eastAsia="zh-TW"/>
        </w:rPr>
        <w:drawing>
          <wp:inline distT="0" distB="0" distL="0" distR="0" wp14:anchorId="62BE0503" wp14:editId="2ED31E01">
            <wp:extent cx="8229600" cy="25227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2522781"/>
                    </a:xfrm>
                    <a:prstGeom prst="rect">
                      <a:avLst/>
                    </a:prstGeom>
                    <a:noFill/>
                    <a:ln>
                      <a:noFill/>
                    </a:ln>
                  </pic:spPr>
                </pic:pic>
              </a:graphicData>
            </a:graphic>
          </wp:inline>
        </w:drawing>
      </w:r>
    </w:p>
    <w:p w14:paraId="6F065201" w14:textId="77777777" w:rsidR="00CF01F0" w:rsidRPr="00650229" w:rsidRDefault="00CF01F0" w:rsidP="00CF01F0">
      <w:pPr>
        <w:pStyle w:val="FootnoteText1"/>
        <w:rPr>
          <w:lang w:val="en-GB"/>
        </w:rPr>
      </w:pPr>
    </w:p>
    <w:p w14:paraId="6084D3CB" w14:textId="77777777" w:rsidR="00CF01F0" w:rsidRDefault="00CF01F0" w:rsidP="00CF01F0">
      <w:pPr>
        <w:pStyle w:val="Footnote"/>
        <w:rPr>
          <w:lang w:val="en-GB"/>
        </w:rPr>
      </w:pPr>
      <w:r w:rsidRPr="00650229">
        <w:rPr>
          <w:lang w:val="en-GB"/>
        </w:rPr>
        <w:t xml:space="preserve">Source: </w:t>
      </w:r>
      <w:r>
        <w:rPr>
          <w:lang w:val="en-GB"/>
        </w:rPr>
        <w:t xml:space="preserve">Created by the case authors using data from </w:t>
      </w:r>
      <w:r w:rsidRPr="00650229">
        <w:rPr>
          <w:lang w:val="en-GB"/>
        </w:rPr>
        <w:t xml:space="preserve">Volkswagen AG, </w:t>
      </w:r>
      <w:r w:rsidRPr="00650229">
        <w:rPr>
          <w:i/>
          <w:lang w:val="en-GB"/>
        </w:rPr>
        <w:t>Full Speed Ahead to the Future: Annual Report 2018</w:t>
      </w:r>
      <w:r w:rsidRPr="00650229">
        <w:rPr>
          <w:lang w:val="en-GB"/>
        </w:rPr>
        <w:t>,</w:t>
      </w:r>
      <w:r>
        <w:rPr>
          <w:lang w:val="en-GB"/>
        </w:rPr>
        <w:t xml:space="preserve"> 21-48,</w:t>
      </w:r>
      <w:r w:rsidRPr="00650229">
        <w:rPr>
          <w:lang w:val="en-GB"/>
        </w:rPr>
        <w:t xml:space="preserve"> 2019, accessed April 17, 2019, www.volkswagenag.com/presence/investorrelation/publications/annual-reports/2019/volkswagen/en/Y_2018_e.pdf.</w:t>
      </w:r>
    </w:p>
    <w:p w14:paraId="12D6C1A2" w14:textId="75ACCA42" w:rsidR="00DD3329" w:rsidRDefault="00DD3329" w:rsidP="00CF01F0">
      <w:pPr>
        <w:pStyle w:val="BodyTextMain"/>
      </w:pPr>
    </w:p>
    <w:p w14:paraId="67B95938" w14:textId="77777777" w:rsidR="00CF01F0" w:rsidRDefault="00CF01F0" w:rsidP="00CF01F0">
      <w:pPr>
        <w:pStyle w:val="BodyTextMain"/>
        <w:sectPr w:rsidR="00CF01F0" w:rsidSect="00CF01F0">
          <w:headerReference w:type="default" r:id="rId12"/>
          <w:pgSz w:w="15840" w:h="12240" w:orient="landscape" w:code="1"/>
          <w:pgMar w:top="1440" w:right="1440" w:bottom="1440" w:left="1440" w:header="1080" w:footer="720" w:gutter="0"/>
          <w:cols w:space="720"/>
          <w:docGrid w:linePitch="360"/>
        </w:sectPr>
      </w:pPr>
    </w:p>
    <w:p w14:paraId="3463371A" w14:textId="77777777" w:rsidR="00CF01F0" w:rsidRPr="00CF01F0" w:rsidRDefault="00CF01F0" w:rsidP="0088622F">
      <w:pPr>
        <w:pStyle w:val="Casehead1"/>
        <w:jc w:val="center"/>
        <w:rPr>
          <w:lang w:val="en-GB"/>
        </w:rPr>
      </w:pPr>
      <w:r w:rsidRPr="00CF01F0">
        <w:rPr>
          <w:lang w:val="en-GB"/>
        </w:rPr>
        <w:lastRenderedPageBreak/>
        <w:t>Exhibit 5: Volkswagen Group—Sales by Brand, 2018 Versus 2017</w:t>
      </w:r>
    </w:p>
    <w:p w14:paraId="5D45A2AE" w14:textId="77777777" w:rsidR="00CF01F0" w:rsidRPr="00CF01F0" w:rsidRDefault="00CF01F0" w:rsidP="0088622F">
      <w:pPr>
        <w:pStyle w:val="Casehead1"/>
        <w:jc w:val="center"/>
        <w:rPr>
          <w:lang w:val="en-GB"/>
        </w:rPr>
      </w:pPr>
      <w:r w:rsidRPr="00CF01F0">
        <w:rPr>
          <w:lang w:val="en-GB"/>
        </w:rPr>
        <w:t>(Thousands of Vehicles)</w:t>
      </w:r>
    </w:p>
    <w:p w14:paraId="537EDCEE" w14:textId="77777777" w:rsidR="00CF01F0" w:rsidRPr="00CF01F0" w:rsidRDefault="00CF01F0" w:rsidP="00CF01F0">
      <w:pPr>
        <w:jc w:val="both"/>
        <w:rPr>
          <w:sz w:val="22"/>
          <w:szCs w:val="22"/>
          <w:lang w:val="en-GB"/>
        </w:rPr>
      </w:pPr>
    </w:p>
    <w:tbl>
      <w:tblPr>
        <w:tblStyle w:val="TableGrid2"/>
        <w:tblW w:w="0" w:type="auto"/>
        <w:jc w:val="center"/>
        <w:tblLook w:val="04A0" w:firstRow="1" w:lastRow="0" w:firstColumn="1" w:lastColumn="0" w:noHBand="0" w:noVBand="1"/>
      </w:tblPr>
      <w:tblGrid>
        <w:gridCol w:w="3479"/>
        <w:gridCol w:w="2304"/>
        <w:gridCol w:w="2304"/>
      </w:tblGrid>
      <w:tr w:rsidR="00CF01F0" w:rsidRPr="00CF01F0" w14:paraId="7C80B30E" w14:textId="77777777" w:rsidTr="008F2E24">
        <w:trPr>
          <w:jc w:val="center"/>
        </w:trPr>
        <w:tc>
          <w:tcPr>
            <w:tcW w:w="3479" w:type="dxa"/>
          </w:tcPr>
          <w:p w14:paraId="44EE69A2" w14:textId="77777777" w:rsidR="00CF01F0" w:rsidRPr="00CF01F0" w:rsidRDefault="00CF01F0" w:rsidP="00CF01F0">
            <w:pPr>
              <w:jc w:val="center"/>
              <w:rPr>
                <w:rFonts w:ascii="Arial" w:hAnsi="Arial" w:cs="Arial"/>
                <w:b/>
                <w:lang w:val="en-GB"/>
              </w:rPr>
            </w:pPr>
            <w:r w:rsidRPr="00CF01F0">
              <w:rPr>
                <w:rFonts w:ascii="Arial" w:hAnsi="Arial" w:cs="Arial"/>
                <w:b/>
                <w:lang w:val="en-GB"/>
              </w:rPr>
              <w:t>Brand/Business Field</w:t>
            </w:r>
          </w:p>
        </w:tc>
        <w:tc>
          <w:tcPr>
            <w:tcW w:w="2304" w:type="dxa"/>
          </w:tcPr>
          <w:p w14:paraId="09573728" w14:textId="77777777" w:rsidR="00CF01F0" w:rsidRPr="00CF01F0" w:rsidRDefault="00CF01F0" w:rsidP="00CF01F0">
            <w:pPr>
              <w:jc w:val="center"/>
              <w:rPr>
                <w:rFonts w:ascii="Arial" w:hAnsi="Arial" w:cs="Arial"/>
                <w:b/>
                <w:lang w:val="en-GB"/>
              </w:rPr>
            </w:pPr>
            <w:r w:rsidRPr="00CF01F0">
              <w:rPr>
                <w:rFonts w:ascii="Arial" w:hAnsi="Arial" w:cs="Arial"/>
                <w:b/>
                <w:lang w:val="en-GB"/>
              </w:rPr>
              <w:t>Units Sold in 2018</w:t>
            </w:r>
          </w:p>
        </w:tc>
        <w:tc>
          <w:tcPr>
            <w:tcW w:w="2304" w:type="dxa"/>
          </w:tcPr>
          <w:p w14:paraId="71EBC20F" w14:textId="77777777" w:rsidR="00CF01F0" w:rsidRPr="00CF01F0" w:rsidRDefault="00CF01F0" w:rsidP="00CF01F0">
            <w:pPr>
              <w:jc w:val="center"/>
              <w:rPr>
                <w:rFonts w:ascii="Arial" w:hAnsi="Arial" w:cs="Arial"/>
                <w:b/>
                <w:lang w:val="en-GB"/>
              </w:rPr>
            </w:pPr>
            <w:r w:rsidRPr="00CF01F0">
              <w:rPr>
                <w:rFonts w:ascii="Arial" w:hAnsi="Arial" w:cs="Arial"/>
                <w:b/>
                <w:lang w:val="en-GB"/>
              </w:rPr>
              <w:t>Units Sold in 2017</w:t>
            </w:r>
          </w:p>
        </w:tc>
      </w:tr>
      <w:tr w:rsidR="00CF01F0" w:rsidRPr="00CF01F0" w14:paraId="6AC9A29A" w14:textId="77777777" w:rsidTr="008F2E24">
        <w:trPr>
          <w:jc w:val="center"/>
        </w:trPr>
        <w:tc>
          <w:tcPr>
            <w:tcW w:w="3479" w:type="dxa"/>
            <w:vAlign w:val="center"/>
          </w:tcPr>
          <w:p w14:paraId="706218CB" w14:textId="77777777" w:rsidR="00CF01F0" w:rsidRPr="00CF01F0" w:rsidRDefault="00CF01F0" w:rsidP="00CF01F0">
            <w:pPr>
              <w:rPr>
                <w:rFonts w:ascii="Arial" w:hAnsi="Arial" w:cs="Arial"/>
                <w:lang w:val="en-GB"/>
              </w:rPr>
            </w:pPr>
            <w:r w:rsidRPr="00CF01F0">
              <w:rPr>
                <w:rFonts w:ascii="Arial" w:hAnsi="Arial" w:cs="Arial"/>
                <w:lang w:val="en-GB"/>
              </w:rPr>
              <w:t>Volkswagen Passenger Cars</w:t>
            </w:r>
          </w:p>
        </w:tc>
        <w:tc>
          <w:tcPr>
            <w:tcW w:w="2304" w:type="dxa"/>
            <w:vAlign w:val="center"/>
          </w:tcPr>
          <w:p w14:paraId="7E5E158F" w14:textId="77777777" w:rsidR="00CF01F0" w:rsidRPr="00CF01F0" w:rsidRDefault="00CF01F0" w:rsidP="00CF01F0">
            <w:pPr>
              <w:jc w:val="right"/>
              <w:rPr>
                <w:rFonts w:ascii="Arial" w:hAnsi="Arial" w:cs="Arial"/>
                <w:lang w:val="en-GB"/>
              </w:rPr>
            </w:pPr>
            <w:r w:rsidRPr="00CF01F0">
              <w:rPr>
                <w:rFonts w:ascii="Arial" w:hAnsi="Arial" w:cs="Arial"/>
                <w:lang w:val="en-GB"/>
              </w:rPr>
              <w:t>3,715</w:t>
            </w:r>
          </w:p>
        </w:tc>
        <w:tc>
          <w:tcPr>
            <w:tcW w:w="2304" w:type="dxa"/>
            <w:vAlign w:val="center"/>
          </w:tcPr>
          <w:p w14:paraId="7A6E0BDA" w14:textId="77777777" w:rsidR="00CF01F0" w:rsidRPr="00CF01F0" w:rsidRDefault="00CF01F0" w:rsidP="00CF01F0">
            <w:pPr>
              <w:jc w:val="right"/>
              <w:rPr>
                <w:rFonts w:ascii="Arial" w:hAnsi="Arial" w:cs="Arial"/>
                <w:lang w:val="en-GB"/>
              </w:rPr>
            </w:pPr>
            <w:r w:rsidRPr="00CF01F0">
              <w:rPr>
                <w:rFonts w:ascii="Arial" w:hAnsi="Arial" w:cs="Arial"/>
                <w:lang w:val="en-GB"/>
              </w:rPr>
              <w:t>3,573</w:t>
            </w:r>
          </w:p>
        </w:tc>
      </w:tr>
      <w:tr w:rsidR="00CF01F0" w:rsidRPr="00CF01F0" w14:paraId="4282B1B0" w14:textId="77777777" w:rsidTr="008F2E24">
        <w:trPr>
          <w:jc w:val="center"/>
        </w:trPr>
        <w:tc>
          <w:tcPr>
            <w:tcW w:w="3479" w:type="dxa"/>
            <w:vAlign w:val="center"/>
          </w:tcPr>
          <w:p w14:paraId="546FEA40" w14:textId="77777777" w:rsidR="00CF01F0" w:rsidRPr="00CF01F0" w:rsidRDefault="00CF01F0" w:rsidP="00CF01F0">
            <w:pPr>
              <w:rPr>
                <w:rFonts w:ascii="Arial" w:hAnsi="Arial" w:cs="Arial"/>
                <w:lang w:val="en-GB"/>
              </w:rPr>
            </w:pPr>
            <w:r w:rsidRPr="00CF01F0">
              <w:rPr>
                <w:rFonts w:ascii="Arial" w:hAnsi="Arial" w:cs="Arial"/>
                <w:lang w:val="en-GB"/>
              </w:rPr>
              <w:t>Audi</w:t>
            </w:r>
          </w:p>
        </w:tc>
        <w:tc>
          <w:tcPr>
            <w:tcW w:w="2304" w:type="dxa"/>
            <w:vAlign w:val="center"/>
          </w:tcPr>
          <w:p w14:paraId="647A8046" w14:textId="77777777" w:rsidR="00CF01F0" w:rsidRPr="00CF01F0" w:rsidRDefault="00CF01F0" w:rsidP="00CF01F0">
            <w:pPr>
              <w:jc w:val="right"/>
              <w:rPr>
                <w:rFonts w:ascii="Arial" w:hAnsi="Arial" w:cs="Arial"/>
                <w:lang w:val="en-GB"/>
              </w:rPr>
            </w:pPr>
            <w:r w:rsidRPr="00CF01F0">
              <w:rPr>
                <w:rFonts w:ascii="Arial" w:hAnsi="Arial" w:cs="Arial"/>
                <w:lang w:val="en-GB"/>
              </w:rPr>
              <w:t>1,467</w:t>
            </w:r>
          </w:p>
        </w:tc>
        <w:tc>
          <w:tcPr>
            <w:tcW w:w="2304" w:type="dxa"/>
            <w:vAlign w:val="center"/>
          </w:tcPr>
          <w:p w14:paraId="4A97F444" w14:textId="77777777" w:rsidR="00CF01F0" w:rsidRPr="00CF01F0" w:rsidRDefault="00CF01F0" w:rsidP="00CF01F0">
            <w:pPr>
              <w:jc w:val="right"/>
              <w:rPr>
                <w:rFonts w:ascii="Arial" w:hAnsi="Arial" w:cs="Arial"/>
                <w:lang w:val="en-GB"/>
              </w:rPr>
            </w:pPr>
            <w:r w:rsidRPr="00CF01F0">
              <w:rPr>
                <w:rFonts w:ascii="Arial" w:hAnsi="Arial" w:cs="Arial"/>
                <w:lang w:val="en-GB"/>
              </w:rPr>
              <w:t>1,530</w:t>
            </w:r>
          </w:p>
        </w:tc>
      </w:tr>
      <w:tr w:rsidR="00CF01F0" w:rsidRPr="00CF01F0" w14:paraId="368210AD" w14:textId="77777777" w:rsidTr="008F2E24">
        <w:trPr>
          <w:jc w:val="center"/>
        </w:trPr>
        <w:tc>
          <w:tcPr>
            <w:tcW w:w="3479" w:type="dxa"/>
            <w:vAlign w:val="center"/>
          </w:tcPr>
          <w:p w14:paraId="2AE796BD" w14:textId="77777777" w:rsidR="00CF01F0" w:rsidRPr="00CF01F0" w:rsidRDefault="00CF01F0" w:rsidP="00CF01F0">
            <w:pPr>
              <w:rPr>
                <w:rFonts w:ascii="Arial" w:hAnsi="Arial" w:cs="Arial"/>
                <w:lang w:val="en-GB"/>
              </w:rPr>
            </w:pPr>
            <w:proofErr w:type="spellStart"/>
            <w:r w:rsidRPr="00CF01F0">
              <w:rPr>
                <w:rFonts w:ascii="Arial" w:hAnsi="Arial" w:cs="Arial"/>
                <w:lang w:val="en-GB"/>
              </w:rPr>
              <w:t>Škoda</w:t>
            </w:r>
            <w:proofErr w:type="spellEnd"/>
          </w:p>
        </w:tc>
        <w:tc>
          <w:tcPr>
            <w:tcW w:w="2304" w:type="dxa"/>
            <w:vAlign w:val="center"/>
          </w:tcPr>
          <w:p w14:paraId="118E966C" w14:textId="77777777" w:rsidR="00CF01F0" w:rsidRPr="00CF01F0" w:rsidRDefault="00CF01F0" w:rsidP="00CF01F0">
            <w:pPr>
              <w:jc w:val="right"/>
              <w:rPr>
                <w:rFonts w:ascii="Arial" w:hAnsi="Arial" w:cs="Arial"/>
                <w:lang w:val="en-GB"/>
              </w:rPr>
            </w:pPr>
            <w:r w:rsidRPr="00CF01F0">
              <w:rPr>
                <w:rFonts w:ascii="Arial" w:hAnsi="Arial" w:cs="Arial"/>
                <w:lang w:val="en-GB"/>
              </w:rPr>
              <w:t>957</w:t>
            </w:r>
          </w:p>
        </w:tc>
        <w:tc>
          <w:tcPr>
            <w:tcW w:w="2304" w:type="dxa"/>
            <w:vAlign w:val="center"/>
          </w:tcPr>
          <w:p w14:paraId="262D64D5" w14:textId="77777777" w:rsidR="00CF01F0" w:rsidRPr="00CF01F0" w:rsidRDefault="00CF01F0" w:rsidP="00CF01F0">
            <w:pPr>
              <w:jc w:val="right"/>
              <w:rPr>
                <w:rFonts w:ascii="Arial" w:hAnsi="Arial" w:cs="Arial"/>
                <w:lang w:val="en-GB"/>
              </w:rPr>
            </w:pPr>
            <w:r w:rsidRPr="00CF01F0">
              <w:rPr>
                <w:rFonts w:ascii="Arial" w:hAnsi="Arial" w:cs="Arial"/>
                <w:lang w:val="en-GB"/>
              </w:rPr>
              <w:t>937</w:t>
            </w:r>
          </w:p>
        </w:tc>
      </w:tr>
      <w:tr w:rsidR="00CF01F0" w:rsidRPr="00CF01F0" w14:paraId="08108581" w14:textId="77777777" w:rsidTr="008F2E24">
        <w:trPr>
          <w:jc w:val="center"/>
        </w:trPr>
        <w:tc>
          <w:tcPr>
            <w:tcW w:w="3479" w:type="dxa"/>
            <w:vAlign w:val="center"/>
          </w:tcPr>
          <w:p w14:paraId="36C699C2" w14:textId="77777777" w:rsidR="00CF01F0" w:rsidRPr="00CF01F0" w:rsidRDefault="00CF01F0" w:rsidP="00CF01F0">
            <w:pPr>
              <w:rPr>
                <w:rFonts w:ascii="Arial" w:hAnsi="Arial" w:cs="Arial"/>
                <w:lang w:val="en-GB"/>
              </w:rPr>
            </w:pPr>
            <w:r w:rsidRPr="00CF01F0">
              <w:rPr>
                <w:rFonts w:ascii="Arial" w:hAnsi="Arial" w:cs="Arial"/>
                <w:lang w:val="en-GB"/>
              </w:rPr>
              <w:t>SEAT SA</w:t>
            </w:r>
          </w:p>
        </w:tc>
        <w:tc>
          <w:tcPr>
            <w:tcW w:w="2304" w:type="dxa"/>
            <w:vAlign w:val="center"/>
          </w:tcPr>
          <w:p w14:paraId="7C058A4E" w14:textId="77777777" w:rsidR="00CF01F0" w:rsidRPr="00CF01F0" w:rsidRDefault="00CF01F0" w:rsidP="00CF01F0">
            <w:pPr>
              <w:jc w:val="right"/>
              <w:rPr>
                <w:rFonts w:ascii="Arial" w:hAnsi="Arial" w:cs="Arial"/>
                <w:lang w:val="en-GB"/>
              </w:rPr>
            </w:pPr>
            <w:r w:rsidRPr="00CF01F0">
              <w:rPr>
                <w:rFonts w:ascii="Arial" w:hAnsi="Arial" w:cs="Arial"/>
                <w:lang w:val="en-GB"/>
              </w:rPr>
              <w:t>608</w:t>
            </w:r>
          </w:p>
        </w:tc>
        <w:tc>
          <w:tcPr>
            <w:tcW w:w="2304" w:type="dxa"/>
            <w:vAlign w:val="center"/>
          </w:tcPr>
          <w:p w14:paraId="7B97C293" w14:textId="77777777" w:rsidR="00CF01F0" w:rsidRPr="00CF01F0" w:rsidRDefault="00CF01F0" w:rsidP="00CF01F0">
            <w:pPr>
              <w:jc w:val="right"/>
              <w:rPr>
                <w:rFonts w:ascii="Arial" w:hAnsi="Arial" w:cs="Arial"/>
                <w:lang w:val="en-GB"/>
              </w:rPr>
            </w:pPr>
            <w:r w:rsidRPr="00CF01F0">
              <w:rPr>
                <w:rFonts w:ascii="Arial" w:hAnsi="Arial" w:cs="Arial"/>
                <w:lang w:val="en-GB"/>
              </w:rPr>
              <w:t>595</w:t>
            </w:r>
          </w:p>
        </w:tc>
      </w:tr>
      <w:tr w:rsidR="00CF01F0" w:rsidRPr="00CF01F0" w14:paraId="3ED14A73" w14:textId="77777777" w:rsidTr="008F2E24">
        <w:trPr>
          <w:jc w:val="center"/>
        </w:trPr>
        <w:tc>
          <w:tcPr>
            <w:tcW w:w="3479" w:type="dxa"/>
            <w:vAlign w:val="center"/>
          </w:tcPr>
          <w:p w14:paraId="7CDE6254" w14:textId="77777777" w:rsidR="00CF01F0" w:rsidRPr="00CF01F0" w:rsidRDefault="00CF01F0" w:rsidP="00CF01F0">
            <w:pPr>
              <w:rPr>
                <w:rFonts w:ascii="Arial" w:hAnsi="Arial" w:cs="Arial"/>
                <w:lang w:val="en-GB"/>
              </w:rPr>
            </w:pPr>
            <w:r w:rsidRPr="00CF01F0">
              <w:rPr>
                <w:rFonts w:ascii="Arial" w:hAnsi="Arial" w:cs="Arial"/>
                <w:lang w:val="en-GB"/>
              </w:rPr>
              <w:t>Bentley Motors Ltd.</w:t>
            </w:r>
          </w:p>
        </w:tc>
        <w:tc>
          <w:tcPr>
            <w:tcW w:w="2304" w:type="dxa"/>
            <w:vAlign w:val="center"/>
          </w:tcPr>
          <w:p w14:paraId="7A6F20C1" w14:textId="77777777" w:rsidR="00CF01F0" w:rsidRPr="00CF01F0" w:rsidRDefault="00CF01F0" w:rsidP="00CF01F0">
            <w:pPr>
              <w:jc w:val="right"/>
              <w:rPr>
                <w:rFonts w:ascii="Arial" w:hAnsi="Arial" w:cs="Arial"/>
                <w:lang w:val="en-GB"/>
              </w:rPr>
            </w:pPr>
            <w:r w:rsidRPr="00CF01F0">
              <w:rPr>
                <w:rFonts w:ascii="Arial" w:hAnsi="Arial" w:cs="Arial"/>
                <w:lang w:val="en-GB"/>
              </w:rPr>
              <w:t>10</w:t>
            </w:r>
          </w:p>
        </w:tc>
        <w:tc>
          <w:tcPr>
            <w:tcW w:w="2304" w:type="dxa"/>
            <w:vAlign w:val="center"/>
          </w:tcPr>
          <w:p w14:paraId="14489037" w14:textId="77777777" w:rsidR="00CF01F0" w:rsidRPr="00CF01F0" w:rsidRDefault="00CF01F0" w:rsidP="00CF01F0">
            <w:pPr>
              <w:jc w:val="right"/>
              <w:rPr>
                <w:rFonts w:ascii="Arial" w:hAnsi="Arial" w:cs="Arial"/>
                <w:lang w:val="en-GB"/>
              </w:rPr>
            </w:pPr>
            <w:r w:rsidRPr="00CF01F0">
              <w:rPr>
                <w:rFonts w:ascii="Arial" w:hAnsi="Arial" w:cs="Arial"/>
                <w:lang w:val="en-GB"/>
              </w:rPr>
              <w:t>11</w:t>
            </w:r>
          </w:p>
        </w:tc>
      </w:tr>
      <w:tr w:rsidR="00CF01F0" w:rsidRPr="00CF01F0" w14:paraId="1708A672" w14:textId="77777777" w:rsidTr="008F2E24">
        <w:trPr>
          <w:jc w:val="center"/>
        </w:trPr>
        <w:tc>
          <w:tcPr>
            <w:tcW w:w="3479" w:type="dxa"/>
            <w:vAlign w:val="center"/>
          </w:tcPr>
          <w:p w14:paraId="7E21E7A7" w14:textId="77777777" w:rsidR="00CF01F0" w:rsidRPr="00CF01F0" w:rsidRDefault="00CF01F0" w:rsidP="00CF01F0">
            <w:pPr>
              <w:rPr>
                <w:rFonts w:ascii="Arial" w:hAnsi="Arial" w:cs="Arial"/>
                <w:lang w:val="en-GB"/>
              </w:rPr>
            </w:pPr>
            <w:r w:rsidRPr="00CF01F0">
              <w:rPr>
                <w:rFonts w:ascii="Arial" w:hAnsi="Arial" w:cs="Arial"/>
                <w:lang w:val="en-GB"/>
              </w:rPr>
              <w:t>Porsche AG</w:t>
            </w:r>
          </w:p>
        </w:tc>
        <w:tc>
          <w:tcPr>
            <w:tcW w:w="2304" w:type="dxa"/>
            <w:vAlign w:val="center"/>
          </w:tcPr>
          <w:p w14:paraId="75C0F59D" w14:textId="77777777" w:rsidR="00CF01F0" w:rsidRPr="00CF01F0" w:rsidRDefault="00CF01F0" w:rsidP="00CF01F0">
            <w:pPr>
              <w:jc w:val="right"/>
              <w:rPr>
                <w:rFonts w:ascii="Arial" w:hAnsi="Arial" w:cs="Arial"/>
                <w:lang w:val="en-GB"/>
              </w:rPr>
            </w:pPr>
            <w:r w:rsidRPr="00CF01F0">
              <w:rPr>
                <w:rFonts w:ascii="Arial" w:hAnsi="Arial" w:cs="Arial"/>
                <w:lang w:val="en-GB"/>
              </w:rPr>
              <w:t>253</w:t>
            </w:r>
          </w:p>
        </w:tc>
        <w:tc>
          <w:tcPr>
            <w:tcW w:w="2304" w:type="dxa"/>
            <w:vAlign w:val="center"/>
          </w:tcPr>
          <w:p w14:paraId="069B834C" w14:textId="77777777" w:rsidR="00CF01F0" w:rsidRPr="00CF01F0" w:rsidRDefault="00CF01F0" w:rsidP="00CF01F0">
            <w:pPr>
              <w:jc w:val="right"/>
              <w:rPr>
                <w:rFonts w:ascii="Arial" w:hAnsi="Arial" w:cs="Arial"/>
                <w:lang w:val="en-GB"/>
              </w:rPr>
            </w:pPr>
            <w:r w:rsidRPr="00CF01F0">
              <w:rPr>
                <w:rFonts w:ascii="Arial" w:hAnsi="Arial" w:cs="Arial"/>
                <w:lang w:val="en-GB"/>
              </w:rPr>
              <w:t>248</w:t>
            </w:r>
          </w:p>
        </w:tc>
      </w:tr>
      <w:tr w:rsidR="00CF01F0" w:rsidRPr="00CF01F0" w14:paraId="261F7906" w14:textId="77777777" w:rsidTr="008F2E24">
        <w:trPr>
          <w:jc w:val="center"/>
        </w:trPr>
        <w:tc>
          <w:tcPr>
            <w:tcW w:w="3479" w:type="dxa"/>
            <w:vAlign w:val="center"/>
          </w:tcPr>
          <w:p w14:paraId="41E620DB" w14:textId="77777777" w:rsidR="00CF01F0" w:rsidRPr="00CF01F0" w:rsidRDefault="00CF01F0" w:rsidP="00CF01F0">
            <w:pPr>
              <w:rPr>
                <w:rFonts w:ascii="Arial" w:hAnsi="Arial" w:cs="Arial"/>
                <w:lang w:val="en-GB"/>
              </w:rPr>
            </w:pPr>
            <w:r w:rsidRPr="00CF01F0">
              <w:rPr>
                <w:rFonts w:ascii="Arial" w:hAnsi="Arial" w:cs="Arial"/>
                <w:lang w:val="en-GB"/>
              </w:rPr>
              <w:t>Volkswagen Commercial Vehicles</w:t>
            </w:r>
          </w:p>
        </w:tc>
        <w:tc>
          <w:tcPr>
            <w:tcW w:w="2304" w:type="dxa"/>
            <w:vAlign w:val="center"/>
          </w:tcPr>
          <w:p w14:paraId="3487494D" w14:textId="77777777" w:rsidR="00CF01F0" w:rsidRPr="00CF01F0" w:rsidRDefault="00CF01F0" w:rsidP="00CF01F0">
            <w:pPr>
              <w:jc w:val="right"/>
              <w:rPr>
                <w:rFonts w:ascii="Arial" w:hAnsi="Arial" w:cs="Arial"/>
                <w:lang w:val="en-GB"/>
              </w:rPr>
            </w:pPr>
            <w:r w:rsidRPr="00CF01F0">
              <w:rPr>
                <w:rFonts w:ascii="Arial" w:hAnsi="Arial" w:cs="Arial"/>
                <w:lang w:val="en-GB"/>
              </w:rPr>
              <w:t>469</w:t>
            </w:r>
          </w:p>
        </w:tc>
        <w:tc>
          <w:tcPr>
            <w:tcW w:w="2304" w:type="dxa"/>
            <w:vAlign w:val="center"/>
          </w:tcPr>
          <w:p w14:paraId="4513DD59" w14:textId="77777777" w:rsidR="00CF01F0" w:rsidRPr="00CF01F0" w:rsidRDefault="00CF01F0" w:rsidP="00CF01F0">
            <w:pPr>
              <w:jc w:val="right"/>
              <w:rPr>
                <w:rFonts w:ascii="Arial" w:hAnsi="Arial" w:cs="Arial"/>
                <w:lang w:val="en-GB"/>
              </w:rPr>
            </w:pPr>
            <w:r w:rsidRPr="00CF01F0">
              <w:rPr>
                <w:rFonts w:ascii="Arial" w:hAnsi="Arial" w:cs="Arial"/>
                <w:lang w:val="en-GB"/>
              </w:rPr>
              <w:t>498</w:t>
            </w:r>
          </w:p>
        </w:tc>
      </w:tr>
      <w:tr w:rsidR="00CF01F0" w:rsidRPr="00CF01F0" w14:paraId="380540E2" w14:textId="77777777" w:rsidTr="008F2E24">
        <w:trPr>
          <w:jc w:val="center"/>
        </w:trPr>
        <w:tc>
          <w:tcPr>
            <w:tcW w:w="3479" w:type="dxa"/>
            <w:vAlign w:val="center"/>
          </w:tcPr>
          <w:p w14:paraId="20729EEB" w14:textId="77777777" w:rsidR="00CF01F0" w:rsidRPr="00CF01F0" w:rsidRDefault="00CF01F0" w:rsidP="00CF01F0">
            <w:pPr>
              <w:rPr>
                <w:rFonts w:ascii="Arial" w:hAnsi="Arial" w:cs="Arial"/>
                <w:lang w:val="en-GB"/>
              </w:rPr>
            </w:pPr>
            <w:r w:rsidRPr="00CF01F0">
              <w:rPr>
                <w:rFonts w:ascii="Arial" w:hAnsi="Arial" w:cs="Arial"/>
                <w:lang w:val="en-GB"/>
              </w:rPr>
              <w:t>Scania AB</w:t>
            </w:r>
          </w:p>
        </w:tc>
        <w:tc>
          <w:tcPr>
            <w:tcW w:w="2304" w:type="dxa"/>
            <w:vAlign w:val="center"/>
          </w:tcPr>
          <w:p w14:paraId="684758A3" w14:textId="77777777" w:rsidR="00CF01F0" w:rsidRPr="00CF01F0" w:rsidRDefault="00CF01F0" w:rsidP="00CF01F0">
            <w:pPr>
              <w:jc w:val="right"/>
              <w:rPr>
                <w:rFonts w:ascii="Arial" w:hAnsi="Arial" w:cs="Arial"/>
                <w:lang w:val="en-GB"/>
              </w:rPr>
            </w:pPr>
            <w:r w:rsidRPr="00CF01F0">
              <w:rPr>
                <w:rFonts w:ascii="Arial" w:hAnsi="Arial" w:cs="Arial"/>
                <w:lang w:val="en-GB"/>
              </w:rPr>
              <w:t>97</w:t>
            </w:r>
          </w:p>
        </w:tc>
        <w:tc>
          <w:tcPr>
            <w:tcW w:w="2304" w:type="dxa"/>
            <w:vAlign w:val="center"/>
          </w:tcPr>
          <w:p w14:paraId="1420590F" w14:textId="77777777" w:rsidR="00CF01F0" w:rsidRPr="00CF01F0" w:rsidRDefault="00CF01F0" w:rsidP="00CF01F0">
            <w:pPr>
              <w:jc w:val="right"/>
              <w:rPr>
                <w:rFonts w:ascii="Arial" w:hAnsi="Arial" w:cs="Arial"/>
                <w:lang w:val="en-GB"/>
              </w:rPr>
            </w:pPr>
            <w:r w:rsidRPr="00CF01F0">
              <w:rPr>
                <w:rFonts w:ascii="Arial" w:hAnsi="Arial" w:cs="Arial"/>
                <w:lang w:val="en-GB"/>
              </w:rPr>
              <w:t>92</w:t>
            </w:r>
          </w:p>
        </w:tc>
      </w:tr>
      <w:tr w:rsidR="00CF01F0" w:rsidRPr="00CF01F0" w14:paraId="39A54D80" w14:textId="77777777" w:rsidTr="008F2E24">
        <w:trPr>
          <w:jc w:val="center"/>
        </w:trPr>
        <w:tc>
          <w:tcPr>
            <w:tcW w:w="3479" w:type="dxa"/>
            <w:vAlign w:val="center"/>
          </w:tcPr>
          <w:p w14:paraId="3C96ECED" w14:textId="77777777" w:rsidR="00CF01F0" w:rsidRPr="00CF01F0" w:rsidRDefault="00CF01F0" w:rsidP="00CF01F0">
            <w:pPr>
              <w:rPr>
                <w:rFonts w:ascii="Arial" w:hAnsi="Arial" w:cs="Arial"/>
                <w:lang w:val="en-GB"/>
              </w:rPr>
            </w:pPr>
            <w:proofErr w:type="gramStart"/>
            <w:r w:rsidRPr="00CF01F0">
              <w:rPr>
                <w:rFonts w:ascii="Arial" w:hAnsi="Arial" w:cs="Arial"/>
                <w:lang w:val="en-GB"/>
              </w:rPr>
              <w:t>MAN</w:t>
            </w:r>
            <w:proofErr w:type="gramEnd"/>
            <w:r w:rsidRPr="00CF01F0">
              <w:rPr>
                <w:rFonts w:ascii="Arial" w:hAnsi="Arial" w:cs="Arial"/>
                <w:lang w:val="en-GB"/>
              </w:rPr>
              <w:t xml:space="preserve"> SE Commercial Vehicles</w:t>
            </w:r>
          </w:p>
        </w:tc>
        <w:tc>
          <w:tcPr>
            <w:tcW w:w="2304" w:type="dxa"/>
            <w:vAlign w:val="center"/>
          </w:tcPr>
          <w:p w14:paraId="050C1D3D" w14:textId="77777777" w:rsidR="00CF01F0" w:rsidRPr="00CF01F0" w:rsidRDefault="00CF01F0" w:rsidP="00CF01F0">
            <w:pPr>
              <w:jc w:val="right"/>
              <w:rPr>
                <w:rFonts w:ascii="Arial" w:hAnsi="Arial" w:cs="Arial"/>
                <w:lang w:val="en-GB"/>
              </w:rPr>
            </w:pPr>
            <w:r w:rsidRPr="00CF01F0">
              <w:rPr>
                <w:rFonts w:ascii="Arial" w:hAnsi="Arial" w:cs="Arial"/>
                <w:lang w:val="en-GB"/>
              </w:rPr>
              <w:t>137</w:t>
            </w:r>
          </w:p>
        </w:tc>
        <w:tc>
          <w:tcPr>
            <w:tcW w:w="2304" w:type="dxa"/>
            <w:vAlign w:val="center"/>
          </w:tcPr>
          <w:p w14:paraId="3CCA582B" w14:textId="77777777" w:rsidR="00CF01F0" w:rsidRPr="00CF01F0" w:rsidRDefault="00CF01F0" w:rsidP="00CF01F0">
            <w:pPr>
              <w:jc w:val="right"/>
              <w:rPr>
                <w:rFonts w:ascii="Arial" w:hAnsi="Arial" w:cs="Arial"/>
                <w:lang w:val="en-GB"/>
              </w:rPr>
            </w:pPr>
            <w:r w:rsidRPr="00CF01F0">
              <w:rPr>
                <w:rFonts w:ascii="Arial" w:hAnsi="Arial" w:cs="Arial"/>
                <w:lang w:val="en-GB"/>
              </w:rPr>
              <w:t>114</w:t>
            </w:r>
          </w:p>
        </w:tc>
      </w:tr>
      <w:tr w:rsidR="00CF01F0" w:rsidRPr="00CF01F0" w14:paraId="605597A1" w14:textId="77777777" w:rsidTr="008F2E24">
        <w:trPr>
          <w:jc w:val="center"/>
        </w:trPr>
        <w:tc>
          <w:tcPr>
            <w:tcW w:w="3479" w:type="dxa"/>
            <w:vAlign w:val="center"/>
          </w:tcPr>
          <w:p w14:paraId="159B0636" w14:textId="77777777" w:rsidR="00CF01F0" w:rsidRPr="00CF01F0" w:rsidRDefault="00CF01F0" w:rsidP="00CF01F0">
            <w:pPr>
              <w:rPr>
                <w:rFonts w:ascii="Arial" w:hAnsi="Arial" w:cs="Arial"/>
                <w:lang w:val="en-GB"/>
              </w:rPr>
            </w:pPr>
            <w:r w:rsidRPr="00CF01F0">
              <w:rPr>
                <w:rFonts w:ascii="Arial" w:hAnsi="Arial" w:cs="Arial"/>
                <w:lang w:val="en-GB"/>
              </w:rPr>
              <w:t>Volkswagen Group China</w:t>
            </w:r>
          </w:p>
        </w:tc>
        <w:tc>
          <w:tcPr>
            <w:tcW w:w="2304" w:type="dxa"/>
            <w:vAlign w:val="center"/>
          </w:tcPr>
          <w:p w14:paraId="774A0FDE" w14:textId="77777777" w:rsidR="00CF01F0" w:rsidRPr="00CF01F0" w:rsidRDefault="00CF01F0" w:rsidP="00CF01F0">
            <w:pPr>
              <w:jc w:val="right"/>
              <w:rPr>
                <w:rFonts w:ascii="Arial" w:hAnsi="Arial" w:cs="Arial"/>
                <w:lang w:val="en-GB"/>
              </w:rPr>
            </w:pPr>
            <w:r w:rsidRPr="00CF01F0">
              <w:rPr>
                <w:rFonts w:ascii="Arial" w:hAnsi="Arial" w:cs="Arial"/>
                <w:lang w:val="en-GB"/>
              </w:rPr>
              <w:t>4,101</w:t>
            </w:r>
          </w:p>
        </w:tc>
        <w:tc>
          <w:tcPr>
            <w:tcW w:w="2304" w:type="dxa"/>
            <w:vAlign w:val="center"/>
          </w:tcPr>
          <w:p w14:paraId="6F4FB813" w14:textId="77777777" w:rsidR="00CF01F0" w:rsidRPr="00CF01F0" w:rsidRDefault="00CF01F0" w:rsidP="00CF01F0">
            <w:pPr>
              <w:jc w:val="right"/>
              <w:rPr>
                <w:rFonts w:ascii="Arial" w:hAnsi="Arial" w:cs="Arial"/>
                <w:lang w:val="en-GB"/>
              </w:rPr>
            </w:pPr>
            <w:r w:rsidRPr="00CF01F0">
              <w:rPr>
                <w:rFonts w:ascii="Arial" w:hAnsi="Arial" w:cs="Arial"/>
                <w:lang w:val="en-GB"/>
              </w:rPr>
              <w:t>4,020</w:t>
            </w:r>
          </w:p>
        </w:tc>
      </w:tr>
      <w:tr w:rsidR="00CF01F0" w:rsidRPr="00CF01F0" w14:paraId="2F1A0990" w14:textId="77777777" w:rsidTr="008F2E24">
        <w:trPr>
          <w:jc w:val="center"/>
        </w:trPr>
        <w:tc>
          <w:tcPr>
            <w:tcW w:w="3479" w:type="dxa"/>
            <w:vAlign w:val="center"/>
          </w:tcPr>
          <w:p w14:paraId="4EA6D687" w14:textId="77777777" w:rsidR="00CF01F0" w:rsidRPr="00CF01F0" w:rsidRDefault="00CF01F0" w:rsidP="00CF01F0">
            <w:pPr>
              <w:rPr>
                <w:rFonts w:ascii="Arial" w:hAnsi="Arial" w:cs="Arial"/>
                <w:lang w:val="en-GB"/>
              </w:rPr>
            </w:pPr>
            <w:r w:rsidRPr="00CF01F0">
              <w:rPr>
                <w:rFonts w:ascii="Arial" w:hAnsi="Arial" w:cs="Arial"/>
                <w:lang w:val="en-GB"/>
              </w:rPr>
              <w:t>Other</w:t>
            </w:r>
          </w:p>
        </w:tc>
        <w:tc>
          <w:tcPr>
            <w:tcW w:w="2304" w:type="dxa"/>
            <w:vAlign w:val="center"/>
          </w:tcPr>
          <w:p w14:paraId="7180C71E" w14:textId="77777777" w:rsidR="00CF01F0" w:rsidRPr="00CF01F0" w:rsidRDefault="00CF01F0" w:rsidP="00CF01F0">
            <w:pPr>
              <w:jc w:val="right"/>
              <w:rPr>
                <w:rFonts w:ascii="Arial" w:hAnsi="Arial" w:cs="Arial"/>
                <w:lang w:val="en-GB"/>
              </w:rPr>
            </w:pPr>
            <w:r w:rsidRPr="00CF01F0">
              <w:rPr>
                <w:rFonts w:ascii="Arial" w:hAnsi="Arial" w:cs="Arial"/>
                <w:lang w:val="en-GB"/>
              </w:rPr>
              <w:t>(912)</w:t>
            </w:r>
          </w:p>
        </w:tc>
        <w:tc>
          <w:tcPr>
            <w:tcW w:w="2304" w:type="dxa"/>
            <w:vAlign w:val="center"/>
          </w:tcPr>
          <w:p w14:paraId="7463AE13" w14:textId="77777777" w:rsidR="00CF01F0" w:rsidRPr="00CF01F0" w:rsidRDefault="00CF01F0" w:rsidP="00CF01F0">
            <w:pPr>
              <w:jc w:val="right"/>
              <w:rPr>
                <w:rFonts w:ascii="Arial" w:hAnsi="Arial" w:cs="Arial"/>
                <w:lang w:val="en-GB"/>
              </w:rPr>
            </w:pPr>
            <w:r w:rsidRPr="00CF01F0">
              <w:rPr>
                <w:rFonts w:ascii="Arial" w:hAnsi="Arial" w:cs="Arial"/>
                <w:lang w:val="en-GB"/>
              </w:rPr>
              <w:t>(840)</w:t>
            </w:r>
          </w:p>
        </w:tc>
      </w:tr>
      <w:tr w:rsidR="00CF01F0" w:rsidRPr="00CF01F0" w14:paraId="225C8FB7" w14:textId="77777777" w:rsidTr="008F2E24">
        <w:trPr>
          <w:jc w:val="center"/>
        </w:trPr>
        <w:tc>
          <w:tcPr>
            <w:tcW w:w="3479" w:type="dxa"/>
            <w:vAlign w:val="center"/>
          </w:tcPr>
          <w:p w14:paraId="14ED9A21" w14:textId="77777777" w:rsidR="00CF01F0" w:rsidRPr="00CF01F0" w:rsidRDefault="00CF01F0" w:rsidP="00CF01F0">
            <w:pPr>
              <w:rPr>
                <w:rFonts w:ascii="Arial" w:hAnsi="Arial" w:cs="Arial"/>
                <w:b/>
                <w:lang w:val="en-GB"/>
              </w:rPr>
            </w:pPr>
            <w:r w:rsidRPr="00CF01F0">
              <w:rPr>
                <w:rFonts w:ascii="Arial" w:hAnsi="Arial" w:cs="Arial"/>
                <w:b/>
                <w:lang w:val="en-GB"/>
              </w:rPr>
              <w:t>Volkswagen Group</w:t>
            </w:r>
          </w:p>
        </w:tc>
        <w:tc>
          <w:tcPr>
            <w:tcW w:w="2304" w:type="dxa"/>
            <w:vAlign w:val="center"/>
          </w:tcPr>
          <w:p w14:paraId="7A3E9C08" w14:textId="77777777" w:rsidR="00CF01F0" w:rsidRPr="00CF01F0" w:rsidRDefault="00CF01F0" w:rsidP="00CF01F0">
            <w:pPr>
              <w:jc w:val="right"/>
              <w:rPr>
                <w:rFonts w:ascii="Arial" w:hAnsi="Arial" w:cs="Arial"/>
                <w:b/>
                <w:lang w:val="en-GB"/>
              </w:rPr>
            </w:pPr>
            <w:r w:rsidRPr="00CF01F0">
              <w:rPr>
                <w:rFonts w:ascii="Arial" w:hAnsi="Arial" w:cs="Arial"/>
                <w:b/>
                <w:lang w:val="en-GB"/>
              </w:rPr>
              <w:t>10,900</w:t>
            </w:r>
          </w:p>
        </w:tc>
        <w:tc>
          <w:tcPr>
            <w:tcW w:w="2304" w:type="dxa"/>
            <w:vAlign w:val="center"/>
          </w:tcPr>
          <w:p w14:paraId="4EF4DA03" w14:textId="77777777" w:rsidR="00CF01F0" w:rsidRPr="00CF01F0" w:rsidRDefault="00CF01F0" w:rsidP="00CF01F0">
            <w:pPr>
              <w:jc w:val="right"/>
              <w:rPr>
                <w:rFonts w:ascii="Arial" w:hAnsi="Arial" w:cs="Arial"/>
                <w:b/>
                <w:lang w:val="en-GB"/>
              </w:rPr>
            </w:pPr>
            <w:r w:rsidRPr="00CF01F0">
              <w:rPr>
                <w:rFonts w:ascii="Arial" w:hAnsi="Arial" w:cs="Arial"/>
                <w:b/>
                <w:lang w:val="en-GB"/>
              </w:rPr>
              <w:t>10,777</w:t>
            </w:r>
          </w:p>
        </w:tc>
      </w:tr>
    </w:tbl>
    <w:p w14:paraId="5402252A" w14:textId="77777777" w:rsidR="00CF01F0" w:rsidRPr="00CF01F0" w:rsidRDefault="00CF01F0" w:rsidP="0088622F">
      <w:pPr>
        <w:pStyle w:val="FootnoteText1"/>
      </w:pPr>
    </w:p>
    <w:p w14:paraId="4E9EC0D0" w14:textId="0BDBA950" w:rsidR="00790E25" w:rsidRDefault="00CF01F0" w:rsidP="0088622F">
      <w:pPr>
        <w:pStyle w:val="FootnoteText1"/>
      </w:pPr>
      <w:r w:rsidRPr="00CF01F0">
        <w:t xml:space="preserve">Source: Created by case authors using data from Volkswagen AG, </w:t>
      </w:r>
      <w:r w:rsidRPr="00CF01F0">
        <w:rPr>
          <w:i/>
        </w:rPr>
        <w:t>Full Speed Ahead to the Future: Annual Report 2018</w:t>
      </w:r>
      <w:r w:rsidRPr="00CF01F0">
        <w:t xml:space="preserve">, 23, 2019, accessed April 17, 2019, </w:t>
      </w:r>
      <w:r w:rsidR="00790E25" w:rsidRPr="00790E25">
        <w:t>www.volkswagenag.com/presence/investorrelation/publications/annual-reports/2019/volks</w:t>
      </w:r>
    </w:p>
    <w:p w14:paraId="7158933F" w14:textId="6A3D597B" w:rsidR="00CF01F0" w:rsidRPr="00CF01F0" w:rsidRDefault="00CF01F0" w:rsidP="0088622F">
      <w:pPr>
        <w:pStyle w:val="FootnoteText1"/>
      </w:pPr>
      <w:proofErr w:type="spellStart"/>
      <w:r w:rsidRPr="00CF01F0">
        <w:t>wagen</w:t>
      </w:r>
      <w:proofErr w:type="spellEnd"/>
      <w:r w:rsidRPr="00CF01F0">
        <w:t>/</w:t>
      </w:r>
      <w:proofErr w:type="spellStart"/>
      <w:r w:rsidRPr="00CF01F0">
        <w:t>en</w:t>
      </w:r>
      <w:proofErr w:type="spellEnd"/>
      <w:r w:rsidRPr="00CF01F0">
        <w:t>/Y_2018_e.pdf.</w:t>
      </w:r>
    </w:p>
    <w:p w14:paraId="6E15D3AA" w14:textId="77777777" w:rsidR="00CF01F0" w:rsidRPr="00CF01F0" w:rsidRDefault="00CF01F0" w:rsidP="0088622F">
      <w:pPr>
        <w:pStyle w:val="BodyTextMain"/>
        <w:rPr>
          <w:lang w:val="en-GB"/>
        </w:rPr>
      </w:pPr>
    </w:p>
    <w:p w14:paraId="566623A8" w14:textId="77777777" w:rsidR="00CF01F0" w:rsidRPr="00CF01F0" w:rsidRDefault="00CF01F0" w:rsidP="0088622F">
      <w:pPr>
        <w:pStyle w:val="BodyTextMain"/>
        <w:rPr>
          <w:lang w:val="en-GB"/>
        </w:rPr>
      </w:pPr>
    </w:p>
    <w:p w14:paraId="2772CA76" w14:textId="77777777" w:rsidR="00CF01F0" w:rsidRPr="00CF01F0" w:rsidRDefault="00CF01F0" w:rsidP="0088622F">
      <w:pPr>
        <w:pStyle w:val="Casehead1"/>
        <w:jc w:val="center"/>
        <w:rPr>
          <w:lang w:val="en-GB"/>
        </w:rPr>
      </w:pPr>
      <w:r w:rsidRPr="00CF01F0">
        <w:rPr>
          <w:lang w:val="en-GB"/>
        </w:rPr>
        <w:t>Exhibit 6: Volkswagen Group Income Statement, January 1 to December 31, 2018</w:t>
      </w:r>
      <w:r w:rsidRPr="00CF01F0">
        <w:rPr>
          <w:lang w:val="en-GB"/>
        </w:rPr>
        <w:br/>
        <w:t>(€ millions)</w:t>
      </w:r>
    </w:p>
    <w:p w14:paraId="79CDCFF4" w14:textId="77777777" w:rsidR="00CF01F0" w:rsidRPr="00CF01F0" w:rsidRDefault="00CF01F0" w:rsidP="0088622F">
      <w:pPr>
        <w:pStyle w:val="BodyTextMain"/>
        <w:rPr>
          <w:lang w:val="en-GB"/>
        </w:rPr>
      </w:pPr>
    </w:p>
    <w:tbl>
      <w:tblPr>
        <w:tblStyle w:val="TableGrid2"/>
        <w:tblW w:w="0" w:type="auto"/>
        <w:jc w:val="center"/>
        <w:tblLook w:val="04A0" w:firstRow="1" w:lastRow="0" w:firstColumn="1" w:lastColumn="0" w:noHBand="0" w:noVBand="1"/>
      </w:tblPr>
      <w:tblGrid>
        <w:gridCol w:w="5524"/>
        <w:gridCol w:w="1152"/>
        <w:gridCol w:w="1152"/>
      </w:tblGrid>
      <w:tr w:rsidR="00CF01F0" w:rsidRPr="00CF01F0" w14:paraId="43F9D2A0" w14:textId="77777777" w:rsidTr="0088622F">
        <w:trPr>
          <w:jc w:val="center"/>
        </w:trPr>
        <w:tc>
          <w:tcPr>
            <w:tcW w:w="5524" w:type="dxa"/>
            <w:vAlign w:val="center"/>
          </w:tcPr>
          <w:p w14:paraId="67AFC198" w14:textId="77777777" w:rsidR="00CF01F0" w:rsidRPr="00CF01F0" w:rsidRDefault="00CF01F0" w:rsidP="00CF01F0">
            <w:pPr>
              <w:jc w:val="center"/>
              <w:rPr>
                <w:rFonts w:ascii="Arial" w:hAnsi="Arial" w:cs="Arial"/>
                <w:b/>
                <w:lang w:val="en-GB"/>
              </w:rPr>
            </w:pPr>
          </w:p>
        </w:tc>
        <w:tc>
          <w:tcPr>
            <w:tcW w:w="1152" w:type="dxa"/>
          </w:tcPr>
          <w:p w14:paraId="5CA2CB18" w14:textId="77777777" w:rsidR="00CF01F0" w:rsidRPr="00CF01F0" w:rsidRDefault="00CF01F0" w:rsidP="00CF01F0">
            <w:pPr>
              <w:jc w:val="center"/>
              <w:rPr>
                <w:rFonts w:ascii="Arial" w:hAnsi="Arial" w:cs="Arial"/>
                <w:b/>
                <w:lang w:val="en-GB"/>
              </w:rPr>
            </w:pPr>
            <w:r w:rsidRPr="00CF01F0">
              <w:rPr>
                <w:rFonts w:ascii="Arial" w:hAnsi="Arial" w:cs="Arial"/>
                <w:b/>
                <w:lang w:val="en-GB"/>
              </w:rPr>
              <w:t>2018</w:t>
            </w:r>
          </w:p>
        </w:tc>
        <w:tc>
          <w:tcPr>
            <w:tcW w:w="1152" w:type="dxa"/>
          </w:tcPr>
          <w:p w14:paraId="6C56409E" w14:textId="77777777" w:rsidR="00CF01F0" w:rsidRPr="00CF01F0" w:rsidRDefault="00CF01F0" w:rsidP="00CF01F0">
            <w:pPr>
              <w:jc w:val="center"/>
              <w:rPr>
                <w:rFonts w:ascii="Arial" w:hAnsi="Arial" w:cs="Arial"/>
                <w:b/>
                <w:lang w:val="en-GB"/>
              </w:rPr>
            </w:pPr>
            <w:r w:rsidRPr="00CF01F0">
              <w:rPr>
                <w:rFonts w:ascii="Arial" w:hAnsi="Arial" w:cs="Arial"/>
                <w:b/>
                <w:lang w:val="en-GB"/>
              </w:rPr>
              <w:t>2017</w:t>
            </w:r>
          </w:p>
        </w:tc>
      </w:tr>
      <w:tr w:rsidR="00CF01F0" w:rsidRPr="00CF01F0" w14:paraId="4F55B2DD" w14:textId="77777777" w:rsidTr="0088622F">
        <w:trPr>
          <w:jc w:val="center"/>
        </w:trPr>
        <w:tc>
          <w:tcPr>
            <w:tcW w:w="5524" w:type="dxa"/>
            <w:vAlign w:val="center"/>
          </w:tcPr>
          <w:p w14:paraId="62122D3F" w14:textId="77777777" w:rsidR="00CF01F0" w:rsidRPr="00CF01F0" w:rsidRDefault="00CF01F0" w:rsidP="00CF01F0">
            <w:pPr>
              <w:rPr>
                <w:rFonts w:ascii="Arial" w:hAnsi="Arial" w:cs="Arial"/>
                <w:b/>
                <w:lang w:val="en-GB"/>
              </w:rPr>
            </w:pPr>
            <w:r w:rsidRPr="00CF01F0">
              <w:rPr>
                <w:rFonts w:ascii="Arial" w:hAnsi="Arial" w:cs="Arial"/>
                <w:b/>
                <w:lang w:val="en-GB"/>
              </w:rPr>
              <w:t>Sales Revenue</w:t>
            </w:r>
          </w:p>
        </w:tc>
        <w:tc>
          <w:tcPr>
            <w:tcW w:w="1152" w:type="dxa"/>
          </w:tcPr>
          <w:p w14:paraId="6E5EC404" w14:textId="77777777" w:rsidR="00CF01F0" w:rsidRPr="00CF01F0" w:rsidRDefault="00CF01F0" w:rsidP="00CF01F0">
            <w:pPr>
              <w:jc w:val="right"/>
              <w:rPr>
                <w:rFonts w:ascii="Arial" w:hAnsi="Arial" w:cs="Arial"/>
                <w:b/>
                <w:lang w:val="en-GB"/>
              </w:rPr>
            </w:pPr>
            <w:r w:rsidRPr="00CF01F0">
              <w:rPr>
                <w:rFonts w:ascii="Arial" w:hAnsi="Arial" w:cs="Arial"/>
                <w:b/>
                <w:lang w:val="en-GB"/>
              </w:rPr>
              <w:t>235,849</w:t>
            </w:r>
          </w:p>
        </w:tc>
        <w:tc>
          <w:tcPr>
            <w:tcW w:w="1152" w:type="dxa"/>
          </w:tcPr>
          <w:p w14:paraId="4492D081" w14:textId="77777777" w:rsidR="00CF01F0" w:rsidRPr="00CF01F0" w:rsidRDefault="00CF01F0" w:rsidP="00CF01F0">
            <w:pPr>
              <w:jc w:val="right"/>
              <w:rPr>
                <w:rFonts w:ascii="Arial" w:hAnsi="Arial" w:cs="Arial"/>
                <w:b/>
                <w:lang w:val="en-GB"/>
              </w:rPr>
            </w:pPr>
            <w:r w:rsidRPr="00CF01F0">
              <w:rPr>
                <w:rFonts w:ascii="Arial" w:hAnsi="Arial" w:cs="Arial"/>
                <w:b/>
                <w:lang w:val="en-GB"/>
              </w:rPr>
              <w:t>229,550</w:t>
            </w:r>
          </w:p>
        </w:tc>
      </w:tr>
      <w:tr w:rsidR="00CF01F0" w:rsidRPr="00CF01F0" w14:paraId="5E4A7F59" w14:textId="77777777" w:rsidTr="0088622F">
        <w:trPr>
          <w:jc w:val="center"/>
        </w:trPr>
        <w:tc>
          <w:tcPr>
            <w:tcW w:w="5524" w:type="dxa"/>
            <w:vAlign w:val="center"/>
          </w:tcPr>
          <w:p w14:paraId="25BBA57F" w14:textId="77777777" w:rsidR="00CF01F0" w:rsidRPr="00CF01F0" w:rsidRDefault="00CF01F0" w:rsidP="00CF01F0">
            <w:pPr>
              <w:rPr>
                <w:rFonts w:ascii="Arial" w:hAnsi="Arial" w:cs="Arial"/>
                <w:lang w:val="en-GB"/>
              </w:rPr>
            </w:pPr>
            <w:r w:rsidRPr="00CF01F0">
              <w:rPr>
                <w:rFonts w:ascii="Arial" w:hAnsi="Arial" w:cs="Arial"/>
                <w:lang w:val="en-GB"/>
              </w:rPr>
              <w:t>Cost of Sales</w:t>
            </w:r>
          </w:p>
        </w:tc>
        <w:tc>
          <w:tcPr>
            <w:tcW w:w="1152" w:type="dxa"/>
          </w:tcPr>
          <w:p w14:paraId="2AC8D17B" w14:textId="77777777" w:rsidR="00CF01F0" w:rsidRPr="00CF01F0" w:rsidRDefault="00CF01F0" w:rsidP="00CF01F0">
            <w:pPr>
              <w:jc w:val="right"/>
              <w:rPr>
                <w:rFonts w:ascii="Arial" w:hAnsi="Arial" w:cs="Arial"/>
                <w:lang w:val="en-GB"/>
              </w:rPr>
            </w:pPr>
            <w:r w:rsidRPr="00CF01F0">
              <w:rPr>
                <w:rFonts w:ascii="Arial" w:hAnsi="Arial" w:cs="Arial"/>
                <w:lang w:val="en-GB"/>
              </w:rPr>
              <w:t>(189,500)</w:t>
            </w:r>
          </w:p>
        </w:tc>
        <w:tc>
          <w:tcPr>
            <w:tcW w:w="1152" w:type="dxa"/>
          </w:tcPr>
          <w:p w14:paraId="75191513" w14:textId="77777777" w:rsidR="00CF01F0" w:rsidRPr="00CF01F0" w:rsidRDefault="00CF01F0" w:rsidP="00CF01F0">
            <w:pPr>
              <w:jc w:val="right"/>
              <w:rPr>
                <w:rFonts w:ascii="Arial" w:hAnsi="Arial" w:cs="Arial"/>
                <w:lang w:val="en-GB"/>
              </w:rPr>
            </w:pPr>
            <w:r w:rsidRPr="00CF01F0">
              <w:rPr>
                <w:rFonts w:ascii="Arial" w:hAnsi="Arial" w:cs="Arial"/>
                <w:lang w:val="en-GB"/>
              </w:rPr>
              <w:t>(186,001)</w:t>
            </w:r>
          </w:p>
        </w:tc>
      </w:tr>
      <w:tr w:rsidR="00CF01F0" w:rsidRPr="00CF01F0" w14:paraId="3E6A0FC6" w14:textId="77777777" w:rsidTr="0088622F">
        <w:trPr>
          <w:jc w:val="center"/>
        </w:trPr>
        <w:tc>
          <w:tcPr>
            <w:tcW w:w="5524" w:type="dxa"/>
            <w:vAlign w:val="center"/>
          </w:tcPr>
          <w:p w14:paraId="6B046680" w14:textId="77777777" w:rsidR="00CF01F0" w:rsidRPr="00CF01F0" w:rsidRDefault="00CF01F0" w:rsidP="00CF01F0">
            <w:pPr>
              <w:rPr>
                <w:rFonts w:ascii="Arial" w:hAnsi="Arial" w:cs="Arial"/>
                <w:b/>
                <w:lang w:val="en-GB"/>
              </w:rPr>
            </w:pPr>
            <w:r w:rsidRPr="00CF01F0">
              <w:rPr>
                <w:rFonts w:ascii="Arial" w:hAnsi="Arial" w:cs="Arial"/>
                <w:b/>
                <w:lang w:val="en-GB"/>
              </w:rPr>
              <w:t>Gross Result</w:t>
            </w:r>
          </w:p>
        </w:tc>
        <w:tc>
          <w:tcPr>
            <w:tcW w:w="1152" w:type="dxa"/>
          </w:tcPr>
          <w:p w14:paraId="22DD2F4B" w14:textId="77777777" w:rsidR="00CF01F0" w:rsidRPr="00CF01F0" w:rsidRDefault="00CF01F0" w:rsidP="00CF01F0">
            <w:pPr>
              <w:jc w:val="right"/>
              <w:rPr>
                <w:rFonts w:ascii="Arial" w:hAnsi="Arial" w:cs="Arial"/>
                <w:lang w:val="en-GB"/>
              </w:rPr>
            </w:pPr>
            <w:r w:rsidRPr="00CF01F0">
              <w:rPr>
                <w:rFonts w:ascii="Arial" w:hAnsi="Arial" w:cs="Arial"/>
                <w:lang w:val="en-GB"/>
              </w:rPr>
              <w:t>46,350</w:t>
            </w:r>
          </w:p>
        </w:tc>
        <w:tc>
          <w:tcPr>
            <w:tcW w:w="1152" w:type="dxa"/>
          </w:tcPr>
          <w:p w14:paraId="1A6C0E37" w14:textId="77777777" w:rsidR="00CF01F0" w:rsidRPr="00CF01F0" w:rsidRDefault="00CF01F0" w:rsidP="00CF01F0">
            <w:pPr>
              <w:jc w:val="right"/>
              <w:rPr>
                <w:rFonts w:ascii="Arial" w:hAnsi="Arial" w:cs="Arial"/>
                <w:lang w:val="en-GB"/>
              </w:rPr>
            </w:pPr>
            <w:r w:rsidRPr="00CF01F0">
              <w:rPr>
                <w:rFonts w:ascii="Arial" w:hAnsi="Arial" w:cs="Arial"/>
                <w:lang w:val="en-GB"/>
              </w:rPr>
              <w:t>43,549</w:t>
            </w:r>
          </w:p>
        </w:tc>
      </w:tr>
      <w:tr w:rsidR="00CF01F0" w:rsidRPr="00CF01F0" w14:paraId="3EC1DA2D" w14:textId="77777777" w:rsidTr="0088622F">
        <w:trPr>
          <w:jc w:val="center"/>
        </w:trPr>
        <w:tc>
          <w:tcPr>
            <w:tcW w:w="5524" w:type="dxa"/>
            <w:vAlign w:val="center"/>
          </w:tcPr>
          <w:p w14:paraId="05EBF6D3" w14:textId="77777777" w:rsidR="00CF01F0" w:rsidRPr="00CF01F0" w:rsidRDefault="00CF01F0" w:rsidP="00CF01F0">
            <w:pPr>
              <w:rPr>
                <w:rFonts w:ascii="Arial" w:hAnsi="Arial" w:cs="Arial"/>
                <w:lang w:val="en-GB"/>
              </w:rPr>
            </w:pPr>
            <w:r w:rsidRPr="00CF01F0">
              <w:rPr>
                <w:rFonts w:ascii="Arial" w:hAnsi="Arial" w:cs="Arial"/>
                <w:lang w:val="en-GB"/>
              </w:rPr>
              <w:t>Distribution Expenses</w:t>
            </w:r>
          </w:p>
        </w:tc>
        <w:tc>
          <w:tcPr>
            <w:tcW w:w="1152" w:type="dxa"/>
          </w:tcPr>
          <w:p w14:paraId="4868B29A" w14:textId="77777777" w:rsidR="00CF01F0" w:rsidRPr="00CF01F0" w:rsidRDefault="00CF01F0" w:rsidP="00CF01F0">
            <w:pPr>
              <w:jc w:val="right"/>
              <w:rPr>
                <w:rFonts w:ascii="Arial" w:hAnsi="Arial" w:cs="Arial"/>
                <w:lang w:val="en-GB"/>
              </w:rPr>
            </w:pPr>
            <w:r w:rsidRPr="00CF01F0">
              <w:rPr>
                <w:rFonts w:ascii="Arial" w:hAnsi="Arial" w:cs="Arial"/>
                <w:lang w:val="en-GB"/>
              </w:rPr>
              <w:t>(20,510)</w:t>
            </w:r>
          </w:p>
        </w:tc>
        <w:tc>
          <w:tcPr>
            <w:tcW w:w="1152" w:type="dxa"/>
          </w:tcPr>
          <w:p w14:paraId="73988F64" w14:textId="77777777" w:rsidR="00CF01F0" w:rsidRPr="00CF01F0" w:rsidRDefault="00CF01F0" w:rsidP="00CF01F0">
            <w:pPr>
              <w:jc w:val="right"/>
              <w:rPr>
                <w:rFonts w:ascii="Arial" w:hAnsi="Arial" w:cs="Arial"/>
                <w:lang w:val="en-GB"/>
              </w:rPr>
            </w:pPr>
            <w:r w:rsidRPr="00CF01F0">
              <w:rPr>
                <w:rFonts w:ascii="Arial" w:hAnsi="Arial" w:cs="Arial"/>
                <w:lang w:val="en-GB"/>
              </w:rPr>
              <w:t>(20,859)</w:t>
            </w:r>
          </w:p>
        </w:tc>
      </w:tr>
      <w:tr w:rsidR="00CF01F0" w:rsidRPr="00CF01F0" w14:paraId="7E9170F8" w14:textId="77777777" w:rsidTr="0088622F">
        <w:trPr>
          <w:jc w:val="center"/>
        </w:trPr>
        <w:tc>
          <w:tcPr>
            <w:tcW w:w="5524" w:type="dxa"/>
            <w:vAlign w:val="center"/>
          </w:tcPr>
          <w:p w14:paraId="2DDBCB16" w14:textId="77777777" w:rsidR="00CF01F0" w:rsidRPr="00CF01F0" w:rsidRDefault="00CF01F0" w:rsidP="00CF01F0">
            <w:pPr>
              <w:rPr>
                <w:rFonts w:ascii="Arial" w:hAnsi="Arial" w:cs="Arial"/>
                <w:lang w:val="en-GB"/>
              </w:rPr>
            </w:pPr>
            <w:r w:rsidRPr="00CF01F0">
              <w:rPr>
                <w:rFonts w:ascii="Arial" w:hAnsi="Arial" w:cs="Arial"/>
                <w:lang w:val="en-GB"/>
              </w:rPr>
              <w:t>Administration Expenses</w:t>
            </w:r>
          </w:p>
        </w:tc>
        <w:tc>
          <w:tcPr>
            <w:tcW w:w="1152" w:type="dxa"/>
          </w:tcPr>
          <w:p w14:paraId="640AE38E" w14:textId="77777777" w:rsidR="00CF01F0" w:rsidRPr="00CF01F0" w:rsidRDefault="00CF01F0" w:rsidP="00CF01F0">
            <w:pPr>
              <w:jc w:val="right"/>
              <w:rPr>
                <w:rFonts w:ascii="Arial" w:hAnsi="Arial" w:cs="Arial"/>
                <w:lang w:val="en-GB"/>
              </w:rPr>
            </w:pPr>
            <w:r w:rsidRPr="00CF01F0">
              <w:rPr>
                <w:rFonts w:ascii="Arial" w:hAnsi="Arial" w:cs="Arial"/>
                <w:lang w:val="en-GB"/>
              </w:rPr>
              <w:t>(8,819)</w:t>
            </w:r>
          </w:p>
        </w:tc>
        <w:tc>
          <w:tcPr>
            <w:tcW w:w="1152" w:type="dxa"/>
          </w:tcPr>
          <w:p w14:paraId="10C8B341" w14:textId="77777777" w:rsidR="00CF01F0" w:rsidRPr="00CF01F0" w:rsidRDefault="00CF01F0" w:rsidP="00CF01F0">
            <w:pPr>
              <w:jc w:val="right"/>
              <w:rPr>
                <w:rFonts w:ascii="Arial" w:hAnsi="Arial" w:cs="Arial"/>
                <w:lang w:val="en-GB"/>
              </w:rPr>
            </w:pPr>
            <w:r w:rsidRPr="00CF01F0">
              <w:rPr>
                <w:rFonts w:ascii="Arial" w:hAnsi="Arial" w:cs="Arial"/>
                <w:lang w:val="en-GB"/>
              </w:rPr>
              <w:t>(8,126)</w:t>
            </w:r>
          </w:p>
        </w:tc>
      </w:tr>
      <w:tr w:rsidR="00CF01F0" w:rsidRPr="00CF01F0" w14:paraId="2B5F1850" w14:textId="77777777" w:rsidTr="0088622F">
        <w:trPr>
          <w:jc w:val="center"/>
        </w:trPr>
        <w:tc>
          <w:tcPr>
            <w:tcW w:w="5524" w:type="dxa"/>
            <w:vAlign w:val="center"/>
          </w:tcPr>
          <w:p w14:paraId="2CA7C851" w14:textId="77777777" w:rsidR="00CF01F0" w:rsidRPr="00CF01F0" w:rsidRDefault="00CF01F0" w:rsidP="00CF01F0">
            <w:pPr>
              <w:rPr>
                <w:rFonts w:ascii="Arial" w:hAnsi="Arial" w:cs="Arial"/>
                <w:lang w:val="en-GB"/>
              </w:rPr>
            </w:pPr>
            <w:r w:rsidRPr="00CF01F0">
              <w:rPr>
                <w:rFonts w:ascii="Arial" w:hAnsi="Arial" w:cs="Arial"/>
                <w:lang w:val="en-GB"/>
              </w:rPr>
              <w:t>Other Operating Income</w:t>
            </w:r>
          </w:p>
        </w:tc>
        <w:tc>
          <w:tcPr>
            <w:tcW w:w="1152" w:type="dxa"/>
          </w:tcPr>
          <w:p w14:paraId="3BBC8665" w14:textId="77777777" w:rsidR="00CF01F0" w:rsidRPr="00CF01F0" w:rsidRDefault="00CF01F0" w:rsidP="00CF01F0">
            <w:pPr>
              <w:jc w:val="right"/>
              <w:rPr>
                <w:rFonts w:ascii="Arial" w:hAnsi="Arial" w:cs="Arial"/>
                <w:lang w:val="en-GB"/>
              </w:rPr>
            </w:pPr>
            <w:r w:rsidRPr="00CF01F0">
              <w:rPr>
                <w:rFonts w:ascii="Arial" w:hAnsi="Arial" w:cs="Arial"/>
                <w:lang w:val="en-GB"/>
              </w:rPr>
              <w:t>11,631</w:t>
            </w:r>
          </w:p>
        </w:tc>
        <w:tc>
          <w:tcPr>
            <w:tcW w:w="1152" w:type="dxa"/>
          </w:tcPr>
          <w:p w14:paraId="4A7CA8A8" w14:textId="77777777" w:rsidR="00CF01F0" w:rsidRPr="00CF01F0" w:rsidRDefault="00CF01F0" w:rsidP="00CF01F0">
            <w:pPr>
              <w:jc w:val="right"/>
              <w:rPr>
                <w:rFonts w:ascii="Arial" w:hAnsi="Arial" w:cs="Arial"/>
                <w:lang w:val="en-GB"/>
              </w:rPr>
            </w:pPr>
            <w:r w:rsidRPr="00CF01F0">
              <w:rPr>
                <w:rFonts w:ascii="Arial" w:hAnsi="Arial" w:cs="Arial"/>
                <w:lang w:val="en-GB"/>
              </w:rPr>
              <w:t>11,514</w:t>
            </w:r>
          </w:p>
        </w:tc>
      </w:tr>
      <w:tr w:rsidR="00CF01F0" w:rsidRPr="00CF01F0" w14:paraId="3E780C1F" w14:textId="77777777" w:rsidTr="0088622F">
        <w:trPr>
          <w:jc w:val="center"/>
        </w:trPr>
        <w:tc>
          <w:tcPr>
            <w:tcW w:w="5524" w:type="dxa"/>
            <w:vAlign w:val="center"/>
          </w:tcPr>
          <w:p w14:paraId="7A348263" w14:textId="77777777" w:rsidR="00CF01F0" w:rsidRPr="00CF01F0" w:rsidRDefault="00CF01F0" w:rsidP="00CF01F0">
            <w:pPr>
              <w:rPr>
                <w:rFonts w:ascii="Arial" w:hAnsi="Arial" w:cs="Arial"/>
                <w:lang w:val="en-GB"/>
              </w:rPr>
            </w:pPr>
            <w:r w:rsidRPr="00CF01F0">
              <w:rPr>
                <w:rFonts w:ascii="Arial" w:hAnsi="Arial" w:cs="Arial"/>
                <w:lang w:val="en-GB"/>
              </w:rPr>
              <w:t>Other Operating Expenses</w:t>
            </w:r>
          </w:p>
        </w:tc>
        <w:tc>
          <w:tcPr>
            <w:tcW w:w="1152" w:type="dxa"/>
          </w:tcPr>
          <w:p w14:paraId="4B7AFB30" w14:textId="77777777" w:rsidR="00CF01F0" w:rsidRPr="00CF01F0" w:rsidRDefault="00CF01F0" w:rsidP="00CF01F0">
            <w:pPr>
              <w:jc w:val="right"/>
              <w:rPr>
                <w:rFonts w:ascii="Arial" w:hAnsi="Arial" w:cs="Arial"/>
                <w:lang w:val="en-GB"/>
              </w:rPr>
            </w:pPr>
            <w:r w:rsidRPr="00CF01F0">
              <w:rPr>
                <w:rFonts w:ascii="Arial" w:hAnsi="Arial" w:cs="Arial"/>
                <w:lang w:val="en-GB"/>
              </w:rPr>
              <w:t>(14,731)</w:t>
            </w:r>
          </w:p>
        </w:tc>
        <w:tc>
          <w:tcPr>
            <w:tcW w:w="1152" w:type="dxa"/>
          </w:tcPr>
          <w:p w14:paraId="48033794" w14:textId="77777777" w:rsidR="00CF01F0" w:rsidRPr="00CF01F0" w:rsidRDefault="00CF01F0" w:rsidP="00CF01F0">
            <w:pPr>
              <w:jc w:val="right"/>
              <w:rPr>
                <w:rFonts w:ascii="Arial" w:hAnsi="Arial" w:cs="Arial"/>
                <w:lang w:val="en-GB"/>
              </w:rPr>
            </w:pPr>
            <w:r w:rsidRPr="00CF01F0">
              <w:rPr>
                <w:rFonts w:ascii="Arial" w:hAnsi="Arial" w:cs="Arial"/>
                <w:lang w:val="en-GB"/>
              </w:rPr>
              <w:t>(12,259)</w:t>
            </w:r>
          </w:p>
        </w:tc>
      </w:tr>
      <w:tr w:rsidR="00CF01F0" w:rsidRPr="00CF01F0" w14:paraId="5C05A41A" w14:textId="77777777" w:rsidTr="0088622F">
        <w:trPr>
          <w:jc w:val="center"/>
        </w:trPr>
        <w:tc>
          <w:tcPr>
            <w:tcW w:w="5524" w:type="dxa"/>
            <w:vAlign w:val="center"/>
          </w:tcPr>
          <w:p w14:paraId="1E75D58F" w14:textId="77777777" w:rsidR="00CF01F0" w:rsidRPr="00CF01F0" w:rsidRDefault="00CF01F0" w:rsidP="00CF01F0">
            <w:pPr>
              <w:rPr>
                <w:rFonts w:ascii="Arial" w:hAnsi="Arial" w:cs="Arial"/>
                <w:b/>
                <w:lang w:val="en-GB"/>
              </w:rPr>
            </w:pPr>
            <w:r w:rsidRPr="00CF01F0">
              <w:rPr>
                <w:rFonts w:ascii="Arial" w:hAnsi="Arial" w:cs="Arial"/>
                <w:b/>
                <w:lang w:val="en-GB"/>
              </w:rPr>
              <w:t>Operating Result</w:t>
            </w:r>
          </w:p>
        </w:tc>
        <w:tc>
          <w:tcPr>
            <w:tcW w:w="1152" w:type="dxa"/>
          </w:tcPr>
          <w:p w14:paraId="298E8FB0" w14:textId="77777777" w:rsidR="00CF01F0" w:rsidRPr="00CF01F0" w:rsidRDefault="00CF01F0" w:rsidP="00CF01F0">
            <w:pPr>
              <w:jc w:val="right"/>
              <w:rPr>
                <w:rFonts w:ascii="Arial" w:hAnsi="Arial" w:cs="Arial"/>
                <w:b/>
                <w:lang w:val="en-GB"/>
              </w:rPr>
            </w:pPr>
            <w:r w:rsidRPr="00CF01F0">
              <w:rPr>
                <w:rFonts w:ascii="Arial" w:hAnsi="Arial" w:cs="Arial"/>
                <w:b/>
                <w:lang w:val="en-GB"/>
              </w:rPr>
              <w:t>13,920</w:t>
            </w:r>
          </w:p>
        </w:tc>
        <w:tc>
          <w:tcPr>
            <w:tcW w:w="1152" w:type="dxa"/>
          </w:tcPr>
          <w:p w14:paraId="5D2B2A61" w14:textId="77777777" w:rsidR="00CF01F0" w:rsidRPr="00CF01F0" w:rsidRDefault="00CF01F0" w:rsidP="00CF01F0">
            <w:pPr>
              <w:jc w:val="right"/>
              <w:rPr>
                <w:rFonts w:ascii="Arial" w:hAnsi="Arial" w:cs="Arial"/>
                <w:b/>
                <w:lang w:val="en-GB"/>
              </w:rPr>
            </w:pPr>
            <w:r w:rsidRPr="00CF01F0">
              <w:rPr>
                <w:rFonts w:ascii="Arial" w:hAnsi="Arial" w:cs="Arial"/>
                <w:b/>
                <w:lang w:val="en-GB"/>
              </w:rPr>
              <w:t>13,818</w:t>
            </w:r>
          </w:p>
        </w:tc>
      </w:tr>
      <w:tr w:rsidR="00CF01F0" w:rsidRPr="00CF01F0" w14:paraId="3CB0303B" w14:textId="77777777" w:rsidTr="0088622F">
        <w:trPr>
          <w:jc w:val="center"/>
        </w:trPr>
        <w:tc>
          <w:tcPr>
            <w:tcW w:w="5524" w:type="dxa"/>
            <w:vAlign w:val="center"/>
          </w:tcPr>
          <w:p w14:paraId="5F75639E" w14:textId="77777777" w:rsidR="00CF01F0" w:rsidRPr="00CF01F0" w:rsidRDefault="00CF01F0" w:rsidP="00CF01F0">
            <w:pPr>
              <w:rPr>
                <w:rFonts w:ascii="Arial" w:hAnsi="Arial" w:cs="Arial"/>
                <w:lang w:val="en-GB"/>
              </w:rPr>
            </w:pPr>
            <w:r w:rsidRPr="00CF01F0">
              <w:rPr>
                <w:rFonts w:ascii="Arial" w:hAnsi="Arial" w:cs="Arial"/>
                <w:lang w:val="en-GB"/>
              </w:rPr>
              <w:t>Share of the Result of Equity-Accounted Investments</w:t>
            </w:r>
          </w:p>
        </w:tc>
        <w:tc>
          <w:tcPr>
            <w:tcW w:w="1152" w:type="dxa"/>
          </w:tcPr>
          <w:p w14:paraId="357B8D00" w14:textId="77777777" w:rsidR="00CF01F0" w:rsidRPr="00CF01F0" w:rsidRDefault="00CF01F0" w:rsidP="00CF01F0">
            <w:pPr>
              <w:jc w:val="right"/>
              <w:rPr>
                <w:rFonts w:ascii="Arial" w:hAnsi="Arial" w:cs="Arial"/>
                <w:lang w:val="en-GB"/>
              </w:rPr>
            </w:pPr>
            <w:r w:rsidRPr="00CF01F0">
              <w:rPr>
                <w:rFonts w:ascii="Arial" w:hAnsi="Arial" w:cs="Arial"/>
                <w:lang w:val="en-GB"/>
              </w:rPr>
              <w:t>3,369</w:t>
            </w:r>
          </w:p>
        </w:tc>
        <w:tc>
          <w:tcPr>
            <w:tcW w:w="1152" w:type="dxa"/>
          </w:tcPr>
          <w:p w14:paraId="5FDD025A" w14:textId="77777777" w:rsidR="00CF01F0" w:rsidRPr="00CF01F0" w:rsidRDefault="00CF01F0" w:rsidP="00CF01F0">
            <w:pPr>
              <w:jc w:val="right"/>
              <w:rPr>
                <w:rFonts w:ascii="Arial" w:hAnsi="Arial" w:cs="Arial"/>
                <w:lang w:val="en-GB"/>
              </w:rPr>
            </w:pPr>
            <w:r w:rsidRPr="00CF01F0">
              <w:rPr>
                <w:rFonts w:ascii="Arial" w:hAnsi="Arial" w:cs="Arial"/>
                <w:lang w:val="en-GB"/>
              </w:rPr>
              <w:t>3,482</w:t>
            </w:r>
          </w:p>
        </w:tc>
      </w:tr>
      <w:tr w:rsidR="00CF01F0" w:rsidRPr="00CF01F0" w14:paraId="241CCAA2" w14:textId="77777777" w:rsidTr="0088622F">
        <w:trPr>
          <w:jc w:val="center"/>
        </w:trPr>
        <w:tc>
          <w:tcPr>
            <w:tcW w:w="5524" w:type="dxa"/>
            <w:vAlign w:val="center"/>
          </w:tcPr>
          <w:p w14:paraId="4E3712BC" w14:textId="77777777" w:rsidR="00CF01F0" w:rsidRPr="00CF01F0" w:rsidRDefault="00CF01F0" w:rsidP="00CF01F0">
            <w:pPr>
              <w:rPr>
                <w:rFonts w:ascii="Arial" w:hAnsi="Arial" w:cs="Arial"/>
                <w:lang w:val="en-GB"/>
              </w:rPr>
            </w:pPr>
            <w:r w:rsidRPr="00CF01F0">
              <w:rPr>
                <w:rFonts w:ascii="Arial" w:hAnsi="Arial" w:cs="Arial"/>
                <w:lang w:val="en-GB"/>
              </w:rPr>
              <w:t>Interest Income</w:t>
            </w:r>
          </w:p>
        </w:tc>
        <w:tc>
          <w:tcPr>
            <w:tcW w:w="1152" w:type="dxa"/>
          </w:tcPr>
          <w:p w14:paraId="31D6A531" w14:textId="77777777" w:rsidR="00CF01F0" w:rsidRPr="00CF01F0" w:rsidRDefault="00CF01F0" w:rsidP="00CF01F0">
            <w:pPr>
              <w:jc w:val="right"/>
              <w:rPr>
                <w:rFonts w:ascii="Arial" w:hAnsi="Arial" w:cs="Arial"/>
                <w:lang w:val="en-GB"/>
              </w:rPr>
            </w:pPr>
            <w:r w:rsidRPr="00CF01F0">
              <w:rPr>
                <w:rFonts w:ascii="Arial" w:hAnsi="Arial" w:cs="Arial"/>
                <w:lang w:val="en-GB"/>
              </w:rPr>
              <w:t>967</w:t>
            </w:r>
          </w:p>
        </w:tc>
        <w:tc>
          <w:tcPr>
            <w:tcW w:w="1152" w:type="dxa"/>
          </w:tcPr>
          <w:p w14:paraId="128C1C0D" w14:textId="77777777" w:rsidR="00CF01F0" w:rsidRPr="00CF01F0" w:rsidRDefault="00CF01F0" w:rsidP="00CF01F0">
            <w:pPr>
              <w:jc w:val="right"/>
              <w:rPr>
                <w:rFonts w:ascii="Arial" w:hAnsi="Arial" w:cs="Arial"/>
                <w:lang w:val="en-GB"/>
              </w:rPr>
            </w:pPr>
            <w:r w:rsidRPr="00CF01F0">
              <w:rPr>
                <w:rFonts w:ascii="Arial" w:hAnsi="Arial" w:cs="Arial"/>
                <w:lang w:val="en-GB"/>
              </w:rPr>
              <w:t>951</w:t>
            </w:r>
          </w:p>
        </w:tc>
      </w:tr>
      <w:tr w:rsidR="00CF01F0" w:rsidRPr="00CF01F0" w14:paraId="3ED97711" w14:textId="77777777" w:rsidTr="0088622F">
        <w:trPr>
          <w:jc w:val="center"/>
        </w:trPr>
        <w:tc>
          <w:tcPr>
            <w:tcW w:w="5524" w:type="dxa"/>
            <w:vAlign w:val="center"/>
          </w:tcPr>
          <w:p w14:paraId="7F966D42" w14:textId="77777777" w:rsidR="00CF01F0" w:rsidRPr="00CF01F0" w:rsidRDefault="00CF01F0" w:rsidP="00CF01F0">
            <w:pPr>
              <w:rPr>
                <w:rFonts w:ascii="Arial" w:hAnsi="Arial" w:cs="Arial"/>
                <w:lang w:val="en-GB"/>
              </w:rPr>
            </w:pPr>
            <w:r w:rsidRPr="00CF01F0">
              <w:rPr>
                <w:rFonts w:ascii="Arial" w:hAnsi="Arial" w:cs="Arial"/>
                <w:lang w:val="en-GB"/>
              </w:rPr>
              <w:t>Interest Expenses</w:t>
            </w:r>
          </w:p>
        </w:tc>
        <w:tc>
          <w:tcPr>
            <w:tcW w:w="1152" w:type="dxa"/>
          </w:tcPr>
          <w:p w14:paraId="48EA76F6" w14:textId="77777777" w:rsidR="00CF01F0" w:rsidRPr="00CF01F0" w:rsidRDefault="00CF01F0" w:rsidP="00CF01F0">
            <w:pPr>
              <w:jc w:val="right"/>
              <w:rPr>
                <w:rFonts w:ascii="Arial" w:hAnsi="Arial" w:cs="Arial"/>
                <w:lang w:val="en-GB"/>
              </w:rPr>
            </w:pPr>
            <w:r w:rsidRPr="00CF01F0">
              <w:rPr>
                <w:rFonts w:ascii="Arial" w:hAnsi="Arial" w:cs="Arial"/>
                <w:lang w:val="en-GB"/>
              </w:rPr>
              <w:t>(1,547)</w:t>
            </w:r>
          </w:p>
        </w:tc>
        <w:tc>
          <w:tcPr>
            <w:tcW w:w="1152" w:type="dxa"/>
          </w:tcPr>
          <w:p w14:paraId="65E28A1D" w14:textId="77777777" w:rsidR="00CF01F0" w:rsidRPr="00CF01F0" w:rsidRDefault="00CF01F0" w:rsidP="00CF01F0">
            <w:pPr>
              <w:jc w:val="right"/>
              <w:rPr>
                <w:rFonts w:ascii="Arial" w:hAnsi="Arial" w:cs="Arial"/>
                <w:lang w:val="en-GB"/>
              </w:rPr>
            </w:pPr>
            <w:r w:rsidRPr="00CF01F0">
              <w:rPr>
                <w:rFonts w:ascii="Arial" w:hAnsi="Arial" w:cs="Arial"/>
                <w:lang w:val="en-GB"/>
              </w:rPr>
              <w:t>(2,317)</w:t>
            </w:r>
          </w:p>
        </w:tc>
      </w:tr>
      <w:tr w:rsidR="00CF01F0" w:rsidRPr="00CF01F0" w14:paraId="199A54EC" w14:textId="77777777" w:rsidTr="0088622F">
        <w:trPr>
          <w:jc w:val="center"/>
        </w:trPr>
        <w:tc>
          <w:tcPr>
            <w:tcW w:w="5524" w:type="dxa"/>
            <w:vAlign w:val="center"/>
          </w:tcPr>
          <w:p w14:paraId="37B99CAB" w14:textId="77777777" w:rsidR="00CF01F0" w:rsidRPr="00CF01F0" w:rsidRDefault="00CF01F0" w:rsidP="00CF01F0">
            <w:pPr>
              <w:rPr>
                <w:rFonts w:ascii="Arial" w:hAnsi="Arial" w:cs="Arial"/>
                <w:lang w:val="en-GB"/>
              </w:rPr>
            </w:pPr>
            <w:r w:rsidRPr="00CF01F0">
              <w:rPr>
                <w:rFonts w:ascii="Arial" w:hAnsi="Arial" w:cs="Arial"/>
                <w:lang w:val="en-GB"/>
              </w:rPr>
              <w:t>Other Financial Result</w:t>
            </w:r>
          </w:p>
        </w:tc>
        <w:tc>
          <w:tcPr>
            <w:tcW w:w="1152" w:type="dxa"/>
          </w:tcPr>
          <w:p w14:paraId="66BC2FA0" w14:textId="77777777" w:rsidR="00CF01F0" w:rsidRPr="00CF01F0" w:rsidRDefault="00CF01F0" w:rsidP="00CF01F0">
            <w:pPr>
              <w:jc w:val="right"/>
              <w:rPr>
                <w:rFonts w:ascii="Arial" w:hAnsi="Arial" w:cs="Arial"/>
                <w:lang w:val="en-GB"/>
              </w:rPr>
            </w:pPr>
            <w:r w:rsidRPr="00CF01F0">
              <w:rPr>
                <w:rFonts w:ascii="Arial" w:hAnsi="Arial" w:cs="Arial"/>
                <w:lang w:val="en-GB"/>
              </w:rPr>
              <w:t>(1,066)</w:t>
            </w:r>
          </w:p>
        </w:tc>
        <w:tc>
          <w:tcPr>
            <w:tcW w:w="1152" w:type="dxa"/>
          </w:tcPr>
          <w:p w14:paraId="5C7BEF5B" w14:textId="77777777" w:rsidR="00CF01F0" w:rsidRPr="00CF01F0" w:rsidRDefault="00CF01F0" w:rsidP="00CF01F0">
            <w:pPr>
              <w:jc w:val="right"/>
              <w:rPr>
                <w:rFonts w:ascii="Arial" w:hAnsi="Arial" w:cs="Arial"/>
                <w:lang w:val="en-GB"/>
              </w:rPr>
            </w:pPr>
            <w:r w:rsidRPr="00CF01F0">
              <w:rPr>
                <w:rFonts w:ascii="Arial" w:hAnsi="Arial" w:cs="Arial"/>
                <w:lang w:val="en-GB"/>
              </w:rPr>
              <w:t>(2,262)</w:t>
            </w:r>
          </w:p>
        </w:tc>
      </w:tr>
      <w:tr w:rsidR="00CF01F0" w:rsidRPr="00CF01F0" w14:paraId="594D7131" w14:textId="77777777" w:rsidTr="0088622F">
        <w:trPr>
          <w:jc w:val="center"/>
        </w:trPr>
        <w:tc>
          <w:tcPr>
            <w:tcW w:w="5524" w:type="dxa"/>
            <w:vAlign w:val="center"/>
          </w:tcPr>
          <w:p w14:paraId="50B89390" w14:textId="77777777" w:rsidR="00CF01F0" w:rsidRPr="00CF01F0" w:rsidRDefault="00CF01F0" w:rsidP="00CF01F0">
            <w:pPr>
              <w:rPr>
                <w:rFonts w:ascii="Arial" w:hAnsi="Arial" w:cs="Arial"/>
                <w:b/>
                <w:lang w:val="en-GB"/>
              </w:rPr>
            </w:pPr>
            <w:r w:rsidRPr="00CF01F0">
              <w:rPr>
                <w:rFonts w:ascii="Arial" w:hAnsi="Arial" w:cs="Arial"/>
                <w:b/>
                <w:lang w:val="en-GB"/>
              </w:rPr>
              <w:t>Financial Result</w:t>
            </w:r>
          </w:p>
        </w:tc>
        <w:tc>
          <w:tcPr>
            <w:tcW w:w="1152" w:type="dxa"/>
          </w:tcPr>
          <w:p w14:paraId="5401CD22" w14:textId="77777777" w:rsidR="00CF01F0" w:rsidRPr="00CF01F0" w:rsidRDefault="00CF01F0" w:rsidP="00CF01F0">
            <w:pPr>
              <w:jc w:val="right"/>
              <w:rPr>
                <w:rFonts w:ascii="Arial" w:hAnsi="Arial" w:cs="Arial"/>
                <w:b/>
                <w:lang w:val="en-GB"/>
              </w:rPr>
            </w:pPr>
            <w:r w:rsidRPr="00CF01F0">
              <w:rPr>
                <w:rFonts w:ascii="Arial" w:hAnsi="Arial" w:cs="Arial"/>
                <w:b/>
                <w:lang w:val="en-GB"/>
              </w:rPr>
              <w:t>1,723</w:t>
            </w:r>
          </w:p>
        </w:tc>
        <w:tc>
          <w:tcPr>
            <w:tcW w:w="1152" w:type="dxa"/>
          </w:tcPr>
          <w:p w14:paraId="642778AD" w14:textId="77777777" w:rsidR="00CF01F0" w:rsidRPr="00CF01F0" w:rsidRDefault="00CF01F0" w:rsidP="00CF01F0">
            <w:pPr>
              <w:jc w:val="right"/>
              <w:rPr>
                <w:rFonts w:ascii="Arial" w:hAnsi="Arial" w:cs="Arial"/>
                <w:b/>
                <w:lang w:val="en-GB"/>
              </w:rPr>
            </w:pPr>
            <w:r w:rsidRPr="00CF01F0">
              <w:rPr>
                <w:rFonts w:ascii="Arial" w:hAnsi="Arial" w:cs="Arial"/>
                <w:b/>
                <w:lang w:val="en-GB"/>
              </w:rPr>
              <w:t>(146)</w:t>
            </w:r>
          </w:p>
        </w:tc>
      </w:tr>
      <w:tr w:rsidR="00CF01F0" w:rsidRPr="00CF01F0" w14:paraId="3CC73887" w14:textId="77777777" w:rsidTr="0088622F">
        <w:trPr>
          <w:jc w:val="center"/>
        </w:trPr>
        <w:tc>
          <w:tcPr>
            <w:tcW w:w="5524" w:type="dxa"/>
            <w:vAlign w:val="center"/>
          </w:tcPr>
          <w:p w14:paraId="0AFC57AB" w14:textId="77777777" w:rsidR="00CF01F0" w:rsidRPr="00CF01F0" w:rsidRDefault="00CF01F0" w:rsidP="00CF01F0">
            <w:pPr>
              <w:rPr>
                <w:rFonts w:ascii="Arial" w:hAnsi="Arial" w:cs="Arial"/>
                <w:b/>
                <w:lang w:val="en-GB"/>
              </w:rPr>
            </w:pPr>
            <w:r w:rsidRPr="00CF01F0">
              <w:rPr>
                <w:rFonts w:ascii="Arial" w:hAnsi="Arial" w:cs="Arial"/>
                <w:b/>
                <w:lang w:val="en-GB"/>
              </w:rPr>
              <w:t>Earnings Before Tax</w:t>
            </w:r>
          </w:p>
        </w:tc>
        <w:tc>
          <w:tcPr>
            <w:tcW w:w="1152" w:type="dxa"/>
          </w:tcPr>
          <w:p w14:paraId="0DBC000F" w14:textId="77777777" w:rsidR="00CF01F0" w:rsidRPr="00CF01F0" w:rsidRDefault="00CF01F0" w:rsidP="00CF01F0">
            <w:pPr>
              <w:jc w:val="right"/>
              <w:rPr>
                <w:rFonts w:ascii="Arial" w:hAnsi="Arial" w:cs="Arial"/>
                <w:b/>
                <w:lang w:val="en-GB"/>
              </w:rPr>
            </w:pPr>
            <w:r w:rsidRPr="00CF01F0">
              <w:rPr>
                <w:rFonts w:ascii="Arial" w:hAnsi="Arial" w:cs="Arial"/>
                <w:b/>
                <w:lang w:val="en-GB"/>
              </w:rPr>
              <w:t>15,643</w:t>
            </w:r>
          </w:p>
        </w:tc>
        <w:tc>
          <w:tcPr>
            <w:tcW w:w="1152" w:type="dxa"/>
          </w:tcPr>
          <w:p w14:paraId="005AF720" w14:textId="77777777" w:rsidR="00CF01F0" w:rsidRPr="00CF01F0" w:rsidRDefault="00CF01F0" w:rsidP="00CF01F0">
            <w:pPr>
              <w:jc w:val="right"/>
              <w:rPr>
                <w:rFonts w:ascii="Arial" w:hAnsi="Arial" w:cs="Arial"/>
                <w:b/>
                <w:lang w:val="en-GB"/>
              </w:rPr>
            </w:pPr>
            <w:r w:rsidRPr="00CF01F0">
              <w:rPr>
                <w:rFonts w:ascii="Arial" w:hAnsi="Arial" w:cs="Arial"/>
                <w:b/>
                <w:lang w:val="en-GB"/>
              </w:rPr>
              <w:t>13,673</w:t>
            </w:r>
          </w:p>
        </w:tc>
      </w:tr>
      <w:tr w:rsidR="00CF01F0" w:rsidRPr="00CF01F0" w14:paraId="5138F442" w14:textId="77777777" w:rsidTr="0088622F">
        <w:trPr>
          <w:jc w:val="center"/>
        </w:trPr>
        <w:tc>
          <w:tcPr>
            <w:tcW w:w="5524" w:type="dxa"/>
            <w:vAlign w:val="center"/>
          </w:tcPr>
          <w:p w14:paraId="41D06BD6" w14:textId="77777777" w:rsidR="00CF01F0" w:rsidRPr="00CF01F0" w:rsidRDefault="00CF01F0" w:rsidP="00CF01F0">
            <w:pPr>
              <w:rPr>
                <w:rFonts w:ascii="Arial" w:hAnsi="Arial" w:cs="Arial"/>
                <w:lang w:val="en-GB"/>
              </w:rPr>
            </w:pPr>
            <w:r w:rsidRPr="00CF01F0">
              <w:rPr>
                <w:rFonts w:ascii="Arial" w:hAnsi="Arial" w:cs="Arial"/>
                <w:lang w:val="en-GB"/>
              </w:rPr>
              <w:t>Income Tax Income/Expense</w:t>
            </w:r>
          </w:p>
        </w:tc>
        <w:tc>
          <w:tcPr>
            <w:tcW w:w="1152" w:type="dxa"/>
          </w:tcPr>
          <w:p w14:paraId="73C5BBF8" w14:textId="77777777" w:rsidR="00CF01F0" w:rsidRPr="00CF01F0" w:rsidRDefault="00CF01F0" w:rsidP="00CF01F0">
            <w:pPr>
              <w:jc w:val="right"/>
              <w:rPr>
                <w:rFonts w:ascii="Arial" w:hAnsi="Arial" w:cs="Arial"/>
                <w:lang w:val="en-GB"/>
              </w:rPr>
            </w:pPr>
            <w:r w:rsidRPr="00CF01F0">
              <w:rPr>
                <w:rFonts w:ascii="Arial" w:hAnsi="Arial" w:cs="Arial"/>
                <w:lang w:val="en-GB"/>
              </w:rPr>
              <w:t>(3,489)</w:t>
            </w:r>
          </w:p>
        </w:tc>
        <w:tc>
          <w:tcPr>
            <w:tcW w:w="1152" w:type="dxa"/>
          </w:tcPr>
          <w:p w14:paraId="03C90106" w14:textId="77777777" w:rsidR="00CF01F0" w:rsidRPr="00CF01F0" w:rsidRDefault="00CF01F0" w:rsidP="00CF01F0">
            <w:pPr>
              <w:jc w:val="right"/>
              <w:rPr>
                <w:rFonts w:ascii="Arial" w:hAnsi="Arial" w:cs="Arial"/>
                <w:lang w:val="en-GB"/>
              </w:rPr>
            </w:pPr>
            <w:r w:rsidRPr="00CF01F0">
              <w:rPr>
                <w:rFonts w:ascii="Arial" w:hAnsi="Arial" w:cs="Arial"/>
                <w:lang w:val="en-GB"/>
              </w:rPr>
              <w:t>(2,210)</w:t>
            </w:r>
          </w:p>
        </w:tc>
      </w:tr>
      <w:tr w:rsidR="00CF01F0" w:rsidRPr="00CF01F0" w14:paraId="6FF85A0B" w14:textId="77777777" w:rsidTr="0088622F">
        <w:trPr>
          <w:jc w:val="center"/>
        </w:trPr>
        <w:tc>
          <w:tcPr>
            <w:tcW w:w="5524" w:type="dxa"/>
            <w:vAlign w:val="center"/>
          </w:tcPr>
          <w:p w14:paraId="10FF60D8" w14:textId="77777777" w:rsidR="00CF01F0" w:rsidRPr="00CF01F0" w:rsidRDefault="00CF01F0" w:rsidP="00CF01F0">
            <w:pPr>
              <w:rPr>
                <w:rFonts w:ascii="Arial" w:hAnsi="Arial" w:cs="Arial"/>
                <w:lang w:val="en-GB"/>
              </w:rPr>
            </w:pPr>
            <w:r w:rsidRPr="00CF01F0">
              <w:rPr>
                <w:rFonts w:ascii="Arial" w:hAnsi="Arial" w:cs="Arial"/>
                <w:b/>
                <w:lang w:val="en-GB"/>
              </w:rPr>
              <w:t>Earnings After Tax</w:t>
            </w:r>
          </w:p>
        </w:tc>
        <w:tc>
          <w:tcPr>
            <w:tcW w:w="1152" w:type="dxa"/>
          </w:tcPr>
          <w:p w14:paraId="30330248" w14:textId="77777777" w:rsidR="00CF01F0" w:rsidRPr="00CF01F0" w:rsidRDefault="00CF01F0" w:rsidP="00CF01F0">
            <w:pPr>
              <w:jc w:val="right"/>
              <w:rPr>
                <w:rFonts w:ascii="Arial" w:hAnsi="Arial" w:cs="Arial"/>
                <w:b/>
                <w:lang w:val="en-GB"/>
              </w:rPr>
            </w:pPr>
            <w:r w:rsidRPr="00CF01F0">
              <w:rPr>
                <w:rFonts w:ascii="Arial" w:hAnsi="Arial" w:cs="Arial"/>
                <w:b/>
                <w:lang w:val="en-GB"/>
              </w:rPr>
              <w:t>12,153</w:t>
            </w:r>
          </w:p>
        </w:tc>
        <w:tc>
          <w:tcPr>
            <w:tcW w:w="1152" w:type="dxa"/>
          </w:tcPr>
          <w:p w14:paraId="2FEB4665" w14:textId="77777777" w:rsidR="00CF01F0" w:rsidRPr="00CF01F0" w:rsidRDefault="00CF01F0" w:rsidP="00CF01F0">
            <w:pPr>
              <w:jc w:val="right"/>
              <w:rPr>
                <w:rFonts w:ascii="Arial" w:hAnsi="Arial" w:cs="Arial"/>
                <w:b/>
                <w:lang w:val="en-GB"/>
              </w:rPr>
            </w:pPr>
            <w:r w:rsidRPr="00CF01F0">
              <w:rPr>
                <w:rFonts w:ascii="Arial" w:hAnsi="Arial" w:cs="Arial"/>
                <w:b/>
                <w:lang w:val="en-GB"/>
              </w:rPr>
              <w:t>11,463</w:t>
            </w:r>
          </w:p>
        </w:tc>
      </w:tr>
      <w:tr w:rsidR="00CF01F0" w:rsidRPr="00CF01F0" w14:paraId="7C53BE54" w14:textId="77777777" w:rsidTr="0088622F">
        <w:trPr>
          <w:jc w:val="center"/>
        </w:trPr>
        <w:tc>
          <w:tcPr>
            <w:tcW w:w="5524" w:type="dxa"/>
            <w:vAlign w:val="center"/>
          </w:tcPr>
          <w:p w14:paraId="25A35188" w14:textId="77777777" w:rsidR="00CF01F0" w:rsidRPr="00CF01F0" w:rsidRDefault="00CF01F0" w:rsidP="00CF01F0">
            <w:pPr>
              <w:rPr>
                <w:rFonts w:ascii="Arial" w:hAnsi="Arial" w:cs="Arial"/>
                <w:lang w:val="en-GB"/>
              </w:rPr>
            </w:pPr>
            <w:r w:rsidRPr="00CF01F0">
              <w:rPr>
                <w:rFonts w:ascii="Arial" w:hAnsi="Arial" w:cs="Arial"/>
                <w:lang w:val="en-GB"/>
              </w:rPr>
              <w:t>Of Which Attributable to</w:t>
            </w:r>
          </w:p>
        </w:tc>
        <w:tc>
          <w:tcPr>
            <w:tcW w:w="1152" w:type="dxa"/>
          </w:tcPr>
          <w:p w14:paraId="057B99DD" w14:textId="77777777" w:rsidR="00CF01F0" w:rsidRPr="00CF01F0" w:rsidRDefault="00CF01F0" w:rsidP="00CF01F0">
            <w:pPr>
              <w:jc w:val="right"/>
              <w:rPr>
                <w:rFonts w:ascii="Arial" w:hAnsi="Arial" w:cs="Arial"/>
                <w:lang w:val="en-GB"/>
              </w:rPr>
            </w:pPr>
          </w:p>
        </w:tc>
        <w:tc>
          <w:tcPr>
            <w:tcW w:w="1152" w:type="dxa"/>
          </w:tcPr>
          <w:p w14:paraId="71CA6363" w14:textId="77777777" w:rsidR="00CF01F0" w:rsidRPr="00CF01F0" w:rsidRDefault="00CF01F0" w:rsidP="00CF01F0">
            <w:pPr>
              <w:jc w:val="right"/>
              <w:rPr>
                <w:rFonts w:ascii="Arial" w:hAnsi="Arial" w:cs="Arial"/>
                <w:lang w:val="en-GB"/>
              </w:rPr>
            </w:pPr>
          </w:p>
        </w:tc>
      </w:tr>
      <w:tr w:rsidR="00CF01F0" w:rsidRPr="00CF01F0" w14:paraId="6C5742D5" w14:textId="77777777" w:rsidTr="0088622F">
        <w:trPr>
          <w:jc w:val="center"/>
        </w:trPr>
        <w:tc>
          <w:tcPr>
            <w:tcW w:w="5524" w:type="dxa"/>
            <w:vAlign w:val="center"/>
          </w:tcPr>
          <w:p w14:paraId="33B995FA" w14:textId="77777777" w:rsidR="00CF01F0" w:rsidRPr="00CF01F0" w:rsidRDefault="00CF01F0" w:rsidP="00CF01F0">
            <w:pPr>
              <w:rPr>
                <w:rFonts w:ascii="Arial" w:hAnsi="Arial" w:cs="Arial"/>
                <w:lang w:val="en-GB"/>
              </w:rPr>
            </w:pPr>
            <w:r w:rsidRPr="00CF01F0">
              <w:rPr>
                <w:rFonts w:ascii="Arial" w:hAnsi="Arial" w:cs="Arial"/>
                <w:lang w:val="en-GB"/>
              </w:rPr>
              <w:t xml:space="preserve">  Noncontrolling Interests</w:t>
            </w:r>
          </w:p>
        </w:tc>
        <w:tc>
          <w:tcPr>
            <w:tcW w:w="1152" w:type="dxa"/>
          </w:tcPr>
          <w:p w14:paraId="71BB5C3A" w14:textId="77777777" w:rsidR="00CF01F0" w:rsidRPr="00CF01F0" w:rsidRDefault="00CF01F0" w:rsidP="00CF01F0">
            <w:pPr>
              <w:jc w:val="right"/>
              <w:rPr>
                <w:rFonts w:ascii="Arial" w:hAnsi="Arial" w:cs="Arial"/>
                <w:lang w:val="en-GB"/>
              </w:rPr>
            </w:pPr>
            <w:r w:rsidRPr="00CF01F0">
              <w:rPr>
                <w:rFonts w:ascii="Arial" w:hAnsi="Arial" w:cs="Arial"/>
                <w:lang w:val="en-GB"/>
              </w:rPr>
              <w:t>17</w:t>
            </w:r>
          </w:p>
        </w:tc>
        <w:tc>
          <w:tcPr>
            <w:tcW w:w="1152" w:type="dxa"/>
          </w:tcPr>
          <w:p w14:paraId="3BCE170E" w14:textId="77777777" w:rsidR="00CF01F0" w:rsidRPr="00CF01F0" w:rsidRDefault="00CF01F0" w:rsidP="00CF01F0">
            <w:pPr>
              <w:jc w:val="right"/>
              <w:rPr>
                <w:rFonts w:ascii="Arial" w:hAnsi="Arial" w:cs="Arial"/>
                <w:lang w:val="en-GB"/>
              </w:rPr>
            </w:pPr>
            <w:r w:rsidRPr="00CF01F0">
              <w:rPr>
                <w:rFonts w:ascii="Arial" w:hAnsi="Arial" w:cs="Arial"/>
                <w:lang w:val="en-GB"/>
              </w:rPr>
              <w:t>10</w:t>
            </w:r>
          </w:p>
        </w:tc>
      </w:tr>
      <w:tr w:rsidR="00CF01F0" w:rsidRPr="00CF01F0" w14:paraId="27A5995C" w14:textId="77777777" w:rsidTr="0088622F">
        <w:trPr>
          <w:jc w:val="center"/>
        </w:trPr>
        <w:tc>
          <w:tcPr>
            <w:tcW w:w="5524" w:type="dxa"/>
            <w:vAlign w:val="center"/>
          </w:tcPr>
          <w:p w14:paraId="6AABE1E8" w14:textId="77777777" w:rsidR="00CF01F0" w:rsidRPr="00CF01F0" w:rsidRDefault="00CF01F0" w:rsidP="00CF01F0">
            <w:pPr>
              <w:rPr>
                <w:rFonts w:ascii="Arial" w:hAnsi="Arial" w:cs="Arial"/>
                <w:lang w:val="en-GB"/>
              </w:rPr>
            </w:pPr>
            <w:r w:rsidRPr="00CF01F0">
              <w:rPr>
                <w:rFonts w:ascii="Arial" w:hAnsi="Arial" w:cs="Arial"/>
                <w:lang w:val="en-GB"/>
              </w:rPr>
              <w:t xml:space="preserve">  Volkswagen AG Hybrid Capital Investors</w:t>
            </w:r>
          </w:p>
        </w:tc>
        <w:tc>
          <w:tcPr>
            <w:tcW w:w="1152" w:type="dxa"/>
          </w:tcPr>
          <w:p w14:paraId="5F067D49" w14:textId="77777777" w:rsidR="00CF01F0" w:rsidRPr="00CF01F0" w:rsidRDefault="00CF01F0" w:rsidP="00CF01F0">
            <w:pPr>
              <w:jc w:val="right"/>
              <w:rPr>
                <w:rFonts w:ascii="Arial" w:hAnsi="Arial" w:cs="Arial"/>
                <w:lang w:val="en-GB"/>
              </w:rPr>
            </w:pPr>
            <w:r w:rsidRPr="00CF01F0">
              <w:rPr>
                <w:rFonts w:ascii="Arial" w:hAnsi="Arial" w:cs="Arial"/>
                <w:lang w:val="en-GB"/>
              </w:rPr>
              <w:t>309</w:t>
            </w:r>
          </w:p>
        </w:tc>
        <w:tc>
          <w:tcPr>
            <w:tcW w:w="1152" w:type="dxa"/>
          </w:tcPr>
          <w:p w14:paraId="17014AF7" w14:textId="77777777" w:rsidR="00CF01F0" w:rsidRPr="00CF01F0" w:rsidRDefault="00CF01F0" w:rsidP="00CF01F0">
            <w:pPr>
              <w:jc w:val="right"/>
              <w:rPr>
                <w:rFonts w:ascii="Arial" w:hAnsi="Arial" w:cs="Arial"/>
                <w:lang w:val="en-GB"/>
              </w:rPr>
            </w:pPr>
            <w:r w:rsidRPr="00CF01F0">
              <w:rPr>
                <w:rFonts w:ascii="Arial" w:hAnsi="Arial" w:cs="Arial"/>
                <w:lang w:val="en-GB"/>
              </w:rPr>
              <w:t>274</w:t>
            </w:r>
          </w:p>
        </w:tc>
      </w:tr>
      <w:tr w:rsidR="00CF01F0" w:rsidRPr="00CF01F0" w14:paraId="658C64DA" w14:textId="77777777" w:rsidTr="0088622F">
        <w:trPr>
          <w:jc w:val="center"/>
        </w:trPr>
        <w:tc>
          <w:tcPr>
            <w:tcW w:w="5524" w:type="dxa"/>
            <w:vAlign w:val="center"/>
          </w:tcPr>
          <w:p w14:paraId="16F917AC" w14:textId="77777777" w:rsidR="00CF01F0" w:rsidRPr="00CF01F0" w:rsidRDefault="00CF01F0" w:rsidP="00CF01F0">
            <w:pPr>
              <w:rPr>
                <w:rFonts w:ascii="Arial" w:hAnsi="Arial" w:cs="Arial"/>
                <w:lang w:val="en-GB"/>
              </w:rPr>
            </w:pPr>
            <w:r w:rsidRPr="00CF01F0">
              <w:rPr>
                <w:rFonts w:ascii="Arial" w:hAnsi="Arial" w:cs="Arial"/>
                <w:lang w:val="en-GB"/>
              </w:rPr>
              <w:t xml:space="preserve">  Volkswagen AG Shareholders</w:t>
            </w:r>
          </w:p>
        </w:tc>
        <w:tc>
          <w:tcPr>
            <w:tcW w:w="1152" w:type="dxa"/>
          </w:tcPr>
          <w:p w14:paraId="6D0DCC44" w14:textId="77777777" w:rsidR="00CF01F0" w:rsidRPr="00CF01F0" w:rsidRDefault="00CF01F0" w:rsidP="00CF01F0">
            <w:pPr>
              <w:jc w:val="right"/>
              <w:rPr>
                <w:rFonts w:ascii="Arial" w:hAnsi="Arial" w:cs="Arial"/>
                <w:lang w:val="en-GB"/>
              </w:rPr>
            </w:pPr>
            <w:r w:rsidRPr="00CF01F0">
              <w:rPr>
                <w:rFonts w:ascii="Arial" w:hAnsi="Arial" w:cs="Arial"/>
                <w:lang w:val="en-GB"/>
              </w:rPr>
              <w:t>11,827</w:t>
            </w:r>
          </w:p>
        </w:tc>
        <w:tc>
          <w:tcPr>
            <w:tcW w:w="1152" w:type="dxa"/>
          </w:tcPr>
          <w:p w14:paraId="4562420A" w14:textId="77777777" w:rsidR="00CF01F0" w:rsidRPr="00CF01F0" w:rsidRDefault="00CF01F0" w:rsidP="00CF01F0">
            <w:pPr>
              <w:jc w:val="right"/>
              <w:rPr>
                <w:rFonts w:ascii="Arial" w:hAnsi="Arial" w:cs="Arial"/>
                <w:lang w:val="en-GB"/>
              </w:rPr>
            </w:pPr>
            <w:r w:rsidRPr="00CF01F0">
              <w:rPr>
                <w:rFonts w:ascii="Arial" w:hAnsi="Arial" w:cs="Arial"/>
                <w:lang w:val="en-GB"/>
              </w:rPr>
              <w:t>11,179</w:t>
            </w:r>
          </w:p>
        </w:tc>
      </w:tr>
    </w:tbl>
    <w:p w14:paraId="5605FCA0" w14:textId="77777777" w:rsidR="00CF01F0" w:rsidRPr="00CF01F0" w:rsidRDefault="00CF01F0" w:rsidP="0088622F">
      <w:pPr>
        <w:pStyle w:val="FootnoteText1"/>
      </w:pPr>
    </w:p>
    <w:p w14:paraId="2D6258BB" w14:textId="7296A99C" w:rsidR="00790E25" w:rsidRDefault="00CF01F0" w:rsidP="0088622F">
      <w:pPr>
        <w:pStyle w:val="FootnoteText1"/>
      </w:pPr>
      <w:r w:rsidRPr="00CF01F0">
        <w:t>Source: Created by case authors using data from Volkswagen AG,</w:t>
      </w:r>
      <w:r w:rsidRPr="00CF01F0">
        <w:rPr>
          <w:i/>
        </w:rPr>
        <w:t xml:space="preserve"> Full Speed Ahead to the Future: Annual Report 2018</w:t>
      </w:r>
      <w:r w:rsidRPr="00CF01F0">
        <w:t xml:space="preserve">, 115, 2019, accessed April 17, 2019, </w:t>
      </w:r>
      <w:r w:rsidR="00790E25" w:rsidRPr="00790E25">
        <w:t>www.volkswagenag.com/presence/investorrelation/publications/annual-reports/2019/volks</w:t>
      </w:r>
    </w:p>
    <w:p w14:paraId="3EB96283" w14:textId="04FB07AE" w:rsidR="00CF01F0" w:rsidRPr="00CF01F0" w:rsidRDefault="00CF01F0" w:rsidP="0088622F">
      <w:pPr>
        <w:pStyle w:val="FootnoteText1"/>
      </w:pPr>
      <w:proofErr w:type="spellStart"/>
      <w:r w:rsidRPr="00CF01F0">
        <w:t>wagen</w:t>
      </w:r>
      <w:proofErr w:type="spellEnd"/>
      <w:r w:rsidRPr="00CF01F0">
        <w:t>/</w:t>
      </w:r>
      <w:proofErr w:type="spellStart"/>
      <w:r w:rsidRPr="00CF01F0">
        <w:t>en</w:t>
      </w:r>
      <w:proofErr w:type="spellEnd"/>
      <w:r w:rsidRPr="00CF01F0">
        <w:t>/Y_2018_e.pdf.</w:t>
      </w:r>
    </w:p>
    <w:p w14:paraId="69051401" w14:textId="77777777" w:rsidR="00CF01F0" w:rsidRPr="00CF01F0" w:rsidRDefault="00CF01F0" w:rsidP="0088622F">
      <w:pPr>
        <w:pStyle w:val="BodyTextMain"/>
      </w:pPr>
    </w:p>
    <w:p w14:paraId="00D84CB4" w14:textId="05033949" w:rsidR="00CF01F0" w:rsidRDefault="00CF01F0" w:rsidP="0088622F">
      <w:pPr>
        <w:pStyle w:val="BodyTextMain"/>
      </w:pPr>
    </w:p>
    <w:sectPr w:rsidR="00CF01F0" w:rsidSect="00CF01F0">
      <w:endnotePr>
        <w:numFmt w:val="decimal"/>
      </w:endnotePr>
      <w:pgSz w:w="12240" w:h="15840"/>
      <w:pgMar w:top="1440" w:right="1440" w:bottom="1440" w:left="1440" w:header="10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CF01F0" w:rsidRDefault="00CF01F0" w:rsidP="00D75295">
      <w:r>
        <w:separator/>
      </w:r>
    </w:p>
  </w:endnote>
  <w:endnote w:type="continuationSeparator" w:id="0">
    <w:p w14:paraId="6B71D05B" w14:textId="77777777" w:rsidR="00CF01F0" w:rsidRDefault="00CF01F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CF01F0" w:rsidRDefault="00CF01F0" w:rsidP="00D75295">
      <w:r>
        <w:separator/>
      </w:r>
    </w:p>
  </w:footnote>
  <w:footnote w:type="continuationSeparator" w:id="0">
    <w:p w14:paraId="31BC9002" w14:textId="77777777" w:rsidR="00CF01F0" w:rsidRDefault="00CF01F0" w:rsidP="00D75295">
      <w:r>
        <w:continuationSeparator/>
      </w:r>
    </w:p>
  </w:footnote>
  <w:footnote w:id="1">
    <w:p w14:paraId="2DA91007" w14:textId="3A368681" w:rsidR="0088622F" w:rsidRDefault="0088622F" w:rsidP="0088622F">
      <w:pPr>
        <w:pStyle w:val="FootnoteText1"/>
      </w:pPr>
      <w:r>
        <w:rPr>
          <w:rStyle w:val="FootnoteReference"/>
        </w:rPr>
        <w:footnoteRef/>
      </w:r>
      <w:r>
        <w:t xml:space="preserve"> </w:t>
      </w:r>
      <w:r w:rsidRPr="00E577AC">
        <w:t>This case has been written on the basis of published sources only. Consequently, the interpretation and perspectives presented in this case are not necessarily those of Volkswagen Group or any of its employees.</w:t>
      </w:r>
    </w:p>
  </w:footnote>
  <w:footnote w:id="2">
    <w:p w14:paraId="4F7BC56C" w14:textId="77777777" w:rsidR="00CF01F0" w:rsidRPr="00E577AC" w:rsidRDefault="00CF01F0" w:rsidP="0088622F">
      <w:pPr>
        <w:pStyle w:val="FootnoteText1"/>
        <w:rPr>
          <w:lang w:val="en-CA"/>
        </w:rPr>
      </w:pPr>
      <w:r>
        <w:rPr>
          <w:rStyle w:val="FootnoteReference"/>
        </w:rPr>
        <w:footnoteRef/>
      </w:r>
      <w:r>
        <w:t xml:space="preserve"> Volkswagen AG</w:t>
      </w:r>
      <w:r w:rsidRPr="001B41A1">
        <w:t xml:space="preserve">, </w:t>
      </w:r>
      <w:r w:rsidRPr="004B6AE1">
        <w:rPr>
          <w:i/>
        </w:rPr>
        <w:t>Shaping the Transformation Together: Annual Report 2017</w:t>
      </w:r>
      <w:r w:rsidRPr="001B41A1">
        <w:t xml:space="preserve">, </w:t>
      </w:r>
      <w:r>
        <w:t xml:space="preserve">152, </w:t>
      </w:r>
      <w:r w:rsidRPr="001B41A1">
        <w:t>51, 2018</w:t>
      </w:r>
      <w:r>
        <w:t>,</w:t>
      </w:r>
      <w:r w:rsidRPr="001B41A1">
        <w:t xml:space="preserve"> accessed April 17, 2019</w:t>
      </w:r>
      <w:r>
        <w:t xml:space="preserve">, </w:t>
      </w:r>
      <w:r w:rsidRPr="00554F05">
        <w:t>https://web.archive.org/web/20181212151544/www.volkswagenag.com/en/InvestorRelations/strategy/Strategy_2025.html</w:t>
      </w:r>
      <w:r>
        <w:t>.</w:t>
      </w:r>
    </w:p>
  </w:footnote>
  <w:footnote w:id="3">
    <w:p w14:paraId="7B8B3090" w14:textId="552D8519" w:rsidR="008A6CD5" w:rsidRDefault="00CF01F0" w:rsidP="0088622F">
      <w:pPr>
        <w:pStyle w:val="FootnoteText1"/>
      </w:pPr>
      <w:r>
        <w:rPr>
          <w:rStyle w:val="FootnoteReference"/>
        </w:rPr>
        <w:footnoteRef/>
      </w:r>
      <w:r>
        <w:t xml:space="preserve"> </w:t>
      </w:r>
      <w:r w:rsidRPr="001C6DCF">
        <w:t>“Strategy 2025,” V</w:t>
      </w:r>
      <w:r>
        <w:t>olkswagen AG</w:t>
      </w:r>
      <w:r w:rsidRPr="001C6DCF">
        <w:t xml:space="preserve">, accessed April 17, 2019, </w:t>
      </w:r>
      <w:r w:rsidR="008A6CD5" w:rsidRPr="008A6CD5">
        <w:t>www.volkswagenag.com/en/InvestorRelations/strategy/Strategy</w:t>
      </w:r>
    </w:p>
    <w:p w14:paraId="5A51AE74" w14:textId="50CDA04B" w:rsidR="00CF01F0" w:rsidRDefault="00CF01F0" w:rsidP="0088622F">
      <w:pPr>
        <w:pStyle w:val="FootnoteText1"/>
      </w:pPr>
      <w:r w:rsidRPr="001C6DCF">
        <w:t>_2025.html</w:t>
      </w:r>
      <w:r>
        <w:t>.</w:t>
      </w:r>
    </w:p>
  </w:footnote>
  <w:footnote w:id="4">
    <w:p w14:paraId="0A9E7967" w14:textId="77777777" w:rsidR="00CF01F0" w:rsidRDefault="00CF01F0" w:rsidP="0088622F">
      <w:pPr>
        <w:pStyle w:val="FootnoteText1"/>
      </w:pPr>
      <w:r>
        <w:rPr>
          <w:rStyle w:val="FootnoteReference"/>
        </w:rPr>
        <w:footnoteRef/>
      </w:r>
      <w:r>
        <w:t xml:space="preserve"> </w:t>
      </w:r>
      <w:bookmarkStart w:id="2" w:name="OLE_LINK3"/>
      <w:bookmarkStart w:id="3" w:name="OLE_LINK4"/>
      <w:r>
        <w:t>Volkswagen AG</w:t>
      </w:r>
      <w:r w:rsidRPr="001B41A1">
        <w:t xml:space="preserve">, </w:t>
      </w:r>
      <w:r w:rsidRPr="00E577AC">
        <w:rPr>
          <w:i/>
        </w:rPr>
        <w:t>Shaping the Transformation Together</w:t>
      </w:r>
      <w:r w:rsidRPr="004B6AE1">
        <w:rPr>
          <w:i/>
        </w:rPr>
        <w:t>: Annual Report 2017</w:t>
      </w:r>
      <w:r w:rsidRPr="00E577AC">
        <w:t>, op. cit.</w:t>
      </w:r>
      <w:r>
        <w:t>,</w:t>
      </w:r>
      <w:r w:rsidRPr="00E577AC">
        <w:t xml:space="preserve"> </w:t>
      </w:r>
      <w:r w:rsidRPr="001B41A1">
        <w:t>51</w:t>
      </w:r>
      <w:r>
        <w:t>–</w:t>
      </w:r>
      <w:r w:rsidRPr="001B41A1">
        <w:t>53</w:t>
      </w:r>
      <w:r>
        <w:t>.</w:t>
      </w:r>
      <w:bookmarkEnd w:id="2"/>
      <w:bookmarkEnd w:id="3"/>
    </w:p>
  </w:footnote>
  <w:footnote w:id="5">
    <w:p w14:paraId="7CA40F0C" w14:textId="77777777" w:rsidR="00CF01F0" w:rsidRPr="004E3931" w:rsidRDefault="00CF01F0" w:rsidP="0088622F">
      <w:pPr>
        <w:pStyle w:val="FootnoteText1"/>
        <w:rPr>
          <w:rFonts w:eastAsiaTheme="minorEastAsia"/>
          <w:lang w:eastAsia="zh-HK"/>
        </w:rPr>
      </w:pPr>
      <w:r>
        <w:rPr>
          <w:rStyle w:val="FootnoteReference"/>
        </w:rPr>
        <w:footnoteRef/>
      </w:r>
      <w:r>
        <w:t xml:space="preserve"> “1961–1972:</w:t>
      </w:r>
      <w:r w:rsidRPr="004E3931">
        <w:t xml:space="preserve"> Boo</w:t>
      </w:r>
      <w:r>
        <w:t>m and Crisis in the One-Product B</w:t>
      </w:r>
      <w:r w:rsidRPr="004E3931">
        <w:t>usiness</w:t>
      </w:r>
      <w:r>
        <w:t xml:space="preserve">,” Volkswagen AG, accessed April 17, 2019, </w:t>
      </w:r>
      <w:r w:rsidRPr="004E3931">
        <w:t>www.volkswagenag.com/en/group/history/chronicle/1961-1972.html</w:t>
      </w:r>
      <w:r>
        <w:t>.</w:t>
      </w:r>
    </w:p>
  </w:footnote>
  <w:footnote w:id="6">
    <w:p w14:paraId="3CE24D20" w14:textId="77777777" w:rsidR="00CF01F0" w:rsidRDefault="00CF01F0" w:rsidP="0088622F">
      <w:pPr>
        <w:pStyle w:val="FootnoteText1"/>
      </w:pPr>
      <w:r>
        <w:rPr>
          <w:rStyle w:val="FootnoteReference"/>
        </w:rPr>
        <w:footnoteRef/>
      </w:r>
      <w:r>
        <w:t xml:space="preserve"> </w:t>
      </w:r>
      <w:r w:rsidRPr="00780013">
        <w:t>“1973</w:t>
      </w:r>
      <w:r>
        <w:t>–</w:t>
      </w:r>
      <w:r w:rsidRPr="00780013">
        <w:t>1981</w:t>
      </w:r>
      <w:r>
        <w:t>:</w:t>
      </w:r>
      <w:r w:rsidRPr="00780013">
        <w:t xml:space="preserve"> The Shift to Models with Water-Cooled Engines,”</w:t>
      </w:r>
      <w:r>
        <w:t xml:space="preserve"> Volkswagen AG, </w:t>
      </w:r>
      <w:r w:rsidRPr="00780013">
        <w:t>accessed April 17, 2019, www.volkswagenag.com/en/group/history/chronicle/1973-1981.html</w:t>
      </w:r>
      <w:r>
        <w:t>.</w:t>
      </w:r>
    </w:p>
  </w:footnote>
  <w:footnote w:id="7">
    <w:p w14:paraId="50B59193" w14:textId="77777777" w:rsidR="00CF01F0" w:rsidRPr="00285990" w:rsidRDefault="00CF01F0" w:rsidP="0088622F">
      <w:pPr>
        <w:pStyle w:val="FootnoteText1"/>
        <w:rPr>
          <w:rFonts w:eastAsiaTheme="minorEastAsia"/>
          <w:lang w:eastAsia="zh-HK"/>
        </w:rPr>
      </w:pPr>
      <w:r>
        <w:rPr>
          <w:rStyle w:val="FootnoteReference"/>
        </w:rPr>
        <w:footnoteRef/>
      </w:r>
      <w:r>
        <w:t xml:space="preserve"> “1982–1991: </w:t>
      </w:r>
      <w:r w:rsidRPr="00285990">
        <w:t>New Brands, New Markets</w:t>
      </w:r>
      <w:r>
        <w:t xml:space="preserve">,” Volkswagen AG, </w:t>
      </w:r>
      <w:r w:rsidRPr="00780013">
        <w:t>accessed April 17, 2019,</w:t>
      </w:r>
      <w:r>
        <w:t xml:space="preserve"> </w:t>
      </w:r>
      <w:r w:rsidRPr="00A51F46">
        <w:t>www.volkswagenag.com/en/group/history/chronicle/1982-1991.html</w:t>
      </w:r>
      <w:r>
        <w:t>.</w:t>
      </w:r>
    </w:p>
  </w:footnote>
  <w:footnote w:id="8">
    <w:p w14:paraId="609EA325" w14:textId="77777777" w:rsidR="00CF01F0" w:rsidRDefault="00CF01F0" w:rsidP="0088622F">
      <w:pPr>
        <w:pStyle w:val="FootnoteText1"/>
      </w:pPr>
      <w:r>
        <w:rPr>
          <w:rStyle w:val="FootnoteReference"/>
        </w:rPr>
        <w:footnoteRef/>
      </w:r>
      <w:r>
        <w:t xml:space="preserve"> </w:t>
      </w:r>
      <w:r w:rsidRPr="00C02216">
        <w:t xml:space="preserve">Volkswagen AG, </w:t>
      </w:r>
      <w:r w:rsidRPr="006C3356">
        <w:rPr>
          <w:i/>
        </w:rPr>
        <w:t>Full Speed Ahead to the Future: Annual Report 2018</w:t>
      </w:r>
      <w:r w:rsidRPr="006C3356">
        <w:t>,</w:t>
      </w:r>
      <w:r w:rsidRPr="00C02216">
        <w:t xml:space="preserve"> </w:t>
      </w:r>
      <w:r w:rsidRPr="001B41A1">
        <w:t>51</w:t>
      </w:r>
      <w:r>
        <w:t>–</w:t>
      </w:r>
      <w:r w:rsidRPr="001B41A1">
        <w:t>53, 201</w:t>
      </w:r>
      <w:r>
        <w:t>9</w:t>
      </w:r>
      <w:r w:rsidRPr="001B41A1">
        <w:t>, accessed April 17, 2019</w:t>
      </w:r>
      <w:r>
        <w:t xml:space="preserve">, </w:t>
      </w:r>
      <w:r w:rsidRPr="00976CC2">
        <w:t>www.volkswagenag.com/presence/investorrelation/publications/annual-reports/2019/volkswagen/en/Y_2018_e.pdf</w:t>
      </w:r>
      <w:r>
        <w:t>.</w:t>
      </w:r>
    </w:p>
  </w:footnote>
  <w:footnote w:id="9">
    <w:p w14:paraId="40E5AE1D" w14:textId="1E75A4D9" w:rsidR="00CF01F0" w:rsidRPr="00C26D1B" w:rsidRDefault="00CF01F0" w:rsidP="0088622F">
      <w:pPr>
        <w:pStyle w:val="FootnoteText1"/>
        <w:rPr>
          <w:rFonts w:eastAsiaTheme="minorEastAsia"/>
          <w:lang w:eastAsia="zh-HK"/>
        </w:rPr>
      </w:pPr>
      <w:r>
        <w:rPr>
          <w:rStyle w:val="FootnoteReference"/>
        </w:rPr>
        <w:footnoteRef/>
      </w:r>
      <w:r>
        <w:t xml:space="preserve"> “1992 until Today:</w:t>
      </w:r>
      <w:r w:rsidRPr="00C26D1B">
        <w:t xml:space="preserve"> </w:t>
      </w:r>
      <w:proofErr w:type="spellStart"/>
      <w:r w:rsidRPr="00C26D1B">
        <w:t>Globalisation</w:t>
      </w:r>
      <w:proofErr w:type="spellEnd"/>
      <w:r w:rsidRPr="00C26D1B">
        <w:t xml:space="preserve"> of the Mobility</w:t>
      </w:r>
      <w:r>
        <w:t xml:space="preserve">,” Volkswagen AG, </w:t>
      </w:r>
      <w:r w:rsidRPr="00780013">
        <w:t>accessed April 17, 2019,</w:t>
      </w:r>
      <w:r>
        <w:t xml:space="preserve"> </w:t>
      </w:r>
      <w:r w:rsidRPr="00A51F46">
        <w:t>www.volkswagenag.com/en/group/history/chronicle/1992-2014.html</w:t>
      </w:r>
      <w:r>
        <w:t>.</w:t>
      </w:r>
    </w:p>
  </w:footnote>
  <w:footnote w:id="10">
    <w:p w14:paraId="4655690C" w14:textId="77777777" w:rsidR="00CF01F0" w:rsidRPr="00C26D1B" w:rsidRDefault="00CF01F0" w:rsidP="0088622F">
      <w:pPr>
        <w:pStyle w:val="FootnoteText1"/>
        <w:rPr>
          <w:rFonts w:eastAsiaTheme="minorEastAsia"/>
          <w:lang w:eastAsia="zh-HK"/>
        </w:rPr>
      </w:pPr>
      <w:r>
        <w:rPr>
          <w:rStyle w:val="FootnoteReference"/>
        </w:rPr>
        <w:footnoteRef/>
      </w:r>
      <w:r>
        <w:t xml:space="preserve"> Ibid.</w:t>
      </w:r>
    </w:p>
  </w:footnote>
  <w:footnote w:id="11">
    <w:p w14:paraId="55ABDB62" w14:textId="77777777" w:rsidR="00CF01F0" w:rsidRPr="006C3356" w:rsidRDefault="00CF01F0" w:rsidP="0088622F">
      <w:pPr>
        <w:pStyle w:val="FootnoteText1"/>
        <w:rPr>
          <w:lang w:val="en-CA"/>
        </w:rPr>
      </w:pPr>
      <w:r>
        <w:rPr>
          <w:rStyle w:val="FootnoteReference"/>
        </w:rPr>
        <w:footnoteRef/>
      </w:r>
      <w:r>
        <w:t xml:space="preserve"> </w:t>
      </w:r>
      <w:r>
        <w:rPr>
          <w:lang w:val="en-CA"/>
        </w:rPr>
        <w:t xml:space="preserve">€ = euro; €1 = US$1.1443 on December 31, 2018; all currency amounts are in € unless otherwise specified. </w:t>
      </w:r>
    </w:p>
  </w:footnote>
  <w:footnote w:id="12">
    <w:p w14:paraId="3D0C1944" w14:textId="77777777" w:rsidR="00CF01F0" w:rsidRPr="008E732A" w:rsidRDefault="00CF01F0" w:rsidP="0088622F">
      <w:pPr>
        <w:pStyle w:val="FootnoteText1"/>
        <w:rPr>
          <w:rFonts w:eastAsiaTheme="minorEastAsia"/>
          <w:lang w:eastAsia="zh-HK"/>
        </w:rPr>
      </w:pPr>
      <w:r>
        <w:rPr>
          <w:rStyle w:val="FootnoteReference"/>
        </w:rPr>
        <w:footnoteRef/>
      </w:r>
      <w:r>
        <w:t xml:space="preserve"> “</w:t>
      </w:r>
      <w:r w:rsidRPr="008E732A">
        <w:t>Portrait &amp; Production Plants</w:t>
      </w:r>
      <w:r>
        <w:t>:</w:t>
      </w:r>
      <w:r w:rsidRPr="008E732A">
        <w:t xml:space="preserve"> The Volkswagen Group</w:t>
      </w:r>
      <w:r>
        <w:t xml:space="preserve">,” Volkswagen AG, </w:t>
      </w:r>
      <w:r w:rsidRPr="00780013">
        <w:t>accessed April 17, 2019,</w:t>
      </w:r>
      <w:r>
        <w:t xml:space="preserve"> </w:t>
      </w:r>
      <w:r w:rsidRPr="00F3591F">
        <w:t>www.volkswagenag.com/en/group/portrait-and-production-plants.html</w:t>
      </w:r>
      <w:r>
        <w:t>.</w:t>
      </w:r>
    </w:p>
  </w:footnote>
  <w:footnote w:id="13">
    <w:p w14:paraId="1432174E" w14:textId="77777777" w:rsidR="00CF01F0" w:rsidRPr="00691CFF" w:rsidRDefault="00CF01F0" w:rsidP="0088622F">
      <w:pPr>
        <w:pStyle w:val="FootnoteText1"/>
        <w:rPr>
          <w:rFonts w:eastAsiaTheme="minorEastAsia"/>
        </w:rPr>
      </w:pPr>
      <w:r>
        <w:rPr>
          <w:rStyle w:val="FootnoteReference"/>
        </w:rPr>
        <w:footnoteRef/>
      </w:r>
      <w:r>
        <w:t xml:space="preserve"> Ibid.</w:t>
      </w:r>
    </w:p>
  </w:footnote>
  <w:footnote w:id="14">
    <w:p w14:paraId="60B4B764" w14:textId="77777777" w:rsidR="00CF01F0" w:rsidRPr="00B0346A" w:rsidRDefault="00CF01F0" w:rsidP="0088622F">
      <w:pPr>
        <w:pStyle w:val="FootnoteText1"/>
        <w:rPr>
          <w:rFonts w:eastAsiaTheme="minorEastAsia"/>
          <w:lang w:eastAsia="zh-HK"/>
        </w:rPr>
      </w:pPr>
      <w:r>
        <w:rPr>
          <w:rStyle w:val="FootnoteReference"/>
        </w:rPr>
        <w:footnoteRef/>
      </w:r>
      <w:r>
        <w:t xml:space="preserve"> </w:t>
      </w:r>
      <w:r w:rsidRPr="006C3356">
        <w:t xml:space="preserve">Volkswagen AG, </w:t>
      </w:r>
      <w:r w:rsidRPr="00A51F46">
        <w:rPr>
          <w:i/>
        </w:rPr>
        <w:t>Full Speed Ahead to the Future: Annual Report 2018</w:t>
      </w:r>
      <w:r w:rsidRPr="006C3356">
        <w:t>,</w:t>
      </w:r>
      <w:r>
        <w:t xml:space="preserve"> op. cit., </w:t>
      </w:r>
      <w:r>
        <w:rPr>
          <w:lang w:val="en-GB"/>
        </w:rPr>
        <w:t>22.</w:t>
      </w:r>
    </w:p>
  </w:footnote>
  <w:footnote w:id="15">
    <w:p w14:paraId="0FEC700A" w14:textId="092F1187" w:rsidR="00CF01F0" w:rsidRPr="00AA4053" w:rsidRDefault="00CF01F0" w:rsidP="0088622F">
      <w:pPr>
        <w:pStyle w:val="FootnoteText1"/>
        <w:rPr>
          <w:rFonts w:eastAsiaTheme="minorEastAsia"/>
          <w:lang w:eastAsia="zh-HK"/>
        </w:rPr>
      </w:pPr>
      <w:r>
        <w:rPr>
          <w:rStyle w:val="FootnoteReference"/>
        </w:rPr>
        <w:footnoteRef/>
      </w:r>
      <w:r>
        <w:t xml:space="preserve"> “</w:t>
      </w:r>
      <w:r w:rsidRPr="00AA4053">
        <w:t xml:space="preserve">Renault-Nissan </w:t>
      </w:r>
      <w:r>
        <w:t>G</w:t>
      </w:r>
      <w:r w:rsidRPr="00AA4053">
        <w:t xml:space="preserve">roup </w:t>
      </w:r>
      <w:r>
        <w:t>S</w:t>
      </w:r>
      <w:r w:rsidRPr="00AA4053">
        <w:t xml:space="preserve">old </w:t>
      </w:r>
      <w:r>
        <w:t>M</w:t>
      </w:r>
      <w:r w:rsidRPr="00AA4053">
        <w:t xml:space="preserve">ost </w:t>
      </w:r>
      <w:r>
        <w:t>C</w:t>
      </w:r>
      <w:r w:rsidRPr="00AA4053">
        <w:t xml:space="preserve">ars </w:t>
      </w:r>
      <w:r>
        <w:t>L</w:t>
      </w:r>
      <w:r w:rsidRPr="00AA4053">
        <w:t xml:space="preserve">ast </w:t>
      </w:r>
      <w:r>
        <w:t>Y</w:t>
      </w:r>
      <w:r w:rsidRPr="00AA4053">
        <w:t>ear, but VW</w:t>
      </w:r>
      <w:r>
        <w:t>’</w:t>
      </w:r>
      <w:r w:rsidRPr="00AA4053">
        <w:t xml:space="preserve">s No.1 </w:t>
      </w:r>
      <w:r>
        <w:t>I</w:t>
      </w:r>
      <w:r w:rsidRPr="00AA4053">
        <w:t xml:space="preserve">ncluding </w:t>
      </w:r>
      <w:r>
        <w:t>T</w:t>
      </w:r>
      <w:r w:rsidRPr="00AA4053">
        <w:t>rucks</w:t>
      </w:r>
      <w:r>
        <w:t xml:space="preserve">,” </w:t>
      </w:r>
      <w:r w:rsidRPr="00AA4053">
        <w:t>Reuters</w:t>
      </w:r>
      <w:r>
        <w:t xml:space="preserve">, </w:t>
      </w:r>
      <w:r w:rsidRPr="00AA4053">
        <w:t>J</w:t>
      </w:r>
      <w:r>
        <w:t>anuary</w:t>
      </w:r>
      <w:r w:rsidRPr="00AA4053">
        <w:t xml:space="preserve"> 30, 2019</w:t>
      </w:r>
      <w:r>
        <w:t xml:space="preserve">, </w:t>
      </w:r>
      <w:r w:rsidRPr="00A51F46">
        <w:t>www.reuters.com/article/us-automakers-sales-japan/renault-nissan-group-sold-most-cars-last-year-but-vws-no-1-including-trucks-idUSKCN1PO0R1</w:t>
      </w:r>
      <w:r>
        <w:t>.</w:t>
      </w:r>
    </w:p>
  </w:footnote>
  <w:footnote w:id="16">
    <w:p w14:paraId="7C92FB02" w14:textId="77777777" w:rsidR="00CF01F0" w:rsidRPr="00691CFF" w:rsidRDefault="00CF01F0" w:rsidP="0088622F">
      <w:pPr>
        <w:pStyle w:val="FootnoteText1"/>
        <w:rPr>
          <w:rFonts w:eastAsiaTheme="minorEastAsia"/>
          <w:lang w:eastAsia="zh-HK"/>
        </w:rPr>
      </w:pPr>
      <w:r>
        <w:rPr>
          <w:rStyle w:val="FootnoteReference"/>
        </w:rPr>
        <w:footnoteRef/>
      </w:r>
      <w:r>
        <w:t xml:space="preserve"> </w:t>
      </w:r>
      <w:r w:rsidRPr="006C3356">
        <w:t xml:space="preserve">Volkswagen AG, </w:t>
      </w:r>
      <w:r w:rsidRPr="00A51F46">
        <w:rPr>
          <w:i/>
        </w:rPr>
        <w:t>Full Speed Ahead to the Future: Annual Report 2018</w:t>
      </w:r>
      <w:r w:rsidRPr="006C3356">
        <w:t>,</w:t>
      </w:r>
      <w:r>
        <w:t xml:space="preserve"> op. cit., </w:t>
      </w:r>
      <w:r>
        <w:rPr>
          <w:lang w:val="en-GB"/>
        </w:rPr>
        <w:t>23</w:t>
      </w:r>
      <w:r w:rsidRPr="006C3356">
        <w:t>.</w:t>
      </w:r>
    </w:p>
  </w:footnote>
  <w:footnote w:id="17">
    <w:p w14:paraId="2DB47197" w14:textId="77777777" w:rsidR="00CF01F0" w:rsidRPr="00CD3732" w:rsidRDefault="00CF01F0" w:rsidP="0088622F">
      <w:pPr>
        <w:pStyle w:val="FootnoteText1"/>
        <w:rPr>
          <w:rFonts w:eastAsiaTheme="minorEastAsia"/>
          <w:lang w:eastAsia="zh-HK"/>
        </w:rPr>
      </w:pPr>
      <w:r>
        <w:rPr>
          <w:rStyle w:val="FootnoteReference"/>
        </w:rPr>
        <w:footnoteRef/>
      </w:r>
      <w:r>
        <w:t xml:space="preserve"> </w:t>
      </w:r>
      <w:r w:rsidRPr="00CD3732">
        <w:t xml:space="preserve">Statista, “Revenue of the </w:t>
      </w:r>
      <w:r>
        <w:t>L</w:t>
      </w:r>
      <w:r w:rsidRPr="00CD3732">
        <w:t xml:space="preserve">eading </w:t>
      </w:r>
      <w:r>
        <w:t>C</w:t>
      </w:r>
      <w:r w:rsidRPr="00CD3732">
        <w:t xml:space="preserve">ar </w:t>
      </w:r>
      <w:r>
        <w:t>M</w:t>
      </w:r>
      <w:r w:rsidRPr="00CD3732">
        <w:t xml:space="preserve">anufacturers </w:t>
      </w:r>
      <w:r>
        <w:t>W</w:t>
      </w:r>
      <w:r w:rsidRPr="00CD3732">
        <w:t>orldwide 2018,” Statista, 2019, accessed April 1</w:t>
      </w:r>
      <w:r>
        <w:t xml:space="preserve">7, 2019, </w:t>
      </w:r>
      <w:r w:rsidRPr="00962FEB">
        <w:t>www.statista.com/statistics/232958/revenue-of-the-leading-car-manufacturers-worldwide</w:t>
      </w:r>
      <w:r>
        <w:t>.</w:t>
      </w:r>
    </w:p>
  </w:footnote>
  <w:footnote w:id="18">
    <w:p w14:paraId="7E767D0D" w14:textId="77777777" w:rsidR="00CF01F0" w:rsidRPr="00B0346A" w:rsidRDefault="00CF01F0" w:rsidP="0088622F">
      <w:pPr>
        <w:pStyle w:val="FootnoteText1"/>
        <w:rPr>
          <w:rFonts w:eastAsiaTheme="minorEastAsia"/>
          <w:lang w:eastAsia="zh-HK"/>
        </w:rPr>
      </w:pPr>
      <w:r>
        <w:rPr>
          <w:rStyle w:val="FootnoteReference"/>
        </w:rPr>
        <w:footnoteRef/>
      </w:r>
      <w:r>
        <w:t xml:space="preserve"> </w:t>
      </w:r>
      <w:r w:rsidRPr="006C3356">
        <w:t xml:space="preserve">Volkswagen AG, </w:t>
      </w:r>
      <w:r w:rsidRPr="00A51F46">
        <w:rPr>
          <w:i/>
        </w:rPr>
        <w:t>Full Speed Ahead to the Future: Annual Report 2018</w:t>
      </w:r>
      <w:r w:rsidRPr="006C3356">
        <w:t>,</w:t>
      </w:r>
      <w:r>
        <w:t xml:space="preserve"> op. cit., </w:t>
      </w:r>
      <w:r>
        <w:rPr>
          <w:lang w:val="en-GB"/>
        </w:rPr>
        <w:t>22</w:t>
      </w:r>
      <w:r>
        <w:t>; T</w:t>
      </w:r>
      <w:r w:rsidRPr="009059A0">
        <w:t>oyota Motor Corporation</w:t>
      </w:r>
      <w:r>
        <w:t xml:space="preserve">, </w:t>
      </w:r>
      <w:r w:rsidRPr="00A51F46">
        <w:rPr>
          <w:i/>
        </w:rPr>
        <w:t>Annual Report 2018</w:t>
      </w:r>
      <w:r>
        <w:t xml:space="preserve">, 48, 2019, accessed </w:t>
      </w:r>
      <w:r w:rsidRPr="006C3356">
        <w:t>Apr</w:t>
      </w:r>
      <w:r>
        <w:t xml:space="preserve">il 17, 2019, </w:t>
      </w:r>
      <w:r w:rsidRPr="00A51F46">
        <w:t>https://global.toyota/en/ir/library/annual</w:t>
      </w:r>
      <w:r>
        <w:t xml:space="preserve">; This figure was equivalent to </w:t>
      </w:r>
      <w:r w:rsidRPr="00C805C9">
        <w:t>29</w:t>
      </w:r>
      <w:r w:rsidRPr="002D6E9A">
        <w:t>,</w:t>
      </w:r>
      <w:r w:rsidRPr="00C805C9">
        <w:t>379.5 billion J</w:t>
      </w:r>
      <w:r w:rsidRPr="002D6E9A">
        <w:t>apanese yen (¥), based on a</w:t>
      </w:r>
      <w:r w:rsidRPr="00C805C9">
        <w:t xml:space="preserve"> conversion rate </w:t>
      </w:r>
      <w:r w:rsidRPr="002D6E9A">
        <w:t>of</w:t>
      </w:r>
      <w:r w:rsidRPr="00C805C9">
        <w:t xml:space="preserve"> </w:t>
      </w:r>
      <w:r w:rsidRPr="002D6E9A">
        <w:t>¥</w:t>
      </w:r>
      <w:r w:rsidRPr="00C805C9">
        <w:t xml:space="preserve">130 = </w:t>
      </w:r>
      <w:r w:rsidRPr="002D6E9A">
        <w:t>€</w:t>
      </w:r>
      <w:r w:rsidRPr="00C805C9">
        <w:t>1</w:t>
      </w:r>
      <w:r w:rsidRPr="002D6E9A">
        <w:t>,</w:t>
      </w:r>
      <w:r w:rsidRPr="00C805C9">
        <w:t xml:space="preserve"> according to the company’s annual report</w:t>
      </w:r>
      <w:r w:rsidRPr="006C3356">
        <w:t>.</w:t>
      </w:r>
    </w:p>
  </w:footnote>
  <w:footnote w:id="19">
    <w:p w14:paraId="22A85BB4" w14:textId="77777777" w:rsidR="00CF01F0" w:rsidRDefault="00CF01F0" w:rsidP="0088622F">
      <w:pPr>
        <w:pStyle w:val="FootnoteText1"/>
      </w:pPr>
      <w:r>
        <w:rPr>
          <w:rStyle w:val="FootnoteReference"/>
        </w:rPr>
        <w:footnoteRef/>
      </w:r>
      <w:r>
        <w:t xml:space="preserve"> </w:t>
      </w:r>
      <w:r w:rsidRPr="00C02216">
        <w:t xml:space="preserve">Volkswagen AG, </w:t>
      </w:r>
      <w:r w:rsidRPr="002D6E9A">
        <w:rPr>
          <w:i/>
        </w:rPr>
        <w:t>Full Speed Ahead to the Future</w:t>
      </w:r>
      <w:r w:rsidRPr="00FF034B">
        <w:rPr>
          <w:i/>
        </w:rPr>
        <w:t>: Annual Report 2018</w:t>
      </w:r>
      <w:r>
        <w:t>, op. cit.</w:t>
      </w:r>
    </w:p>
  </w:footnote>
  <w:footnote w:id="20">
    <w:p w14:paraId="2FD2C529" w14:textId="77777777" w:rsidR="00CF01F0" w:rsidRPr="00195C14" w:rsidRDefault="00CF01F0" w:rsidP="0088622F">
      <w:pPr>
        <w:pStyle w:val="FootnoteText1"/>
        <w:rPr>
          <w:rFonts w:eastAsiaTheme="minorEastAsia"/>
          <w:lang w:eastAsia="zh-HK"/>
        </w:rPr>
      </w:pPr>
      <w:r>
        <w:rPr>
          <w:rStyle w:val="FootnoteReference"/>
        </w:rPr>
        <w:footnoteRef/>
      </w:r>
      <w:r>
        <w:t xml:space="preserve"> “</w:t>
      </w:r>
      <w:r w:rsidRPr="009A3C57">
        <w:t xml:space="preserve">Learn </w:t>
      </w:r>
      <w:r>
        <w:t>a</w:t>
      </w:r>
      <w:r w:rsidRPr="009A3C57">
        <w:t>bout Volkswagen Violations</w:t>
      </w:r>
      <w:r>
        <w:t xml:space="preserve">,” </w:t>
      </w:r>
      <w:r w:rsidRPr="009A3C57">
        <w:t>United States Environmental Protection Agency</w:t>
      </w:r>
      <w:r>
        <w:t xml:space="preserve">, </w:t>
      </w:r>
      <w:r w:rsidRPr="009A3C57">
        <w:t>F</w:t>
      </w:r>
      <w:r>
        <w:t>ebruary</w:t>
      </w:r>
      <w:r w:rsidRPr="009A3C57">
        <w:t xml:space="preserve"> 4, 2019</w:t>
      </w:r>
      <w:r>
        <w:t xml:space="preserve">, accessed </w:t>
      </w:r>
      <w:r w:rsidRPr="006C3356">
        <w:t>Apr</w:t>
      </w:r>
      <w:r>
        <w:t xml:space="preserve">il 17, 2019, </w:t>
      </w:r>
      <w:r w:rsidRPr="009A3C57">
        <w:t>www.epa.gov/vw/learn-about-volkswagen-violations</w:t>
      </w:r>
      <w:r>
        <w:t>.</w:t>
      </w:r>
    </w:p>
  </w:footnote>
  <w:footnote w:id="21">
    <w:p w14:paraId="43E27549" w14:textId="77777777" w:rsidR="00CF01F0" w:rsidRDefault="00CF01F0" w:rsidP="0088622F">
      <w:pPr>
        <w:pStyle w:val="FootnoteText1"/>
      </w:pPr>
      <w:r>
        <w:rPr>
          <w:rStyle w:val="FootnoteReference"/>
        </w:rPr>
        <w:footnoteRef/>
      </w:r>
      <w:r>
        <w:t xml:space="preserve"> </w:t>
      </w:r>
      <w:r w:rsidRPr="00C02216">
        <w:t xml:space="preserve">Volkswagen AG, </w:t>
      </w:r>
      <w:r w:rsidRPr="002D6E9A">
        <w:rPr>
          <w:i/>
        </w:rPr>
        <w:t>Moving People: Annual Report 2015</w:t>
      </w:r>
      <w:r w:rsidRPr="002D6E9A">
        <w:t>,</w:t>
      </w:r>
      <w:r w:rsidRPr="00C02216">
        <w:t xml:space="preserve"> </w:t>
      </w:r>
      <w:r>
        <w:t>49–</w:t>
      </w:r>
      <w:r w:rsidRPr="001B41A1">
        <w:t>5</w:t>
      </w:r>
      <w:r>
        <w:t>4</w:t>
      </w:r>
      <w:r w:rsidRPr="001B41A1">
        <w:t>, 201</w:t>
      </w:r>
      <w:r>
        <w:t>6</w:t>
      </w:r>
      <w:r w:rsidRPr="001B41A1">
        <w:t>, accessed April 17, 2019</w:t>
      </w:r>
      <w:r>
        <w:t xml:space="preserve">, </w:t>
      </w:r>
      <w:r w:rsidRPr="00AA7E06">
        <w:t>www.volkswagenag.com/presence/investorrelation/publications/annual-reports/2016/volkswagen/englisch/Y_2015_e.pdf</w:t>
      </w:r>
      <w:r>
        <w:t>.</w:t>
      </w:r>
    </w:p>
  </w:footnote>
  <w:footnote w:id="22">
    <w:p w14:paraId="61BA3E9E" w14:textId="77777777" w:rsidR="00CF01F0" w:rsidRDefault="00CF01F0" w:rsidP="0088622F">
      <w:pPr>
        <w:pStyle w:val="FootnoteText1"/>
      </w:pPr>
      <w:r>
        <w:rPr>
          <w:rStyle w:val="FootnoteReference"/>
        </w:rPr>
        <w:footnoteRef/>
      </w:r>
      <w:r>
        <w:t xml:space="preserve"> </w:t>
      </w:r>
      <w:r w:rsidRPr="00066EBC">
        <w:t>Christina Rogers and Mike Spector, “</w:t>
      </w:r>
      <w:r>
        <w:t>J</w:t>
      </w:r>
      <w:r w:rsidRPr="00066EBC">
        <w:t xml:space="preserve">udge Slaps VW </w:t>
      </w:r>
      <w:r>
        <w:t>w</w:t>
      </w:r>
      <w:r w:rsidRPr="00066EBC">
        <w:t xml:space="preserve">ith $2.8 Billion Criminal Fine in Emissions Fraud,” </w:t>
      </w:r>
      <w:r w:rsidRPr="002D6E9A">
        <w:rPr>
          <w:i/>
        </w:rPr>
        <w:t>Wall Street Journal</w:t>
      </w:r>
      <w:r w:rsidRPr="00066EBC">
        <w:t>, April 21, 2017, accessed April 17, 2019, www.wsj.com/articles/judge-slaps-vw-with-2-8-billion-criminal-fine-in-emissions-fraud-1492789096</w:t>
      </w:r>
      <w:r>
        <w:t>.</w:t>
      </w:r>
    </w:p>
  </w:footnote>
  <w:footnote w:id="23">
    <w:p w14:paraId="41013014" w14:textId="77777777" w:rsidR="00CF01F0" w:rsidRPr="00076F34" w:rsidRDefault="00CF01F0" w:rsidP="0088622F">
      <w:pPr>
        <w:pStyle w:val="FootnoteText1"/>
      </w:pPr>
      <w:r w:rsidRPr="00F00C0C">
        <w:rPr>
          <w:rStyle w:val="FootnoteReference"/>
        </w:rPr>
        <w:footnoteRef/>
      </w:r>
      <w:r w:rsidRPr="00076F34">
        <w:t xml:space="preserve"> Jack Ewing</w:t>
      </w:r>
      <w:r w:rsidRPr="00076F34">
        <w:rPr>
          <w:rFonts w:eastAsia="SimSun"/>
        </w:rPr>
        <w:t>, “</w:t>
      </w:r>
      <w:r w:rsidRPr="00076F34">
        <w:t xml:space="preserve">Ex-Volkswagen C.E.O. Charged with Fraud </w:t>
      </w:r>
      <w:r>
        <w:t>o</w:t>
      </w:r>
      <w:r w:rsidRPr="00076F34">
        <w:t>ver Diesel Emissions</w:t>
      </w:r>
      <w:r w:rsidRPr="00076F34">
        <w:rPr>
          <w:rFonts w:eastAsia="SimSun"/>
        </w:rPr>
        <w:t xml:space="preserve">,” </w:t>
      </w:r>
      <w:r w:rsidRPr="002D6E9A">
        <w:rPr>
          <w:rFonts w:eastAsia="SimSun"/>
          <w:i/>
        </w:rPr>
        <w:t>New York Times</w:t>
      </w:r>
      <w:r w:rsidRPr="00076F34">
        <w:rPr>
          <w:rFonts w:eastAsia="SimSun"/>
        </w:rPr>
        <w:t xml:space="preserve">, May 3, 2018, accessed April 17, 2019, </w:t>
      </w:r>
      <w:r w:rsidRPr="00076F34">
        <w:t>www.nytimes.com/2018/05/03/business/volkswagen-ceo-diesel-fraud.html</w:t>
      </w:r>
      <w:r>
        <w:t>.</w:t>
      </w:r>
    </w:p>
  </w:footnote>
  <w:footnote w:id="24">
    <w:p w14:paraId="659E52B2" w14:textId="77777777" w:rsidR="00CF01F0" w:rsidRDefault="00CF01F0" w:rsidP="0088622F">
      <w:pPr>
        <w:pStyle w:val="FootnoteText1"/>
      </w:pPr>
      <w:r>
        <w:rPr>
          <w:rStyle w:val="FootnoteReference"/>
        </w:rPr>
        <w:footnoteRef/>
      </w:r>
      <w:r>
        <w:t xml:space="preserve"> </w:t>
      </w:r>
      <w:r w:rsidRPr="00C02216">
        <w:t xml:space="preserve">Volkswagen AG, </w:t>
      </w:r>
      <w:r w:rsidRPr="002D6E9A">
        <w:rPr>
          <w:i/>
        </w:rPr>
        <w:t>We Are Redefining Mobility: Annual Report 2016</w:t>
      </w:r>
      <w:r w:rsidRPr="002D6E9A">
        <w:t>,</w:t>
      </w:r>
      <w:r w:rsidRPr="00170099">
        <w:t xml:space="preserve"> </w:t>
      </w:r>
      <w:r w:rsidRPr="00F00C0C">
        <w:t>91</w:t>
      </w:r>
      <w:r>
        <w:t>–</w:t>
      </w:r>
      <w:r w:rsidRPr="00F00C0C">
        <w:t xml:space="preserve">97, 2017, accessed April 17, 2019, </w:t>
      </w:r>
      <w:r w:rsidRPr="00170099">
        <w:t>www.volkswagenag.com/presence/investorrelation/publications/annual-reports/2017/volkswagen/en/Y_2016_e.pdf</w:t>
      </w:r>
      <w:r>
        <w:t>.</w:t>
      </w:r>
    </w:p>
  </w:footnote>
  <w:footnote w:id="25">
    <w:p w14:paraId="05D751EE" w14:textId="77777777" w:rsidR="00CF01F0" w:rsidRPr="00935573" w:rsidRDefault="00CF01F0" w:rsidP="0088622F">
      <w:pPr>
        <w:pStyle w:val="FootnoteText1"/>
        <w:rPr>
          <w:rStyle w:val="FootnoteChar"/>
          <w:rFonts w:eastAsiaTheme="minorEastAsia"/>
        </w:rPr>
      </w:pPr>
      <w:r>
        <w:rPr>
          <w:rStyle w:val="FootnoteReference"/>
        </w:rPr>
        <w:footnoteRef/>
      </w:r>
      <w:r>
        <w:t xml:space="preserve"> </w:t>
      </w:r>
      <w:r w:rsidRPr="00935573">
        <w:t xml:space="preserve">Volkswagen AG, </w:t>
      </w:r>
      <w:r w:rsidRPr="00A51F46">
        <w:rPr>
          <w:i/>
        </w:rPr>
        <w:t>Full Speed Ahead to the Future: Annual Report 2018,</w:t>
      </w:r>
      <w:r>
        <w:t xml:space="preserve"> op. cit., 92–94</w:t>
      </w:r>
      <w:r w:rsidRPr="00935573">
        <w:t>.</w:t>
      </w:r>
    </w:p>
  </w:footnote>
  <w:footnote w:id="26">
    <w:p w14:paraId="306ED414" w14:textId="77777777" w:rsidR="00CF01F0" w:rsidRPr="00414A53" w:rsidRDefault="00CF01F0" w:rsidP="0088622F">
      <w:pPr>
        <w:pStyle w:val="FootnoteText1"/>
        <w:rPr>
          <w:rFonts w:eastAsiaTheme="minorEastAsia"/>
          <w:lang w:eastAsia="zh-HK"/>
        </w:rPr>
      </w:pPr>
      <w:r>
        <w:rPr>
          <w:rStyle w:val="FootnoteReference"/>
        </w:rPr>
        <w:footnoteRef/>
      </w:r>
      <w:r>
        <w:t xml:space="preserve"> </w:t>
      </w:r>
      <w:r w:rsidRPr="00414A53">
        <w:t xml:space="preserve">Volkswagen AG, </w:t>
      </w:r>
      <w:r w:rsidRPr="00A51F46">
        <w:t>Full Speed Ahead to the Future: Annual Report 2018</w:t>
      </w:r>
      <w:r>
        <w:t>, op. cit., 51–53</w:t>
      </w:r>
      <w:r w:rsidRPr="00414A53">
        <w:t>.</w:t>
      </w:r>
    </w:p>
  </w:footnote>
  <w:footnote w:id="27">
    <w:p w14:paraId="26CADB15" w14:textId="77777777" w:rsidR="00CF01F0" w:rsidRPr="00CD6D07" w:rsidRDefault="00CF01F0" w:rsidP="0088622F">
      <w:pPr>
        <w:pStyle w:val="FootnoteText1"/>
        <w:rPr>
          <w:rFonts w:eastAsiaTheme="minorEastAsia"/>
          <w:lang w:eastAsia="zh-HK"/>
        </w:rPr>
      </w:pPr>
      <w:r>
        <w:rPr>
          <w:rStyle w:val="FootnoteReference"/>
        </w:rPr>
        <w:footnoteRef/>
      </w:r>
      <w:r>
        <w:t xml:space="preserve"> </w:t>
      </w:r>
      <w:r w:rsidRPr="00414A53">
        <w:t>Volkswagen AG,</w:t>
      </w:r>
      <w:r>
        <w:t xml:space="preserve"> </w:t>
      </w:r>
      <w:r w:rsidRPr="00A51F46">
        <w:t>New Group Strategy Adopted: Volkswagen Group to Become a World-Leading Provider of Sustainable Mobility</w:t>
      </w:r>
      <w:r>
        <w:t xml:space="preserve">, 3–4, press release, June 16, 2016, accessed April 17, 2019, </w:t>
      </w:r>
      <w:r w:rsidRPr="00CD6D07">
        <w:t>https://web.archive.org/web/20181212151544/http://www.volkswagenag.com/presence/investorrelation/events/2016/strategie-2025/Press+Release.pdf</w:t>
      </w:r>
      <w:r>
        <w:t>.</w:t>
      </w:r>
    </w:p>
  </w:footnote>
  <w:footnote w:id="28">
    <w:p w14:paraId="4F4389F9" w14:textId="77777777" w:rsidR="00CF01F0" w:rsidRPr="00534395" w:rsidRDefault="00CF01F0" w:rsidP="0088622F">
      <w:pPr>
        <w:pStyle w:val="FootnoteText1"/>
        <w:rPr>
          <w:spacing w:val="-2"/>
        </w:rPr>
      </w:pPr>
      <w:r w:rsidRPr="00534395">
        <w:rPr>
          <w:rStyle w:val="FootnoteReference"/>
          <w:spacing w:val="-2"/>
        </w:rPr>
        <w:footnoteRef/>
      </w:r>
      <w:r w:rsidRPr="00534395">
        <w:rPr>
          <w:spacing w:val="-2"/>
        </w:rPr>
        <w:t xml:space="preserve"> </w:t>
      </w:r>
      <w:r w:rsidRPr="00534395">
        <w:rPr>
          <w:rStyle w:val="FootnoteChar"/>
          <w:spacing w:val="-2"/>
        </w:rPr>
        <w:t>“MOIA</w:t>
      </w:r>
      <w:r>
        <w:rPr>
          <w:rStyle w:val="FootnoteChar"/>
          <w:spacing w:val="-2"/>
        </w:rPr>
        <w:t>—</w:t>
      </w:r>
      <w:r w:rsidRPr="00534395">
        <w:rPr>
          <w:rStyle w:val="FootnoteChar"/>
          <w:spacing w:val="-2"/>
        </w:rPr>
        <w:t xml:space="preserve">the Volkswagen Group’s New Mobility Services Company,” </w:t>
      </w:r>
      <w:r>
        <w:rPr>
          <w:rStyle w:val="FootnoteChar"/>
          <w:spacing w:val="-2"/>
        </w:rPr>
        <w:t xml:space="preserve">Volkswagen AG, </w:t>
      </w:r>
      <w:r w:rsidRPr="00534395">
        <w:rPr>
          <w:rStyle w:val="FootnoteChar"/>
          <w:spacing w:val="-2"/>
        </w:rPr>
        <w:t>December 5, 2016, accessed April 17, 2019, www.volkswagenag.com/en/news/stories/2016/moia_the_volkswagen_groups_new_mobility_services_company.html.</w:t>
      </w:r>
    </w:p>
  </w:footnote>
  <w:footnote w:id="29">
    <w:p w14:paraId="6D10EB06" w14:textId="77777777" w:rsidR="00CF01F0" w:rsidRDefault="00CF01F0" w:rsidP="0088622F">
      <w:pPr>
        <w:pStyle w:val="FootnoteText1"/>
      </w:pPr>
      <w:r>
        <w:rPr>
          <w:rStyle w:val="FootnoteReference"/>
        </w:rPr>
        <w:footnoteRef/>
      </w:r>
      <w:r>
        <w:t xml:space="preserve"> “The 2018 Global Innovation 1000 Study,” Strategy&amp;, accessed April 17, 2019, </w:t>
      </w:r>
      <w:r w:rsidRPr="00E2532B">
        <w:t>www.strategyand.pwc.com/innovation1000</w:t>
      </w:r>
      <w:r>
        <w:t>.</w:t>
      </w:r>
    </w:p>
  </w:footnote>
  <w:footnote w:id="30">
    <w:p w14:paraId="3D152FA7" w14:textId="77777777" w:rsidR="00CF01F0" w:rsidRDefault="00CF01F0" w:rsidP="0088622F">
      <w:pPr>
        <w:pStyle w:val="FootnoteText1"/>
      </w:pPr>
      <w:r>
        <w:rPr>
          <w:rStyle w:val="FootnoteReference"/>
        </w:rPr>
        <w:footnoteRef/>
      </w:r>
      <w:r>
        <w:t xml:space="preserve"> </w:t>
      </w:r>
      <w:r w:rsidRPr="00170099">
        <w:t xml:space="preserve">Volkswagen AG, </w:t>
      </w:r>
      <w:r w:rsidRPr="00A26702">
        <w:t>Full Speed Ahead to the Future</w:t>
      </w:r>
      <w:r w:rsidRPr="00FF034B">
        <w:t>: Annual Report 2018</w:t>
      </w:r>
      <w:r>
        <w:t>, op. cit.</w:t>
      </w:r>
    </w:p>
  </w:footnote>
  <w:footnote w:id="31">
    <w:p w14:paraId="70D1F7DA" w14:textId="77777777" w:rsidR="00CF01F0" w:rsidRDefault="00CF01F0" w:rsidP="0088622F">
      <w:pPr>
        <w:pStyle w:val="FootnoteText1"/>
      </w:pPr>
      <w:r>
        <w:rPr>
          <w:rStyle w:val="FootnoteReference"/>
        </w:rPr>
        <w:footnoteRef/>
      </w:r>
      <w:r>
        <w:t xml:space="preserve"> </w:t>
      </w:r>
      <w:r w:rsidRPr="00DE2FEA">
        <w:t>Chris Curran and Anand Rao</w:t>
      </w:r>
      <w:r>
        <w:t>, “</w:t>
      </w:r>
      <w:r w:rsidRPr="00DE2FEA">
        <w:t xml:space="preserve">Briefing: Artificial </w:t>
      </w:r>
      <w:r>
        <w:t>I</w:t>
      </w:r>
      <w:r w:rsidRPr="00DE2FEA">
        <w:t>ntelligence</w:t>
      </w:r>
      <w:r>
        <w:t xml:space="preserve">,” </w:t>
      </w:r>
      <w:r w:rsidRPr="00A51F46">
        <w:t>PwC: Next in Tech</w:t>
      </w:r>
      <w:r>
        <w:t xml:space="preserve"> (blog), January 22, 2018, accessed April 17, 2019, </w:t>
      </w:r>
      <w:r w:rsidRPr="002F1983">
        <w:t>http://usblogs.pwc.com/emerging-technology/briefing-ai/</w:t>
      </w:r>
      <w:r>
        <w:t>.</w:t>
      </w:r>
    </w:p>
  </w:footnote>
  <w:footnote w:id="32">
    <w:p w14:paraId="421E4C66" w14:textId="77777777" w:rsidR="00CF01F0" w:rsidRDefault="00CF01F0" w:rsidP="0088622F">
      <w:pPr>
        <w:pStyle w:val="FootnoteText1"/>
      </w:pPr>
      <w:r>
        <w:rPr>
          <w:rStyle w:val="FootnoteReference"/>
        </w:rPr>
        <w:footnoteRef/>
      </w:r>
      <w:r>
        <w:t xml:space="preserve"> Ibid.</w:t>
      </w:r>
    </w:p>
  </w:footnote>
  <w:footnote w:id="33">
    <w:p w14:paraId="1F65B59B" w14:textId="77777777" w:rsidR="00CF01F0" w:rsidRDefault="00CF01F0" w:rsidP="0088622F">
      <w:pPr>
        <w:pStyle w:val="FootnoteText1"/>
      </w:pPr>
      <w:r>
        <w:rPr>
          <w:rStyle w:val="FootnoteReference"/>
        </w:rPr>
        <w:footnoteRef/>
      </w:r>
      <w:r>
        <w:t xml:space="preserve"> “</w:t>
      </w:r>
      <w:r w:rsidRPr="004F292E">
        <w:t xml:space="preserve">Learning to </w:t>
      </w:r>
      <w:r>
        <w:t>L</w:t>
      </w:r>
      <w:r w:rsidRPr="004F292E">
        <w:t>earn</w:t>
      </w:r>
      <w:r>
        <w:t xml:space="preserve">,” Volkswagen AG, accessed April 17, 2019, </w:t>
      </w:r>
      <w:r w:rsidRPr="005C6F22">
        <w:t>www.volkswagenag.com/en/news/stories/2018/11/learning-to-learn.html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D5DC0A2" w:rsidR="00CF01F0" w:rsidRPr="00C92CC4" w:rsidRDefault="00CF01F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88622F">
      <w:rPr>
        <w:rFonts w:ascii="Arial" w:hAnsi="Arial"/>
        <w:b/>
      </w:rPr>
      <w:t>9B19E016</w:t>
    </w:r>
  </w:p>
  <w:p w14:paraId="2B53C0A0" w14:textId="77777777" w:rsidR="00CF01F0" w:rsidRDefault="00CF01F0" w:rsidP="00D13667">
    <w:pPr>
      <w:pStyle w:val="Header"/>
      <w:tabs>
        <w:tab w:val="clear" w:pos="4680"/>
      </w:tabs>
      <w:rPr>
        <w:sz w:val="18"/>
        <w:szCs w:val="18"/>
      </w:rPr>
    </w:pPr>
  </w:p>
  <w:p w14:paraId="47119730" w14:textId="77777777" w:rsidR="00CF01F0" w:rsidRPr="00C92CC4" w:rsidRDefault="00CF01F0"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F8A5F" w14:textId="4620524F" w:rsidR="00CF01F0" w:rsidRPr="00C92CC4" w:rsidRDefault="00CF01F0" w:rsidP="00CF01F0">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9B19E016</w:t>
    </w:r>
  </w:p>
  <w:p w14:paraId="745C0EB0" w14:textId="77777777" w:rsidR="00CF01F0" w:rsidRDefault="00CF01F0" w:rsidP="00CF01F0">
    <w:pPr>
      <w:pStyle w:val="Header"/>
      <w:tabs>
        <w:tab w:val="clear" w:pos="4680"/>
        <w:tab w:val="clear" w:pos="9360"/>
        <w:tab w:val="right" w:pos="12960"/>
      </w:tabs>
      <w:rPr>
        <w:sz w:val="18"/>
        <w:szCs w:val="18"/>
      </w:rPr>
    </w:pPr>
  </w:p>
  <w:p w14:paraId="0AAC6E47" w14:textId="77777777" w:rsidR="00CF01F0" w:rsidRPr="00C92CC4" w:rsidRDefault="00CF01F0" w:rsidP="00CF01F0">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9AEB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4827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6A13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EA6CC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548A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D06D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388B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3625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3C7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CDB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42218D"/>
    <w:multiLevelType w:val="hybridMultilevel"/>
    <w:tmpl w:val="C0E25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0D1800"/>
    <w:multiLevelType w:val="hybridMultilevel"/>
    <w:tmpl w:val="EC284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52A91"/>
    <w:multiLevelType w:val="hybridMultilevel"/>
    <w:tmpl w:val="7FA0A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C57A3E"/>
    <w:multiLevelType w:val="hybridMultilevel"/>
    <w:tmpl w:val="EC9A6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3"/>
  </w:num>
  <w:num w:numId="4">
    <w:abstractNumId w:val="22"/>
  </w:num>
  <w:num w:numId="5">
    <w:abstractNumId w:val="14"/>
  </w:num>
  <w:num w:numId="6">
    <w:abstractNumId w:val="19"/>
  </w:num>
  <w:num w:numId="7">
    <w:abstractNumId w:val="10"/>
  </w:num>
  <w:num w:numId="8">
    <w:abstractNumId w:val="25"/>
  </w:num>
  <w:num w:numId="9">
    <w:abstractNumId w:val="20"/>
  </w:num>
  <w:num w:numId="10">
    <w:abstractNumId w:val="12"/>
  </w:num>
  <w:num w:numId="11">
    <w:abstractNumId w:val="17"/>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21"/>
  </w:num>
  <w:num w:numId="26">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90E25"/>
    <w:rsid w:val="007A130D"/>
    <w:rsid w:val="007D1A2D"/>
    <w:rsid w:val="007D32E6"/>
    <w:rsid w:val="007D4102"/>
    <w:rsid w:val="007E54A7"/>
    <w:rsid w:val="007F43B7"/>
    <w:rsid w:val="00821FFC"/>
    <w:rsid w:val="008271CA"/>
    <w:rsid w:val="008467D5"/>
    <w:rsid w:val="0088622F"/>
    <w:rsid w:val="008A4DC4"/>
    <w:rsid w:val="008A6CD5"/>
    <w:rsid w:val="008B438C"/>
    <w:rsid w:val="008D06CA"/>
    <w:rsid w:val="008D3A46"/>
    <w:rsid w:val="008F2385"/>
    <w:rsid w:val="008F2E24"/>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01F0"/>
    <w:rsid w:val="00D00E4E"/>
    <w:rsid w:val="00D03A82"/>
    <w:rsid w:val="00D13667"/>
    <w:rsid w:val="00D15344"/>
    <w:rsid w:val="00D23F57"/>
    <w:rsid w:val="00D31BEC"/>
    <w:rsid w:val="00D61CD4"/>
    <w:rsid w:val="00D63150"/>
    <w:rsid w:val="00D636BA"/>
    <w:rsid w:val="00D64A32"/>
    <w:rsid w:val="00D64EFC"/>
    <w:rsid w:val="00D75295"/>
    <w:rsid w:val="00D76CE9"/>
    <w:rsid w:val="00D97F12"/>
    <w:rsid w:val="00DA6095"/>
    <w:rsid w:val="00DB42E7"/>
    <w:rsid w:val="00DC09D8"/>
    <w:rsid w:val="00DD3329"/>
    <w:rsid w:val="00DD688F"/>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DD332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F01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3604A-9DD8-45D2-923B-8D583659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8</cp:revision>
  <cp:lastPrinted>2015-03-04T20:34:00Z</cp:lastPrinted>
  <dcterms:created xsi:type="dcterms:W3CDTF">2019-12-13T13:05:00Z</dcterms:created>
  <dcterms:modified xsi:type="dcterms:W3CDTF">2019-12-18T13:25:00Z</dcterms:modified>
</cp:coreProperties>
</file>