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A285E" w14:textId="60869810" w:rsidR="00266FF0" w:rsidRPr="00076261" w:rsidRDefault="00076261" w:rsidP="00C02410">
      <w:pPr>
        <w:pBdr>
          <w:bottom w:val="single" w:sz="18" w:space="1" w:color="auto"/>
        </w:pBdr>
        <w:tabs>
          <w:tab w:val="left" w:pos="-1440"/>
          <w:tab w:val="left" w:pos="-720"/>
          <w:tab w:val="left" w:pos="1"/>
        </w:tabs>
        <w:jc w:val="both"/>
        <w:rPr>
          <w:rFonts w:ascii="Arial" w:hAnsi="Arial"/>
          <w:b/>
          <w:sz w:val="24"/>
          <w:lang w:val="en-CA" w:eastAsia="en-CA"/>
        </w:rPr>
      </w:pPr>
      <w:r w:rsidRPr="00076261">
        <w:rPr>
          <w:rFonts w:ascii="Arial" w:hAnsi="Arial"/>
          <w:b/>
          <w:noProof/>
          <w:sz w:val="24"/>
          <w:lang w:val="en-CA" w:eastAsia="en-CA"/>
        </w:rPr>
        <w:drawing>
          <wp:inline distT="0" distB="0" distL="0" distR="0" wp14:anchorId="103C56E3" wp14:editId="75DDEB0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F8CC21" w:rsidR="00C02410" w:rsidRPr="00076261" w:rsidRDefault="004A28D3" w:rsidP="00C02410">
      <w:pPr>
        <w:pStyle w:val="ProductNumber"/>
        <w:rPr>
          <w:lang w:val="en-CA"/>
        </w:rPr>
      </w:pPr>
      <w:r w:rsidRPr="00076261">
        <w:rPr>
          <w:lang w:val="en-CA"/>
        </w:rPr>
        <w:t>9B19E</w:t>
      </w:r>
      <w:r w:rsidR="00076261" w:rsidRPr="00076261">
        <w:rPr>
          <w:lang w:val="en-CA"/>
        </w:rPr>
        <w:t>020</w:t>
      </w:r>
    </w:p>
    <w:p w14:paraId="4E057522" w14:textId="7A113CB1" w:rsidR="00D75295" w:rsidRPr="00076261" w:rsidRDefault="00D75295" w:rsidP="00D75295">
      <w:pPr>
        <w:jc w:val="right"/>
        <w:rPr>
          <w:rFonts w:ascii="Arial" w:hAnsi="Arial"/>
          <w:b/>
          <w:lang w:val="en-CA"/>
        </w:rPr>
      </w:pPr>
    </w:p>
    <w:p w14:paraId="02524312" w14:textId="77777777" w:rsidR="001901C0" w:rsidRPr="00076261" w:rsidRDefault="001901C0" w:rsidP="00D75295">
      <w:pPr>
        <w:jc w:val="right"/>
        <w:rPr>
          <w:rFonts w:ascii="Arial" w:hAnsi="Arial"/>
          <w:b/>
          <w:lang w:val="en-CA"/>
        </w:rPr>
      </w:pPr>
    </w:p>
    <w:p w14:paraId="2F03D26A" w14:textId="49CAE126" w:rsidR="00B34EC9" w:rsidRPr="00076261" w:rsidRDefault="0009002F" w:rsidP="00013360">
      <w:pPr>
        <w:pStyle w:val="CaseTitle"/>
        <w:spacing w:after="0" w:line="240" w:lineRule="auto"/>
        <w:rPr>
          <w:sz w:val="20"/>
          <w:szCs w:val="20"/>
          <w:lang w:val="en-CA"/>
        </w:rPr>
      </w:pPr>
      <w:r w:rsidRPr="00076261">
        <w:rPr>
          <w:lang w:val="en-CA"/>
        </w:rPr>
        <w:t>samsung: the internet of things</w:t>
      </w:r>
      <w:r w:rsidR="00B34EC9" w:rsidRPr="00076261">
        <w:rPr>
          <w:rStyle w:val="EndnoteReference"/>
          <w:lang w:val="en-CA"/>
        </w:rPr>
        <w:endnoteReference w:id="1"/>
      </w:r>
    </w:p>
    <w:p w14:paraId="40ABF6FD" w14:textId="77777777" w:rsidR="00B34EC9" w:rsidRPr="00076261" w:rsidRDefault="00B34EC9" w:rsidP="00013360">
      <w:pPr>
        <w:pStyle w:val="CaseTitle"/>
        <w:spacing w:after="0" w:line="240" w:lineRule="auto"/>
        <w:rPr>
          <w:sz w:val="20"/>
          <w:szCs w:val="20"/>
          <w:lang w:val="en-CA"/>
        </w:rPr>
      </w:pPr>
    </w:p>
    <w:p w14:paraId="202F1085" w14:textId="77777777" w:rsidR="00B34EC9" w:rsidRPr="00076261" w:rsidRDefault="00B34EC9" w:rsidP="00013360">
      <w:pPr>
        <w:pStyle w:val="CaseTitle"/>
        <w:spacing w:after="0" w:line="240" w:lineRule="auto"/>
        <w:rPr>
          <w:sz w:val="20"/>
          <w:szCs w:val="20"/>
          <w:lang w:val="en-CA"/>
        </w:rPr>
      </w:pPr>
    </w:p>
    <w:p w14:paraId="58B0C73F" w14:textId="17BE666E" w:rsidR="00B34EC9" w:rsidRPr="00076261" w:rsidRDefault="00B34EC9" w:rsidP="00086B26">
      <w:pPr>
        <w:pStyle w:val="StyleCopyrightStatementAfter0ptBottomSinglesolidline1"/>
        <w:rPr>
          <w:lang w:val="en-CA"/>
        </w:rPr>
      </w:pPr>
      <w:r w:rsidRPr="00076261">
        <w:rPr>
          <w:lang w:val="en-CA"/>
        </w:rPr>
        <w:t>Paul Okundaye and Nicole Haggerty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4D93779" w:rsidR="00B34EC9" w:rsidRPr="00076261" w:rsidRDefault="00B34EC9" w:rsidP="00086B26">
      <w:pPr>
        <w:pStyle w:val="StyleCopyrightStatementAfter0ptBottomSinglesolidline1"/>
        <w:rPr>
          <w:lang w:val="en-CA"/>
        </w:rPr>
      </w:pPr>
    </w:p>
    <w:p w14:paraId="74FE5C07" w14:textId="77777777" w:rsidR="00076261" w:rsidRPr="00076261" w:rsidRDefault="00076261" w:rsidP="00076261">
      <w:pPr>
        <w:pStyle w:val="StyleStyleCopyrightStatementAfter0ptBottomSinglesolid"/>
        <w:rPr>
          <w:rFonts w:cs="Arial"/>
          <w:color w:val="FFFFFF" w:themeColor="background1"/>
          <w:szCs w:val="16"/>
          <w:lang w:val="en-CA"/>
        </w:rPr>
      </w:pPr>
      <w:r w:rsidRPr="00076261">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076261">
        <w:rPr>
          <w:rFonts w:cs="Arial"/>
          <w:color w:val="FFFFFF" w:themeColor="background1"/>
          <w:szCs w:val="16"/>
          <w:lang w:val="en-CA"/>
        </w:rPr>
        <w:t>i1v2e5y5pubs</w:t>
      </w:r>
    </w:p>
    <w:p w14:paraId="4AF3B412" w14:textId="77777777" w:rsidR="00076261" w:rsidRPr="00076261" w:rsidRDefault="00076261" w:rsidP="00076261">
      <w:pPr>
        <w:pStyle w:val="StyleStyleCopyrightStatementAfter0ptBottomSinglesolid"/>
        <w:rPr>
          <w:rFonts w:cs="Arial"/>
          <w:color w:val="FFFFFF" w:themeColor="background1"/>
          <w:szCs w:val="16"/>
          <w:lang w:val="en-CA"/>
        </w:rPr>
      </w:pPr>
    </w:p>
    <w:p w14:paraId="3922E14F" w14:textId="0769CBC7" w:rsidR="00B34EC9" w:rsidRPr="00076261" w:rsidRDefault="00076261" w:rsidP="00A323B0">
      <w:pPr>
        <w:pStyle w:val="StyleStyleCopyrightStatementAfter0ptBottomSinglesolid"/>
        <w:rPr>
          <w:rFonts w:cs="Arial"/>
          <w:color w:val="FFFFFF" w:themeColor="background1"/>
          <w:szCs w:val="16"/>
          <w:lang w:val="en-CA"/>
        </w:rPr>
      </w:pPr>
      <w:r w:rsidRPr="00076261">
        <w:rPr>
          <w:rFonts w:cs="Arial"/>
          <w:iCs w:val="0"/>
          <w:color w:val="auto"/>
          <w:szCs w:val="16"/>
          <w:lang w:val="en-CA"/>
        </w:rPr>
        <w:t>Copyright © 2019, Ivey Business School Foundation</w:t>
      </w:r>
      <w:r w:rsidR="00B34EC9" w:rsidRPr="00076261">
        <w:rPr>
          <w:rFonts w:cs="Arial"/>
          <w:iCs w:val="0"/>
          <w:color w:val="auto"/>
          <w:szCs w:val="16"/>
          <w:lang w:val="en-CA"/>
        </w:rPr>
        <w:tab/>
        <w:t>Version: 2019-0</w:t>
      </w:r>
      <w:r w:rsidR="00266FF0" w:rsidRPr="00076261">
        <w:rPr>
          <w:rFonts w:cs="Arial"/>
          <w:iCs w:val="0"/>
          <w:color w:val="auto"/>
          <w:szCs w:val="16"/>
          <w:lang w:val="en-CA"/>
        </w:rPr>
        <w:t>9</w:t>
      </w:r>
      <w:r w:rsidR="00B34EC9" w:rsidRPr="00076261">
        <w:rPr>
          <w:rFonts w:cs="Arial"/>
          <w:iCs w:val="0"/>
          <w:color w:val="auto"/>
          <w:szCs w:val="16"/>
          <w:lang w:val="en-CA"/>
        </w:rPr>
        <w:t>-</w:t>
      </w:r>
      <w:r w:rsidR="00266FF0" w:rsidRPr="00076261">
        <w:rPr>
          <w:rFonts w:cs="Arial"/>
          <w:iCs w:val="0"/>
          <w:color w:val="auto"/>
          <w:szCs w:val="16"/>
          <w:lang w:val="en-CA"/>
        </w:rPr>
        <w:t>1</w:t>
      </w:r>
      <w:r w:rsidR="003B1CFF">
        <w:rPr>
          <w:rFonts w:cs="Arial"/>
          <w:iCs w:val="0"/>
          <w:color w:val="auto"/>
          <w:szCs w:val="16"/>
          <w:lang w:val="en-CA"/>
        </w:rPr>
        <w:t>3</w:t>
      </w:r>
    </w:p>
    <w:p w14:paraId="0A2A54E4" w14:textId="16502163" w:rsidR="00B34EC9" w:rsidRPr="00076261" w:rsidRDefault="00B34EC9" w:rsidP="00751E0B">
      <w:pPr>
        <w:pStyle w:val="StyleCopyrightStatementAfter0ptBottomSinglesolidline1"/>
        <w:rPr>
          <w:rFonts w:ascii="Times New Roman" w:hAnsi="Times New Roman"/>
          <w:sz w:val="20"/>
          <w:lang w:val="en-CA"/>
        </w:rPr>
      </w:pPr>
    </w:p>
    <w:p w14:paraId="1B1D9607" w14:textId="77777777" w:rsidR="00B34EC9" w:rsidRPr="00076261" w:rsidRDefault="00B34EC9" w:rsidP="00751E0B">
      <w:pPr>
        <w:pStyle w:val="StyleCopyrightStatementAfter0ptBottomSinglesolidline1"/>
        <w:rPr>
          <w:rFonts w:ascii="Times New Roman" w:hAnsi="Times New Roman"/>
          <w:sz w:val="20"/>
          <w:lang w:val="en-CA"/>
        </w:rPr>
      </w:pPr>
    </w:p>
    <w:p w14:paraId="421AE5C4" w14:textId="6828B794" w:rsidR="00B34EC9" w:rsidRPr="00076261" w:rsidRDefault="00B34EC9" w:rsidP="0009002F">
      <w:pPr>
        <w:pStyle w:val="BodyTextMain"/>
        <w:rPr>
          <w:lang w:val="en-CA"/>
        </w:rPr>
      </w:pPr>
      <w:r w:rsidRPr="00076261">
        <w:rPr>
          <w:lang w:val="en-CA"/>
        </w:rPr>
        <w:t>In June 2016, Boo-</w:t>
      </w:r>
      <w:proofErr w:type="spellStart"/>
      <w:r w:rsidRPr="00076261">
        <w:rPr>
          <w:lang w:val="en-CA"/>
        </w:rPr>
        <w:t>Keun</w:t>
      </w:r>
      <w:proofErr w:type="spellEnd"/>
      <w:r w:rsidRPr="00076261">
        <w:rPr>
          <w:lang w:val="en-CA"/>
        </w:rPr>
        <w:t xml:space="preserve"> Yoon, the chief executive officer of Samsung Electronics Co. Ltd. (Samsung), was contemplating a potentially transformational decision for the multinational conglomerate. Two years earlier, in 2014, the Internet of things (</w:t>
      </w:r>
      <w:proofErr w:type="spellStart"/>
      <w:r w:rsidRPr="00076261">
        <w:rPr>
          <w:lang w:val="en-CA"/>
        </w:rPr>
        <w:t>IoT</w:t>
      </w:r>
      <w:proofErr w:type="spellEnd"/>
      <w:r w:rsidRPr="00076261">
        <w:rPr>
          <w:lang w:val="en-CA"/>
        </w:rPr>
        <w:t xml:space="preserve">) was developing into a new industry with mass-market popularity, and Samsung had entered the consumer electronics segment of the global </w:t>
      </w:r>
      <w:proofErr w:type="spellStart"/>
      <w:r w:rsidRPr="00076261">
        <w:rPr>
          <w:lang w:val="en-CA"/>
        </w:rPr>
        <w:t>IoT</w:t>
      </w:r>
      <w:proofErr w:type="spellEnd"/>
      <w:r w:rsidRPr="00076261">
        <w:rPr>
          <w:lang w:val="en-CA"/>
        </w:rPr>
        <w:t xml:space="preserve"> market with ambitious goals.</w:t>
      </w:r>
      <w:r w:rsidRPr="00076261">
        <w:rPr>
          <w:rStyle w:val="EndnoteReference"/>
          <w:lang w:val="en-CA"/>
        </w:rPr>
        <w:endnoteReference w:id="2"/>
      </w:r>
      <w:r w:rsidRPr="00076261">
        <w:rPr>
          <w:lang w:val="en-CA"/>
        </w:rPr>
        <w:t xml:space="preserve"> Over the next two years, the company experienced a US$100 million</w:t>
      </w:r>
      <w:r w:rsidRPr="00076261">
        <w:rPr>
          <w:rStyle w:val="EndnoteReference"/>
          <w:lang w:val="en-CA"/>
        </w:rPr>
        <w:endnoteReference w:id="3"/>
      </w:r>
      <w:r w:rsidRPr="00076261">
        <w:rPr>
          <w:lang w:val="en-CA"/>
        </w:rPr>
        <w:t xml:space="preserve"> investment, a ground-breaking trade show presentation, and a cyber security scandal. At that point, the next step forward for Samsung was unclear.</w:t>
      </w:r>
      <w:r w:rsidRPr="00076261">
        <w:rPr>
          <w:rStyle w:val="EndnoteReference"/>
          <w:lang w:val="en-CA"/>
        </w:rPr>
        <w:endnoteReference w:id="4"/>
      </w:r>
      <w:r w:rsidRPr="00076261">
        <w:rPr>
          <w:lang w:val="en-CA"/>
        </w:rPr>
        <w:t xml:space="preserve"> Yoon wondered if Samsung should invest $1.2 billion in research and development (R&amp;D) funding for </w:t>
      </w:r>
      <w:proofErr w:type="spellStart"/>
      <w:r w:rsidRPr="00076261">
        <w:rPr>
          <w:lang w:val="en-CA"/>
        </w:rPr>
        <w:t>IoT</w:t>
      </w:r>
      <w:proofErr w:type="spellEnd"/>
      <w:r w:rsidRPr="00076261">
        <w:rPr>
          <w:lang w:val="en-CA"/>
        </w:rPr>
        <w:t>, which represented a possibly lucrative opportunity. Or, should the company instead scale down the project to shield itself from the looming risks?</w:t>
      </w:r>
    </w:p>
    <w:p w14:paraId="1CED69F8" w14:textId="232F5C43" w:rsidR="00B34EC9" w:rsidRPr="00076261" w:rsidRDefault="00B34EC9" w:rsidP="0009002F">
      <w:pPr>
        <w:pStyle w:val="BodyTextMain"/>
        <w:rPr>
          <w:lang w:val="en-CA"/>
        </w:rPr>
      </w:pPr>
    </w:p>
    <w:p w14:paraId="6AF33055" w14:textId="77777777" w:rsidR="00B34EC9" w:rsidRPr="00076261" w:rsidRDefault="00B34EC9" w:rsidP="0009002F">
      <w:pPr>
        <w:pStyle w:val="BodyTextMain"/>
        <w:rPr>
          <w:lang w:val="en-CA"/>
        </w:rPr>
      </w:pPr>
    </w:p>
    <w:p w14:paraId="5B0719CC" w14:textId="77777777" w:rsidR="00B34EC9" w:rsidRPr="00076261" w:rsidRDefault="00B34EC9" w:rsidP="0009002F">
      <w:pPr>
        <w:rPr>
          <w:rFonts w:ascii="Arial" w:hAnsi="Arial" w:cs="Arial"/>
          <w:b/>
          <w:lang w:val="en-CA"/>
        </w:rPr>
      </w:pPr>
      <w:r w:rsidRPr="00076261">
        <w:rPr>
          <w:rFonts w:ascii="Arial" w:hAnsi="Arial" w:cs="Arial"/>
          <w:b/>
          <w:lang w:val="en-CA"/>
        </w:rPr>
        <w:t>GLOBAL CONSUMER ELECTRONICS INDUSTRY</w:t>
      </w:r>
    </w:p>
    <w:p w14:paraId="3A75849F" w14:textId="77777777" w:rsidR="00B34EC9" w:rsidRPr="00076261" w:rsidRDefault="00B34EC9" w:rsidP="0009002F">
      <w:pPr>
        <w:pStyle w:val="BodyTextMain"/>
        <w:rPr>
          <w:lang w:val="en-CA"/>
        </w:rPr>
      </w:pPr>
    </w:p>
    <w:p w14:paraId="496D959D" w14:textId="2C250938" w:rsidR="00B34EC9" w:rsidRPr="00076261" w:rsidRDefault="00B34EC9" w:rsidP="0009002F">
      <w:pPr>
        <w:pStyle w:val="BodyTextMain"/>
        <w:rPr>
          <w:lang w:val="en-CA"/>
        </w:rPr>
      </w:pPr>
      <w:r w:rsidRPr="00076261">
        <w:rPr>
          <w:lang w:val="en-CA"/>
        </w:rPr>
        <w:t>The global market for consumer electronics in 2015 was estimated at $685 billion and was expected to grow by approximately 5 per cent to $718 billion by 2018. The consumer electronics market consisted of digital and electronic devices used for communication, entertainment, and home-office activities such as smartphones, printers, and television sets. All of these devices were usually sold by the same retailers to realize cost efficiencies in the distribution channel. Innovation was integral for success in the consumer electronics market. Companies had to constantly improve their existing products while creating new ones to stay competitive.</w:t>
      </w:r>
      <w:r w:rsidRPr="00076261">
        <w:rPr>
          <w:rStyle w:val="EndnoteReference"/>
          <w:lang w:val="en-CA"/>
        </w:rPr>
        <w:endnoteReference w:id="5"/>
      </w:r>
      <w:r w:rsidRPr="00076261">
        <w:rPr>
          <w:lang w:val="en-CA"/>
        </w:rPr>
        <w:t xml:space="preserve"> Various devices in this market could be used for more than one task. For example, smartphones could be used as radios, global positioning devices, or cameras, among many other functions. </w:t>
      </w:r>
    </w:p>
    <w:p w14:paraId="0C117750" w14:textId="7DA82652" w:rsidR="00B34EC9" w:rsidRPr="00076261" w:rsidRDefault="00B34EC9" w:rsidP="0009002F">
      <w:pPr>
        <w:pStyle w:val="BodyTextMain"/>
        <w:rPr>
          <w:lang w:val="en-CA"/>
        </w:rPr>
      </w:pPr>
    </w:p>
    <w:p w14:paraId="36D30317" w14:textId="77777777" w:rsidR="00B34EC9" w:rsidRPr="00076261" w:rsidRDefault="00B34EC9" w:rsidP="0009002F">
      <w:pPr>
        <w:pStyle w:val="BodyTextMain"/>
        <w:rPr>
          <w:lang w:val="en-CA"/>
        </w:rPr>
      </w:pPr>
    </w:p>
    <w:p w14:paraId="151AF249" w14:textId="77777777" w:rsidR="00B34EC9" w:rsidRPr="00076261" w:rsidRDefault="00B34EC9" w:rsidP="0009002F">
      <w:pPr>
        <w:rPr>
          <w:rFonts w:ascii="Arial" w:hAnsi="Arial" w:cs="Arial"/>
          <w:b/>
          <w:lang w:val="en-CA"/>
        </w:rPr>
      </w:pPr>
      <w:r w:rsidRPr="00076261">
        <w:rPr>
          <w:rFonts w:ascii="Arial" w:hAnsi="Arial" w:cs="Arial"/>
          <w:b/>
          <w:lang w:val="en-CA"/>
        </w:rPr>
        <w:t>SAMSUNG ELECTRONICS</w:t>
      </w:r>
    </w:p>
    <w:p w14:paraId="45CD932A" w14:textId="77777777" w:rsidR="00B34EC9" w:rsidRPr="00076261" w:rsidRDefault="00B34EC9" w:rsidP="0009002F">
      <w:pPr>
        <w:pStyle w:val="BodyTextMain"/>
        <w:rPr>
          <w:lang w:val="en-CA"/>
        </w:rPr>
      </w:pPr>
    </w:p>
    <w:p w14:paraId="7A939862" w14:textId="4DC98B5F" w:rsidR="00B34EC9" w:rsidRPr="00076261" w:rsidRDefault="00B34EC9" w:rsidP="0009002F">
      <w:pPr>
        <w:pStyle w:val="BodyTextMain"/>
        <w:rPr>
          <w:lang w:val="en-CA"/>
        </w:rPr>
      </w:pPr>
      <w:r w:rsidRPr="00076261">
        <w:rPr>
          <w:lang w:val="en-CA"/>
        </w:rPr>
        <w:t>Samsung was a subsidiary of Samsung Group, a multinational conglomerate established in 1938 that encompassed over 80 businesses in various industries such as electronics, engineering, heavy industries, and financial services. Samsung was headquartered in Suwon, South Korea, and had over 159 subsidiaries worldwide.</w:t>
      </w:r>
      <w:r w:rsidRPr="00076261">
        <w:rPr>
          <w:rStyle w:val="EndnoteReference"/>
          <w:lang w:val="en-CA"/>
        </w:rPr>
        <w:endnoteReference w:id="6"/>
      </w:r>
      <w:r w:rsidRPr="00076261">
        <w:rPr>
          <w:lang w:val="en-CA"/>
        </w:rPr>
        <w:t xml:space="preserve"> The company earned approximately $177 billion in revenue and $17 billion in net income in 2015 (see Exhibit 1). It accounted for about 17 per cent of South Korea’s gross domestic product and 20 per cent of the country’s net exports.</w:t>
      </w:r>
      <w:r w:rsidRPr="00076261">
        <w:rPr>
          <w:rStyle w:val="EndnoteReference"/>
          <w:lang w:val="en-CA"/>
        </w:rPr>
        <w:endnoteReference w:id="7"/>
      </w:r>
    </w:p>
    <w:p w14:paraId="0B49D78C" w14:textId="77777777" w:rsidR="00B34EC9" w:rsidRPr="00076261" w:rsidRDefault="00B34EC9" w:rsidP="0009002F">
      <w:pPr>
        <w:pStyle w:val="BodyTextMain"/>
        <w:rPr>
          <w:lang w:val="en-CA"/>
        </w:rPr>
      </w:pPr>
    </w:p>
    <w:p w14:paraId="2ADED7B9" w14:textId="67A4DF9B" w:rsidR="00B34EC9" w:rsidRPr="00363E19" w:rsidRDefault="00B34EC9" w:rsidP="0009002F">
      <w:pPr>
        <w:pStyle w:val="BodyTextMain"/>
        <w:rPr>
          <w:spacing w:val="-4"/>
          <w:kern w:val="22"/>
          <w:lang w:val="en-CA"/>
        </w:rPr>
      </w:pPr>
      <w:r w:rsidRPr="00363E19">
        <w:rPr>
          <w:spacing w:val="-4"/>
          <w:kern w:val="22"/>
          <w:lang w:val="en-CA"/>
        </w:rPr>
        <w:lastRenderedPageBreak/>
        <w:t>This gave the firm considerable political influence and buyer power in the South Korean market. Samsung was the world’s largest manufacturer of televisions (since 2006) and mobile phones (since 2011), and the second-largest semiconductor chip maker in the world (since 2016), with Intel Corporation (Intel) in first place.</w:t>
      </w:r>
      <w:r w:rsidRPr="00363E19">
        <w:rPr>
          <w:rStyle w:val="EndnoteReference"/>
          <w:spacing w:val="-4"/>
          <w:kern w:val="22"/>
          <w:lang w:val="en-CA"/>
        </w:rPr>
        <w:endnoteReference w:id="8"/>
      </w:r>
      <w:r w:rsidRPr="00363E19">
        <w:rPr>
          <w:spacing w:val="-4"/>
          <w:kern w:val="22"/>
          <w:lang w:val="en-CA"/>
        </w:rPr>
        <w:t xml:space="preserve"> The company was world-renowned for its design and innovation capabilities. In March 2016, Samsung won 38 International Forum Design Awards, which were considered the most prestigious awards in the industry.</w:t>
      </w:r>
      <w:r w:rsidRPr="00363E19">
        <w:rPr>
          <w:rStyle w:val="EndnoteReference"/>
          <w:spacing w:val="-4"/>
          <w:kern w:val="22"/>
          <w:lang w:val="en-CA"/>
        </w:rPr>
        <w:endnoteReference w:id="9"/>
      </w:r>
    </w:p>
    <w:p w14:paraId="4206A115" w14:textId="66AF17D6" w:rsidR="00B34EC9" w:rsidRPr="00076261" w:rsidRDefault="00B34EC9" w:rsidP="0009002F">
      <w:pPr>
        <w:pStyle w:val="BodyTextMain"/>
        <w:rPr>
          <w:sz w:val="14"/>
          <w:szCs w:val="14"/>
          <w:lang w:val="en-CA"/>
        </w:rPr>
      </w:pPr>
    </w:p>
    <w:p w14:paraId="663262C1" w14:textId="77777777" w:rsidR="00B34EC9" w:rsidRPr="00076261" w:rsidRDefault="00B34EC9" w:rsidP="0009002F">
      <w:pPr>
        <w:pStyle w:val="BodyTextMain"/>
        <w:rPr>
          <w:sz w:val="14"/>
          <w:szCs w:val="14"/>
          <w:lang w:val="en-CA"/>
        </w:rPr>
      </w:pPr>
    </w:p>
    <w:p w14:paraId="135E8A68" w14:textId="7697DC7C" w:rsidR="00B34EC9" w:rsidRPr="00076261" w:rsidRDefault="0015500E" w:rsidP="0009002F">
      <w:pPr>
        <w:rPr>
          <w:rFonts w:ascii="Arial" w:hAnsi="Arial" w:cs="Arial"/>
          <w:b/>
          <w:lang w:val="en-CA"/>
        </w:rPr>
      </w:pPr>
      <w:r w:rsidRPr="00076261">
        <w:rPr>
          <w:rFonts w:ascii="Arial" w:hAnsi="Arial" w:cs="Arial"/>
          <w:b/>
          <w:lang w:val="en-CA"/>
        </w:rPr>
        <w:t xml:space="preserve">THE </w:t>
      </w:r>
      <w:r w:rsidR="00B34EC9" w:rsidRPr="00076261">
        <w:rPr>
          <w:rFonts w:ascii="Arial" w:hAnsi="Arial" w:cs="Arial"/>
          <w:b/>
          <w:lang w:val="en-CA"/>
        </w:rPr>
        <w:t xml:space="preserve">INTERNET OF THINGS </w:t>
      </w:r>
    </w:p>
    <w:p w14:paraId="2CF08136" w14:textId="77777777" w:rsidR="00B34EC9" w:rsidRPr="00076261" w:rsidRDefault="00B34EC9" w:rsidP="0009002F">
      <w:pPr>
        <w:pStyle w:val="BodyTextMain"/>
        <w:rPr>
          <w:sz w:val="14"/>
          <w:szCs w:val="14"/>
          <w:lang w:val="en-CA"/>
        </w:rPr>
      </w:pPr>
    </w:p>
    <w:p w14:paraId="2199CEC2" w14:textId="23DF7A58" w:rsidR="00B34EC9" w:rsidRPr="00076261" w:rsidRDefault="00B34EC9" w:rsidP="0009002F">
      <w:pPr>
        <w:pStyle w:val="BodyTextMain"/>
        <w:rPr>
          <w:lang w:val="en-CA"/>
        </w:rPr>
      </w:pPr>
      <w:r w:rsidRPr="00076261">
        <w:rPr>
          <w:lang w:val="en-CA"/>
        </w:rPr>
        <w:t xml:space="preserve">The </w:t>
      </w:r>
      <w:proofErr w:type="spellStart"/>
      <w:r w:rsidRPr="00076261">
        <w:rPr>
          <w:lang w:val="en-CA"/>
        </w:rPr>
        <w:t>IoT</w:t>
      </w:r>
      <w:proofErr w:type="spellEnd"/>
      <w:r w:rsidRPr="00076261">
        <w:rPr>
          <w:lang w:val="en-CA"/>
        </w:rPr>
        <w:t xml:space="preserve"> was a technological concept based on the interconnection of electronic devices with computing power embedded in everyday objects, enabling them to work together to create novel solutions for everyday life. The term itself was coined inadvertently in 1999 at a Procter &amp; Gamble Company internal presentation on the notion of linking its supply chain to the then-red-hot topic of the Internet. </w:t>
      </w:r>
      <w:r w:rsidRPr="00076261">
        <w:rPr>
          <w:i/>
          <w:lang w:val="en-CA"/>
        </w:rPr>
        <w:t>Forbes</w:t>
      </w:r>
      <w:r w:rsidRPr="00076261">
        <w:rPr>
          <w:lang w:val="en-CA"/>
        </w:rPr>
        <w:t xml:space="preserve"> described the </w:t>
      </w:r>
      <w:proofErr w:type="spellStart"/>
      <w:r w:rsidRPr="00076261">
        <w:rPr>
          <w:lang w:val="en-CA"/>
        </w:rPr>
        <w:t>IoT</w:t>
      </w:r>
      <w:proofErr w:type="spellEnd"/>
      <w:r w:rsidRPr="00076261">
        <w:rPr>
          <w:lang w:val="en-CA"/>
        </w:rPr>
        <w:t xml:space="preserve"> as “a giant network of connected ‘things’ (which also includes people). The relationships will be between people-people, people-things, and things-things.”</w:t>
      </w:r>
      <w:r w:rsidRPr="00076261">
        <w:rPr>
          <w:rStyle w:val="EndnoteReference"/>
          <w:lang w:val="en-CA"/>
        </w:rPr>
        <w:endnoteReference w:id="10"/>
      </w:r>
    </w:p>
    <w:p w14:paraId="249DAFA9" w14:textId="77777777" w:rsidR="00B34EC9" w:rsidRPr="00076261" w:rsidRDefault="00B34EC9" w:rsidP="0009002F">
      <w:pPr>
        <w:pStyle w:val="BodyTextMain"/>
        <w:rPr>
          <w:sz w:val="14"/>
          <w:szCs w:val="14"/>
          <w:lang w:val="en-CA"/>
        </w:rPr>
      </w:pPr>
    </w:p>
    <w:p w14:paraId="0C9A4CB2" w14:textId="5363A570" w:rsidR="00B34EC9" w:rsidRPr="00076261" w:rsidRDefault="00B34EC9" w:rsidP="0009002F">
      <w:pPr>
        <w:pStyle w:val="BodyTextMain"/>
        <w:rPr>
          <w:spacing w:val="-2"/>
          <w:kern w:val="22"/>
          <w:lang w:val="en-CA"/>
        </w:rPr>
      </w:pPr>
      <w:r w:rsidRPr="00076261">
        <w:rPr>
          <w:spacing w:val="-2"/>
          <w:kern w:val="22"/>
          <w:lang w:val="en-CA"/>
        </w:rPr>
        <w:t xml:space="preserve">On a small scale, the </w:t>
      </w:r>
      <w:proofErr w:type="spellStart"/>
      <w:r w:rsidRPr="00076261">
        <w:rPr>
          <w:spacing w:val="-2"/>
          <w:kern w:val="22"/>
          <w:lang w:val="en-CA"/>
        </w:rPr>
        <w:t>IoT</w:t>
      </w:r>
      <w:proofErr w:type="spellEnd"/>
      <w:r w:rsidRPr="00076261">
        <w:rPr>
          <w:spacing w:val="-2"/>
          <w:kern w:val="22"/>
          <w:lang w:val="en-CA"/>
        </w:rPr>
        <w:t xml:space="preserve"> could involve consumer electronics functions such as controlling a thermostat through a phone, controlling a vacuum cleaner with a smart watch, or sending commands to a television from a smart screen on the refrigerator door. On a broader scale, the </w:t>
      </w:r>
      <w:proofErr w:type="spellStart"/>
      <w:r w:rsidRPr="00076261">
        <w:rPr>
          <w:spacing w:val="-2"/>
          <w:kern w:val="22"/>
          <w:lang w:val="en-CA"/>
        </w:rPr>
        <w:t>IoT</w:t>
      </w:r>
      <w:proofErr w:type="spellEnd"/>
      <w:r w:rsidRPr="00076261">
        <w:rPr>
          <w:spacing w:val="-2"/>
          <w:kern w:val="22"/>
          <w:lang w:val="en-CA"/>
        </w:rPr>
        <w:t xml:space="preserve"> could be applied to transportation networks to create “smart cities” aimed at improving efficiency in energy use, traffic flows, and waste management. For example, by using </w:t>
      </w:r>
      <w:proofErr w:type="spellStart"/>
      <w:r w:rsidRPr="00076261">
        <w:rPr>
          <w:spacing w:val="-2"/>
          <w:kern w:val="22"/>
          <w:lang w:val="en-CA"/>
        </w:rPr>
        <w:t>IoT</w:t>
      </w:r>
      <w:proofErr w:type="spellEnd"/>
      <w:r w:rsidRPr="00076261">
        <w:rPr>
          <w:spacing w:val="-2"/>
          <w:kern w:val="22"/>
          <w:lang w:val="en-CA"/>
        </w:rPr>
        <w:t xml:space="preserve"> networks to connect smart street crosswalk signs, traffic cameras, and global positioning systems in automobiles, cities could create novel solutions for traffic congestion and fuel the interweaving of autonomous vehicles into urban planning solutions, vehicle safety, and traffic optimization.</w:t>
      </w:r>
      <w:r w:rsidRPr="00076261">
        <w:rPr>
          <w:rStyle w:val="EndnoteReference"/>
          <w:spacing w:val="-2"/>
          <w:kern w:val="22"/>
          <w:lang w:val="en-CA"/>
        </w:rPr>
        <w:endnoteReference w:id="11"/>
      </w:r>
      <w:r w:rsidRPr="00076261">
        <w:rPr>
          <w:spacing w:val="-2"/>
          <w:kern w:val="22"/>
          <w:lang w:val="en-CA"/>
        </w:rPr>
        <w:t xml:space="preserve"> </w:t>
      </w:r>
    </w:p>
    <w:p w14:paraId="167D0EF3" w14:textId="77777777" w:rsidR="00B34EC9" w:rsidRPr="00076261" w:rsidRDefault="00B34EC9" w:rsidP="0009002F">
      <w:pPr>
        <w:pStyle w:val="BodyTextMain"/>
        <w:rPr>
          <w:sz w:val="14"/>
          <w:szCs w:val="14"/>
          <w:lang w:val="en-CA"/>
        </w:rPr>
      </w:pPr>
    </w:p>
    <w:p w14:paraId="56B3424A" w14:textId="6C7F54B7" w:rsidR="00B34EC9" w:rsidRPr="00076261" w:rsidRDefault="00B34EC9" w:rsidP="0009002F">
      <w:pPr>
        <w:pStyle w:val="BodyTextMain"/>
        <w:rPr>
          <w:lang w:val="en-CA"/>
        </w:rPr>
      </w:pPr>
      <w:r w:rsidRPr="00076261">
        <w:rPr>
          <w:lang w:val="en-CA"/>
        </w:rPr>
        <w:t xml:space="preserve">There were industrial applications for the </w:t>
      </w:r>
      <w:proofErr w:type="spellStart"/>
      <w:r w:rsidRPr="00076261">
        <w:rPr>
          <w:lang w:val="en-CA"/>
        </w:rPr>
        <w:t>IoT</w:t>
      </w:r>
      <w:proofErr w:type="spellEnd"/>
      <w:r w:rsidRPr="00076261">
        <w:rPr>
          <w:lang w:val="en-CA"/>
        </w:rPr>
        <w:t xml:space="preserve"> as well, such as having sensors at different steps in a mechanical process to garner insights that could help increase efficiency and cost savings. The major challenges impeding industrial </w:t>
      </w:r>
      <w:proofErr w:type="spellStart"/>
      <w:r w:rsidRPr="00076261">
        <w:rPr>
          <w:lang w:val="en-CA"/>
        </w:rPr>
        <w:t>IoT</w:t>
      </w:r>
      <w:proofErr w:type="spellEnd"/>
      <w:r w:rsidRPr="00076261">
        <w:rPr>
          <w:lang w:val="en-CA"/>
        </w:rPr>
        <w:t xml:space="preserve"> applications from market success were that they usually required data that was detailed and relevant to the processes being controlled. This meant that mass-market devices and applications could not successfully capture the market. The problems that industrial clients faced needed unique, tailor-made solutions that specifically targeted the internal metrics that the client wanted to improve.</w:t>
      </w:r>
      <w:r w:rsidRPr="00076261">
        <w:rPr>
          <w:rStyle w:val="EndnoteReference"/>
          <w:lang w:val="en-CA"/>
        </w:rPr>
        <w:endnoteReference w:id="12"/>
      </w:r>
      <w:r w:rsidRPr="00076261">
        <w:rPr>
          <w:lang w:val="en-CA"/>
        </w:rPr>
        <w:t xml:space="preserve"> The global market for the </w:t>
      </w:r>
      <w:proofErr w:type="spellStart"/>
      <w:r w:rsidRPr="00076261">
        <w:rPr>
          <w:lang w:val="en-CA"/>
        </w:rPr>
        <w:t>IoT</w:t>
      </w:r>
      <w:proofErr w:type="spellEnd"/>
      <w:r w:rsidRPr="00076261">
        <w:rPr>
          <w:lang w:val="en-CA"/>
        </w:rPr>
        <w:t xml:space="preserve"> in 2015 was estimated at $743 billion and was expected to grow by approximately 88 per cent to $1.4 trillion by 2018.</w:t>
      </w:r>
      <w:r w:rsidRPr="00076261">
        <w:rPr>
          <w:rStyle w:val="EndnoteReference"/>
          <w:lang w:val="en-CA"/>
        </w:rPr>
        <w:endnoteReference w:id="13"/>
      </w:r>
      <w:r w:rsidRPr="00076261">
        <w:rPr>
          <w:lang w:val="en-CA"/>
        </w:rPr>
        <w:t xml:space="preserve"> </w:t>
      </w:r>
    </w:p>
    <w:p w14:paraId="3602EBB2" w14:textId="77777777" w:rsidR="00B34EC9" w:rsidRPr="00076261" w:rsidRDefault="00B34EC9" w:rsidP="0009002F">
      <w:pPr>
        <w:pStyle w:val="BodyTextMain"/>
        <w:rPr>
          <w:sz w:val="14"/>
          <w:szCs w:val="14"/>
          <w:lang w:val="en-CA"/>
        </w:rPr>
      </w:pPr>
    </w:p>
    <w:p w14:paraId="2918EB33" w14:textId="7590F55C" w:rsidR="00B34EC9" w:rsidRPr="00363E19" w:rsidRDefault="00B34EC9" w:rsidP="0009002F">
      <w:pPr>
        <w:pStyle w:val="BodyTextMain"/>
        <w:rPr>
          <w:spacing w:val="-2"/>
          <w:kern w:val="22"/>
          <w:lang w:val="en-CA"/>
        </w:rPr>
      </w:pPr>
      <w:r w:rsidRPr="00363E19">
        <w:rPr>
          <w:spacing w:val="-2"/>
          <w:kern w:val="22"/>
          <w:lang w:val="en-CA"/>
        </w:rPr>
        <w:t xml:space="preserve">The industry was still in its infancy and represented a potentially lucrative growth opportunity for market participants, if they executed their strategies well. The concept had progressed slowly since inception but reached mass-market popularity in January 2014, when Google LLC (Google) acquired the smart-thermostat company Nest Labs for $3.2 billion. While the concept had existed for over a decade, 2014 was the first year that the </w:t>
      </w:r>
      <w:proofErr w:type="spellStart"/>
      <w:r w:rsidRPr="00363E19">
        <w:rPr>
          <w:spacing w:val="-2"/>
          <w:kern w:val="22"/>
          <w:lang w:val="en-CA"/>
        </w:rPr>
        <w:t>IoT</w:t>
      </w:r>
      <w:proofErr w:type="spellEnd"/>
      <w:r w:rsidRPr="00363E19">
        <w:rPr>
          <w:spacing w:val="-2"/>
          <w:kern w:val="22"/>
          <w:lang w:val="en-CA"/>
        </w:rPr>
        <w:t xml:space="preserve"> could become a reality due to advances by companies such as Qualcomm Incorporated, Intel, Texas Instruments Incorporated, and Samsung. These technological leaps provided inexpensive, power-efficient chips that enabled almost anything to connect to the Internet via Wi-Fi, or to a mobile phone via a network protocol standard called Bluetooth Low Energy. In the past, large-scale connectivity had been impossible; in 2014, however, the cost of adding connectivity to an everyday device fell to less than $5.</w:t>
      </w:r>
      <w:r w:rsidRPr="00363E19">
        <w:rPr>
          <w:rStyle w:val="EndnoteReference"/>
          <w:spacing w:val="-2"/>
          <w:kern w:val="22"/>
          <w:lang w:val="en-CA"/>
        </w:rPr>
        <w:endnoteReference w:id="14"/>
      </w:r>
    </w:p>
    <w:p w14:paraId="3C03CDB5" w14:textId="77777777" w:rsidR="00B34EC9" w:rsidRPr="00076261" w:rsidRDefault="00B34EC9" w:rsidP="0009002F">
      <w:pPr>
        <w:pStyle w:val="BodyTextMain"/>
        <w:rPr>
          <w:sz w:val="14"/>
          <w:szCs w:val="14"/>
          <w:lang w:val="en-CA"/>
        </w:rPr>
      </w:pPr>
    </w:p>
    <w:p w14:paraId="78F76BD9" w14:textId="28A01CD9" w:rsidR="00B34EC9" w:rsidRPr="00076261" w:rsidRDefault="00B34EC9" w:rsidP="0009002F">
      <w:pPr>
        <w:pStyle w:val="BodyTextMain"/>
        <w:rPr>
          <w:lang w:val="en-CA"/>
        </w:rPr>
      </w:pPr>
      <w:r w:rsidRPr="00076261">
        <w:rPr>
          <w:lang w:val="en-CA"/>
        </w:rPr>
        <w:t xml:space="preserve">Because the development cycle of the technology was still in early stages, it required a significant amount of investment and accompanied considerable risk. The fledgling </w:t>
      </w:r>
      <w:proofErr w:type="spellStart"/>
      <w:r w:rsidRPr="00076261">
        <w:rPr>
          <w:lang w:val="en-CA"/>
        </w:rPr>
        <w:t>IoT</w:t>
      </w:r>
      <w:proofErr w:type="spellEnd"/>
      <w:r w:rsidRPr="00076261">
        <w:rPr>
          <w:lang w:val="en-CA"/>
        </w:rPr>
        <w:t xml:space="preserve"> technology was extremely complex and fairly turbulent, given the entirely new technological structure, software language, and hardware components that still needed to be invented and fully developed. The </w:t>
      </w:r>
      <w:proofErr w:type="spellStart"/>
      <w:r w:rsidRPr="00076261">
        <w:rPr>
          <w:lang w:val="en-CA"/>
        </w:rPr>
        <w:t>IoT</w:t>
      </w:r>
      <w:proofErr w:type="spellEnd"/>
      <w:r w:rsidRPr="00076261">
        <w:rPr>
          <w:lang w:val="en-CA"/>
        </w:rPr>
        <w:t xml:space="preserve"> could face many potential issues that could lead it to failure such as lack of interoperable standards, security issues, customer adoption, and privacy concerns. These and other issues facing the technology suggested that any investment did not have a guaranteed return and carried a considerable potential for material losses. Most </w:t>
      </w:r>
      <w:proofErr w:type="spellStart"/>
      <w:r w:rsidRPr="00076261">
        <w:rPr>
          <w:lang w:val="en-CA"/>
        </w:rPr>
        <w:t>IoT</w:t>
      </w:r>
      <w:proofErr w:type="spellEnd"/>
      <w:r w:rsidRPr="00076261">
        <w:rPr>
          <w:lang w:val="en-CA"/>
        </w:rPr>
        <w:t xml:space="preserve"> electronic devices employed different “standards,” which were essentially the communicative coding languages used to program the device to “talk” to other devices.</w:t>
      </w:r>
      <w:r w:rsidRPr="00076261">
        <w:rPr>
          <w:rStyle w:val="EndnoteReference"/>
          <w:lang w:val="en-CA"/>
        </w:rPr>
        <w:endnoteReference w:id="15"/>
      </w:r>
    </w:p>
    <w:p w14:paraId="325E840F" w14:textId="76978B97" w:rsidR="00B34EC9" w:rsidRPr="00076261" w:rsidRDefault="00B34EC9" w:rsidP="0009002F">
      <w:pPr>
        <w:pStyle w:val="BodyTextMain"/>
        <w:rPr>
          <w:lang w:val="en-CA"/>
        </w:rPr>
      </w:pPr>
      <w:r w:rsidRPr="00076261">
        <w:rPr>
          <w:lang w:val="en-CA"/>
        </w:rPr>
        <w:lastRenderedPageBreak/>
        <w:t xml:space="preserve">Yoon realized that one of the biggest hurdles facing the </w:t>
      </w:r>
      <w:proofErr w:type="spellStart"/>
      <w:r w:rsidRPr="00076261">
        <w:rPr>
          <w:lang w:val="en-CA"/>
        </w:rPr>
        <w:t>IoT</w:t>
      </w:r>
      <w:proofErr w:type="spellEnd"/>
      <w:r w:rsidRPr="00076261">
        <w:rPr>
          <w:lang w:val="en-CA"/>
        </w:rPr>
        <w:t xml:space="preserve"> was the lack of interoperable standards. Just because a device could connect to other devices, it did not mean that the two devices could work cohesively together. The reality of the </w:t>
      </w:r>
      <w:proofErr w:type="spellStart"/>
      <w:r w:rsidRPr="00076261">
        <w:rPr>
          <w:lang w:val="en-CA"/>
        </w:rPr>
        <w:t>IoT</w:t>
      </w:r>
      <w:proofErr w:type="spellEnd"/>
      <w:r w:rsidRPr="00076261">
        <w:rPr>
          <w:lang w:val="en-CA"/>
        </w:rPr>
        <w:t xml:space="preserve"> was that it provided an avenue for endless opportunities and connections to transpire, many of which could not yet be understood. Yoon also worried about the risk that nimble start-ups could use the new technology to disrupt the industry and outperform the incumbents with leaner business models. In the book </w:t>
      </w:r>
      <w:r w:rsidRPr="00076261">
        <w:rPr>
          <w:i/>
          <w:lang w:val="en-CA"/>
        </w:rPr>
        <w:t>The Innovator’s Dilemma: When New Technologies Cause Great Firms to Fail</w:t>
      </w:r>
      <w:r w:rsidRPr="00076261">
        <w:rPr>
          <w:lang w:val="en-CA"/>
        </w:rPr>
        <w:t>, Clayton M. Christensen introduced and explored the theory of “disruptive innovation.” He described disrupting technologies as “those that transform the landscape of an entire industry, or spark a new one altogether, because they solve a problem in an entirely new way or for an entirely new market.”</w:t>
      </w:r>
      <w:r w:rsidRPr="00076261">
        <w:rPr>
          <w:rStyle w:val="EndnoteReference"/>
          <w:lang w:val="en-CA"/>
        </w:rPr>
        <w:endnoteReference w:id="16"/>
      </w:r>
      <w:r w:rsidRPr="00076261">
        <w:rPr>
          <w:lang w:val="en-CA"/>
        </w:rPr>
        <w:t xml:space="preserve"> </w:t>
      </w:r>
    </w:p>
    <w:p w14:paraId="6EFD0651" w14:textId="77777777" w:rsidR="00B34EC9" w:rsidRPr="00076261" w:rsidRDefault="00B34EC9" w:rsidP="0009002F">
      <w:pPr>
        <w:pStyle w:val="BodyTextMain"/>
        <w:rPr>
          <w:sz w:val="18"/>
          <w:szCs w:val="18"/>
          <w:lang w:val="en-CA"/>
        </w:rPr>
      </w:pPr>
    </w:p>
    <w:p w14:paraId="7BE84D94" w14:textId="782140DD" w:rsidR="00B34EC9" w:rsidRPr="00076261" w:rsidRDefault="00B34EC9" w:rsidP="0009002F">
      <w:pPr>
        <w:pStyle w:val="BodyTextMain"/>
        <w:rPr>
          <w:lang w:val="en-CA"/>
        </w:rPr>
      </w:pPr>
      <w:r w:rsidRPr="00076261">
        <w:rPr>
          <w:lang w:val="en-CA"/>
        </w:rPr>
        <w:t>Christensen employed examples of successful and failed leading companies to posit that regardless of the industry, “an incumbent with established products will get pushed aside unless managers know how and when to abandon traditional business practices.” This was because the new entrants would be able to deploy the technology at lower cost structures, and incumbents would only be able to compete by changing their business models to become less profitable, which was extremely difficult. To combat this phenomenon, Christensen recommended that incumbents try to disrupt their own product lines; but they had to exercise caution, because if the timing and execution were not carried out properly, it could be significantly detrimental to the company’s future.</w:t>
      </w:r>
      <w:r w:rsidRPr="00076261">
        <w:rPr>
          <w:rStyle w:val="EndnoteReference"/>
          <w:lang w:val="en-CA"/>
        </w:rPr>
        <w:endnoteReference w:id="17"/>
      </w:r>
    </w:p>
    <w:p w14:paraId="19F52639" w14:textId="0785DD66" w:rsidR="00B34EC9" w:rsidRPr="00076261" w:rsidRDefault="00B34EC9" w:rsidP="0009002F">
      <w:pPr>
        <w:pStyle w:val="BodyTextMain"/>
        <w:rPr>
          <w:sz w:val="18"/>
          <w:szCs w:val="18"/>
          <w:lang w:val="en-CA"/>
        </w:rPr>
      </w:pPr>
    </w:p>
    <w:p w14:paraId="358B386B" w14:textId="77777777" w:rsidR="00B34EC9" w:rsidRPr="00076261" w:rsidRDefault="00B34EC9" w:rsidP="0009002F">
      <w:pPr>
        <w:pStyle w:val="BodyTextMain"/>
        <w:rPr>
          <w:sz w:val="18"/>
          <w:szCs w:val="18"/>
          <w:lang w:val="en-CA"/>
        </w:rPr>
      </w:pPr>
    </w:p>
    <w:p w14:paraId="6CC80B22" w14:textId="2ED30BAE" w:rsidR="00B34EC9" w:rsidRPr="00076261" w:rsidRDefault="00B34EC9" w:rsidP="0009002F">
      <w:pPr>
        <w:rPr>
          <w:rFonts w:ascii="Arial" w:hAnsi="Arial" w:cs="Arial"/>
          <w:b/>
          <w:lang w:val="en-CA"/>
        </w:rPr>
      </w:pPr>
      <w:r w:rsidRPr="00076261">
        <w:rPr>
          <w:rFonts w:ascii="Arial" w:hAnsi="Arial" w:cs="Arial"/>
          <w:b/>
          <w:lang w:val="en-CA"/>
        </w:rPr>
        <w:t>THE INTERNET OF THINGS MARKET LANDSCAPE</w:t>
      </w:r>
    </w:p>
    <w:p w14:paraId="515FFA8E" w14:textId="77777777" w:rsidR="00B34EC9" w:rsidRPr="00076261" w:rsidRDefault="00B34EC9" w:rsidP="0009002F">
      <w:pPr>
        <w:pStyle w:val="BodyTextMain"/>
        <w:rPr>
          <w:sz w:val="18"/>
          <w:szCs w:val="18"/>
          <w:lang w:val="en-CA"/>
        </w:rPr>
      </w:pPr>
    </w:p>
    <w:p w14:paraId="6A1C064E" w14:textId="3EE6C6C8" w:rsidR="00B34EC9" w:rsidRPr="00076261" w:rsidRDefault="00B34EC9" w:rsidP="0009002F">
      <w:pPr>
        <w:pStyle w:val="BodyTextMain"/>
        <w:rPr>
          <w:lang w:val="en-CA"/>
        </w:rPr>
      </w:pPr>
      <w:r w:rsidRPr="00076261">
        <w:rPr>
          <w:lang w:val="en-CA"/>
        </w:rPr>
        <w:t xml:space="preserve">In 2016, the market landscape for the </w:t>
      </w:r>
      <w:proofErr w:type="spellStart"/>
      <w:r w:rsidRPr="00076261">
        <w:rPr>
          <w:lang w:val="en-CA"/>
        </w:rPr>
        <w:t>IoT</w:t>
      </w:r>
      <w:proofErr w:type="spellEnd"/>
      <w:r w:rsidRPr="00076261">
        <w:rPr>
          <w:lang w:val="en-CA"/>
        </w:rPr>
        <w:t xml:space="preserve"> was heating up. Gartner Research forecasted up to 20 billion </w:t>
      </w:r>
      <w:proofErr w:type="spellStart"/>
      <w:r w:rsidRPr="00076261">
        <w:rPr>
          <w:lang w:val="en-CA"/>
        </w:rPr>
        <w:t>IoT</w:t>
      </w:r>
      <w:proofErr w:type="spellEnd"/>
      <w:r w:rsidRPr="00076261">
        <w:rPr>
          <w:lang w:val="en-CA"/>
        </w:rPr>
        <w:t xml:space="preserve"> capable devices generating 5 trillion gigabytes of data every year by 2020.</w:t>
      </w:r>
      <w:r w:rsidRPr="00076261">
        <w:rPr>
          <w:rStyle w:val="EndnoteReference"/>
          <w:lang w:val="en-CA"/>
        </w:rPr>
        <w:endnoteReference w:id="18"/>
      </w:r>
      <w:r w:rsidRPr="00076261">
        <w:rPr>
          <w:lang w:val="en-CA"/>
        </w:rPr>
        <w:t xml:space="preserve"> According to Bain &amp; Company, a leading global management consultancy, executives across the industry reported finding it difficult to get a foothold and develop a clear strategy for the </w:t>
      </w:r>
      <w:proofErr w:type="spellStart"/>
      <w:r w:rsidRPr="00076261">
        <w:rPr>
          <w:lang w:val="en-CA"/>
        </w:rPr>
        <w:t>IoT</w:t>
      </w:r>
      <w:proofErr w:type="spellEnd"/>
      <w:r w:rsidRPr="00076261">
        <w:rPr>
          <w:lang w:val="en-CA"/>
        </w:rPr>
        <w:t xml:space="preserve"> because many had invested significantly but did not have a strong roadmap, due to the solutions still being in their infancy. The </w:t>
      </w:r>
      <w:proofErr w:type="spellStart"/>
      <w:r w:rsidRPr="00076261">
        <w:rPr>
          <w:lang w:val="en-CA"/>
        </w:rPr>
        <w:t>IoT</w:t>
      </w:r>
      <w:proofErr w:type="spellEnd"/>
      <w:r w:rsidRPr="00076261">
        <w:rPr>
          <w:lang w:val="en-CA"/>
        </w:rPr>
        <w:t xml:space="preserve"> was not one singular market but rather a set of overlapping markets with strong connections. Therefore, competitive “battlegrounds” began to emerge in industry verticals such as consumer electronics, industrial and enterprise markets, autonomous machines, network and gateway applications, and analytics.</w:t>
      </w:r>
      <w:r w:rsidRPr="00076261">
        <w:rPr>
          <w:rStyle w:val="EndnoteReference"/>
          <w:lang w:val="en-CA"/>
        </w:rPr>
        <w:endnoteReference w:id="19"/>
      </w:r>
    </w:p>
    <w:p w14:paraId="502ACDAE" w14:textId="77777777" w:rsidR="00B34EC9" w:rsidRPr="00076261" w:rsidRDefault="00B34EC9" w:rsidP="0009002F">
      <w:pPr>
        <w:pStyle w:val="BodyTextMain"/>
        <w:rPr>
          <w:sz w:val="18"/>
          <w:szCs w:val="18"/>
          <w:lang w:val="en-CA"/>
        </w:rPr>
      </w:pPr>
    </w:p>
    <w:p w14:paraId="152162E8" w14:textId="52143B7D" w:rsidR="00B34EC9" w:rsidRPr="00363E19" w:rsidRDefault="00B34EC9" w:rsidP="0009002F">
      <w:pPr>
        <w:pStyle w:val="BodyTextMain"/>
        <w:rPr>
          <w:spacing w:val="-4"/>
          <w:kern w:val="22"/>
          <w:lang w:val="en-CA"/>
        </w:rPr>
      </w:pPr>
      <w:r w:rsidRPr="00363E19">
        <w:rPr>
          <w:spacing w:val="-4"/>
          <w:kern w:val="22"/>
          <w:lang w:val="en-CA"/>
        </w:rPr>
        <w:t xml:space="preserve">Deriving tangible and lasting customer value in this industry required a combination of a host of elements such as technology, strategic partnerships, data, and platforms and not just creating “cool” or “futuristic” products. As leading mobile platform providers such as Apple Inc. (Apple), Google, and Samsung Group began expanding into wearables, smart homes, cars, and other aspects of consumer life, fierce competition began to rise as firms tried to gain an advantage using developer communities, device partnerships, and businesses subsidized by data. Platform stickiness and bridging customers across verticals became integral to success. Analytics also became a critical platform battleground due to its ability to create value from </w:t>
      </w:r>
      <w:proofErr w:type="spellStart"/>
      <w:r w:rsidRPr="00363E19">
        <w:rPr>
          <w:spacing w:val="-4"/>
          <w:kern w:val="22"/>
          <w:lang w:val="en-CA"/>
        </w:rPr>
        <w:t>IoT</w:t>
      </w:r>
      <w:proofErr w:type="spellEnd"/>
      <w:r w:rsidRPr="00363E19">
        <w:rPr>
          <w:spacing w:val="-4"/>
          <w:kern w:val="22"/>
          <w:lang w:val="en-CA"/>
        </w:rPr>
        <w:t xml:space="preserve"> data.</w:t>
      </w:r>
      <w:r w:rsidRPr="00363E19">
        <w:rPr>
          <w:rStyle w:val="EndnoteReference"/>
          <w:spacing w:val="-4"/>
          <w:kern w:val="22"/>
          <w:lang w:val="en-CA"/>
        </w:rPr>
        <w:endnoteReference w:id="20"/>
      </w:r>
    </w:p>
    <w:p w14:paraId="3CDC17D4" w14:textId="77777777" w:rsidR="00B34EC9" w:rsidRPr="00076261" w:rsidRDefault="00B34EC9" w:rsidP="0009002F">
      <w:pPr>
        <w:pStyle w:val="BodyTextMain"/>
        <w:rPr>
          <w:sz w:val="18"/>
          <w:szCs w:val="18"/>
          <w:lang w:val="en-CA"/>
        </w:rPr>
      </w:pPr>
    </w:p>
    <w:p w14:paraId="628AE6AC" w14:textId="6D3B1302" w:rsidR="00B34EC9" w:rsidRPr="00363E19" w:rsidRDefault="00B34EC9" w:rsidP="0009002F">
      <w:pPr>
        <w:pStyle w:val="BodyTextMain"/>
        <w:rPr>
          <w:spacing w:val="-2"/>
          <w:kern w:val="22"/>
          <w:lang w:val="en-CA"/>
        </w:rPr>
      </w:pPr>
      <w:r w:rsidRPr="00363E19">
        <w:rPr>
          <w:spacing w:val="-2"/>
          <w:kern w:val="22"/>
          <w:lang w:val="en-CA"/>
        </w:rPr>
        <w:t xml:space="preserve">Traditional analytics companies, cloud service providers, and system integrators were also flocking into the </w:t>
      </w:r>
      <w:proofErr w:type="spellStart"/>
      <w:r w:rsidRPr="00363E19">
        <w:rPr>
          <w:spacing w:val="-2"/>
          <w:kern w:val="22"/>
          <w:lang w:val="en-CA"/>
        </w:rPr>
        <w:t>IoT</w:t>
      </w:r>
      <w:proofErr w:type="spellEnd"/>
      <w:r w:rsidRPr="00363E19">
        <w:rPr>
          <w:spacing w:val="-2"/>
          <w:kern w:val="22"/>
          <w:lang w:val="en-CA"/>
        </w:rPr>
        <w:t xml:space="preserve"> space to extend their customer relationships and move into tailored products and services.</w:t>
      </w:r>
      <w:r w:rsidRPr="00363E19">
        <w:rPr>
          <w:rStyle w:val="EndnoteReference"/>
          <w:spacing w:val="-2"/>
          <w:kern w:val="22"/>
          <w:lang w:val="en-CA"/>
        </w:rPr>
        <w:endnoteReference w:id="21"/>
      </w:r>
      <w:r w:rsidRPr="00363E19">
        <w:rPr>
          <w:spacing w:val="-2"/>
          <w:kern w:val="22"/>
          <w:lang w:val="en-CA"/>
        </w:rPr>
        <w:t xml:space="preserve"> Overall, by 2016, the </w:t>
      </w:r>
      <w:proofErr w:type="spellStart"/>
      <w:r w:rsidRPr="00363E19">
        <w:rPr>
          <w:spacing w:val="-2"/>
          <w:kern w:val="22"/>
          <w:lang w:val="en-CA"/>
        </w:rPr>
        <w:t>IoT</w:t>
      </w:r>
      <w:proofErr w:type="spellEnd"/>
      <w:r w:rsidRPr="00363E19">
        <w:rPr>
          <w:spacing w:val="-2"/>
          <w:kern w:val="22"/>
          <w:lang w:val="en-CA"/>
        </w:rPr>
        <w:t xml:space="preserve"> industry had become very competitive on a business-to-business scale, but the actual technology itself was still fledgling, which meant that any firm could still become the market leader. The nature of the R&amp;D process in infant technologies was that one company could spend a long time trying to develop a new technology and follow a steady linear path to success, but another company could make a technological leap in a very short period and beat the first company to market using a leaner and more agile business model.</w:t>
      </w:r>
      <w:r w:rsidRPr="00363E19">
        <w:rPr>
          <w:rStyle w:val="EndnoteReference"/>
          <w:spacing w:val="-2"/>
          <w:kern w:val="22"/>
          <w:lang w:val="en-CA"/>
        </w:rPr>
        <w:endnoteReference w:id="22"/>
      </w:r>
      <w:r w:rsidRPr="00363E19">
        <w:rPr>
          <w:spacing w:val="-2"/>
          <w:kern w:val="22"/>
          <w:lang w:val="en-CA"/>
        </w:rPr>
        <w:t xml:space="preserve"> </w:t>
      </w:r>
    </w:p>
    <w:p w14:paraId="05C03957" w14:textId="34BB5852" w:rsidR="00B34EC9" w:rsidRPr="00363E19" w:rsidRDefault="00B34EC9" w:rsidP="0009002F">
      <w:pPr>
        <w:pStyle w:val="BodyTextMain"/>
        <w:rPr>
          <w:sz w:val="14"/>
          <w:szCs w:val="14"/>
          <w:lang w:val="en-CA"/>
        </w:rPr>
      </w:pPr>
    </w:p>
    <w:p w14:paraId="12381C28" w14:textId="77777777" w:rsidR="00B34EC9" w:rsidRPr="00363E19" w:rsidRDefault="00B34EC9" w:rsidP="0009002F">
      <w:pPr>
        <w:pStyle w:val="BodyTextMain"/>
        <w:rPr>
          <w:sz w:val="14"/>
          <w:szCs w:val="14"/>
          <w:lang w:val="en-CA"/>
        </w:rPr>
      </w:pPr>
    </w:p>
    <w:p w14:paraId="3A6484D0" w14:textId="0E552373" w:rsidR="00B34EC9" w:rsidRPr="00076261" w:rsidRDefault="00B34EC9" w:rsidP="00363E19">
      <w:pPr>
        <w:rPr>
          <w:rFonts w:ascii="Arial" w:hAnsi="Arial" w:cs="Arial"/>
          <w:b/>
          <w:lang w:val="en-CA"/>
        </w:rPr>
      </w:pPr>
      <w:r w:rsidRPr="00076261">
        <w:rPr>
          <w:rFonts w:ascii="Arial" w:hAnsi="Arial" w:cs="Arial"/>
          <w:b/>
          <w:lang w:val="en-CA"/>
        </w:rPr>
        <w:t>SAMSUNG FORAYS INTO THE INTERNET OF THINGS</w:t>
      </w:r>
    </w:p>
    <w:p w14:paraId="3D4800F8" w14:textId="77777777" w:rsidR="00B34EC9" w:rsidRPr="00363E19" w:rsidRDefault="00B34EC9" w:rsidP="00363E19">
      <w:pPr>
        <w:pStyle w:val="BodyTextMain"/>
        <w:rPr>
          <w:sz w:val="14"/>
          <w:szCs w:val="14"/>
          <w:lang w:val="en-CA"/>
        </w:rPr>
      </w:pPr>
    </w:p>
    <w:p w14:paraId="0E5A0908" w14:textId="09B3B1EE" w:rsidR="00B34EC9" w:rsidRPr="00076261" w:rsidRDefault="00B34EC9" w:rsidP="00363E19">
      <w:pPr>
        <w:pStyle w:val="BodyTextMain"/>
        <w:rPr>
          <w:lang w:val="en-CA"/>
        </w:rPr>
      </w:pPr>
      <w:r w:rsidRPr="00076261">
        <w:rPr>
          <w:lang w:val="en-CA"/>
        </w:rPr>
        <w:t xml:space="preserve">In June 2014, Samsung, Intel, Dell, Atmel Corporation, and Broadcom Inc. formed a joint venture called the Open Interconnect Consortium. The joint venture intended to set standards for connecting billions of </w:t>
      </w:r>
      <w:r w:rsidRPr="00076261">
        <w:rPr>
          <w:lang w:val="en-CA"/>
        </w:rPr>
        <w:lastRenderedPageBreak/>
        <w:t>household devices</w:t>
      </w:r>
      <w:r w:rsidRPr="00076261">
        <w:rPr>
          <w:rStyle w:val="EndnoteReference"/>
          <w:lang w:val="en-CA"/>
        </w:rPr>
        <w:endnoteReference w:id="23"/>
      </w:r>
      <w:r w:rsidRPr="00076261">
        <w:rPr>
          <w:lang w:val="en-CA"/>
        </w:rPr>
        <w:t xml:space="preserve"> and establish a single solution for interoperability across multiple industries that would work on various operating systems. In August 2014, Samsung acquired SmartThings, the creator of the leading open </w:t>
      </w:r>
      <w:proofErr w:type="spellStart"/>
      <w:r w:rsidRPr="00076261">
        <w:rPr>
          <w:lang w:val="en-CA"/>
        </w:rPr>
        <w:t>IoT</w:t>
      </w:r>
      <w:proofErr w:type="spellEnd"/>
      <w:r w:rsidRPr="00076261">
        <w:rPr>
          <w:lang w:val="en-CA"/>
        </w:rPr>
        <w:t xml:space="preserve"> platform, signalling a major strategic move into the new industry. Founded in 2012 as a Kickstarter project, SmartThings “gave people the power to monitor, control, and automate their homes from wherever they were through a single mobile app [application].”</w:t>
      </w:r>
      <w:r w:rsidRPr="00076261">
        <w:rPr>
          <w:rStyle w:val="EndnoteReference"/>
          <w:lang w:val="en-CA"/>
        </w:rPr>
        <w:endnoteReference w:id="24"/>
      </w:r>
      <w:r w:rsidRPr="00076261">
        <w:rPr>
          <w:lang w:val="en-CA"/>
        </w:rPr>
        <w:t xml:space="preserve"> </w:t>
      </w:r>
    </w:p>
    <w:p w14:paraId="2F1930B4" w14:textId="77777777" w:rsidR="00B34EC9" w:rsidRPr="00076261" w:rsidRDefault="00B34EC9" w:rsidP="0009002F">
      <w:pPr>
        <w:pStyle w:val="BodyTextMain"/>
        <w:rPr>
          <w:lang w:val="en-CA"/>
        </w:rPr>
      </w:pPr>
    </w:p>
    <w:p w14:paraId="29E2C058" w14:textId="07DAA6F3" w:rsidR="00B34EC9" w:rsidRPr="00076261" w:rsidRDefault="00B34EC9" w:rsidP="0009002F">
      <w:pPr>
        <w:pStyle w:val="BodyTextMain"/>
        <w:rPr>
          <w:lang w:val="en-CA"/>
        </w:rPr>
      </w:pPr>
      <w:r w:rsidRPr="00076261">
        <w:rPr>
          <w:lang w:val="en-CA"/>
        </w:rPr>
        <w:t xml:space="preserve">David </w:t>
      </w:r>
      <w:proofErr w:type="spellStart"/>
      <w:r w:rsidRPr="00076261">
        <w:rPr>
          <w:lang w:val="en-CA"/>
        </w:rPr>
        <w:t>Eun</w:t>
      </w:r>
      <w:proofErr w:type="spellEnd"/>
      <w:r w:rsidRPr="00076261">
        <w:rPr>
          <w:lang w:val="en-CA"/>
        </w:rPr>
        <w:t>, the president of Samsung NEXT and chief innovation officer of Samsung, made the following statement regarding the acquisition:</w:t>
      </w:r>
    </w:p>
    <w:p w14:paraId="5AC00761" w14:textId="77777777" w:rsidR="00B34EC9" w:rsidRPr="00076261" w:rsidRDefault="00B34EC9" w:rsidP="0009002F">
      <w:pPr>
        <w:pStyle w:val="BodyTextMain"/>
        <w:rPr>
          <w:lang w:val="en-CA"/>
        </w:rPr>
      </w:pPr>
    </w:p>
    <w:p w14:paraId="4427C123" w14:textId="3F8AC4CF" w:rsidR="00B34EC9" w:rsidRPr="00076261" w:rsidRDefault="00B34EC9" w:rsidP="00AC26D9">
      <w:pPr>
        <w:pStyle w:val="BodyTextMain"/>
        <w:ind w:left="720"/>
        <w:rPr>
          <w:lang w:val="en-CA"/>
        </w:rPr>
      </w:pPr>
      <w:r w:rsidRPr="00076261">
        <w:rPr>
          <w:lang w:val="en-CA"/>
        </w:rPr>
        <w:t>Connected devices have long been strategically important to Samsung and . . . we want to improve the convenience and services in people’s lives by giving their devices and appliances a voice, so they can interact more easily with them. We are committed to maintaining SmartThings’ open platform, fostering more explosive growth, and becoming its newest strategic partner.</w:t>
      </w:r>
      <w:r w:rsidRPr="00076261">
        <w:rPr>
          <w:rStyle w:val="EndnoteReference"/>
          <w:lang w:val="en-CA"/>
        </w:rPr>
        <w:endnoteReference w:id="25"/>
      </w:r>
      <w:r w:rsidRPr="00076261">
        <w:rPr>
          <w:lang w:val="en-CA"/>
        </w:rPr>
        <w:t xml:space="preserve"> </w:t>
      </w:r>
    </w:p>
    <w:p w14:paraId="7BB35D5C" w14:textId="77777777" w:rsidR="00B34EC9" w:rsidRPr="00076261" w:rsidRDefault="00B34EC9" w:rsidP="0009002F">
      <w:pPr>
        <w:pStyle w:val="BodyTextMain"/>
        <w:rPr>
          <w:lang w:val="en-CA"/>
        </w:rPr>
      </w:pPr>
    </w:p>
    <w:p w14:paraId="746E3717" w14:textId="0E55C990" w:rsidR="00B34EC9" w:rsidRPr="00076261" w:rsidRDefault="00B34EC9" w:rsidP="0009002F">
      <w:pPr>
        <w:pStyle w:val="BodyTextMain"/>
        <w:rPr>
          <w:lang w:val="en-CA"/>
        </w:rPr>
      </w:pPr>
      <w:r w:rsidRPr="00076261">
        <w:rPr>
          <w:lang w:val="en-CA"/>
        </w:rPr>
        <w:t>The company was absorbed into the Samsung Strategy and Innovation Center (SSIC) in Palo Alto, California, and was allowed to operate as an independent entity with its own autonomy and strategy.</w:t>
      </w:r>
      <w:r w:rsidRPr="00076261">
        <w:rPr>
          <w:rStyle w:val="EndnoteReference"/>
          <w:lang w:val="en-CA"/>
        </w:rPr>
        <w:endnoteReference w:id="26"/>
      </w:r>
      <w:r w:rsidRPr="00076261">
        <w:rPr>
          <w:lang w:val="en-CA"/>
        </w:rPr>
        <w:t xml:space="preserve"> </w:t>
      </w:r>
    </w:p>
    <w:p w14:paraId="4344550E" w14:textId="77777777" w:rsidR="00B34EC9" w:rsidRPr="00076261" w:rsidRDefault="00B34EC9" w:rsidP="0009002F">
      <w:pPr>
        <w:pStyle w:val="BodyTextMain"/>
        <w:rPr>
          <w:lang w:val="en-CA"/>
        </w:rPr>
      </w:pPr>
    </w:p>
    <w:p w14:paraId="667DA516" w14:textId="1E22E8AB" w:rsidR="00B34EC9" w:rsidRPr="00076261" w:rsidRDefault="00B34EC9" w:rsidP="0009002F">
      <w:pPr>
        <w:pStyle w:val="BodyTextMain"/>
        <w:rPr>
          <w:lang w:val="en-CA"/>
        </w:rPr>
      </w:pPr>
      <w:r w:rsidRPr="00076261">
        <w:rPr>
          <w:lang w:val="en-CA"/>
        </w:rPr>
        <w:t xml:space="preserve">The SSIC acted as an investment vehicle and start-up accelerator for US companies in which Samsung had an interest. This move enabled SmartThings to operate nimbly and grow fast as a start-up while having the financial and technological backing of a giant conglomerate. The SSIC also housed other Samsung-invested start-ups that were </w:t>
      </w:r>
      <w:proofErr w:type="spellStart"/>
      <w:r w:rsidRPr="00076261">
        <w:rPr>
          <w:lang w:val="en-CA"/>
        </w:rPr>
        <w:t>IoT</w:t>
      </w:r>
      <w:proofErr w:type="spellEnd"/>
      <w:r w:rsidRPr="00076261">
        <w:rPr>
          <w:lang w:val="en-CA"/>
        </w:rPr>
        <w:t xml:space="preserve"> focused, such as </w:t>
      </w:r>
      <w:proofErr w:type="spellStart"/>
      <w:r w:rsidRPr="00076261">
        <w:rPr>
          <w:lang w:val="en-CA"/>
        </w:rPr>
        <w:t>Unikey</w:t>
      </w:r>
      <w:proofErr w:type="spellEnd"/>
      <w:r w:rsidRPr="00076261">
        <w:rPr>
          <w:lang w:val="en-CA"/>
        </w:rPr>
        <w:t xml:space="preserve">, a keyless entry platform that could integrate into any lock, and </w:t>
      </w:r>
      <w:proofErr w:type="spellStart"/>
      <w:r w:rsidRPr="00076261">
        <w:rPr>
          <w:lang w:val="en-CA"/>
        </w:rPr>
        <w:t>Vinli</w:t>
      </w:r>
      <w:proofErr w:type="spellEnd"/>
      <w:r w:rsidRPr="00076261">
        <w:rPr>
          <w:lang w:val="en-CA"/>
        </w:rPr>
        <w:t>, a connected-car platform that turned a car into a tech hub with a small sensor that connected the car to all of a user’s devices. The SSIC provided the start-ups with funding, mentorship, access to key contacts, and a network of firms that were trying to achieve similar goals.</w:t>
      </w:r>
      <w:r w:rsidRPr="00076261">
        <w:rPr>
          <w:rStyle w:val="EndnoteReference"/>
          <w:lang w:val="en-CA"/>
        </w:rPr>
        <w:endnoteReference w:id="27"/>
      </w:r>
    </w:p>
    <w:p w14:paraId="7D332FC7" w14:textId="2D56302F" w:rsidR="00B34EC9" w:rsidRPr="00076261" w:rsidRDefault="00B34EC9" w:rsidP="0009002F">
      <w:pPr>
        <w:pStyle w:val="BodyTextMain"/>
        <w:rPr>
          <w:sz w:val="18"/>
          <w:szCs w:val="18"/>
          <w:lang w:val="en-CA"/>
        </w:rPr>
      </w:pPr>
    </w:p>
    <w:p w14:paraId="5E83446D" w14:textId="77777777" w:rsidR="00B34EC9" w:rsidRPr="00076261" w:rsidRDefault="00B34EC9" w:rsidP="0009002F">
      <w:pPr>
        <w:pStyle w:val="BodyTextMain"/>
        <w:rPr>
          <w:sz w:val="18"/>
          <w:szCs w:val="18"/>
          <w:lang w:val="en-CA"/>
        </w:rPr>
      </w:pPr>
    </w:p>
    <w:p w14:paraId="2FBCEFFD" w14:textId="3A38379C" w:rsidR="00B34EC9" w:rsidRPr="00076261" w:rsidRDefault="00B34EC9" w:rsidP="00407DAB">
      <w:pPr>
        <w:pStyle w:val="Casehead1"/>
        <w:rPr>
          <w:lang w:val="en-CA"/>
        </w:rPr>
      </w:pPr>
      <w:r w:rsidRPr="00076261">
        <w:rPr>
          <w:lang w:val="en-CA"/>
        </w:rPr>
        <w:t>SAMSUNG AT the CONSUMER ELECTRONICS SHOW</w:t>
      </w:r>
    </w:p>
    <w:p w14:paraId="7E4F78C6" w14:textId="77777777" w:rsidR="00B34EC9" w:rsidRPr="00076261" w:rsidRDefault="00B34EC9" w:rsidP="0009002F">
      <w:pPr>
        <w:pStyle w:val="BodyTextMain"/>
        <w:rPr>
          <w:sz w:val="18"/>
          <w:szCs w:val="18"/>
          <w:lang w:val="en-CA"/>
        </w:rPr>
      </w:pPr>
    </w:p>
    <w:p w14:paraId="49D94927" w14:textId="3C44ACAE" w:rsidR="00B34EC9" w:rsidRPr="00076261" w:rsidRDefault="00B34EC9" w:rsidP="0009002F">
      <w:pPr>
        <w:pStyle w:val="BodyTextMain"/>
        <w:rPr>
          <w:lang w:val="en-CA"/>
        </w:rPr>
      </w:pPr>
      <w:r w:rsidRPr="00076261">
        <w:rPr>
          <w:lang w:val="en-CA"/>
        </w:rPr>
        <w:t xml:space="preserve">The Consumer Electronics Show was an annual electronics trade show held every January in Las Vegas, Nevada, organized by the Consumer Technology Association. The event typically hosted a slew of presentations on new products and emerging technologies. It was considered the gold standard for trade shows in the consumer electronics industry. At the January 2015 trade show, Yoon gave the opening keynote and pledged $100 million in funding for R&amp;D to create an open system that would </w:t>
      </w:r>
      <w:proofErr w:type="spellStart"/>
      <w:r w:rsidRPr="00076261">
        <w:rPr>
          <w:lang w:val="en-CA"/>
        </w:rPr>
        <w:t>kickstart</w:t>
      </w:r>
      <w:proofErr w:type="spellEnd"/>
      <w:r w:rsidRPr="00076261">
        <w:rPr>
          <w:lang w:val="en-CA"/>
        </w:rPr>
        <w:t xml:space="preserve"> an </w:t>
      </w:r>
      <w:proofErr w:type="spellStart"/>
      <w:r w:rsidRPr="00076261">
        <w:rPr>
          <w:lang w:val="en-CA"/>
        </w:rPr>
        <w:t>IoT</w:t>
      </w:r>
      <w:proofErr w:type="spellEnd"/>
      <w:r w:rsidRPr="00076261">
        <w:rPr>
          <w:lang w:val="en-CA"/>
        </w:rPr>
        <w:t xml:space="preserve"> revolution. He also promised that by 2020, all of Samsung devices for sale would have full </w:t>
      </w:r>
      <w:proofErr w:type="spellStart"/>
      <w:r w:rsidRPr="00076261">
        <w:rPr>
          <w:lang w:val="en-CA"/>
        </w:rPr>
        <w:t>IoT</w:t>
      </w:r>
      <w:proofErr w:type="spellEnd"/>
      <w:r w:rsidRPr="00076261">
        <w:rPr>
          <w:lang w:val="en-CA"/>
        </w:rPr>
        <w:t xml:space="preserve"> capabilities, creating a connected ecosystem of Samsung products.</w:t>
      </w:r>
      <w:r w:rsidRPr="00076261">
        <w:rPr>
          <w:rStyle w:val="EndnoteReference"/>
          <w:lang w:val="en-CA"/>
        </w:rPr>
        <w:endnoteReference w:id="28"/>
      </w:r>
      <w:r w:rsidRPr="00076261">
        <w:rPr>
          <w:lang w:val="en-CA"/>
        </w:rPr>
        <w:t xml:space="preserve"> </w:t>
      </w:r>
    </w:p>
    <w:p w14:paraId="2FD83582" w14:textId="77777777" w:rsidR="00B34EC9" w:rsidRPr="00076261" w:rsidRDefault="00B34EC9" w:rsidP="0009002F">
      <w:pPr>
        <w:pStyle w:val="BodyTextMain"/>
        <w:rPr>
          <w:sz w:val="18"/>
          <w:szCs w:val="18"/>
          <w:lang w:val="en-CA"/>
        </w:rPr>
      </w:pPr>
    </w:p>
    <w:p w14:paraId="33028D7C" w14:textId="5922B1F4" w:rsidR="00B34EC9" w:rsidRPr="00076261" w:rsidRDefault="00B34EC9" w:rsidP="0009002F">
      <w:pPr>
        <w:pStyle w:val="BodyTextMain"/>
        <w:rPr>
          <w:lang w:val="en-CA"/>
        </w:rPr>
      </w:pPr>
      <w:r w:rsidRPr="00076261">
        <w:rPr>
          <w:lang w:val="en-CA"/>
        </w:rPr>
        <w:t xml:space="preserve">Yoon explained the company’s decision: </w:t>
      </w:r>
    </w:p>
    <w:p w14:paraId="3E390CFB" w14:textId="77777777" w:rsidR="00B34EC9" w:rsidRPr="00076261" w:rsidRDefault="00B34EC9" w:rsidP="0009002F">
      <w:pPr>
        <w:pStyle w:val="BodyTextMain"/>
        <w:rPr>
          <w:sz w:val="18"/>
          <w:szCs w:val="18"/>
          <w:lang w:val="en-CA"/>
        </w:rPr>
      </w:pPr>
    </w:p>
    <w:p w14:paraId="286681EF" w14:textId="2311CAAA" w:rsidR="00B34EC9" w:rsidRPr="00076261" w:rsidRDefault="00B34EC9" w:rsidP="00AC26D9">
      <w:pPr>
        <w:pStyle w:val="BodyTextMain"/>
        <w:ind w:left="720"/>
        <w:rPr>
          <w:lang w:val="en-CA"/>
        </w:rPr>
      </w:pPr>
      <w:r w:rsidRPr="00076261">
        <w:rPr>
          <w:lang w:val="en-CA"/>
        </w:rPr>
        <w:t xml:space="preserve">I’ve heard people say they want to create a single operating system for </w:t>
      </w:r>
      <w:proofErr w:type="spellStart"/>
      <w:r w:rsidRPr="00076261">
        <w:rPr>
          <w:lang w:val="en-CA"/>
        </w:rPr>
        <w:t>IoT</w:t>
      </w:r>
      <w:proofErr w:type="spellEnd"/>
      <w:r w:rsidRPr="00076261">
        <w:rPr>
          <w:lang w:val="en-CA"/>
        </w:rPr>
        <w:t xml:space="preserve">, but these people only work with their own devices. We can deliver the benefits of </w:t>
      </w:r>
      <w:proofErr w:type="spellStart"/>
      <w:r w:rsidRPr="00076261">
        <w:rPr>
          <w:lang w:val="en-CA"/>
        </w:rPr>
        <w:t>IoT</w:t>
      </w:r>
      <w:proofErr w:type="spellEnd"/>
      <w:r w:rsidRPr="00076261">
        <w:rPr>
          <w:lang w:val="en-CA"/>
        </w:rPr>
        <w:t xml:space="preserve"> only if all sensors can talk to each other. I’m making a promise that our </w:t>
      </w:r>
      <w:proofErr w:type="spellStart"/>
      <w:r w:rsidRPr="00076261">
        <w:rPr>
          <w:lang w:val="en-CA"/>
        </w:rPr>
        <w:t>IoT</w:t>
      </w:r>
      <w:proofErr w:type="spellEnd"/>
      <w:r w:rsidRPr="00076261">
        <w:rPr>
          <w:lang w:val="en-CA"/>
        </w:rPr>
        <w:t xml:space="preserve"> devices and products will be open. We will ensure that others can easily connect to our devices.</w:t>
      </w:r>
    </w:p>
    <w:p w14:paraId="582A690D" w14:textId="77777777" w:rsidR="00B34EC9" w:rsidRPr="00076261" w:rsidRDefault="00B34EC9" w:rsidP="0009002F">
      <w:pPr>
        <w:pStyle w:val="BodyTextMain"/>
        <w:rPr>
          <w:sz w:val="18"/>
          <w:szCs w:val="18"/>
          <w:lang w:val="en-CA"/>
        </w:rPr>
      </w:pPr>
    </w:p>
    <w:p w14:paraId="14899BFD" w14:textId="6C955B00" w:rsidR="00B34EC9" w:rsidRPr="00076261" w:rsidRDefault="00B34EC9" w:rsidP="0009002F">
      <w:pPr>
        <w:pStyle w:val="BodyTextMain"/>
        <w:rPr>
          <w:spacing w:val="-2"/>
          <w:kern w:val="22"/>
          <w:lang w:val="en-CA"/>
        </w:rPr>
      </w:pPr>
      <w:r w:rsidRPr="00076261">
        <w:rPr>
          <w:spacing w:val="-2"/>
          <w:kern w:val="22"/>
          <w:lang w:val="en-CA"/>
        </w:rPr>
        <w:t xml:space="preserve">This was a tremendously lofty and difficult goal for the company to set, given how new the technology was. Yoon even remarked that “the opportunities and benefits of </w:t>
      </w:r>
      <w:proofErr w:type="spellStart"/>
      <w:r w:rsidRPr="00076261">
        <w:rPr>
          <w:spacing w:val="-2"/>
          <w:kern w:val="22"/>
          <w:lang w:val="en-CA"/>
        </w:rPr>
        <w:t>IoT</w:t>
      </w:r>
      <w:proofErr w:type="spellEnd"/>
      <w:r w:rsidRPr="00076261">
        <w:rPr>
          <w:spacing w:val="-2"/>
          <w:kern w:val="22"/>
          <w:lang w:val="en-CA"/>
        </w:rPr>
        <w:t xml:space="preserve"> are huge, but so are the challenges. We need an open system and to collaborate across industries, not just within technology.”</w:t>
      </w:r>
      <w:r w:rsidRPr="00076261">
        <w:rPr>
          <w:rStyle w:val="EndnoteReference"/>
          <w:spacing w:val="-2"/>
          <w:kern w:val="22"/>
          <w:lang w:val="en-CA"/>
        </w:rPr>
        <w:endnoteReference w:id="29"/>
      </w:r>
      <w:r w:rsidRPr="00076261">
        <w:rPr>
          <w:spacing w:val="-2"/>
          <w:kern w:val="22"/>
          <w:lang w:val="en-CA"/>
        </w:rPr>
        <w:t xml:space="preserve"> Samsung’s answer to the interoperable standards issue was its acquisition of SmartThings, but this was a temporary solution at best.</w:t>
      </w:r>
      <w:r w:rsidRPr="00076261">
        <w:rPr>
          <w:rStyle w:val="EndnoteReference"/>
          <w:spacing w:val="-2"/>
          <w:kern w:val="22"/>
          <w:lang w:val="en-CA"/>
        </w:rPr>
        <w:endnoteReference w:id="30"/>
      </w:r>
    </w:p>
    <w:p w14:paraId="5D0F9A95" w14:textId="31A170C5" w:rsidR="00B34EC9" w:rsidRPr="00076261" w:rsidRDefault="00B34EC9" w:rsidP="0009002F">
      <w:pPr>
        <w:pStyle w:val="BodyTextMain"/>
        <w:rPr>
          <w:lang w:val="en-CA"/>
        </w:rPr>
      </w:pPr>
      <w:r w:rsidRPr="00076261">
        <w:rPr>
          <w:lang w:val="en-CA"/>
        </w:rPr>
        <w:t xml:space="preserve">Although SmartThings had the potential to be a translator for </w:t>
      </w:r>
      <w:proofErr w:type="spellStart"/>
      <w:r w:rsidRPr="00076261">
        <w:rPr>
          <w:lang w:val="en-CA"/>
        </w:rPr>
        <w:t>IoT</w:t>
      </w:r>
      <w:proofErr w:type="spellEnd"/>
      <w:r w:rsidRPr="00076261">
        <w:rPr>
          <w:lang w:val="en-CA"/>
        </w:rPr>
        <w:t xml:space="preserve"> devices, the technology was not ready for mass application because the acquisition had only taken place a few months earlier. At the point of acquisition, the SmartThings team had not yet fully developed the platform and needed additional time and resources to reach completion. In addition, market participants such as Google, Apple, and Amazon Inc. </w:t>
      </w:r>
      <w:r w:rsidRPr="00076261">
        <w:rPr>
          <w:lang w:val="en-CA"/>
        </w:rPr>
        <w:lastRenderedPageBreak/>
        <w:t>(Amazon) did not want to use interoperable standards because they wanted to maximize market share through platform effects.</w:t>
      </w:r>
      <w:r w:rsidRPr="00076261">
        <w:rPr>
          <w:rStyle w:val="EndnoteReference"/>
          <w:lang w:val="en-CA"/>
        </w:rPr>
        <w:endnoteReference w:id="31"/>
      </w:r>
      <w:r w:rsidRPr="00076261">
        <w:rPr>
          <w:lang w:val="en-CA"/>
        </w:rPr>
        <w:t xml:space="preserve"> Samsung needed more time to see if any solutions to the interoperable standards problem would materialize as they further developed the technology.</w:t>
      </w:r>
    </w:p>
    <w:p w14:paraId="3AAA31F4" w14:textId="60FE3BC0" w:rsidR="00B34EC9" w:rsidRPr="00076261" w:rsidRDefault="00B34EC9" w:rsidP="0009002F">
      <w:pPr>
        <w:pStyle w:val="BodyTextMain"/>
        <w:rPr>
          <w:lang w:val="en-CA"/>
        </w:rPr>
      </w:pPr>
    </w:p>
    <w:p w14:paraId="14472944" w14:textId="77777777" w:rsidR="00B34EC9" w:rsidRPr="00076261" w:rsidRDefault="00B34EC9" w:rsidP="0009002F">
      <w:pPr>
        <w:pStyle w:val="BodyTextMain"/>
        <w:rPr>
          <w:lang w:val="en-CA"/>
        </w:rPr>
      </w:pPr>
    </w:p>
    <w:p w14:paraId="2E4B1FBB" w14:textId="365923C0" w:rsidR="00B34EC9" w:rsidRPr="00076261" w:rsidRDefault="00B34EC9" w:rsidP="00FA14D7">
      <w:pPr>
        <w:pStyle w:val="Casehead1"/>
        <w:rPr>
          <w:lang w:val="en-CA"/>
        </w:rPr>
      </w:pPr>
      <w:r w:rsidRPr="00076261">
        <w:rPr>
          <w:lang w:val="en-CA"/>
        </w:rPr>
        <w:t xml:space="preserve">THE RESEARCH and DEVELOPMENT MISCONCEPTION </w:t>
      </w:r>
    </w:p>
    <w:p w14:paraId="130D045B" w14:textId="77777777" w:rsidR="00B34EC9" w:rsidRPr="00076261" w:rsidRDefault="00B34EC9" w:rsidP="0009002F">
      <w:pPr>
        <w:pStyle w:val="BodyTextMain"/>
        <w:rPr>
          <w:lang w:val="en-CA"/>
        </w:rPr>
      </w:pPr>
    </w:p>
    <w:p w14:paraId="756CCC1B" w14:textId="0C904641" w:rsidR="00B34EC9" w:rsidRPr="00076261" w:rsidRDefault="00B34EC9" w:rsidP="0009002F">
      <w:pPr>
        <w:pStyle w:val="BodyTextMain"/>
        <w:rPr>
          <w:lang w:val="en-CA"/>
        </w:rPr>
      </w:pPr>
      <w:r w:rsidRPr="00076261">
        <w:rPr>
          <w:lang w:val="en-CA"/>
        </w:rPr>
        <w:t>While the prevailing wisdom was that companies with high R&amp;D expenditure were the ones investing the most in innovation, and thus most likely to succeed, studies showed that expenditure did not always translate to innovation success. Booz &amp; Company, a leading global management consultancy, detailed the top 20 companies by R&amp;D spending in 2011.</w:t>
      </w:r>
      <w:r w:rsidRPr="00076261">
        <w:rPr>
          <w:rStyle w:val="EndnoteReference"/>
          <w:lang w:val="en-CA"/>
        </w:rPr>
        <w:endnoteReference w:id="32"/>
      </w:r>
      <w:r w:rsidRPr="00076261">
        <w:rPr>
          <w:lang w:val="en-CA"/>
        </w:rPr>
        <w:t xml:space="preserve"> Companies such as Apple, Facebook Inc., and Google were usually considered the top innovators in the market, but they were not among the top spenders.</w:t>
      </w:r>
      <w:r w:rsidRPr="00076261">
        <w:rPr>
          <w:rStyle w:val="EndnoteReference"/>
          <w:lang w:val="en-CA"/>
        </w:rPr>
        <w:endnoteReference w:id="33"/>
      </w:r>
      <w:r w:rsidRPr="00076261">
        <w:rPr>
          <w:lang w:val="en-CA"/>
        </w:rPr>
        <w:t xml:space="preserve"> </w:t>
      </w:r>
    </w:p>
    <w:p w14:paraId="69DF18B9" w14:textId="77777777" w:rsidR="00B34EC9" w:rsidRPr="00076261" w:rsidRDefault="00B34EC9" w:rsidP="0009002F">
      <w:pPr>
        <w:pStyle w:val="BodyTextMain"/>
        <w:rPr>
          <w:lang w:val="en-CA"/>
        </w:rPr>
      </w:pPr>
    </w:p>
    <w:p w14:paraId="2EC46738" w14:textId="51BB7640" w:rsidR="00B34EC9" w:rsidRPr="00076261" w:rsidRDefault="00B34EC9" w:rsidP="0009002F">
      <w:pPr>
        <w:pStyle w:val="BodyTextMain"/>
        <w:rPr>
          <w:spacing w:val="-2"/>
          <w:kern w:val="22"/>
          <w:lang w:val="en-CA"/>
        </w:rPr>
      </w:pPr>
      <w:r w:rsidRPr="00076261">
        <w:rPr>
          <w:spacing w:val="-2"/>
          <w:kern w:val="22"/>
          <w:lang w:val="en-CA"/>
        </w:rPr>
        <w:t xml:space="preserve">For example, Microsoft Corporation (Microsoft) was number five on the expenditure list, having spent nearly $9 billion and 13 per cent of revenue on R&amp;D. However, in 2012, the company only released updates to its aging operating system and office automation software, which failed to register favourable reviews by industry experts, who saw the updates as useful but far from innovative. Another example was Nokia Corporation (Nokia), which had spent $8 billion on R&amp;D in 2011 but did not release any new noteworthy technology. In fact, the company was on the verge of bankruptcy in 2012 and in subsequent years. The emergent pattern was that most of the main R&amp;D spenders were just following historical patterns and spending vast amounts of money to try </w:t>
      </w:r>
      <w:r w:rsidR="00363E19" w:rsidRPr="00076261">
        <w:rPr>
          <w:spacing w:val="-2"/>
          <w:kern w:val="22"/>
          <w:lang w:val="en-CA"/>
        </w:rPr>
        <w:t>to</w:t>
      </w:r>
      <w:r w:rsidRPr="00076261">
        <w:rPr>
          <w:spacing w:val="-2"/>
          <w:kern w:val="22"/>
          <w:lang w:val="en-CA"/>
        </w:rPr>
        <w:t xml:space="preserve"> replicate past success with past methods, while no impactful innovation materialized.</w:t>
      </w:r>
      <w:r w:rsidRPr="00076261">
        <w:rPr>
          <w:rStyle w:val="EndnoteReference"/>
          <w:spacing w:val="-2"/>
          <w:kern w:val="22"/>
          <w:lang w:val="en-CA"/>
        </w:rPr>
        <w:endnoteReference w:id="34"/>
      </w:r>
    </w:p>
    <w:p w14:paraId="3FB8AC68" w14:textId="77777777" w:rsidR="00B34EC9" w:rsidRPr="00076261" w:rsidRDefault="00B34EC9" w:rsidP="0009002F">
      <w:pPr>
        <w:pStyle w:val="BodyTextMain"/>
        <w:rPr>
          <w:sz w:val="18"/>
          <w:szCs w:val="18"/>
          <w:lang w:val="en-CA"/>
        </w:rPr>
      </w:pPr>
    </w:p>
    <w:p w14:paraId="0DAE567F" w14:textId="6DD1B5BD" w:rsidR="00B34EC9" w:rsidRPr="00076261" w:rsidRDefault="00B34EC9" w:rsidP="0009002F">
      <w:pPr>
        <w:pStyle w:val="BodyTextMain"/>
        <w:rPr>
          <w:spacing w:val="-4"/>
          <w:kern w:val="22"/>
          <w:lang w:val="en-CA"/>
        </w:rPr>
      </w:pPr>
      <w:r w:rsidRPr="00076261">
        <w:rPr>
          <w:spacing w:val="-4"/>
          <w:kern w:val="22"/>
          <w:lang w:val="en-CA"/>
        </w:rPr>
        <w:t>In addition, managers in technology companies were highly susceptible to “escalation of commitment” and the “sunk cost fallacy.”</w:t>
      </w:r>
      <w:r w:rsidRPr="00076261">
        <w:rPr>
          <w:rStyle w:val="EndnoteReference"/>
          <w:spacing w:val="-4"/>
          <w:kern w:val="22"/>
          <w:lang w:val="en-CA"/>
        </w:rPr>
        <w:endnoteReference w:id="35"/>
      </w:r>
      <w:r w:rsidRPr="00076261">
        <w:rPr>
          <w:spacing w:val="-4"/>
          <w:kern w:val="22"/>
          <w:lang w:val="en-CA"/>
        </w:rPr>
        <w:t xml:space="preserve"> Escalation of commitment referred to the “tendency for decision makers to persist with failing courses of action.”</w:t>
      </w:r>
      <w:r w:rsidRPr="00076261">
        <w:rPr>
          <w:rStyle w:val="EndnoteReference"/>
          <w:spacing w:val="-4"/>
          <w:kern w:val="22"/>
          <w:lang w:val="en-CA"/>
        </w:rPr>
        <w:endnoteReference w:id="36"/>
      </w:r>
      <w:r w:rsidRPr="00076261">
        <w:rPr>
          <w:spacing w:val="-4"/>
          <w:kern w:val="22"/>
          <w:lang w:val="en-CA"/>
        </w:rPr>
        <w:t xml:space="preserve"> It arose in situations where additional investment could either remedy the situation or lead to greater loss, but uncertainty about the future obscured which outcome would actually transpire.</w:t>
      </w:r>
      <w:r w:rsidRPr="00076261">
        <w:rPr>
          <w:rStyle w:val="EndnoteReference"/>
          <w:spacing w:val="-4"/>
          <w:kern w:val="22"/>
          <w:lang w:val="en-CA"/>
        </w:rPr>
        <w:endnoteReference w:id="37"/>
      </w:r>
      <w:r w:rsidRPr="00076261">
        <w:rPr>
          <w:spacing w:val="-4"/>
          <w:kern w:val="22"/>
          <w:lang w:val="en-CA"/>
        </w:rPr>
        <w:t xml:space="preserve"> In the book </w:t>
      </w:r>
      <w:r w:rsidRPr="00076261">
        <w:rPr>
          <w:i/>
          <w:spacing w:val="-4"/>
          <w:kern w:val="22"/>
          <w:lang w:val="en-CA"/>
        </w:rPr>
        <w:t xml:space="preserve">Thinking, Fast and Slow, </w:t>
      </w:r>
      <w:r w:rsidRPr="00076261">
        <w:rPr>
          <w:spacing w:val="-4"/>
          <w:kern w:val="22"/>
          <w:lang w:val="en-CA"/>
        </w:rPr>
        <w:t xml:space="preserve">Nobel Prize laureate Daniel </w:t>
      </w:r>
      <w:proofErr w:type="spellStart"/>
      <w:r w:rsidRPr="00076261">
        <w:rPr>
          <w:spacing w:val="-4"/>
          <w:kern w:val="22"/>
          <w:lang w:val="en-CA"/>
        </w:rPr>
        <w:t>Kahneman</w:t>
      </w:r>
      <w:proofErr w:type="spellEnd"/>
      <w:r w:rsidRPr="00076261">
        <w:rPr>
          <w:spacing w:val="-4"/>
          <w:kern w:val="22"/>
          <w:lang w:val="en-CA"/>
        </w:rPr>
        <w:t xml:space="preserve"> defined the sunk cost fallacy as “the decision to invest additional resources in a losing account when better investment alternatives are available.”</w:t>
      </w:r>
      <w:r w:rsidRPr="00076261">
        <w:rPr>
          <w:rStyle w:val="EndnoteReference"/>
          <w:spacing w:val="-4"/>
          <w:kern w:val="22"/>
          <w:lang w:val="en-CA"/>
        </w:rPr>
        <w:endnoteReference w:id="38"/>
      </w:r>
      <w:r w:rsidRPr="00076261">
        <w:rPr>
          <w:spacing w:val="-4"/>
          <w:kern w:val="22"/>
          <w:lang w:val="en-CA"/>
        </w:rPr>
        <w:t xml:space="preserve"> </w:t>
      </w:r>
    </w:p>
    <w:p w14:paraId="74390479" w14:textId="77777777" w:rsidR="00B34EC9" w:rsidRPr="00076261" w:rsidRDefault="00B34EC9" w:rsidP="0009002F">
      <w:pPr>
        <w:pStyle w:val="BodyTextMain"/>
        <w:rPr>
          <w:sz w:val="18"/>
          <w:szCs w:val="18"/>
          <w:lang w:val="en-CA"/>
        </w:rPr>
      </w:pPr>
    </w:p>
    <w:p w14:paraId="4A6D9AF4" w14:textId="3C8A67D5" w:rsidR="00B34EC9" w:rsidRPr="00076261" w:rsidRDefault="00B34EC9" w:rsidP="0009002F">
      <w:pPr>
        <w:pStyle w:val="BodyTextMain"/>
        <w:rPr>
          <w:lang w:val="en-CA"/>
        </w:rPr>
      </w:pPr>
      <w:r w:rsidRPr="00076261">
        <w:rPr>
          <w:lang w:val="en-CA"/>
        </w:rPr>
        <w:t>This occurred because some managers believed that if they cancelled the project, there would be a sunk cost associated with that decision, which deterred them from taking action. The correct course of action was to review each decision independent of any costs that had been incurred up to that point and evaluate current opportunities on their merit only. In the cases of Nokia and Microsoft, it was evident that the R&amp;D expenditure did not directly lead to increased innovation. Technology companies were especially susceptible to this phenomenon due to the nature of their product development cycle, which required them to constantly innovate and release new products.</w:t>
      </w:r>
      <w:r w:rsidRPr="00076261">
        <w:rPr>
          <w:rStyle w:val="EndnoteReference"/>
          <w:lang w:val="en-CA"/>
        </w:rPr>
        <w:endnoteReference w:id="39"/>
      </w:r>
      <w:r w:rsidRPr="00076261">
        <w:rPr>
          <w:lang w:val="en-CA"/>
        </w:rPr>
        <w:t xml:space="preserve"> Therefore, it was imperative that managers be extremely cautious when making material R&amp;D expenditures.</w:t>
      </w:r>
    </w:p>
    <w:p w14:paraId="69DE6C5D" w14:textId="2E10275F" w:rsidR="00B34EC9" w:rsidRPr="00076261" w:rsidRDefault="00B34EC9" w:rsidP="0009002F">
      <w:pPr>
        <w:pStyle w:val="BodyTextMain"/>
        <w:rPr>
          <w:sz w:val="18"/>
          <w:szCs w:val="18"/>
          <w:lang w:val="en-CA"/>
        </w:rPr>
      </w:pPr>
    </w:p>
    <w:p w14:paraId="3CC32AB9" w14:textId="77777777" w:rsidR="00B34EC9" w:rsidRPr="00076261" w:rsidRDefault="00B34EC9" w:rsidP="0009002F">
      <w:pPr>
        <w:pStyle w:val="BodyTextMain"/>
        <w:rPr>
          <w:sz w:val="18"/>
          <w:szCs w:val="18"/>
          <w:lang w:val="en-CA"/>
        </w:rPr>
      </w:pPr>
    </w:p>
    <w:p w14:paraId="14F010F1" w14:textId="2135F465" w:rsidR="00B34EC9" w:rsidRPr="00076261" w:rsidRDefault="00B34EC9" w:rsidP="0009002F">
      <w:pPr>
        <w:rPr>
          <w:rFonts w:ascii="Arial" w:hAnsi="Arial" w:cs="Arial"/>
          <w:b/>
          <w:lang w:val="en-CA"/>
        </w:rPr>
      </w:pPr>
      <w:r w:rsidRPr="00076261">
        <w:rPr>
          <w:rFonts w:ascii="Arial" w:hAnsi="Arial" w:cs="Arial"/>
          <w:b/>
          <w:lang w:val="en-CA"/>
        </w:rPr>
        <w:t>SAMSUNG AND THE INTERNET OF THINGS IN 2016</w:t>
      </w:r>
    </w:p>
    <w:p w14:paraId="58C6A944" w14:textId="77777777" w:rsidR="00B34EC9" w:rsidRPr="00076261" w:rsidRDefault="00B34EC9" w:rsidP="0009002F">
      <w:pPr>
        <w:pStyle w:val="BodyTextMain"/>
        <w:rPr>
          <w:sz w:val="18"/>
          <w:szCs w:val="18"/>
          <w:lang w:val="en-CA"/>
        </w:rPr>
      </w:pPr>
    </w:p>
    <w:p w14:paraId="58588CFD" w14:textId="3108E8DE" w:rsidR="00B34EC9" w:rsidRPr="00363E19" w:rsidRDefault="00B34EC9" w:rsidP="0009002F">
      <w:pPr>
        <w:pStyle w:val="BodyTextMain"/>
        <w:rPr>
          <w:spacing w:val="-2"/>
          <w:kern w:val="22"/>
          <w:lang w:val="en-CA"/>
        </w:rPr>
      </w:pPr>
      <w:r w:rsidRPr="00363E19">
        <w:rPr>
          <w:spacing w:val="-2"/>
          <w:kern w:val="22"/>
          <w:lang w:val="en-CA"/>
        </w:rPr>
        <w:t xml:space="preserve">Because Samsung was an industry incumbent, it already possessed the necessary infrastructure and distribution channels for </w:t>
      </w:r>
      <w:proofErr w:type="spellStart"/>
      <w:r w:rsidRPr="00363E19">
        <w:rPr>
          <w:spacing w:val="-2"/>
          <w:kern w:val="22"/>
          <w:lang w:val="en-CA"/>
        </w:rPr>
        <w:t>IoT</w:t>
      </w:r>
      <w:proofErr w:type="spellEnd"/>
      <w:r w:rsidRPr="00363E19">
        <w:rPr>
          <w:spacing w:val="-2"/>
          <w:kern w:val="22"/>
          <w:lang w:val="en-CA"/>
        </w:rPr>
        <w:t xml:space="preserve"> market penetration, so adding </w:t>
      </w:r>
      <w:proofErr w:type="spellStart"/>
      <w:r w:rsidRPr="00363E19">
        <w:rPr>
          <w:spacing w:val="-2"/>
          <w:kern w:val="22"/>
          <w:lang w:val="en-CA"/>
        </w:rPr>
        <w:t>IoT</w:t>
      </w:r>
      <w:proofErr w:type="spellEnd"/>
      <w:r w:rsidRPr="00363E19">
        <w:rPr>
          <w:spacing w:val="-2"/>
          <w:kern w:val="22"/>
          <w:lang w:val="en-CA"/>
        </w:rPr>
        <w:t xml:space="preserve"> capability to its devices would enable it to extract even more value from these products. For example, Samsung might have already manufactured the television, refrigerator, and dishwasher in that consumer’s home, so by implementing the </w:t>
      </w:r>
      <w:proofErr w:type="spellStart"/>
      <w:r w:rsidRPr="00363E19">
        <w:rPr>
          <w:spacing w:val="-2"/>
          <w:kern w:val="22"/>
          <w:lang w:val="en-CA"/>
        </w:rPr>
        <w:t>IoT</w:t>
      </w:r>
      <w:proofErr w:type="spellEnd"/>
      <w:r w:rsidRPr="00363E19">
        <w:rPr>
          <w:spacing w:val="-2"/>
          <w:kern w:val="22"/>
          <w:lang w:val="en-CA"/>
        </w:rPr>
        <w:t xml:space="preserve"> through all these channels, it could immediately attain a value multiplier throughout the entire product development chain. </w:t>
      </w:r>
    </w:p>
    <w:p w14:paraId="3DDA485E" w14:textId="77777777" w:rsidR="00B34EC9" w:rsidRPr="00076261" w:rsidRDefault="00B34EC9" w:rsidP="0009002F">
      <w:pPr>
        <w:pStyle w:val="BodyTextMain"/>
        <w:rPr>
          <w:lang w:val="en-CA"/>
        </w:rPr>
      </w:pPr>
    </w:p>
    <w:p w14:paraId="376B4F0B" w14:textId="2DED8D5A" w:rsidR="00B34EC9" w:rsidRPr="00076261" w:rsidRDefault="00B34EC9" w:rsidP="0009002F">
      <w:pPr>
        <w:pStyle w:val="BodyTextMain"/>
        <w:rPr>
          <w:lang w:val="en-CA"/>
        </w:rPr>
      </w:pPr>
      <w:r w:rsidRPr="00076261">
        <w:rPr>
          <w:lang w:val="en-CA"/>
        </w:rPr>
        <w:t xml:space="preserve">In addition, its parent company operated in numerous industry verticals, so the advances attained from R&amp;D in the </w:t>
      </w:r>
      <w:proofErr w:type="spellStart"/>
      <w:r w:rsidRPr="00076261">
        <w:rPr>
          <w:lang w:val="en-CA"/>
        </w:rPr>
        <w:t>IoT</w:t>
      </w:r>
      <w:proofErr w:type="spellEnd"/>
      <w:r w:rsidRPr="00076261">
        <w:rPr>
          <w:lang w:val="en-CA"/>
        </w:rPr>
        <w:t xml:space="preserve"> could have had further applications in other verticals, such as industrial applications in its engineering businesses, thereby increasing the total value. It also had a small first-mover head start by </w:t>
      </w:r>
      <w:r w:rsidRPr="00076261">
        <w:rPr>
          <w:lang w:val="en-CA"/>
        </w:rPr>
        <w:lastRenderedPageBreak/>
        <w:t xml:space="preserve">having acquired the leading </w:t>
      </w:r>
      <w:proofErr w:type="spellStart"/>
      <w:r w:rsidRPr="00076261">
        <w:rPr>
          <w:lang w:val="en-CA"/>
        </w:rPr>
        <w:t>IoT</w:t>
      </w:r>
      <w:proofErr w:type="spellEnd"/>
      <w:r w:rsidRPr="00076261">
        <w:rPr>
          <w:lang w:val="en-CA"/>
        </w:rPr>
        <w:t xml:space="preserve"> platform SmartThings, which, at the time of acquisition, “supported more than 1,000 different devices and 8,000 apps created by its community of device makers, inventors, and developers.”</w:t>
      </w:r>
      <w:r w:rsidRPr="00076261">
        <w:rPr>
          <w:rStyle w:val="EndnoteReference"/>
          <w:lang w:val="en-CA"/>
        </w:rPr>
        <w:endnoteReference w:id="40"/>
      </w:r>
      <w:r w:rsidRPr="00076261">
        <w:rPr>
          <w:lang w:val="en-CA"/>
        </w:rPr>
        <w:t xml:space="preserve"> Using its vast resources, Samsung could theoretically address the interoperability issues with SmartThings and enable it to be a coherent translator for any and all </w:t>
      </w:r>
      <w:proofErr w:type="spellStart"/>
      <w:r w:rsidRPr="00076261">
        <w:rPr>
          <w:lang w:val="en-CA"/>
        </w:rPr>
        <w:t>IoT</w:t>
      </w:r>
      <w:proofErr w:type="spellEnd"/>
      <w:r w:rsidRPr="00076261">
        <w:rPr>
          <w:lang w:val="en-CA"/>
        </w:rPr>
        <w:t xml:space="preserve"> devices. </w:t>
      </w:r>
    </w:p>
    <w:p w14:paraId="2AC42101" w14:textId="77777777" w:rsidR="00B34EC9" w:rsidRPr="00363E19" w:rsidRDefault="00B34EC9" w:rsidP="0009002F">
      <w:pPr>
        <w:pStyle w:val="BodyTextMain"/>
        <w:rPr>
          <w:sz w:val="14"/>
          <w:szCs w:val="14"/>
          <w:lang w:val="en-CA"/>
        </w:rPr>
      </w:pPr>
    </w:p>
    <w:p w14:paraId="4132EC32" w14:textId="7BFA1BA4" w:rsidR="00B34EC9" w:rsidRPr="00076261" w:rsidRDefault="00B34EC9" w:rsidP="0009002F">
      <w:pPr>
        <w:pStyle w:val="BodyTextMain"/>
        <w:rPr>
          <w:lang w:val="en-CA"/>
        </w:rPr>
      </w:pPr>
      <w:r w:rsidRPr="00076261">
        <w:rPr>
          <w:lang w:val="en-CA"/>
        </w:rPr>
        <w:t xml:space="preserve">Concurrently, the major competitors in the space, such as Apple, Amazon, Google, </w:t>
      </w:r>
      <w:proofErr w:type="spellStart"/>
      <w:r w:rsidRPr="00076261">
        <w:rPr>
          <w:lang w:val="en-CA"/>
        </w:rPr>
        <w:t>Koninklijke</w:t>
      </w:r>
      <w:proofErr w:type="spellEnd"/>
      <w:r w:rsidRPr="00076261">
        <w:rPr>
          <w:lang w:val="en-CA"/>
        </w:rPr>
        <w:t xml:space="preserve"> Philips N.V., and Sony Corporation (Sony), all had large amounts of financial capital. They could achieve a technological leap and go to market at any moment.</w:t>
      </w:r>
      <w:r w:rsidRPr="00076261">
        <w:rPr>
          <w:rStyle w:val="EndnoteReference"/>
          <w:lang w:val="en-CA"/>
        </w:rPr>
        <w:endnoteReference w:id="41"/>
      </w:r>
      <w:r w:rsidRPr="00076261">
        <w:rPr>
          <w:lang w:val="en-CA"/>
        </w:rPr>
        <w:t xml:space="preserve"> Samsung was also one of the largest chip makers in the world. Advances in the computational power and cost efficiency of computer chips were the major reasons why the </w:t>
      </w:r>
      <w:proofErr w:type="spellStart"/>
      <w:r w:rsidRPr="00076261">
        <w:rPr>
          <w:lang w:val="en-CA"/>
        </w:rPr>
        <w:t>IoT</w:t>
      </w:r>
      <w:proofErr w:type="spellEnd"/>
      <w:r w:rsidRPr="00076261">
        <w:rPr>
          <w:lang w:val="en-CA"/>
        </w:rPr>
        <w:t xml:space="preserve"> was now possible, compared to the past, thus creating opportunities for material savings for Samsung through vertical integration.</w:t>
      </w:r>
      <w:r w:rsidRPr="00076261">
        <w:rPr>
          <w:rStyle w:val="EndnoteReference"/>
          <w:lang w:val="en-CA"/>
        </w:rPr>
        <w:endnoteReference w:id="42"/>
      </w:r>
      <w:r w:rsidRPr="00076261">
        <w:rPr>
          <w:lang w:val="en-CA"/>
        </w:rPr>
        <w:t xml:space="preserve"> Making all of its devices </w:t>
      </w:r>
      <w:proofErr w:type="spellStart"/>
      <w:r w:rsidRPr="00076261">
        <w:rPr>
          <w:lang w:val="en-CA"/>
        </w:rPr>
        <w:t>IoT</w:t>
      </w:r>
      <w:proofErr w:type="spellEnd"/>
      <w:r w:rsidRPr="00076261">
        <w:rPr>
          <w:lang w:val="en-CA"/>
        </w:rPr>
        <w:t xml:space="preserve"> capable would supply Samsung with a treasure trove of consumer data, which it could use internally to innovate its products and externally to sell unidentifiable data to other firms. Samsung could partner with incumbent analytics firms to extrapolate useful information from the large data sets, which could lead to novel insights and solutions. </w:t>
      </w:r>
    </w:p>
    <w:p w14:paraId="599C02EB" w14:textId="77777777" w:rsidR="00B34EC9" w:rsidRPr="00363E19" w:rsidRDefault="00B34EC9" w:rsidP="0009002F">
      <w:pPr>
        <w:pStyle w:val="BodyTextMain"/>
        <w:rPr>
          <w:sz w:val="14"/>
          <w:szCs w:val="14"/>
          <w:lang w:val="en-CA"/>
        </w:rPr>
      </w:pPr>
    </w:p>
    <w:p w14:paraId="5128D985" w14:textId="503B34AF" w:rsidR="00B34EC9" w:rsidRPr="00076261" w:rsidRDefault="00B34EC9" w:rsidP="0009002F">
      <w:pPr>
        <w:pStyle w:val="BodyTextMain"/>
        <w:rPr>
          <w:lang w:val="en-CA"/>
        </w:rPr>
      </w:pPr>
      <w:r w:rsidRPr="00076261">
        <w:rPr>
          <w:lang w:val="en-CA"/>
        </w:rPr>
        <w:t xml:space="preserve">There seemed to be </w:t>
      </w:r>
      <w:proofErr w:type="gramStart"/>
      <w:r w:rsidRPr="00076261">
        <w:rPr>
          <w:lang w:val="en-CA"/>
        </w:rPr>
        <w:t>a lot of</w:t>
      </w:r>
      <w:proofErr w:type="gramEnd"/>
      <w:r w:rsidRPr="00076261">
        <w:rPr>
          <w:lang w:val="en-CA"/>
        </w:rPr>
        <w:t xml:space="preserve"> positives that indicated the investment could potentially be very rewarding, but high reward also accompanied material risk, so it was important to remain cautious about the next steps. Many of the ideas and concepts in the development of the </w:t>
      </w:r>
      <w:proofErr w:type="spellStart"/>
      <w:r w:rsidRPr="00076261">
        <w:rPr>
          <w:lang w:val="en-CA"/>
        </w:rPr>
        <w:t>IoT</w:t>
      </w:r>
      <w:proofErr w:type="spellEnd"/>
      <w:r w:rsidRPr="00076261">
        <w:rPr>
          <w:lang w:val="en-CA"/>
        </w:rPr>
        <w:t xml:space="preserve"> at Samsung were dependent on a number of uncertain outcomes such as SmartThings being able to produce an interoperable standard solution, customers actually adopting the </w:t>
      </w:r>
      <w:proofErr w:type="spellStart"/>
      <w:r w:rsidRPr="00076261">
        <w:rPr>
          <w:lang w:val="en-CA"/>
        </w:rPr>
        <w:t>IoT</w:t>
      </w:r>
      <w:proofErr w:type="spellEnd"/>
      <w:r w:rsidRPr="00076261">
        <w:rPr>
          <w:lang w:val="en-CA"/>
        </w:rPr>
        <w:t xml:space="preserve"> despite security and privacy issues, and the entire project staying on budget and schedule. Successful completion of this project would be a significant undertaking that required substantial collaboration across departments at the firm over a long period.</w:t>
      </w:r>
    </w:p>
    <w:p w14:paraId="272DAF97" w14:textId="77777777" w:rsidR="00B34EC9" w:rsidRPr="00363E19" w:rsidRDefault="00B34EC9" w:rsidP="0009002F">
      <w:pPr>
        <w:pStyle w:val="BodyTextMain"/>
        <w:rPr>
          <w:sz w:val="14"/>
          <w:szCs w:val="14"/>
          <w:lang w:val="en-CA"/>
        </w:rPr>
      </w:pPr>
    </w:p>
    <w:p w14:paraId="4E5BA920" w14:textId="47F92876" w:rsidR="00B34EC9" w:rsidRPr="00363E19" w:rsidRDefault="00B34EC9" w:rsidP="0009002F">
      <w:pPr>
        <w:pStyle w:val="BodyTextMain"/>
        <w:rPr>
          <w:sz w:val="14"/>
          <w:szCs w:val="14"/>
          <w:lang w:val="en-CA"/>
        </w:rPr>
      </w:pPr>
    </w:p>
    <w:p w14:paraId="2D741E06" w14:textId="45036A59" w:rsidR="00B34EC9" w:rsidRPr="00076261" w:rsidRDefault="00B34EC9" w:rsidP="0009002F">
      <w:pPr>
        <w:rPr>
          <w:rFonts w:ascii="Arial" w:hAnsi="Arial" w:cs="Arial"/>
          <w:b/>
          <w:lang w:val="en-CA"/>
        </w:rPr>
      </w:pPr>
      <w:r w:rsidRPr="00076261">
        <w:rPr>
          <w:rFonts w:ascii="Arial" w:hAnsi="Arial" w:cs="Arial"/>
          <w:b/>
          <w:lang w:val="en-CA"/>
        </w:rPr>
        <w:t>CHALLENGES WITH THE INTERNET OF THINGS IN 2016</w:t>
      </w:r>
    </w:p>
    <w:p w14:paraId="5AB08726" w14:textId="77777777" w:rsidR="00B34EC9" w:rsidRPr="00363E19" w:rsidRDefault="00B34EC9" w:rsidP="0009002F">
      <w:pPr>
        <w:pStyle w:val="BodyTextMain"/>
        <w:rPr>
          <w:sz w:val="14"/>
          <w:szCs w:val="14"/>
          <w:lang w:val="en-CA"/>
        </w:rPr>
      </w:pPr>
    </w:p>
    <w:p w14:paraId="413D94C5" w14:textId="2F13B744" w:rsidR="00B34EC9" w:rsidRPr="00076261" w:rsidRDefault="00B34EC9" w:rsidP="0009002F">
      <w:pPr>
        <w:pStyle w:val="BodyTextMain"/>
        <w:rPr>
          <w:spacing w:val="-2"/>
          <w:kern w:val="22"/>
          <w:lang w:val="en-CA"/>
        </w:rPr>
      </w:pPr>
      <w:r w:rsidRPr="00076261">
        <w:rPr>
          <w:spacing w:val="-2"/>
          <w:kern w:val="22"/>
          <w:lang w:val="en-CA"/>
        </w:rPr>
        <w:t xml:space="preserve">The lack of interoperable standards was still a major challenge with the </w:t>
      </w:r>
      <w:proofErr w:type="spellStart"/>
      <w:r w:rsidRPr="00076261">
        <w:rPr>
          <w:spacing w:val="-2"/>
          <w:kern w:val="22"/>
          <w:lang w:val="en-CA"/>
        </w:rPr>
        <w:t>IoT</w:t>
      </w:r>
      <w:proofErr w:type="spellEnd"/>
      <w:r w:rsidRPr="00076261">
        <w:rPr>
          <w:spacing w:val="-2"/>
          <w:kern w:val="22"/>
          <w:lang w:val="en-CA"/>
        </w:rPr>
        <w:t xml:space="preserve">. In smart homes, many devices operated on different incompatible standards such as Apple’s </w:t>
      </w:r>
      <w:proofErr w:type="spellStart"/>
      <w:r w:rsidRPr="00076261">
        <w:rPr>
          <w:spacing w:val="-2"/>
          <w:kern w:val="22"/>
          <w:lang w:val="en-CA"/>
        </w:rPr>
        <w:t>HomeKit</w:t>
      </w:r>
      <w:proofErr w:type="spellEnd"/>
      <w:r w:rsidRPr="00076261">
        <w:rPr>
          <w:spacing w:val="-2"/>
          <w:kern w:val="22"/>
          <w:lang w:val="en-CA"/>
        </w:rPr>
        <w:t>, Google’s Weave, and Samsung’s SmartThings. Many companies rejected compatibility because they wanted to sell as many of their own proprietary standard products as possible, in an attempt to create a platform effect. However, most consumers did not purchase all their home electronics from one company; they shopped from various different brands. Another issue was the multiple methods for devices to connect with each other. Although Wi-Fi was the most widely adopted method, it was too complex for smaller devices (see Exhibit 2). Bluetooth was another popular method for connectivity, but it was not always sufficient for smaller devices.</w:t>
      </w:r>
      <w:r w:rsidRPr="00076261">
        <w:rPr>
          <w:rStyle w:val="EndnoteReference"/>
          <w:spacing w:val="-2"/>
          <w:kern w:val="22"/>
          <w:lang w:val="en-CA"/>
        </w:rPr>
        <w:endnoteReference w:id="43"/>
      </w:r>
    </w:p>
    <w:p w14:paraId="3BB344A1" w14:textId="77777777" w:rsidR="00B34EC9" w:rsidRPr="00363E19" w:rsidRDefault="00B34EC9" w:rsidP="0009002F">
      <w:pPr>
        <w:pStyle w:val="BodyTextMain"/>
        <w:rPr>
          <w:sz w:val="14"/>
          <w:szCs w:val="14"/>
          <w:lang w:val="en-CA"/>
        </w:rPr>
      </w:pPr>
    </w:p>
    <w:p w14:paraId="60A24E28" w14:textId="17E518EB" w:rsidR="00B34EC9" w:rsidRPr="00076261" w:rsidRDefault="00B34EC9" w:rsidP="0009002F">
      <w:pPr>
        <w:pStyle w:val="BodyTextMain"/>
        <w:rPr>
          <w:lang w:val="en-CA"/>
        </w:rPr>
      </w:pPr>
      <w:r w:rsidRPr="00076261">
        <w:rPr>
          <w:lang w:val="en-CA"/>
        </w:rPr>
        <w:t xml:space="preserve">Smaller devices tended to use a lower-power mesh networking based on the wireless standard 802.15.2. The leading methods for small device connections were </w:t>
      </w:r>
      <w:proofErr w:type="spellStart"/>
      <w:r w:rsidRPr="00076261">
        <w:rPr>
          <w:lang w:val="en-CA"/>
        </w:rPr>
        <w:t>Zigbee</w:t>
      </w:r>
      <w:proofErr w:type="spellEnd"/>
      <w:r w:rsidRPr="00076261">
        <w:rPr>
          <w:lang w:val="en-CA"/>
        </w:rPr>
        <w:t xml:space="preserve"> and Z-Wave. </w:t>
      </w:r>
      <w:proofErr w:type="spellStart"/>
      <w:r w:rsidRPr="00076261">
        <w:rPr>
          <w:lang w:val="en-CA"/>
        </w:rPr>
        <w:t>Zigbee</w:t>
      </w:r>
      <w:proofErr w:type="spellEnd"/>
      <w:r w:rsidRPr="00076261">
        <w:rPr>
          <w:lang w:val="en-CA"/>
        </w:rPr>
        <w:t xml:space="preserve"> powered devices such as Phillips Hue, which was the leading smart light bulb, and was very open-source and flexible. Z-Wave, on the other hand, which was used by leading home security firm ADT Inc., was proprietary and required devices to possess Sigma Designs radio chips to work. Rory O’Neill, Samsung’s chief marketing officer, said that he wanted to see the industry break down any barriers to entry and keep things simple by using common standards, so things would work together.</w:t>
      </w:r>
      <w:r w:rsidRPr="00076261">
        <w:rPr>
          <w:rStyle w:val="EndnoteReference"/>
          <w:lang w:val="en-CA"/>
        </w:rPr>
        <w:endnoteReference w:id="44"/>
      </w:r>
      <w:r w:rsidRPr="00076261">
        <w:rPr>
          <w:lang w:val="en-CA"/>
        </w:rPr>
        <w:t xml:space="preserve"> At the time, there was no real long-term solution to the interoperable standards issue, except having all market participants decide to adopt open-source approaches with the </w:t>
      </w:r>
      <w:proofErr w:type="spellStart"/>
      <w:r w:rsidRPr="00076261">
        <w:rPr>
          <w:lang w:val="en-CA"/>
        </w:rPr>
        <w:t>IoT</w:t>
      </w:r>
      <w:proofErr w:type="spellEnd"/>
      <w:r w:rsidRPr="00076261">
        <w:rPr>
          <w:lang w:val="en-CA"/>
        </w:rPr>
        <w:t xml:space="preserve"> and come together to create universal standards.</w:t>
      </w:r>
    </w:p>
    <w:p w14:paraId="4D9D3FC1" w14:textId="77777777" w:rsidR="00B34EC9" w:rsidRPr="00363E19" w:rsidRDefault="00B34EC9" w:rsidP="0009002F">
      <w:pPr>
        <w:pStyle w:val="BodyTextMain"/>
        <w:rPr>
          <w:sz w:val="14"/>
          <w:szCs w:val="14"/>
          <w:lang w:val="en-CA"/>
        </w:rPr>
      </w:pPr>
    </w:p>
    <w:p w14:paraId="352B0F19" w14:textId="4AF9B7AD" w:rsidR="00B34EC9" w:rsidRPr="00076261" w:rsidRDefault="00B34EC9" w:rsidP="0009002F">
      <w:pPr>
        <w:pStyle w:val="BodyTextMain"/>
        <w:rPr>
          <w:lang w:val="en-CA"/>
        </w:rPr>
      </w:pPr>
      <w:r w:rsidRPr="00076261">
        <w:rPr>
          <w:lang w:val="en-CA"/>
        </w:rPr>
        <w:t xml:space="preserve">There was also a consumer adoption issue because many people were still skeptical about </w:t>
      </w:r>
      <w:proofErr w:type="spellStart"/>
      <w:r w:rsidRPr="00076261">
        <w:rPr>
          <w:lang w:val="en-CA"/>
        </w:rPr>
        <w:t>IoT</w:t>
      </w:r>
      <w:proofErr w:type="spellEnd"/>
      <w:r w:rsidRPr="00076261">
        <w:rPr>
          <w:lang w:val="en-CA"/>
        </w:rPr>
        <w:t xml:space="preserve"> devices due to the amount of data that </w:t>
      </w:r>
      <w:proofErr w:type="gramStart"/>
      <w:r w:rsidRPr="00076261">
        <w:rPr>
          <w:lang w:val="en-CA"/>
        </w:rPr>
        <w:t>was collected</w:t>
      </w:r>
      <w:proofErr w:type="gramEnd"/>
      <w:r w:rsidRPr="00076261">
        <w:rPr>
          <w:lang w:val="en-CA"/>
        </w:rPr>
        <w:t xml:space="preserve">. Many consumers feared manipulation by “big business” based on the data that was collected about them. Customers were also very wary of the major security issues that were present with </w:t>
      </w:r>
      <w:proofErr w:type="spellStart"/>
      <w:r w:rsidRPr="00076261">
        <w:rPr>
          <w:lang w:val="en-CA"/>
        </w:rPr>
        <w:t>IoT</w:t>
      </w:r>
      <w:proofErr w:type="spellEnd"/>
      <w:r w:rsidRPr="00076261">
        <w:rPr>
          <w:lang w:val="en-CA"/>
        </w:rPr>
        <w:t xml:space="preserve"> devices, as they were highly susceptible to hacking. In March 2016, AT&amp;T Inc. released its </w:t>
      </w:r>
      <w:r w:rsidRPr="00076261">
        <w:rPr>
          <w:i/>
          <w:lang w:val="en-CA"/>
        </w:rPr>
        <w:t>Cybersecurity Insights Report</w:t>
      </w:r>
      <w:r w:rsidRPr="00076261">
        <w:rPr>
          <w:lang w:val="en-CA"/>
        </w:rPr>
        <w:t xml:space="preserve">, which surveyed over 5,000 enterprises worldwide. The survey found that 85 per cent of companies were deploying or planning to deploy </w:t>
      </w:r>
      <w:proofErr w:type="spellStart"/>
      <w:r w:rsidRPr="00076261">
        <w:rPr>
          <w:lang w:val="en-CA"/>
        </w:rPr>
        <w:t>IoT</w:t>
      </w:r>
      <w:proofErr w:type="spellEnd"/>
      <w:r w:rsidRPr="00076261">
        <w:rPr>
          <w:lang w:val="en-CA"/>
        </w:rPr>
        <w:t xml:space="preserve"> devices, but only 10 per cent felt confident that they could secure those devices against hackers.</w:t>
      </w:r>
      <w:r w:rsidRPr="00076261">
        <w:rPr>
          <w:rStyle w:val="EndnoteReference"/>
          <w:lang w:val="en-CA"/>
        </w:rPr>
        <w:endnoteReference w:id="45"/>
      </w:r>
      <w:r w:rsidRPr="00076261">
        <w:rPr>
          <w:lang w:val="en-CA"/>
        </w:rPr>
        <w:t xml:space="preserve"> </w:t>
      </w:r>
    </w:p>
    <w:p w14:paraId="207290DE" w14:textId="77777777" w:rsidR="00B34EC9" w:rsidRPr="00076261" w:rsidRDefault="00B34EC9" w:rsidP="0009002F">
      <w:pPr>
        <w:rPr>
          <w:rFonts w:ascii="Arial" w:hAnsi="Arial" w:cs="Arial"/>
          <w:b/>
          <w:lang w:val="en-CA"/>
        </w:rPr>
      </w:pPr>
      <w:r w:rsidRPr="00076261">
        <w:rPr>
          <w:rFonts w:ascii="Arial" w:hAnsi="Arial" w:cs="Arial"/>
          <w:b/>
          <w:lang w:val="en-CA"/>
        </w:rPr>
        <w:lastRenderedPageBreak/>
        <w:t>SMARTTHINGS SECURITY VULNERABILITIES</w:t>
      </w:r>
    </w:p>
    <w:p w14:paraId="662C493F" w14:textId="77777777" w:rsidR="00B34EC9" w:rsidRPr="00363E19" w:rsidRDefault="00B34EC9" w:rsidP="0009002F">
      <w:pPr>
        <w:pStyle w:val="BodyTextMain"/>
        <w:rPr>
          <w:sz w:val="14"/>
          <w:szCs w:val="14"/>
          <w:lang w:val="en-CA"/>
        </w:rPr>
      </w:pPr>
    </w:p>
    <w:p w14:paraId="4C02E35B" w14:textId="790BD06D" w:rsidR="00B34EC9" w:rsidRPr="00076261" w:rsidRDefault="00B34EC9" w:rsidP="0009002F">
      <w:pPr>
        <w:pStyle w:val="BodyTextMain"/>
        <w:rPr>
          <w:lang w:val="en-CA"/>
        </w:rPr>
      </w:pPr>
      <w:r w:rsidRPr="00076261">
        <w:rPr>
          <w:lang w:val="en-CA"/>
        </w:rPr>
        <w:t>In May 2016, researchers at Microsoft and the University of Michigan discovered multiple vulnerabilities in the security of Samsung’s SmartThings smart home platform. The report stated that hackers could use these vulnerabilities to seize control of devices such as smart locks, security cameras, motion alarms, thermostats, and smoke detectors connected to the SmartThings system. The group staged four different attacks on the smart home platform, the most severe of which involved using an Android app that controlled services for different devices connected to SmartThings. The attack began with a spear-phishing email that would fool users into clicking a link that would take them to the real login page for the SmartThings site.</w:t>
      </w:r>
      <w:r w:rsidRPr="00076261">
        <w:rPr>
          <w:rStyle w:val="EndnoteReference"/>
          <w:lang w:val="en-CA"/>
        </w:rPr>
        <w:endnoteReference w:id="46"/>
      </w:r>
      <w:r w:rsidRPr="00076261">
        <w:rPr>
          <w:lang w:val="en-CA"/>
        </w:rPr>
        <w:t xml:space="preserve"> </w:t>
      </w:r>
    </w:p>
    <w:p w14:paraId="25D9025C" w14:textId="77777777" w:rsidR="00B34EC9" w:rsidRPr="00363E19" w:rsidRDefault="00B34EC9" w:rsidP="0009002F">
      <w:pPr>
        <w:pStyle w:val="BodyTextMain"/>
        <w:rPr>
          <w:sz w:val="14"/>
          <w:szCs w:val="14"/>
          <w:lang w:val="en-CA"/>
        </w:rPr>
      </w:pPr>
    </w:p>
    <w:p w14:paraId="113C5745" w14:textId="69084C8D" w:rsidR="00B34EC9" w:rsidRPr="00076261" w:rsidRDefault="00B34EC9" w:rsidP="0009002F">
      <w:pPr>
        <w:pStyle w:val="BodyTextMain"/>
        <w:rPr>
          <w:lang w:val="en-CA"/>
        </w:rPr>
      </w:pPr>
      <w:r w:rsidRPr="00076261">
        <w:rPr>
          <w:lang w:val="en-CA"/>
        </w:rPr>
        <w:t xml:space="preserve">The victim of the hack would then log in, but a flaw in the SmartThings web server would allow the attacker to steal the user’s credentials. The researchers used this attack method to hack into the cloud-based controls for a </w:t>
      </w:r>
      <w:proofErr w:type="spellStart"/>
      <w:r w:rsidRPr="00076261">
        <w:rPr>
          <w:lang w:val="en-CA"/>
        </w:rPr>
        <w:t>Schlage</w:t>
      </w:r>
      <w:proofErr w:type="spellEnd"/>
      <w:r w:rsidRPr="00076261">
        <w:rPr>
          <w:lang w:val="en-CA"/>
        </w:rPr>
        <w:t xml:space="preserve"> smart lock that was connected to SmartThings. They then created a four-digit personal identification number to unlock it whenever they wanted. The other three attacks involved fooling users into downloading malicious apps from the SmartThings-dedicated app store. The most difficult part of these attacks was actually loading the apps onto the store, which the researchers did not do because of potential legal repercussions. However, a defect in the SmartThings privileges for apps allowed the researchers to use a malicious app that would activate devices or steal personal identification numbers for smart locks.</w:t>
      </w:r>
      <w:r w:rsidRPr="00076261">
        <w:rPr>
          <w:rStyle w:val="EndnoteReference"/>
          <w:lang w:val="en-CA"/>
        </w:rPr>
        <w:endnoteReference w:id="47"/>
      </w:r>
      <w:r w:rsidRPr="00076261">
        <w:rPr>
          <w:lang w:val="en-CA"/>
        </w:rPr>
        <w:t xml:space="preserve"> </w:t>
      </w:r>
    </w:p>
    <w:p w14:paraId="7BBF19E0" w14:textId="4A47CAD2" w:rsidR="00B34EC9" w:rsidRPr="00363E19" w:rsidRDefault="00B34EC9" w:rsidP="0009002F">
      <w:pPr>
        <w:pStyle w:val="BodyTextMain"/>
        <w:rPr>
          <w:sz w:val="14"/>
          <w:szCs w:val="14"/>
          <w:lang w:val="en-CA"/>
        </w:rPr>
      </w:pPr>
    </w:p>
    <w:p w14:paraId="6D509784" w14:textId="4E010A35" w:rsidR="00B34EC9" w:rsidRPr="00076261" w:rsidRDefault="00B34EC9" w:rsidP="0009002F">
      <w:pPr>
        <w:pStyle w:val="BodyTextMain"/>
        <w:rPr>
          <w:lang w:val="en-CA"/>
        </w:rPr>
      </w:pPr>
      <w:r w:rsidRPr="00076261">
        <w:rPr>
          <w:lang w:val="en-CA"/>
        </w:rPr>
        <w:t>Hackers could also find other vulnerabilities that would enable them to steal customer data, which could be extremely detrimental for the company. Sony, one of Samsung’s main competitors, was hacked for customer data twice, in 2011 and 2014. The incidents cost the company an estimated $271 million.</w:t>
      </w:r>
      <w:r w:rsidRPr="00076261">
        <w:rPr>
          <w:rStyle w:val="EndnoteReference"/>
          <w:lang w:val="en-CA"/>
        </w:rPr>
        <w:endnoteReference w:id="48"/>
      </w:r>
      <w:r w:rsidRPr="00076261">
        <w:rPr>
          <w:lang w:val="en-CA"/>
        </w:rPr>
        <w:t xml:space="preserve"> The most expensive cyber-attack in history was the 2011 data breach at Epsilon, the world’s largest email marketing firm, which resulted in damages estimated between $225 million and $4 billion.</w:t>
      </w:r>
      <w:r w:rsidRPr="00076261">
        <w:rPr>
          <w:rStyle w:val="EndnoteReference"/>
          <w:lang w:val="en-CA"/>
        </w:rPr>
        <w:endnoteReference w:id="49"/>
      </w:r>
      <w:r w:rsidRPr="00076261">
        <w:rPr>
          <w:lang w:val="en-CA"/>
        </w:rPr>
        <w:t xml:space="preserve"> The real possibility of a hack on the SmartThings platform could cripple Samsung, overwhelm it with legal issues, and lead to irreparable damage. </w:t>
      </w:r>
    </w:p>
    <w:p w14:paraId="47D18795" w14:textId="7ED41787" w:rsidR="00B34EC9" w:rsidRPr="00363E19" w:rsidRDefault="00B34EC9" w:rsidP="0009002F">
      <w:pPr>
        <w:pStyle w:val="BodyTextMain"/>
        <w:rPr>
          <w:sz w:val="14"/>
          <w:szCs w:val="14"/>
          <w:lang w:val="en-CA"/>
        </w:rPr>
      </w:pPr>
    </w:p>
    <w:p w14:paraId="791A286D" w14:textId="1312DCAB" w:rsidR="00B34EC9" w:rsidRPr="00363E19" w:rsidRDefault="00B34EC9" w:rsidP="004A28D3">
      <w:pPr>
        <w:pStyle w:val="BodyTextMain"/>
        <w:rPr>
          <w:sz w:val="14"/>
          <w:szCs w:val="14"/>
          <w:lang w:val="en-CA"/>
        </w:rPr>
      </w:pPr>
    </w:p>
    <w:p w14:paraId="4C4B36DF" w14:textId="7805299B" w:rsidR="00B34EC9" w:rsidRPr="00076261" w:rsidRDefault="00B34EC9" w:rsidP="0009002F">
      <w:pPr>
        <w:rPr>
          <w:rFonts w:ascii="Arial" w:hAnsi="Arial" w:cs="Arial"/>
          <w:b/>
          <w:lang w:val="en-CA"/>
        </w:rPr>
      </w:pPr>
      <w:r w:rsidRPr="00076261">
        <w:rPr>
          <w:rFonts w:ascii="Arial" w:hAnsi="Arial" w:cs="Arial"/>
          <w:b/>
          <w:lang w:val="en-CA"/>
        </w:rPr>
        <w:t>INVESTMENT DECISION</w:t>
      </w:r>
    </w:p>
    <w:p w14:paraId="7C84D762" w14:textId="77777777" w:rsidR="00B34EC9" w:rsidRPr="00363E19" w:rsidRDefault="00B34EC9" w:rsidP="0009002F">
      <w:pPr>
        <w:pStyle w:val="BodyTextMain"/>
        <w:rPr>
          <w:sz w:val="14"/>
          <w:szCs w:val="14"/>
          <w:lang w:val="en-CA"/>
        </w:rPr>
      </w:pPr>
    </w:p>
    <w:p w14:paraId="0F47CAA8" w14:textId="35B4445B" w:rsidR="0009002F" w:rsidRPr="00363E19" w:rsidRDefault="00B34EC9" w:rsidP="0009002F">
      <w:pPr>
        <w:pStyle w:val="BodyTextMain"/>
        <w:rPr>
          <w:spacing w:val="-4"/>
          <w:kern w:val="22"/>
          <w:lang w:val="en-CA"/>
        </w:rPr>
      </w:pPr>
      <w:r w:rsidRPr="00363E19">
        <w:rPr>
          <w:spacing w:val="-4"/>
          <w:kern w:val="22"/>
          <w:lang w:val="en-CA"/>
        </w:rPr>
        <w:t xml:space="preserve">In June 2016, Yoon had to make a difficult decision. The company was at an inflection point for the </w:t>
      </w:r>
      <w:proofErr w:type="spellStart"/>
      <w:r w:rsidRPr="00363E19">
        <w:rPr>
          <w:spacing w:val="-4"/>
          <w:kern w:val="22"/>
          <w:lang w:val="en-CA"/>
        </w:rPr>
        <w:t>IoT</w:t>
      </w:r>
      <w:proofErr w:type="spellEnd"/>
      <w:r w:rsidRPr="00363E19">
        <w:rPr>
          <w:spacing w:val="-4"/>
          <w:kern w:val="22"/>
          <w:lang w:val="en-CA"/>
        </w:rPr>
        <w:t xml:space="preserve"> and had to invest $1.2 billion into R&amp;D.</w:t>
      </w:r>
      <w:r w:rsidRPr="00363E19">
        <w:rPr>
          <w:rStyle w:val="EndnoteReference"/>
          <w:spacing w:val="-4"/>
          <w:kern w:val="22"/>
          <w:lang w:val="en-CA"/>
        </w:rPr>
        <w:endnoteReference w:id="50"/>
      </w:r>
      <w:r w:rsidRPr="00363E19">
        <w:rPr>
          <w:spacing w:val="-4"/>
          <w:kern w:val="22"/>
          <w:lang w:val="en-CA"/>
        </w:rPr>
        <w:t xml:space="preserve"> </w:t>
      </w:r>
      <w:r w:rsidR="0009002F" w:rsidRPr="00363E19">
        <w:rPr>
          <w:spacing w:val="-4"/>
          <w:kern w:val="22"/>
          <w:lang w:val="en-CA"/>
        </w:rPr>
        <w:t xml:space="preserve">Yoon had to be decisive </w:t>
      </w:r>
      <w:r w:rsidR="00A14A41" w:rsidRPr="00363E19">
        <w:rPr>
          <w:spacing w:val="-4"/>
          <w:kern w:val="22"/>
          <w:lang w:val="en-CA"/>
        </w:rPr>
        <w:t>bec</w:t>
      </w:r>
      <w:r w:rsidR="0009002F" w:rsidRPr="00363E19">
        <w:rPr>
          <w:spacing w:val="-4"/>
          <w:kern w:val="22"/>
          <w:lang w:val="en-CA"/>
        </w:rPr>
        <w:t>a</w:t>
      </w:r>
      <w:r w:rsidR="00A14A41" w:rsidRPr="00363E19">
        <w:rPr>
          <w:spacing w:val="-4"/>
          <w:kern w:val="22"/>
          <w:lang w:val="en-CA"/>
        </w:rPr>
        <w:t>u</w:t>
      </w:r>
      <w:r w:rsidR="0009002F" w:rsidRPr="00363E19">
        <w:rPr>
          <w:spacing w:val="-4"/>
          <w:kern w:val="22"/>
          <w:lang w:val="en-CA"/>
        </w:rPr>
        <w:t>s</w:t>
      </w:r>
      <w:r w:rsidR="00A14A41" w:rsidRPr="00363E19">
        <w:rPr>
          <w:spacing w:val="-4"/>
          <w:kern w:val="22"/>
          <w:lang w:val="en-CA"/>
        </w:rPr>
        <w:t>e</w:t>
      </w:r>
      <w:r w:rsidR="0009002F" w:rsidRPr="00363E19">
        <w:rPr>
          <w:spacing w:val="-4"/>
          <w:kern w:val="22"/>
          <w:lang w:val="en-CA"/>
        </w:rPr>
        <w:t xml:space="preserve"> this new industry was fiercely competitive, and a misstep could cost the company significant market share. Researchers had found security vulnerabilities in SmartThings </w:t>
      </w:r>
      <w:r w:rsidR="0099343A" w:rsidRPr="00363E19">
        <w:rPr>
          <w:spacing w:val="-4"/>
          <w:kern w:val="22"/>
          <w:lang w:val="en-CA"/>
        </w:rPr>
        <w:t>only one month earlier</w:t>
      </w:r>
      <w:r w:rsidR="005172DF" w:rsidRPr="00363E19">
        <w:rPr>
          <w:spacing w:val="-4"/>
          <w:kern w:val="22"/>
          <w:lang w:val="en-CA"/>
        </w:rPr>
        <w:t>,</w:t>
      </w:r>
      <w:r w:rsidR="0009002F" w:rsidRPr="00363E19">
        <w:rPr>
          <w:spacing w:val="-4"/>
          <w:kern w:val="22"/>
          <w:lang w:val="en-CA"/>
        </w:rPr>
        <w:t xml:space="preserve"> and the technology itself was still in its infancy, with numerous issues and no guarantee of a </w:t>
      </w:r>
      <w:r w:rsidR="00942508" w:rsidRPr="00363E19">
        <w:rPr>
          <w:spacing w:val="-4"/>
          <w:kern w:val="22"/>
          <w:lang w:val="en-CA"/>
        </w:rPr>
        <w:t>definite</w:t>
      </w:r>
      <w:r w:rsidR="0009002F" w:rsidRPr="00363E19">
        <w:rPr>
          <w:spacing w:val="-4"/>
          <w:kern w:val="22"/>
          <w:lang w:val="en-CA"/>
        </w:rPr>
        <w:t xml:space="preserve"> financial return. </w:t>
      </w:r>
      <w:r w:rsidR="00942508" w:rsidRPr="00363E19">
        <w:rPr>
          <w:spacing w:val="-4"/>
          <w:kern w:val="22"/>
          <w:lang w:val="en-CA"/>
        </w:rPr>
        <w:t>Samsung</w:t>
      </w:r>
      <w:r w:rsidR="0009002F" w:rsidRPr="00363E19">
        <w:rPr>
          <w:spacing w:val="-4"/>
          <w:kern w:val="22"/>
          <w:lang w:val="en-CA"/>
        </w:rPr>
        <w:t xml:space="preserve"> had already invested $100 million into R&amp;D</w:t>
      </w:r>
      <w:r w:rsidR="00942508" w:rsidRPr="00363E19">
        <w:rPr>
          <w:spacing w:val="-4"/>
          <w:kern w:val="22"/>
          <w:lang w:val="en-CA"/>
        </w:rPr>
        <w:t>,</w:t>
      </w:r>
      <w:r w:rsidR="0009002F" w:rsidRPr="00363E19">
        <w:rPr>
          <w:spacing w:val="-4"/>
          <w:kern w:val="22"/>
          <w:lang w:val="en-CA"/>
        </w:rPr>
        <w:t xml:space="preserve"> which had not yielded any solutions to the interoperable standards issue</w:t>
      </w:r>
      <w:r w:rsidR="00942508" w:rsidRPr="00363E19">
        <w:rPr>
          <w:spacing w:val="-4"/>
          <w:kern w:val="22"/>
          <w:lang w:val="en-CA"/>
        </w:rPr>
        <w:t>. The company</w:t>
      </w:r>
      <w:r w:rsidR="0009002F" w:rsidRPr="00363E19">
        <w:rPr>
          <w:spacing w:val="-4"/>
          <w:kern w:val="22"/>
          <w:lang w:val="en-CA"/>
        </w:rPr>
        <w:t xml:space="preserve"> had also made a bold promise to have all of its devices interconnected by 2020. Perhaps Samsung would need to explore a potential strategic partnership with a competitor such as Google or Amazon to create a smart home platform or create an aggressive marketing strategy aimed at getting consumers to only use Samsung products in their homes. </w:t>
      </w:r>
    </w:p>
    <w:p w14:paraId="503652D7" w14:textId="77777777" w:rsidR="0009002F" w:rsidRPr="00363E19" w:rsidRDefault="0009002F" w:rsidP="0009002F">
      <w:pPr>
        <w:pStyle w:val="BodyTextMain"/>
        <w:rPr>
          <w:sz w:val="14"/>
          <w:szCs w:val="14"/>
          <w:lang w:val="en-CA"/>
        </w:rPr>
      </w:pPr>
    </w:p>
    <w:p w14:paraId="2C183161" w14:textId="59ECC706" w:rsidR="0009002F" w:rsidRPr="00363E19" w:rsidRDefault="0009002F" w:rsidP="00363E19">
      <w:pPr>
        <w:pStyle w:val="BodyTextMain"/>
        <w:rPr>
          <w:lang w:val="en-CA"/>
        </w:rPr>
      </w:pPr>
      <w:r w:rsidRPr="00076261">
        <w:rPr>
          <w:lang w:val="en-CA"/>
        </w:rPr>
        <w:t xml:space="preserve">Yoon must have been aware </w:t>
      </w:r>
      <w:r w:rsidR="00942508" w:rsidRPr="00076261">
        <w:rPr>
          <w:lang w:val="en-CA"/>
        </w:rPr>
        <w:t>of</w:t>
      </w:r>
      <w:r w:rsidRPr="00076261">
        <w:rPr>
          <w:lang w:val="en-CA"/>
        </w:rPr>
        <w:t xml:space="preserve"> the risks involved in investing in an infant industry, but he must also have known that this technology, if developed and </w:t>
      </w:r>
      <w:proofErr w:type="gramStart"/>
      <w:r w:rsidRPr="00076261">
        <w:rPr>
          <w:lang w:val="en-CA"/>
        </w:rPr>
        <w:t>executed</w:t>
      </w:r>
      <w:proofErr w:type="gramEnd"/>
      <w:r w:rsidRPr="00076261">
        <w:rPr>
          <w:lang w:val="en-CA"/>
        </w:rPr>
        <w:t xml:space="preserve"> properly, had the potential to provide the company with considerable cash flows and a competitive advantage for a long time. </w:t>
      </w:r>
      <w:r w:rsidR="00942508" w:rsidRPr="00076261">
        <w:rPr>
          <w:lang w:val="en-CA"/>
        </w:rPr>
        <w:t>W</w:t>
      </w:r>
      <w:r w:rsidRPr="00076261">
        <w:rPr>
          <w:lang w:val="en-CA"/>
        </w:rPr>
        <w:t xml:space="preserve">ould </w:t>
      </w:r>
      <w:r w:rsidR="00942508" w:rsidRPr="00076261">
        <w:rPr>
          <w:lang w:val="en-CA"/>
        </w:rPr>
        <w:t>another</w:t>
      </w:r>
      <w:r w:rsidRPr="00076261">
        <w:rPr>
          <w:lang w:val="en-CA"/>
        </w:rPr>
        <w:t xml:space="preserve"> investment sink the company deeper into a barren hole</w:t>
      </w:r>
      <w:r w:rsidR="00263DDC" w:rsidRPr="00076261">
        <w:rPr>
          <w:lang w:val="en-CA"/>
        </w:rPr>
        <w:t>,</w:t>
      </w:r>
      <w:r w:rsidRPr="00076261">
        <w:rPr>
          <w:lang w:val="en-CA"/>
        </w:rPr>
        <w:t xml:space="preserve"> or would it strike gold? S</w:t>
      </w:r>
      <w:r w:rsidR="00942508" w:rsidRPr="00076261">
        <w:rPr>
          <w:lang w:val="en-CA"/>
        </w:rPr>
        <w:t>amsung c</w:t>
      </w:r>
      <w:r w:rsidRPr="00076261">
        <w:rPr>
          <w:lang w:val="en-CA"/>
        </w:rPr>
        <w:t xml:space="preserve">ould make </w:t>
      </w:r>
      <w:r w:rsidR="00942508" w:rsidRPr="00076261">
        <w:rPr>
          <w:lang w:val="en-CA"/>
        </w:rPr>
        <w:t>a</w:t>
      </w:r>
      <w:r w:rsidRPr="00076261">
        <w:rPr>
          <w:lang w:val="en-CA"/>
        </w:rPr>
        <w:t xml:space="preserve"> full investment into </w:t>
      </w:r>
      <w:r w:rsidR="00263DDC" w:rsidRPr="00076261">
        <w:rPr>
          <w:lang w:val="en-CA"/>
        </w:rPr>
        <w:t xml:space="preserve">the </w:t>
      </w:r>
      <w:proofErr w:type="spellStart"/>
      <w:r w:rsidRPr="00076261">
        <w:rPr>
          <w:lang w:val="en-CA"/>
        </w:rPr>
        <w:t>IoT</w:t>
      </w:r>
      <w:proofErr w:type="spellEnd"/>
      <w:r w:rsidR="00942508" w:rsidRPr="00076261">
        <w:rPr>
          <w:lang w:val="en-CA"/>
        </w:rPr>
        <w:t xml:space="preserve"> or</w:t>
      </w:r>
      <w:r w:rsidRPr="00076261">
        <w:rPr>
          <w:lang w:val="en-CA"/>
        </w:rPr>
        <w:t xml:space="preserve"> make a smaller investment </w:t>
      </w:r>
      <w:r w:rsidR="00942508" w:rsidRPr="00076261">
        <w:rPr>
          <w:lang w:val="en-CA"/>
        </w:rPr>
        <w:t>to</w:t>
      </w:r>
      <w:r w:rsidRPr="00076261">
        <w:rPr>
          <w:lang w:val="en-CA"/>
        </w:rPr>
        <w:t xml:space="preserve"> scale the project down to hedge against the looming risks</w:t>
      </w:r>
      <w:r w:rsidR="00942508" w:rsidRPr="00076261">
        <w:rPr>
          <w:lang w:val="en-CA"/>
        </w:rPr>
        <w:t>. T</w:t>
      </w:r>
      <w:r w:rsidRPr="00076261">
        <w:rPr>
          <w:lang w:val="en-CA"/>
        </w:rPr>
        <w:t xml:space="preserve">he company </w:t>
      </w:r>
      <w:r w:rsidR="00942508" w:rsidRPr="00076261">
        <w:rPr>
          <w:lang w:val="en-CA"/>
        </w:rPr>
        <w:t xml:space="preserve">could instead choose to pull </w:t>
      </w:r>
      <w:r w:rsidRPr="00076261">
        <w:rPr>
          <w:lang w:val="en-CA"/>
        </w:rPr>
        <w:t xml:space="preserve">out of the space altogether for </w:t>
      </w:r>
      <w:r w:rsidR="00942508" w:rsidRPr="00076261">
        <w:rPr>
          <w:lang w:val="en-CA"/>
        </w:rPr>
        <w:t>some</w:t>
      </w:r>
      <w:r w:rsidRPr="00076261">
        <w:rPr>
          <w:lang w:val="en-CA"/>
        </w:rPr>
        <w:t xml:space="preserve"> time and let others bear the initial risk</w:t>
      </w:r>
      <w:r w:rsidR="00942508" w:rsidRPr="00076261">
        <w:rPr>
          <w:lang w:val="en-CA"/>
        </w:rPr>
        <w:t>.</w:t>
      </w:r>
      <w:r w:rsidRPr="00076261">
        <w:rPr>
          <w:lang w:val="en-CA"/>
        </w:rPr>
        <w:t xml:space="preserve"> Were there any additional viable alternatives that </w:t>
      </w:r>
      <w:r w:rsidR="00942508" w:rsidRPr="00076261">
        <w:rPr>
          <w:lang w:val="en-CA"/>
        </w:rPr>
        <w:t>Yoon</w:t>
      </w:r>
      <w:r w:rsidRPr="00076261">
        <w:rPr>
          <w:lang w:val="en-CA"/>
        </w:rPr>
        <w:t xml:space="preserve"> had not </w:t>
      </w:r>
      <w:r w:rsidR="00942508" w:rsidRPr="00076261">
        <w:rPr>
          <w:lang w:val="en-CA"/>
        </w:rPr>
        <w:t>yet</w:t>
      </w:r>
      <w:r w:rsidRPr="00076261">
        <w:rPr>
          <w:lang w:val="en-CA"/>
        </w:rPr>
        <w:t xml:space="preserve"> considered? If he decided to make a smaller investment, how would he determine how much to invest and what components were deemed critical enough to receive funding</w:t>
      </w:r>
      <w:r w:rsidR="00263DDC" w:rsidRPr="00076261">
        <w:rPr>
          <w:lang w:val="en-CA"/>
        </w:rPr>
        <w:t>?</w:t>
      </w:r>
      <w:r w:rsidRPr="00076261">
        <w:rPr>
          <w:lang w:val="en-CA"/>
        </w:rPr>
        <w:t xml:space="preserve"> If he moved forward with </w:t>
      </w:r>
      <w:r w:rsidR="00942508" w:rsidRPr="00076261">
        <w:rPr>
          <w:lang w:val="en-CA"/>
        </w:rPr>
        <w:t>an</w:t>
      </w:r>
      <w:r w:rsidRPr="00076261">
        <w:rPr>
          <w:lang w:val="en-CA"/>
        </w:rPr>
        <w:t xml:space="preserve"> investment, how would </w:t>
      </w:r>
      <w:r w:rsidR="00942508" w:rsidRPr="00076261">
        <w:rPr>
          <w:lang w:val="en-CA"/>
        </w:rPr>
        <w:t xml:space="preserve">it </w:t>
      </w:r>
      <w:r w:rsidRPr="00076261">
        <w:rPr>
          <w:lang w:val="en-CA"/>
        </w:rPr>
        <w:t>be implemented</w:t>
      </w:r>
      <w:r w:rsidR="00942508" w:rsidRPr="00076261">
        <w:rPr>
          <w:lang w:val="en-CA"/>
        </w:rPr>
        <w:t>?</w:t>
      </w:r>
      <w:r w:rsidRPr="00076261">
        <w:rPr>
          <w:lang w:val="en-CA"/>
        </w:rPr>
        <w:t xml:space="preserve"> </w:t>
      </w:r>
      <w:r w:rsidR="0003630F" w:rsidRPr="00076261">
        <w:rPr>
          <w:lang w:val="en-CA"/>
        </w:rPr>
        <w:t>W</w:t>
      </w:r>
      <w:r w:rsidRPr="00076261">
        <w:rPr>
          <w:lang w:val="en-CA"/>
        </w:rPr>
        <w:t xml:space="preserve">hat key milestones would be </w:t>
      </w:r>
      <w:r w:rsidR="0003630F" w:rsidRPr="00076261">
        <w:rPr>
          <w:lang w:val="en-CA"/>
        </w:rPr>
        <w:t xml:space="preserve">set </w:t>
      </w:r>
      <w:r w:rsidRPr="00076261">
        <w:rPr>
          <w:lang w:val="en-CA"/>
        </w:rPr>
        <w:t>in the timeline for execution</w:t>
      </w:r>
      <w:r w:rsidR="0003630F" w:rsidRPr="00076261">
        <w:rPr>
          <w:lang w:val="en-CA"/>
        </w:rPr>
        <w:t>, and when would they occur</w:t>
      </w:r>
      <w:r w:rsidRPr="00076261">
        <w:rPr>
          <w:lang w:val="en-CA"/>
        </w:rPr>
        <w:t xml:space="preserve">? </w:t>
      </w:r>
      <w:r w:rsidRPr="00076261">
        <w:rPr>
          <w:lang w:val="en-CA"/>
        </w:rPr>
        <w:br w:type="page"/>
      </w:r>
    </w:p>
    <w:p w14:paraId="6892730B" w14:textId="6049E60A" w:rsidR="0009002F" w:rsidRPr="00076261" w:rsidRDefault="0009002F" w:rsidP="0009002F">
      <w:pPr>
        <w:pStyle w:val="ExhibitHeading"/>
        <w:rPr>
          <w:rFonts w:eastAsia="SimSun"/>
          <w:u w:color="000000"/>
          <w:bdr w:val="nil"/>
          <w:lang w:val="en-CA" w:eastAsia="zh-CN"/>
        </w:rPr>
      </w:pPr>
      <w:r w:rsidRPr="00076261">
        <w:rPr>
          <w:rFonts w:eastAsia="SimSun"/>
          <w:u w:color="000000"/>
          <w:bdr w:val="nil"/>
          <w:lang w:val="en-CA" w:eastAsia="zh-CN"/>
        </w:rPr>
        <w:lastRenderedPageBreak/>
        <w:t>Exhibit 1: Samsung Electronics</w:t>
      </w:r>
      <w:r w:rsidR="001814ED" w:rsidRPr="00076261">
        <w:rPr>
          <w:rFonts w:eastAsia="SimSun"/>
          <w:u w:color="000000"/>
          <w:bdr w:val="nil"/>
          <w:lang w:val="en-CA" w:eastAsia="zh-CN"/>
        </w:rPr>
        <w:t xml:space="preserve"> </w:t>
      </w:r>
      <w:r w:rsidRPr="00076261">
        <w:rPr>
          <w:rFonts w:eastAsia="SimSun"/>
          <w:u w:color="000000"/>
          <w:bdr w:val="nil"/>
          <w:lang w:val="en-CA" w:eastAsia="zh-CN"/>
        </w:rPr>
        <w:t xml:space="preserve">Balance Sheet </w:t>
      </w:r>
      <w:r w:rsidR="0003630F" w:rsidRPr="00076261">
        <w:rPr>
          <w:rFonts w:eastAsia="SimSun"/>
          <w:u w:color="000000"/>
          <w:bdr w:val="nil"/>
          <w:lang w:val="en-CA" w:eastAsia="zh-CN"/>
        </w:rPr>
        <w:t>and</w:t>
      </w:r>
      <w:r w:rsidRPr="00076261">
        <w:rPr>
          <w:rFonts w:eastAsia="SimSun"/>
          <w:u w:color="000000"/>
          <w:bdr w:val="nil"/>
          <w:lang w:val="en-CA" w:eastAsia="zh-CN"/>
        </w:rPr>
        <w:t xml:space="preserve"> Income Statement</w:t>
      </w:r>
      <w:r w:rsidR="001814ED" w:rsidRPr="00076261">
        <w:rPr>
          <w:rFonts w:eastAsia="SimSun"/>
          <w:u w:color="000000"/>
          <w:bdr w:val="nil"/>
          <w:lang w:val="en-CA" w:eastAsia="zh-CN"/>
        </w:rPr>
        <w:t>, 2015</w:t>
      </w:r>
      <w:r w:rsidR="006A7C98" w:rsidRPr="00076261">
        <w:rPr>
          <w:rFonts w:eastAsia="SimSun"/>
          <w:u w:color="000000"/>
          <w:bdr w:val="nil"/>
          <w:lang w:val="en-CA" w:eastAsia="zh-CN"/>
        </w:rPr>
        <w:t xml:space="preserve"> </w:t>
      </w:r>
      <w:r w:rsidR="006A7C98" w:rsidRPr="00076261">
        <w:rPr>
          <w:rFonts w:eastAsia="SimSun"/>
          <w:u w:color="000000"/>
          <w:bdr w:val="nil"/>
          <w:lang w:val="en-CA" w:eastAsia="zh-CN"/>
        </w:rPr>
        <w:br/>
        <w:t xml:space="preserve">(in </w:t>
      </w:r>
      <w:r w:rsidR="00263DDC" w:rsidRPr="00076261">
        <w:rPr>
          <w:rFonts w:eastAsia="SimSun"/>
          <w:u w:color="000000"/>
          <w:bdr w:val="nil"/>
          <w:lang w:val="en-CA" w:eastAsia="zh-CN"/>
        </w:rPr>
        <w:t xml:space="preserve">THOUSANDS OF </w:t>
      </w:r>
      <w:r w:rsidR="006A7C98" w:rsidRPr="00076261">
        <w:rPr>
          <w:rFonts w:eastAsia="SimSun"/>
          <w:u w:color="000000"/>
          <w:bdr w:val="nil"/>
          <w:lang w:val="en-CA" w:eastAsia="zh-CN"/>
        </w:rPr>
        <w:t>US$)</w:t>
      </w:r>
    </w:p>
    <w:p w14:paraId="55545C6A" w14:textId="77777777" w:rsidR="0009002F" w:rsidRPr="00076261" w:rsidRDefault="0009002F" w:rsidP="0009002F">
      <w:pPr>
        <w:pStyle w:val="ExhibitText"/>
        <w:rPr>
          <w:rFonts w:eastAsia="SimSun"/>
          <w:sz w:val="12"/>
          <w:szCs w:val="12"/>
          <w:u w:color="000000"/>
          <w:bdr w:val="nil"/>
          <w:lang w:val="en-CA" w:eastAsia="zh-CN"/>
        </w:rPr>
      </w:pPr>
    </w:p>
    <w:tbl>
      <w:tblPr>
        <w:tblW w:w="5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350"/>
        <w:gridCol w:w="1440"/>
      </w:tblGrid>
      <w:tr w:rsidR="0009002F" w:rsidRPr="00076261" w14:paraId="242D4969" w14:textId="77777777" w:rsidTr="004A28D3">
        <w:trPr>
          <w:trHeight w:val="56"/>
          <w:jc w:val="center"/>
        </w:trPr>
        <w:tc>
          <w:tcPr>
            <w:tcW w:w="5755" w:type="dxa"/>
            <w:gridSpan w:val="3"/>
            <w:shd w:val="clear" w:color="auto" w:fill="auto"/>
            <w:noWrap/>
            <w:vAlign w:val="bottom"/>
            <w:hideMark/>
          </w:tcPr>
          <w:p w14:paraId="206A2C2C" w14:textId="77777777" w:rsidR="0009002F" w:rsidRPr="00076261" w:rsidRDefault="0009002F"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Samsung Electronics Co., Ltd. and Subsidiaries</w:t>
            </w:r>
          </w:p>
        </w:tc>
      </w:tr>
      <w:tr w:rsidR="0009002F" w:rsidRPr="00076261" w14:paraId="7D5487AD" w14:textId="77777777" w:rsidTr="004A28D3">
        <w:trPr>
          <w:trHeight w:val="56"/>
          <w:jc w:val="center"/>
        </w:trPr>
        <w:tc>
          <w:tcPr>
            <w:tcW w:w="5755" w:type="dxa"/>
            <w:gridSpan w:val="3"/>
            <w:shd w:val="clear" w:color="auto" w:fill="auto"/>
            <w:noWrap/>
            <w:vAlign w:val="bottom"/>
            <w:hideMark/>
          </w:tcPr>
          <w:p w14:paraId="7866082C" w14:textId="0507487E" w:rsidR="0009002F" w:rsidRPr="00076261" w:rsidRDefault="006A7C98"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Select 2015 Balance Sheet Line Items</w:t>
            </w:r>
          </w:p>
        </w:tc>
      </w:tr>
      <w:tr w:rsidR="0009002F" w:rsidRPr="00076261" w14:paraId="3AC263AD" w14:textId="77777777" w:rsidTr="004A28D3">
        <w:trPr>
          <w:trHeight w:val="56"/>
          <w:jc w:val="center"/>
        </w:trPr>
        <w:tc>
          <w:tcPr>
            <w:tcW w:w="2965" w:type="dxa"/>
            <w:shd w:val="clear" w:color="auto" w:fill="auto"/>
            <w:noWrap/>
            <w:vAlign w:val="bottom"/>
            <w:hideMark/>
          </w:tcPr>
          <w:p w14:paraId="15392BBC" w14:textId="43D63648" w:rsidR="0009002F" w:rsidRPr="00076261" w:rsidRDefault="0009002F" w:rsidP="0009002F">
            <w:pPr>
              <w:rPr>
                <w:rFonts w:ascii="Arial" w:hAnsi="Arial" w:cs="Arial"/>
                <w:i/>
                <w:iCs/>
                <w:color w:val="000000"/>
                <w:sz w:val="18"/>
                <w:szCs w:val="18"/>
                <w:u w:color="000000"/>
                <w:lang w:val="en-CA" w:eastAsia="en-CA"/>
              </w:rPr>
            </w:pPr>
          </w:p>
        </w:tc>
        <w:tc>
          <w:tcPr>
            <w:tcW w:w="1350" w:type="dxa"/>
            <w:shd w:val="clear" w:color="auto" w:fill="auto"/>
            <w:noWrap/>
            <w:vAlign w:val="bottom"/>
            <w:hideMark/>
          </w:tcPr>
          <w:p w14:paraId="4D4F9686" w14:textId="77777777" w:rsidR="0009002F" w:rsidRPr="00076261" w:rsidRDefault="0009002F"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2015</w:t>
            </w:r>
          </w:p>
        </w:tc>
        <w:tc>
          <w:tcPr>
            <w:tcW w:w="1440" w:type="dxa"/>
            <w:shd w:val="clear" w:color="auto" w:fill="auto"/>
            <w:noWrap/>
            <w:vAlign w:val="bottom"/>
            <w:hideMark/>
          </w:tcPr>
          <w:p w14:paraId="014E7A9C" w14:textId="77777777" w:rsidR="0009002F" w:rsidRPr="00076261" w:rsidRDefault="0009002F"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2014</w:t>
            </w:r>
          </w:p>
        </w:tc>
      </w:tr>
      <w:tr w:rsidR="0009002F" w:rsidRPr="00076261" w14:paraId="453C83D1" w14:textId="77777777" w:rsidTr="004A28D3">
        <w:trPr>
          <w:trHeight w:val="89"/>
          <w:jc w:val="center"/>
        </w:trPr>
        <w:tc>
          <w:tcPr>
            <w:tcW w:w="5755" w:type="dxa"/>
            <w:gridSpan w:val="3"/>
            <w:shd w:val="clear" w:color="auto" w:fill="auto"/>
            <w:noWrap/>
            <w:vAlign w:val="center"/>
            <w:hideMark/>
          </w:tcPr>
          <w:p w14:paraId="69FA5FDD" w14:textId="03926B0C" w:rsidR="0009002F" w:rsidRPr="00076261" w:rsidRDefault="0009002F" w:rsidP="0009002F">
            <w:pPr>
              <w:rPr>
                <w:rFonts w:ascii="Arial" w:hAnsi="Arial" w:cs="Arial"/>
                <w:sz w:val="18"/>
                <w:szCs w:val="18"/>
                <w:u w:color="000000"/>
                <w:lang w:val="en-CA" w:eastAsia="en-CA"/>
              </w:rPr>
            </w:pPr>
            <w:r w:rsidRPr="00076261">
              <w:rPr>
                <w:rFonts w:ascii="Arial" w:hAnsi="Arial" w:cs="Arial"/>
                <w:b/>
                <w:bCs/>
                <w:color w:val="000000"/>
                <w:sz w:val="18"/>
                <w:szCs w:val="18"/>
                <w:u w:color="000000"/>
                <w:lang w:val="en-CA" w:eastAsia="en-CA"/>
              </w:rPr>
              <w:t>Assets</w:t>
            </w:r>
          </w:p>
        </w:tc>
      </w:tr>
      <w:tr w:rsidR="0009002F" w:rsidRPr="00076261" w14:paraId="71204AA0" w14:textId="77777777" w:rsidTr="004A28D3">
        <w:trPr>
          <w:trHeight w:val="56"/>
          <w:jc w:val="center"/>
        </w:trPr>
        <w:tc>
          <w:tcPr>
            <w:tcW w:w="2965" w:type="dxa"/>
            <w:shd w:val="clear" w:color="auto" w:fill="auto"/>
            <w:noWrap/>
            <w:vAlign w:val="bottom"/>
            <w:hideMark/>
          </w:tcPr>
          <w:p w14:paraId="3D99BD4C"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Cash and cash equivalents</w:t>
            </w:r>
          </w:p>
        </w:tc>
        <w:tc>
          <w:tcPr>
            <w:tcW w:w="1350" w:type="dxa"/>
            <w:shd w:val="clear" w:color="auto" w:fill="auto"/>
            <w:noWrap/>
            <w:vAlign w:val="bottom"/>
            <w:hideMark/>
          </w:tcPr>
          <w:p w14:paraId="4DFFD451"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20,009,497</w:t>
            </w:r>
          </w:p>
        </w:tc>
        <w:tc>
          <w:tcPr>
            <w:tcW w:w="1440" w:type="dxa"/>
            <w:shd w:val="clear" w:color="auto" w:fill="auto"/>
            <w:noWrap/>
            <w:vAlign w:val="bottom"/>
            <w:hideMark/>
          </w:tcPr>
          <w:p w14:paraId="6A80FAB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14,886,207</w:t>
            </w:r>
          </w:p>
        </w:tc>
      </w:tr>
      <w:tr w:rsidR="0009002F" w:rsidRPr="00076261" w14:paraId="15BF07C1" w14:textId="77777777" w:rsidTr="004A28D3">
        <w:trPr>
          <w:trHeight w:val="56"/>
          <w:jc w:val="center"/>
        </w:trPr>
        <w:tc>
          <w:tcPr>
            <w:tcW w:w="2965" w:type="dxa"/>
            <w:shd w:val="clear" w:color="auto" w:fill="auto"/>
            <w:noWrap/>
            <w:vAlign w:val="bottom"/>
            <w:hideMark/>
          </w:tcPr>
          <w:p w14:paraId="7EDBC2C6"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Short-term financial instruments</w:t>
            </w:r>
          </w:p>
        </w:tc>
        <w:tc>
          <w:tcPr>
            <w:tcW w:w="1350" w:type="dxa"/>
            <w:shd w:val="clear" w:color="auto" w:fill="auto"/>
            <w:noWrap/>
            <w:vAlign w:val="bottom"/>
            <w:hideMark/>
          </w:tcPr>
          <w:p w14:paraId="4FCC2070"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39,095,554</w:t>
            </w:r>
          </w:p>
        </w:tc>
        <w:tc>
          <w:tcPr>
            <w:tcW w:w="1440" w:type="dxa"/>
            <w:shd w:val="clear" w:color="auto" w:fill="auto"/>
            <w:noWrap/>
            <w:vAlign w:val="bottom"/>
            <w:hideMark/>
          </w:tcPr>
          <w:p w14:paraId="650541ED"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36,851,212</w:t>
            </w:r>
          </w:p>
        </w:tc>
      </w:tr>
      <w:tr w:rsidR="0009002F" w:rsidRPr="00076261" w14:paraId="7BA598CE" w14:textId="77777777" w:rsidTr="004A28D3">
        <w:trPr>
          <w:trHeight w:val="56"/>
          <w:jc w:val="center"/>
        </w:trPr>
        <w:tc>
          <w:tcPr>
            <w:tcW w:w="2965" w:type="dxa"/>
            <w:shd w:val="clear" w:color="auto" w:fill="auto"/>
            <w:noWrap/>
            <w:vAlign w:val="bottom"/>
            <w:hideMark/>
          </w:tcPr>
          <w:p w14:paraId="5C9924BE" w14:textId="0BED461F"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Trade </w:t>
            </w:r>
            <w:r w:rsidR="006A7C98" w:rsidRPr="00076261">
              <w:rPr>
                <w:rFonts w:ascii="Arial" w:hAnsi="Arial" w:cs="Arial"/>
                <w:color w:val="000000"/>
                <w:sz w:val="18"/>
                <w:szCs w:val="18"/>
                <w:u w:color="000000"/>
                <w:lang w:val="en-CA" w:eastAsia="en-CA"/>
              </w:rPr>
              <w:t>r</w:t>
            </w:r>
            <w:r w:rsidRPr="00076261">
              <w:rPr>
                <w:rFonts w:ascii="Arial" w:hAnsi="Arial" w:cs="Arial"/>
                <w:color w:val="000000"/>
                <w:sz w:val="18"/>
                <w:szCs w:val="18"/>
                <w:u w:color="000000"/>
                <w:lang w:val="en-CA" w:eastAsia="en-CA"/>
              </w:rPr>
              <w:t>eceivables</w:t>
            </w:r>
          </w:p>
        </w:tc>
        <w:tc>
          <w:tcPr>
            <w:tcW w:w="1350" w:type="dxa"/>
            <w:shd w:val="clear" w:color="auto" w:fill="auto"/>
            <w:noWrap/>
            <w:vAlign w:val="bottom"/>
            <w:hideMark/>
          </w:tcPr>
          <w:p w14:paraId="7A237E9D"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22,246,995</w:t>
            </w:r>
          </w:p>
        </w:tc>
        <w:tc>
          <w:tcPr>
            <w:tcW w:w="1440" w:type="dxa"/>
            <w:shd w:val="clear" w:color="auto" w:fill="auto"/>
            <w:noWrap/>
            <w:vAlign w:val="bottom"/>
            <w:hideMark/>
          </w:tcPr>
          <w:p w14:paraId="3EBD34F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21,828,525</w:t>
            </w:r>
          </w:p>
        </w:tc>
      </w:tr>
      <w:tr w:rsidR="0009002F" w:rsidRPr="00076261" w14:paraId="358C3FF1" w14:textId="77777777" w:rsidTr="004A28D3">
        <w:trPr>
          <w:trHeight w:val="56"/>
          <w:jc w:val="center"/>
        </w:trPr>
        <w:tc>
          <w:tcPr>
            <w:tcW w:w="2965" w:type="dxa"/>
            <w:shd w:val="clear" w:color="auto" w:fill="auto"/>
            <w:noWrap/>
            <w:vAlign w:val="bottom"/>
            <w:hideMark/>
          </w:tcPr>
          <w:p w14:paraId="1AE41611"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Inventories</w:t>
            </w:r>
          </w:p>
        </w:tc>
        <w:tc>
          <w:tcPr>
            <w:tcW w:w="1350" w:type="dxa"/>
            <w:shd w:val="clear" w:color="auto" w:fill="auto"/>
            <w:noWrap/>
            <w:vAlign w:val="bottom"/>
            <w:hideMark/>
          </w:tcPr>
          <w:p w14:paraId="3B2F4E23"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16,628,475</w:t>
            </w:r>
          </w:p>
        </w:tc>
        <w:tc>
          <w:tcPr>
            <w:tcW w:w="1440" w:type="dxa"/>
            <w:shd w:val="clear" w:color="auto" w:fill="auto"/>
            <w:noWrap/>
            <w:vAlign w:val="bottom"/>
            <w:hideMark/>
          </w:tcPr>
          <w:p w14:paraId="20D564E4"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15,307,614</w:t>
            </w:r>
          </w:p>
        </w:tc>
      </w:tr>
      <w:tr w:rsidR="0009002F" w:rsidRPr="00076261" w14:paraId="371FDF89" w14:textId="77777777" w:rsidTr="004A28D3">
        <w:trPr>
          <w:trHeight w:val="56"/>
          <w:jc w:val="center"/>
        </w:trPr>
        <w:tc>
          <w:tcPr>
            <w:tcW w:w="2965" w:type="dxa"/>
            <w:shd w:val="clear" w:color="auto" w:fill="auto"/>
            <w:noWrap/>
            <w:vAlign w:val="bottom"/>
            <w:hideMark/>
          </w:tcPr>
          <w:p w14:paraId="607DD478" w14:textId="460B8766"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Property, </w:t>
            </w:r>
            <w:r w:rsidR="00C462E8" w:rsidRPr="00076261">
              <w:rPr>
                <w:rFonts w:ascii="Arial" w:hAnsi="Arial" w:cs="Arial"/>
                <w:color w:val="000000"/>
                <w:sz w:val="18"/>
                <w:szCs w:val="18"/>
                <w:u w:color="000000"/>
                <w:lang w:val="en-CA" w:eastAsia="en-CA"/>
              </w:rPr>
              <w:t>plant, and equipment</w:t>
            </w:r>
          </w:p>
        </w:tc>
        <w:tc>
          <w:tcPr>
            <w:tcW w:w="1350" w:type="dxa"/>
            <w:shd w:val="clear" w:color="auto" w:fill="auto"/>
            <w:noWrap/>
            <w:vAlign w:val="bottom"/>
            <w:hideMark/>
          </w:tcPr>
          <w:p w14:paraId="564CEA37"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76,440,476</w:t>
            </w:r>
          </w:p>
        </w:tc>
        <w:tc>
          <w:tcPr>
            <w:tcW w:w="1440" w:type="dxa"/>
            <w:shd w:val="clear" w:color="auto" w:fill="auto"/>
            <w:noWrap/>
            <w:vAlign w:val="bottom"/>
            <w:hideMark/>
          </w:tcPr>
          <w:p w14:paraId="5FC22C07"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71,486,741</w:t>
            </w:r>
          </w:p>
        </w:tc>
      </w:tr>
      <w:tr w:rsidR="0009002F" w:rsidRPr="00076261" w14:paraId="26D196B0" w14:textId="77777777" w:rsidTr="004A28D3">
        <w:trPr>
          <w:trHeight w:val="56"/>
          <w:jc w:val="center"/>
        </w:trPr>
        <w:tc>
          <w:tcPr>
            <w:tcW w:w="2965" w:type="dxa"/>
            <w:shd w:val="clear" w:color="auto" w:fill="auto"/>
            <w:noWrap/>
            <w:vAlign w:val="bottom"/>
            <w:hideMark/>
          </w:tcPr>
          <w:p w14:paraId="5CCF6030" w14:textId="77777777"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Total Assets</w:t>
            </w:r>
          </w:p>
        </w:tc>
        <w:tc>
          <w:tcPr>
            <w:tcW w:w="1350" w:type="dxa"/>
            <w:shd w:val="clear" w:color="auto" w:fill="auto"/>
            <w:noWrap/>
            <w:vAlign w:val="bottom"/>
            <w:hideMark/>
          </w:tcPr>
          <w:p w14:paraId="1AA9EDFA"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214,071,883</w:t>
            </w:r>
          </w:p>
        </w:tc>
        <w:tc>
          <w:tcPr>
            <w:tcW w:w="1440" w:type="dxa"/>
            <w:shd w:val="clear" w:color="auto" w:fill="auto"/>
            <w:noWrap/>
            <w:vAlign w:val="bottom"/>
            <w:hideMark/>
          </w:tcPr>
          <w:p w14:paraId="041B4FD0"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203,679,800</w:t>
            </w:r>
          </w:p>
        </w:tc>
      </w:tr>
      <w:tr w:rsidR="0009002F" w:rsidRPr="00076261" w14:paraId="7E9C6E45" w14:textId="77777777" w:rsidTr="004A28D3">
        <w:trPr>
          <w:trHeight w:val="56"/>
          <w:jc w:val="center"/>
        </w:trPr>
        <w:tc>
          <w:tcPr>
            <w:tcW w:w="5755" w:type="dxa"/>
            <w:gridSpan w:val="3"/>
            <w:shd w:val="clear" w:color="auto" w:fill="auto"/>
            <w:noWrap/>
            <w:vAlign w:val="center"/>
            <w:hideMark/>
          </w:tcPr>
          <w:p w14:paraId="70476938" w14:textId="46386113" w:rsidR="0009002F" w:rsidRPr="00076261" w:rsidRDefault="0009002F" w:rsidP="0009002F">
            <w:pPr>
              <w:rPr>
                <w:rFonts w:ascii="Arial" w:hAnsi="Arial" w:cs="Arial"/>
                <w:sz w:val="18"/>
                <w:szCs w:val="18"/>
                <w:u w:color="000000"/>
                <w:lang w:val="en-CA" w:eastAsia="en-CA"/>
              </w:rPr>
            </w:pPr>
            <w:r w:rsidRPr="00076261">
              <w:rPr>
                <w:rFonts w:ascii="Arial" w:hAnsi="Arial" w:cs="Arial"/>
                <w:b/>
                <w:bCs/>
                <w:color w:val="000000"/>
                <w:sz w:val="18"/>
                <w:szCs w:val="18"/>
                <w:u w:color="000000"/>
                <w:lang w:val="en-CA" w:eastAsia="en-CA"/>
              </w:rPr>
              <w:t xml:space="preserve">Liabilities </w:t>
            </w:r>
            <w:r w:rsidR="006A7C98" w:rsidRPr="00076261">
              <w:rPr>
                <w:rFonts w:ascii="Arial" w:hAnsi="Arial" w:cs="Arial"/>
                <w:b/>
                <w:bCs/>
                <w:color w:val="000000"/>
                <w:sz w:val="18"/>
                <w:szCs w:val="18"/>
                <w:u w:color="000000"/>
                <w:lang w:val="en-CA" w:eastAsia="en-CA"/>
              </w:rPr>
              <w:t>and</w:t>
            </w:r>
            <w:r w:rsidRPr="00076261">
              <w:rPr>
                <w:rFonts w:ascii="Arial" w:hAnsi="Arial" w:cs="Arial"/>
                <w:b/>
                <w:bCs/>
                <w:color w:val="000000"/>
                <w:sz w:val="18"/>
                <w:szCs w:val="18"/>
                <w:u w:color="000000"/>
                <w:lang w:val="en-CA" w:eastAsia="en-CA"/>
              </w:rPr>
              <w:t xml:space="preserve"> Equity</w:t>
            </w:r>
          </w:p>
        </w:tc>
      </w:tr>
      <w:tr w:rsidR="0009002F" w:rsidRPr="00076261" w14:paraId="15D86DC7" w14:textId="77777777" w:rsidTr="004A28D3">
        <w:trPr>
          <w:trHeight w:val="56"/>
          <w:jc w:val="center"/>
        </w:trPr>
        <w:tc>
          <w:tcPr>
            <w:tcW w:w="5755" w:type="dxa"/>
            <w:gridSpan w:val="3"/>
            <w:shd w:val="clear" w:color="auto" w:fill="auto"/>
            <w:noWrap/>
            <w:vAlign w:val="center"/>
            <w:hideMark/>
          </w:tcPr>
          <w:p w14:paraId="46DC8B4A" w14:textId="21C508BC" w:rsidR="0009002F" w:rsidRPr="00076261" w:rsidRDefault="0009002F" w:rsidP="0009002F">
            <w:pPr>
              <w:rPr>
                <w:rFonts w:ascii="Arial" w:hAnsi="Arial" w:cs="Arial"/>
                <w:sz w:val="18"/>
                <w:szCs w:val="18"/>
                <w:u w:color="000000"/>
                <w:lang w:val="en-CA" w:eastAsia="en-CA"/>
              </w:rPr>
            </w:pPr>
            <w:r w:rsidRPr="00076261">
              <w:rPr>
                <w:rFonts w:ascii="Arial" w:hAnsi="Arial" w:cs="Arial"/>
                <w:b/>
                <w:bCs/>
                <w:color w:val="000000"/>
                <w:sz w:val="18"/>
                <w:szCs w:val="18"/>
                <w:u w:color="000000"/>
                <w:lang w:val="en-CA" w:eastAsia="en-CA"/>
              </w:rPr>
              <w:t>Liabilities</w:t>
            </w:r>
          </w:p>
        </w:tc>
      </w:tr>
      <w:tr w:rsidR="0009002F" w:rsidRPr="00076261" w14:paraId="0A451425" w14:textId="77777777" w:rsidTr="004A28D3">
        <w:trPr>
          <w:trHeight w:val="80"/>
          <w:jc w:val="center"/>
        </w:trPr>
        <w:tc>
          <w:tcPr>
            <w:tcW w:w="2965" w:type="dxa"/>
            <w:shd w:val="clear" w:color="auto" w:fill="auto"/>
            <w:noWrap/>
            <w:vAlign w:val="bottom"/>
            <w:hideMark/>
          </w:tcPr>
          <w:p w14:paraId="2AF8213E"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Trade and other payables</w:t>
            </w:r>
          </w:p>
        </w:tc>
        <w:tc>
          <w:tcPr>
            <w:tcW w:w="1350" w:type="dxa"/>
            <w:shd w:val="clear" w:color="auto" w:fill="auto"/>
            <w:noWrap/>
            <w:vAlign w:val="bottom"/>
            <w:hideMark/>
          </w:tcPr>
          <w:p w14:paraId="0C2018F9"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5,469,187</w:t>
            </w:r>
          </w:p>
        </w:tc>
        <w:tc>
          <w:tcPr>
            <w:tcW w:w="1440" w:type="dxa"/>
            <w:shd w:val="clear" w:color="auto" w:fill="auto"/>
            <w:noWrap/>
            <w:vAlign w:val="bottom"/>
            <w:hideMark/>
          </w:tcPr>
          <w:p w14:paraId="466ACCF1"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6,996,114</w:t>
            </w:r>
          </w:p>
        </w:tc>
      </w:tr>
      <w:tr w:rsidR="0009002F" w:rsidRPr="00076261" w14:paraId="0E4EC908" w14:textId="77777777" w:rsidTr="004A28D3">
        <w:trPr>
          <w:trHeight w:val="56"/>
          <w:jc w:val="center"/>
        </w:trPr>
        <w:tc>
          <w:tcPr>
            <w:tcW w:w="2965" w:type="dxa"/>
            <w:shd w:val="clear" w:color="auto" w:fill="auto"/>
            <w:noWrap/>
            <w:vAlign w:val="bottom"/>
            <w:hideMark/>
          </w:tcPr>
          <w:p w14:paraId="172273B6"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Short-term borrowings</w:t>
            </w:r>
          </w:p>
        </w:tc>
        <w:tc>
          <w:tcPr>
            <w:tcW w:w="1350" w:type="dxa"/>
            <w:shd w:val="clear" w:color="auto" w:fill="auto"/>
            <w:noWrap/>
            <w:vAlign w:val="bottom"/>
            <w:hideMark/>
          </w:tcPr>
          <w:p w14:paraId="1FBDBD4C"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9,860,713</w:t>
            </w:r>
          </w:p>
        </w:tc>
        <w:tc>
          <w:tcPr>
            <w:tcW w:w="1440" w:type="dxa"/>
            <w:shd w:val="clear" w:color="auto" w:fill="auto"/>
            <w:noWrap/>
            <w:vAlign w:val="bottom"/>
            <w:hideMark/>
          </w:tcPr>
          <w:p w14:paraId="4D13DE95"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7,097,409</w:t>
            </w:r>
          </w:p>
        </w:tc>
      </w:tr>
      <w:tr w:rsidR="0009002F" w:rsidRPr="00076261" w14:paraId="79403029" w14:textId="77777777" w:rsidTr="004A28D3">
        <w:trPr>
          <w:trHeight w:val="56"/>
          <w:jc w:val="center"/>
        </w:trPr>
        <w:tc>
          <w:tcPr>
            <w:tcW w:w="2965" w:type="dxa"/>
            <w:shd w:val="clear" w:color="auto" w:fill="auto"/>
            <w:noWrap/>
            <w:vAlign w:val="bottom"/>
            <w:hideMark/>
          </w:tcPr>
          <w:p w14:paraId="7F82F5A5" w14:textId="7BF0F8BB"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Other </w:t>
            </w:r>
            <w:r w:rsidR="006A7C98" w:rsidRPr="00076261">
              <w:rPr>
                <w:rFonts w:ascii="Arial" w:hAnsi="Arial" w:cs="Arial"/>
                <w:color w:val="000000"/>
                <w:sz w:val="18"/>
                <w:szCs w:val="18"/>
                <w:u w:color="000000"/>
                <w:lang w:val="en-CA" w:eastAsia="en-CA"/>
              </w:rPr>
              <w:t>p</w:t>
            </w:r>
            <w:r w:rsidRPr="00076261">
              <w:rPr>
                <w:rFonts w:ascii="Arial" w:hAnsi="Arial" w:cs="Arial"/>
                <w:color w:val="000000"/>
                <w:sz w:val="18"/>
                <w:szCs w:val="18"/>
                <w:u w:color="000000"/>
                <w:lang w:val="en-CA" w:eastAsia="en-CA"/>
              </w:rPr>
              <w:t>ayables</w:t>
            </w:r>
          </w:p>
        </w:tc>
        <w:tc>
          <w:tcPr>
            <w:tcW w:w="1350" w:type="dxa"/>
            <w:shd w:val="clear" w:color="auto" w:fill="auto"/>
            <w:noWrap/>
            <w:vAlign w:val="bottom"/>
            <w:hideMark/>
          </w:tcPr>
          <w:p w14:paraId="5E16AE8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7,835,568</w:t>
            </w:r>
          </w:p>
        </w:tc>
        <w:tc>
          <w:tcPr>
            <w:tcW w:w="1440" w:type="dxa"/>
            <w:shd w:val="clear" w:color="auto" w:fill="auto"/>
            <w:noWrap/>
            <w:vAlign w:val="bottom"/>
            <w:hideMark/>
          </w:tcPr>
          <w:p w14:paraId="273361EB"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9,120,841</w:t>
            </w:r>
          </w:p>
        </w:tc>
      </w:tr>
      <w:tr w:rsidR="0009002F" w:rsidRPr="00076261" w14:paraId="7B60F1B4" w14:textId="77777777" w:rsidTr="004A28D3">
        <w:trPr>
          <w:trHeight w:val="56"/>
          <w:jc w:val="center"/>
        </w:trPr>
        <w:tc>
          <w:tcPr>
            <w:tcW w:w="2965" w:type="dxa"/>
            <w:shd w:val="clear" w:color="auto" w:fill="auto"/>
            <w:noWrap/>
            <w:vAlign w:val="bottom"/>
            <w:hideMark/>
          </w:tcPr>
          <w:p w14:paraId="2E849326" w14:textId="66830E2D"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Accrued </w:t>
            </w:r>
            <w:r w:rsidR="006A7C98" w:rsidRPr="00076261">
              <w:rPr>
                <w:rFonts w:ascii="Arial" w:hAnsi="Arial" w:cs="Arial"/>
                <w:color w:val="000000"/>
                <w:sz w:val="18"/>
                <w:szCs w:val="18"/>
                <w:u w:color="000000"/>
                <w:lang w:val="en-CA" w:eastAsia="en-CA"/>
              </w:rPr>
              <w:t>e</w:t>
            </w:r>
            <w:r w:rsidRPr="00076261">
              <w:rPr>
                <w:rFonts w:ascii="Arial" w:hAnsi="Arial" w:cs="Arial"/>
                <w:color w:val="000000"/>
                <w:sz w:val="18"/>
                <w:szCs w:val="18"/>
                <w:u w:color="000000"/>
                <w:lang w:val="en-CA" w:eastAsia="en-CA"/>
              </w:rPr>
              <w:t>xpenses</w:t>
            </w:r>
          </w:p>
        </w:tc>
        <w:tc>
          <w:tcPr>
            <w:tcW w:w="1350" w:type="dxa"/>
            <w:shd w:val="clear" w:color="auto" w:fill="auto"/>
            <w:noWrap/>
            <w:vAlign w:val="bottom"/>
            <w:hideMark/>
          </w:tcPr>
          <w:p w14:paraId="2F0DF531"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10,279,094</w:t>
            </w:r>
          </w:p>
        </w:tc>
        <w:tc>
          <w:tcPr>
            <w:tcW w:w="1440" w:type="dxa"/>
            <w:shd w:val="clear" w:color="auto" w:fill="auto"/>
            <w:noWrap/>
            <w:vAlign w:val="bottom"/>
            <w:hideMark/>
          </w:tcPr>
          <w:p w14:paraId="45843137"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11,382,283</w:t>
            </w:r>
          </w:p>
        </w:tc>
      </w:tr>
      <w:tr w:rsidR="0009002F" w:rsidRPr="00076261" w14:paraId="5A5D2364" w14:textId="77777777" w:rsidTr="004A28D3">
        <w:trPr>
          <w:trHeight w:val="56"/>
          <w:jc w:val="center"/>
        </w:trPr>
        <w:tc>
          <w:tcPr>
            <w:tcW w:w="2965" w:type="dxa"/>
            <w:shd w:val="clear" w:color="auto" w:fill="auto"/>
            <w:noWrap/>
            <w:vAlign w:val="bottom"/>
            <w:hideMark/>
          </w:tcPr>
          <w:p w14:paraId="512587B7"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Provisions</w:t>
            </w:r>
          </w:p>
        </w:tc>
        <w:tc>
          <w:tcPr>
            <w:tcW w:w="1350" w:type="dxa"/>
            <w:shd w:val="clear" w:color="auto" w:fill="auto"/>
            <w:noWrap/>
            <w:vAlign w:val="bottom"/>
            <w:hideMark/>
          </w:tcPr>
          <w:p w14:paraId="27D4651A"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5,675,420</w:t>
            </w:r>
          </w:p>
        </w:tc>
        <w:tc>
          <w:tcPr>
            <w:tcW w:w="1440" w:type="dxa"/>
            <w:shd w:val="clear" w:color="auto" w:fill="auto"/>
            <w:noWrap/>
            <w:vAlign w:val="bottom"/>
            <w:hideMark/>
          </w:tcPr>
          <w:p w14:paraId="1A376652"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5,296,128</w:t>
            </w:r>
          </w:p>
        </w:tc>
      </w:tr>
      <w:tr w:rsidR="0009002F" w:rsidRPr="00076261" w14:paraId="16A1C208" w14:textId="77777777" w:rsidTr="004A28D3">
        <w:trPr>
          <w:trHeight w:val="56"/>
          <w:jc w:val="center"/>
        </w:trPr>
        <w:tc>
          <w:tcPr>
            <w:tcW w:w="2965" w:type="dxa"/>
            <w:shd w:val="clear" w:color="auto" w:fill="auto"/>
            <w:noWrap/>
            <w:vAlign w:val="bottom"/>
            <w:hideMark/>
          </w:tcPr>
          <w:p w14:paraId="422397BB"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Long-term other payables</w:t>
            </w:r>
          </w:p>
        </w:tc>
        <w:tc>
          <w:tcPr>
            <w:tcW w:w="1350" w:type="dxa"/>
            <w:shd w:val="clear" w:color="auto" w:fill="auto"/>
            <w:noWrap/>
            <w:vAlign w:val="bottom"/>
            <w:hideMark/>
          </w:tcPr>
          <w:p w14:paraId="6A80CA0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2,688,665</w:t>
            </w:r>
          </w:p>
        </w:tc>
        <w:tc>
          <w:tcPr>
            <w:tcW w:w="1440" w:type="dxa"/>
            <w:shd w:val="clear" w:color="auto" w:fill="auto"/>
            <w:noWrap/>
            <w:vAlign w:val="bottom"/>
            <w:hideMark/>
          </w:tcPr>
          <w:p w14:paraId="69D47538"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2,264,891</w:t>
            </w:r>
          </w:p>
        </w:tc>
      </w:tr>
      <w:tr w:rsidR="0009002F" w:rsidRPr="00076261" w14:paraId="0F8D453E" w14:textId="77777777" w:rsidTr="004A28D3">
        <w:trPr>
          <w:trHeight w:val="56"/>
          <w:jc w:val="center"/>
        </w:trPr>
        <w:tc>
          <w:tcPr>
            <w:tcW w:w="2965" w:type="dxa"/>
            <w:shd w:val="clear" w:color="auto" w:fill="auto"/>
            <w:noWrap/>
            <w:vAlign w:val="bottom"/>
            <w:hideMark/>
          </w:tcPr>
          <w:p w14:paraId="569D7AD5"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Deferred income tax liabilities</w:t>
            </w:r>
          </w:p>
        </w:tc>
        <w:tc>
          <w:tcPr>
            <w:tcW w:w="1350" w:type="dxa"/>
            <w:shd w:val="clear" w:color="auto" w:fill="auto"/>
            <w:noWrap/>
            <w:vAlign w:val="bottom"/>
            <w:hideMark/>
          </w:tcPr>
          <w:p w14:paraId="727E139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4,556,521</w:t>
            </w:r>
          </w:p>
        </w:tc>
        <w:tc>
          <w:tcPr>
            <w:tcW w:w="1440" w:type="dxa"/>
            <w:shd w:val="clear" w:color="auto" w:fill="auto"/>
            <w:noWrap/>
            <w:vAlign w:val="bottom"/>
            <w:hideMark/>
          </w:tcPr>
          <w:p w14:paraId="69C39739"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3,622,214</w:t>
            </w:r>
          </w:p>
        </w:tc>
      </w:tr>
      <w:tr w:rsidR="0009002F" w:rsidRPr="00076261" w14:paraId="76767409" w14:textId="77777777" w:rsidTr="004A28D3">
        <w:trPr>
          <w:trHeight w:val="56"/>
          <w:jc w:val="center"/>
        </w:trPr>
        <w:tc>
          <w:tcPr>
            <w:tcW w:w="2965" w:type="dxa"/>
            <w:shd w:val="clear" w:color="auto" w:fill="auto"/>
            <w:noWrap/>
            <w:vAlign w:val="bottom"/>
            <w:hideMark/>
          </w:tcPr>
          <w:p w14:paraId="39A625B4" w14:textId="77777777"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Total Liabilities</w:t>
            </w:r>
          </w:p>
        </w:tc>
        <w:tc>
          <w:tcPr>
            <w:tcW w:w="1350" w:type="dxa"/>
            <w:shd w:val="clear" w:color="auto" w:fill="auto"/>
            <w:noWrap/>
            <w:vAlign w:val="bottom"/>
            <w:hideMark/>
          </w:tcPr>
          <w:p w14:paraId="36013D7D"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55,793,968</w:t>
            </w:r>
          </w:p>
        </w:tc>
        <w:tc>
          <w:tcPr>
            <w:tcW w:w="1440" w:type="dxa"/>
            <w:shd w:val="clear" w:color="auto" w:fill="auto"/>
            <w:noWrap/>
            <w:vAlign w:val="bottom"/>
            <w:hideMark/>
          </w:tcPr>
          <w:p w14:paraId="68A0A8BE"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55,100,124</w:t>
            </w:r>
          </w:p>
        </w:tc>
      </w:tr>
      <w:tr w:rsidR="0009002F" w:rsidRPr="00076261" w14:paraId="15107DCB" w14:textId="77777777" w:rsidTr="004A28D3">
        <w:trPr>
          <w:trHeight w:val="56"/>
          <w:jc w:val="center"/>
        </w:trPr>
        <w:tc>
          <w:tcPr>
            <w:tcW w:w="5755" w:type="dxa"/>
            <w:gridSpan w:val="3"/>
            <w:shd w:val="clear" w:color="auto" w:fill="auto"/>
            <w:noWrap/>
            <w:vAlign w:val="center"/>
            <w:hideMark/>
          </w:tcPr>
          <w:p w14:paraId="008F5084" w14:textId="52D69DD5" w:rsidR="0009002F" w:rsidRPr="00076261" w:rsidRDefault="0009002F" w:rsidP="0009002F">
            <w:pPr>
              <w:rPr>
                <w:rFonts w:ascii="Arial" w:hAnsi="Arial" w:cs="Arial"/>
                <w:sz w:val="18"/>
                <w:szCs w:val="18"/>
                <w:u w:color="000000"/>
                <w:lang w:val="en-CA" w:eastAsia="en-CA"/>
              </w:rPr>
            </w:pPr>
            <w:r w:rsidRPr="00076261">
              <w:rPr>
                <w:rFonts w:ascii="Arial" w:hAnsi="Arial" w:cs="Arial"/>
                <w:b/>
                <w:bCs/>
                <w:color w:val="000000"/>
                <w:sz w:val="18"/>
                <w:szCs w:val="18"/>
                <w:u w:color="000000"/>
                <w:lang w:val="en-CA" w:eastAsia="en-CA"/>
              </w:rPr>
              <w:t>Equity</w:t>
            </w:r>
          </w:p>
        </w:tc>
      </w:tr>
      <w:tr w:rsidR="0009002F" w:rsidRPr="00076261" w14:paraId="588EC686" w14:textId="77777777" w:rsidTr="004A28D3">
        <w:trPr>
          <w:trHeight w:val="89"/>
          <w:jc w:val="center"/>
        </w:trPr>
        <w:tc>
          <w:tcPr>
            <w:tcW w:w="2965" w:type="dxa"/>
            <w:shd w:val="clear" w:color="auto" w:fill="auto"/>
            <w:noWrap/>
            <w:vAlign w:val="bottom"/>
            <w:hideMark/>
          </w:tcPr>
          <w:p w14:paraId="34B6A42C" w14:textId="4CC3B215"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Preferred </w:t>
            </w:r>
            <w:r w:rsidR="006A7C98" w:rsidRPr="00076261">
              <w:rPr>
                <w:rFonts w:ascii="Arial" w:hAnsi="Arial" w:cs="Arial"/>
                <w:color w:val="000000"/>
                <w:sz w:val="18"/>
                <w:szCs w:val="18"/>
                <w:u w:color="000000"/>
                <w:lang w:val="en-CA" w:eastAsia="en-CA"/>
              </w:rPr>
              <w:t>s</w:t>
            </w:r>
            <w:r w:rsidRPr="00076261">
              <w:rPr>
                <w:rFonts w:ascii="Arial" w:hAnsi="Arial" w:cs="Arial"/>
                <w:color w:val="000000"/>
                <w:sz w:val="18"/>
                <w:szCs w:val="18"/>
                <w:u w:color="000000"/>
                <w:lang w:val="en-CA" w:eastAsia="en-CA"/>
              </w:rPr>
              <w:t>tock</w:t>
            </w:r>
          </w:p>
        </w:tc>
        <w:tc>
          <w:tcPr>
            <w:tcW w:w="1350" w:type="dxa"/>
            <w:shd w:val="clear" w:color="auto" w:fill="auto"/>
            <w:noWrap/>
            <w:vAlign w:val="bottom"/>
            <w:hideMark/>
          </w:tcPr>
          <w:p w14:paraId="5DC4FFA4"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105,602</w:t>
            </w:r>
          </w:p>
        </w:tc>
        <w:tc>
          <w:tcPr>
            <w:tcW w:w="1440" w:type="dxa"/>
            <w:shd w:val="clear" w:color="auto" w:fill="auto"/>
            <w:noWrap/>
            <w:vAlign w:val="bottom"/>
            <w:hideMark/>
          </w:tcPr>
          <w:p w14:paraId="69901BF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105,602</w:t>
            </w:r>
          </w:p>
        </w:tc>
      </w:tr>
      <w:tr w:rsidR="0009002F" w:rsidRPr="00076261" w14:paraId="65EAB16C" w14:textId="77777777" w:rsidTr="004A28D3">
        <w:trPr>
          <w:trHeight w:val="56"/>
          <w:jc w:val="center"/>
        </w:trPr>
        <w:tc>
          <w:tcPr>
            <w:tcW w:w="2965" w:type="dxa"/>
            <w:shd w:val="clear" w:color="auto" w:fill="auto"/>
            <w:noWrap/>
            <w:vAlign w:val="bottom"/>
            <w:hideMark/>
          </w:tcPr>
          <w:p w14:paraId="7862E80E" w14:textId="0A93B263"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Common </w:t>
            </w:r>
            <w:r w:rsidR="006A7C98" w:rsidRPr="00076261">
              <w:rPr>
                <w:rFonts w:ascii="Arial" w:hAnsi="Arial" w:cs="Arial"/>
                <w:color w:val="000000"/>
                <w:sz w:val="18"/>
                <w:szCs w:val="18"/>
                <w:u w:color="000000"/>
                <w:lang w:val="en-CA" w:eastAsia="en-CA"/>
              </w:rPr>
              <w:t>s</w:t>
            </w:r>
            <w:r w:rsidRPr="00076261">
              <w:rPr>
                <w:rFonts w:ascii="Arial" w:hAnsi="Arial" w:cs="Arial"/>
                <w:color w:val="000000"/>
                <w:sz w:val="18"/>
                <w:szCs w:val="18"/>
                <w:u w:color="000000"/>
                <w:lang w:val="en-CA" w:eastAsia="en-CA"/>
              </w:rPr>
              <w:t>tock</w:t>
            </w:r>
          </w:p>
        </w:tc>
        <w:tc>
          <w:tcPr>
            <w:tcW w:w="1350" w:type="dxa"/>
            <w:shd w:val="clear" w:color="auto" w:fill="auto"/>
            <w:noWrap/>
            <w:vAlign w:val="bottom"/>
            <w:hideMark/>
          </w:tcPr>
          <w:p w14:paraId="056D5813"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687,746</w:t>
            </w:r>
          </w:p>
        </w:tc>
        <w:tc>
          <w:tcPr>
            <w:tcW w:w="1440" w:type="dxa"/>
            <w:shd w:val="clear" w:color="auto" w:fill="auto"/>
            <w:noWrap/>
            <w:vAlign w:val="bottom"/>
            <w:hideMark/>
          </w:tcPr>
          <w:p w14:paraId="4ED8957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687,746</w:t>
            </w:r>
          </w:p>
        </w:tc>
      </w:tr>
      <w:tr w:rsidR="0009002F" w:rsidRPr="00076261" w14:paraId="73075579" w14:textId="77777777" w:rsidTr="004A28D3">
        <w:trPr>
          <w:trHeight w:val="56"/>
          <w:jc w:val="center"/>
        </w:trPr>
        <w:tc>
          <w:tcPr>
            <w:tcW w:w="2965" w:type="dxa"/>
            <w:shd w:val="clear" w:color="auto" w:fill="auto"/>
            <w:noWrap/>
            <w:vAlign w:val="bottom"/>
            <w:hideMark/>
          </w:tcPr>
          <w:p w14:paraId="77A5691A" w14:textId="5F2F42E0"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Share </w:t>
            </w:r>
            <w:r w:rsidR="006A7C98" w:rsidRPr="00076261">
              <w:rPr>
                <w:rFonts w:ascii="Arial" w:hAnsi="Arial" w:cs="Arial"/>
                <w:color w:val="000000"/>
                <w:sz w:val="18"/>
                <w:szCs w:val="18"/>
                <w:u w:color="000000"/>
                <w:lang w:val="en-CA" w:eastAsia="en-CA"/>
              </w:rPr>
              <w:t>p</w:t>
            </w:r>
            <w:r w:rsidRPr="00076261">
              <w:rPr>
                <w:rFonts w:ascii="Arial" w:hAnsi="Arial" w:cs="Arial"/>
                <w:color w:val="000000"/>
                <w:sz w:val="18"/>
                <w:szCs w:val="18"/>
                <w:u w:color="000000"/>
                <w:lang w:val="en-CA" w:eastAsia="en-CA"/>
              </w:rPr>
              <w:t>remium</w:t>
            </w:r>
          </w:p>
        </w:tc>
        <w:tc>
          <w:tcPr>
            <w:tcW w:w="1350" w:type="dxa"/>
            <w:shd w:val="clear" w:color="auto" w:fill="auto"/>
            <w:noWrap/>
            <w:vAlign w:val="bottom"/>
            <w:hideMark/>
          </w:tcPr>
          <w:p w14:paraId="1FBE07BA"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3,892,772</w:t>
            </w:r>
          </w:p>
        </w:tc>
        <w:tc>
          <w:tcPr>
            <w:tcW w:w="1440" w:type="dxa"/>
            <w:shd w:val="clear" w:color="auto" w:fill="auto"/>
            <w:noWrap/>
            <w:vAlign w:val="bottom"/>
            <w:hideMark/>
          </w:tcPr>
          <w:p w14:paraId="583B3905"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3,892,772</w:t>
            </w:r>
          </w:p>
        </w:tc>
      </w:tr>
      <w:tr w:rsidR="0009002F" w:rsidRPr="00076261" w14:paraId="2C66F632" w14:textId="77777777" w:rsidTr="004A28D3">
        <w:trPr>
          <w:trHeight w:val="56"/>
          <w:jc w:val="center"/>
        </w:trPr>
        <w:tc>
          <w:tcPr>
            <w:tcW w:w="2965" w:type="dxa"/>
            <w:shd w:val="clear" w:color="auto" w:fill="auto"/>
            <w:noWrap/>
            <w:vAlign w:val="bottom"/>
            <w:hideMark/>
          </w:tcPr>
          <w:p w14:paraId="7B66E8EE" w14:textId="33256D15"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Retained </w:t>
            </w:r>
            <w:r w:rsidR="006A7C98" w:rsidRPr="00076261">
              <w:rPr>
                <w:rFonts w:ascii="Arial" w:hAnsi="Arial" w:cs="Arial"/>
                <w:color w:val="000000"/>
                <w:sz w:val="18"/>
                <w:szCs w:val="18"/>
                <w:u w:color="000000"/>
                <w:lang w:val="en-CA" w:eastAsia="en-CA"/>
              </w:rPr>
              <w:t>e</w:t>
            </w:r>
            <w:r w:rsidRPr="00076261">
              <w:rPr>
                <w:rFonts w:ascii="Arial" w:hAnsi="Arial" w:cs="Arial"/>
                <w:color w:val="000000"/>
                <w:sz w:val="18"/>
                <w:szCs w:val="18"/>
                <w:u w:color="000000"/>
                <w:lang w:val="en-CA" w:eastAsia="en-CA"/>
              </w:rPr>
              <w:t>arnings</w:t>
            </w:r>
          </w:p>
        </w:tc>
        <w:tc>
          <w:tcPr>
            <w:tcW w:w="1350" w:type="dxa"/>
            <w:shd w:val="clear" w:color="auto" w:fill="auto"/>
            <w:noWrap/>
            <w:vAlign w:val="bottom"/>
            <w:hideMark/>
          </w:tcPr>
          <w:p w14:paraId="3602FAE8"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163,645,376</w:t>
            </w:r>
          </w:p>
        </w:tc>
        <w:tc>
          <w:tcPr>
            <w:tcW w:w="1440" w:type="dxa"/>
            <w:shd w:val="clear" w:color="auto" w:fill="auto"/>
            <w:noWrap/>
            <w:vAlign w:val="bottom"/>
            <w:hideMark/>
          </w:tcPr>
          <w:p w14:paraId="2B606748"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149,853,800</w:t>
            </w:r>
          </w:p>
        </w:tc>
      </w:tr>
      <w:tr w:rsidR="0009002F" w:rsidRPr="00076261" w14:paraId="0CE9AEBF" w14:textId="77777777" w:rsidTr="004A28D3">
        <w:trPr>
          <w:trHeight w:val="56"/>
          <w:jc w:val="center"/>
        </w:trPr>
        <w:tc>
          <w:tcPr>
            <w:tcW w:w="2965" w:type="dxa"/>
            <w:shd w:val="clear" w:color="auto" w:fill="auto"/>
            <w:noWrap/>
            <w:vAlign w:val="bottom"/>
            <w:hideMark/>
          </w:tcPr>
          <w:p w14:paraId="04FFA91F"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Other components of equity</w:t>
            </w:r>
          </w:p>
        </w:tc>
        <w:tc>
          <w:tcPr>
            <w:tcW w:w="1350" w:type="dxa"/>
            <w:shd w:val="clear" w:color="auto" w:fill="auto"/>
            <w:noWrap/>
            <w:vAlign w:val="bottom"/>
            <w:hideMark/>
          </w:tcPr>
          <w:p w14:paraId="5F07AC47"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(15,540,044)</w:t>
            </w:r>
          </w:p>
        </w:tc>
        <w:tc>
          <w:tcPr>
            <w:tcW w:w="1440" w:type="dxa"/>
            <w:shd w:val="clear" w:color="auto" w:fill="auto"/>
            <w:noWrap/>
            <w:vAlign w:val="bottom"/>
            <w:hideMark/>
          </w:tcPr>
          <w:p w14:paraId="44690B77"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(11,252,000)</w:t>
            </w:r>
          </w:p>
        </w:tc>
      </w:tr>
      <w:tr w:rsidR="0009002F" w:rsidRPr="00076261" w14:paraId="6711FB74" w14:textId="77777777" w:rsidTr="004A28D3">
        <w:trPr>
          <w:trHeight w:val="56"/>
          <w:jc w:val="center"/>
        </w:trPr>
        <w:tc>
          <w:tcPr>
            <w:tcW w:w="2965" w:type="dxa"/>
            <w:shd w:val="clear" w:color="auto" w:fill="auto"/>
            <w:noWrap/>
            <w:vAlign w:val="bottom"/>
            <w:hideMark/>
          </w:tcPr>
          <w:p w14:paraId="7BE1990B"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Non-controlling interests</w:t>
            </w:r>
          </w:p>
        </w:tc>
        <w:tc>
          <w:tcPr>
            <w:tcW w:w="1350" w:type="dxa"/>
            <w:shd w:val="clear" w:color="auto" w:fill="auto"/>
            <w:noWrap/>
            <w:vAlign w:val="bottom"/>
            <w:hideMark/>
          </w:tcPr>
          <w:p w14:paraId="18B93C0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5,465,428</w:t>
            </w:r>
          </w:p>
        </w:tc>
        <w:tc>
          <w:tcPr>
            <w:tcW w:w="1440" w:type="dxa"/>
            <w:shd w:val="clear" w:color="auto" w:fill="auto"/>
            <w:noWrap/>
            <w:vAlign w:val="bottom"/>
            <w:hideMark/>
          </w:tcPr>
          <w:p w14:paraId="154083E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5,220,952</w:t>
            </w:r>
          </w:p>
        </w:tc>
      </w:tr>
      <w:tr w:rsidR="0009002F" w:rsidRPr="00076261" w14:paraId="563307D0" w14:textId="77777777" w:rsidTr="004A28D3">
        <w:trPr>
          <w:trHeight w:val="56"/>
          <w:jc w:val="center"/>
        </w:trPr>
        <w:tc>
          <w:tcPr>
            <w:tcW w:w="2965" w:type="dxa"/>
            <w:shd w:val="clear" w:color="auto" w:fill="auto"/>
            <w:noWrap/>
            <w:vAlign w:val="bottom"/>
            <w:hideMark/>
          </w:tcPr>
          <w:p w14:paraId="37E8819C" w14:textId="77777777"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Total Equity</w:t>
            </w:r>
          </w:p>
        </w:tc>
        <w:tc>
          <w:tcPr>
            <w:tcW w:w="1350" w:type="dxa"/>
            <w:shd w:val="clear" w:color="auto" w:fill="auto"/>
            <w:noWrap/>
            <w:vAlign w:val="bottom"/>
            <w:hideMark/>
          </w:tcPr>
          <w:p w14:paraId="6DC109CC"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158,277,915</w:t>
            </w:r>
          </w:p>
        </w:tc>
        <w:tc>
          <w:tcPr>
            <w:tcW w:w="1440" w:type="dxa"/>
            <w:shd w:val="clear" w:color="auto" w:fill="auto"/>
            <w:noWrap/>
            <w:vAlign w:val="bottom"/>
            <w:hideMark/>
          </w:tcPr>
          <w:p w14:paraId="21A1C5EE"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148,579,676</w:t>
            </w:r>
          </w:p>
        </w:tc>
      </w:tr>
      <w:tr w:rsidR="0009002F" w:rsidRPr="00076261" w14:paraId="0E443B31" w14:textId="77777777" w:rsidTr="004A28D3">
        <w:trPr>
          <w:trHeight w:val="56"/>
          <w:jc w:val="center"/>
        </w:trPr>
        <w:tc>
          <w:tcPr>
            <w:tcW w:w="2965" w:type="dxa"/>
            <w:shd w:val="clear" w:color="auto" w:fill="auto"/>
            <w:noWrap/>
            <w:vAlign w:val="bottom"/>
            <w:hideMark/>
          </w:tcPr>
          <w:p w14:paraId="3C009806" w14:textId="3DD69313"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 xml:space="preserve">Total Liabilities </w:t>
            </w:r>
            <w:r w:rsidR="006A7C98" w:rsidRPr="00076261">
              <w:rPr>
                <w:rFonts w:ascii="Arial" w:hAnsi="Arial" w:cs="Arial"/>
                <w:b/>
                <w:bCs/>
                <w:color w:val="000000"/>
                <w:sz w:val="18"/>
                <w:szCs w:val="18"/>
                <w:u w:color="000000"/>
                <w:lang w:val="en-CA" w:eastAsia="en-CA"/>
              </w:rPr>
              <w:t>and</w:t>
            </w:r>
            <w:r w:rsidRPr="00076261">
              <w:rPr>
                <w:rFonts w:ascii="Arial" w:hAnsi="Arial" w:cs="Arial"/>
                <w:b/>
                <w:bCs/>
                <w:color w:val="000000"/>
                <w:sz w:val="18"/>
                <w:szCs w:val="18"/>
                <w:u w:color="000000"/>
                <w:lang w:val="en-CA" w:eastAsia="en-CA"/>
              </w:rPr>
              <w:t xml:space="preserve"> Equity</w:t>
            </w:r>
          </w:p>
        </w:tc>
        <w:tc>
          <w:tcPr>
            <w:tcW w:w="1350" w:type="dxa"/>
            <w:shd w:val="clear" w:color="auto" w:fill="auto"/>
            <w:noWrap/>
            <w:vAlign w:val="bottom"/>
            <w:hideMark/>
          </w:tcPr>
          <w:p w14:paraId="7DD4E13D"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214,071,883</w:t>
            </w:r>
          </w:p>
        </w:tc>
        <w:tc>
          <w:tcPr>
            <w:tcW w:w="1440" w:type="dxa"/>
            <w:shd w:val="clear" w:color="auto" w:fill="auto"/>
            <w:noWrap/>
            <w:vAlign w:val="bottom"/>
            <w:hideMark/>
          </w:tcPr>
          <w:p w14:paraId="6AD1D0CD"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203,679,800</w:t>
            </w:r>
          </w:p>
        </w:tc>
      </w:tr>
    </w:tbl>
    <w:p w14:paraId="7FDF93EA" w14:textId="6AAF4061" w:rsidR="0009002F" w:rsidRPr="00076261" w:rsidRDefault="0009002F" w:rsidP="00B11B80">
      <w:pPr>
        <w:pStyle w:val="ExhibitText"/>
        <w:rPr>
          <w:sz w:val="12"/>
          <w:szCs w:val="12"/>
          <w:lang w:val="en-CA"/>
        </w:rPr>
      </w:pPr>
    </w:p>
    <w:tbl>
      <w:tblPr>
        <w:tblW w:w="6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1260"/>
        <w:gridCol w:w="1217"/>
      </w:tblGrid>
      <w:tr w:rsidR="0009002F" w:rsidRPr="00076261" w14:paraId="3E8A7F2A" w14:textId="77777777" w:rsidTr="004A28D3">
        <w:trPr>
          <w:trHeight w:val="56"/>
          <w:jc w:val="center"/>
        </w:trPr>
        <w:tc>
          <w:tcPr>
            <w:tcW w:w="6437" w:type="dxa"/>
            <w:gridSpan w:val="3"/>
            <w:shd w:val="clear" w:color="auto" w:fill="auto"/>
            <w:noWrap/>
            <w:vAlign w:val="bottom"/>
            <w:hideMark/>
          </w:tcPr>
          <w:p w14:paraId="3F3A66E7" w14:textId="77777777" w:rsidR="0009002F" w:rsidRPr="00076261" w:rsidRDefault="0009002F"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Samsung Electronics Co., Ltd. and Subsidiaries</w:t>
            </w:r>
          </w:p>
        </w:tc>
      </w:tr>
      <w:tr w:rsidR="0009002F" w:rsidRPr="00076261" w14:paraId="62E165D0" w14:textId="77777777" w:rsidTr="004A28D3">
        <w:trPr>
          <w:trHeight w:val="56"/>
          <w:jc w:val="center"/>
        </w:trPr>
        <w:tc>
          <w:tcPr>
            <w:tcW w:w="6437" w:type="dxa"/>
            <w:gridSpan w:val="3"/>
            <w:shd w:val="clear" w:color="auto" w:fill="auto"/>
            <w:noWrap/>
            <w:vAlign w:val="bottom"/>
            <w:hideMark/>
          </w:tcPr>
          <w:p w14:paraId="623D4087" w14:textId="655A0DF9" w:rsidR="0009002F" w:rsidRPr="00076261" w:rsidRDefault="006A7C98"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2015 Income Statement</w:t>
            </w:r>
          </w:p>
        </w:tc>
      </w:tr>
      <w:tr w:rsidR="0009002F" w:rsidRPr="00076261" w14:paraId="6EFBCF24" w14:textId="77777777" w:rsidTr="004A28D3">
        <w:trPr>
          <w:trHeight w:val="56"/>
          <w:jc w:val="center"/>
        </w:trPr>
        <w:tc>
          <w:tcPr>
            <w:tcW w:w="3960" w:type="dxa"/>
            <w:shd w:val="clear" w:color="auto" w:fill="auto"/>
            <w:noWrap/>
            <w:vAlign w:val="bottom"/>
            <w:hideMark/>
          </w:tcPr>
          <w:p w14:paraId="4E79DCD9" w14:textId="6BD50E93" w:rsidR="0009002F" w:rsidRPr="00076261" w:rsidRDefault="0009002F" w:rsidP="0009002F">
            <w:pPr>
              <w:rPr>
                <w:rFonts w:ascii="Arial" w:hAnsi="Arial" w:cs="Arial"/>
                <w:i/>
                <w:iCs/>
                <w:color w:val="000000"/>
                <w:sz w:val="18"/>
                <w:szCs w:val="18"/>
                <w:u w:color="000000"/>
                <w:lang w:val="en-CA" w:eastAsia="en-CA"/>
              </w:rPr>
            </w:pPr>
          </w:p>
        </w:tc>
        <w:tc>
          <w:tcPr>
            <w:tcW w:w="1260" w:type="dxa"/>
            <w:shd w:val="clear" w:color="auto" w:fill="auto"/>
            <w:noWrap/>
            <w:vAlign w:val="bottom"/>
            <w:hideMark/>
          </w:tcPr>
          <w:p w14:paraId="341A4F51" w14:textId="77777777" w:rsidR="0009002F" w:rsidRPr="00076261" w:rsidRDefault="0009002F"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2015</w:t>
            </w:r>
          </w:p>
        </w:tc>
        <w:tc>
          <w:tcPr>
            <w:tcW w:w="1217" w:type="dxa"/>
            <w:shd w:val="clear" w:color="auto" w:fill="auto"/>
            <w:noWrap/>
            <w:vAlign w:val="bottom"/>
            <w:hideMark/>
          </w:tcPr>
          <w:p w14:paraId="7061B223" w14:textId="77777777" w:rsidR="0009002F" w:rsidRPr="00076261" w:rsidRDefault="0009002F" w:rsidP="0009002F">
            <w:pPr>
              <w:jc w:val="cente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2014</w:t>
            </w:r>
          </w:p>
        </w:tc>
      </w:tr>
      <w:tr w:rsidR="0009002F" w:rsidRPr="00076261" w14:paraId="3B0556B6" w14:textId="77777777" w:rsidTr="004A28D3">
        <w:trPr>
          <w:trHeight w:val="56"/>
          <w:jc w:val="center"/>
        </w:trPr>
        <w:tc>
          <w:tcPr>
            <w:tcW w:w="3960" w:type="dxa"/>
            <w:shd w:val="clear" w:color="auto" w:fill="auto"/>
            <w:noWrap/>
            <w:vAlign w:val="bottom"/>
            <w:hideMark/>
          </w:tcPr>
          <w:p w14:paraId="4D467D9B"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Revenue</w:t>
            </w:r>
          </w:p>
        </w:tc>
        <w:tc>
          <w:tcPr>
            <w:tcW w:w="1260" w:type="dxa"/>
            <w:shd w:val="clear" w:color="auto" w:fill="auto"/>
            <w:noWrap/>
            <w:vAlign w:val="bottom"/>
            <w:hideMark/>
          </w:tcPr>
          <w:p w14:paraId="244D81F2"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177,365,404</w:t>
            </w:r>
          </w:p>
        </w:tc>
        <w:tc>
          <w:tcPr>
            <w:tcW w:w="1217" w:type="dxa"/>
            <w:shd w:val="clear" w:color="auto" w:fill="auto"/>
            <w:noWrap/>
            <w:vAlign w:val="bottom"/>
            <w:hideMark/>
          </w:tcPr>
          <w:p w14:paraId="4C7EE433"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182,273,479</w:t>
            </w:r>
          </w:p>
        </w:tc>
      </w:tr>
      <w:tr w:rsidR="0009002F" w:rsidRPr="00076261" w14:paraId="3F012AD8" w14:textId="77777777" w:rsidTr="004A28D3">
        <w:trPr>
          <w:trHeight w:val="56"/>
          <w:jc w:val="center"/>
        </w:trPr>
        <w:tc>
          <w:tcPr>
            <w:tcW w:w="3960" w:type="dxa"/>
            <w:shd w:val="clear" w:color="auto" w:fill="auto"/>
            <w:noWrap/>
            <w:vAlign w:val="bottom"/>
            <w:hideMark/>
          </w:tcPr>
          <w:p w14:paraId="56DC6A51" w14:textId="679D12F6"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 xml:space="preserve">Cost of </w:t>
            </w:r>
            <w:r w:rsidR="006A7C98" w:rsidRPr="00076261">
              <w:rPr>
                <w:rFonts w:ascii="Arial" w:hAnsi="Arial" w:cs="Arial"/>
                <w:color w:val="000000"/>
                <w:sz w:val="18"/>
                <w:szCs w:val="18"/>
                <w:u w:color="000000"/>
                <w:lang w:val="en-CA" w:eastAsia="en-CA"/>
              </w:rPr>
              <w:t>s</w:t>
            </w:r>
            <w:r w:rsidRPr="00076261">
              <w:rPr>
                <w:rFonts w:ascii="Arial" w:hAnsi="Arial" w:cs="Arial"/>
                <w:color w:val="000000"/>
                <w:sz w:val="18"/>
                <w:szCs w:val="18"/>
                <w:u w:color="000000"/>
                <w:lang w:val="en-CA" w:eastAsia="en-CA"/>
              </w:rPr>
              <w:t>ales</w:t>
            </w:r>
          </w:p>
        </w:tc>
        <w:tc>
          <w:tcPr>
            <w:tcW w:w="1260" w:type="dxa"/>
            <w:shd w:val="clear" w:color="auto" w:fill="auto"/>
            <w:noWrap/>
            <w:vAlign w:val="bottom"/>
            <w:hideMark/>
          </w:tcPr>
          <w:p w14:paraId="60E79C5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109,150,639</w:t>
            </w:r>
          </w:p>
        </w:tc>
        <w:tc>
          <w:tcPr>
            <w:tcW w:w="1217" w:type="dxa"/>
            <w:shd w:val="clear" w:color="auto" w:fill="auto"/>
            <w:noWrap/>
            <w:vAlign w:val="bottom"/>
            <w:hideMark/>
          </w:tcPr>
          <w:p w14:paraId="30657333"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113,390,613</w:t>
            </w:r>
          </w:p>
        </w:tc>
      </w:tr>
      <w:tr w:rsidR="0009002F" w:rsidRPr="00076261" w14:paraId="6F96F01C" w14:textId="77777777" w:rsidTr="004A28D3">
        <w:trPr>
          <w:trHeight w:val="56"/>
          <w:jc w:val="center"/>
        </w:trPr>
        <w:tc>
          <w:tcPr>
            <w:tcW w:w="3960" w:type="dxa"/>
            <w:shd w:val="clear" w:color="auto" w:fill="auto"/>
            <w:noWrap/>
            <w:vAlign w:val="bottom"/>
            <w:hideMark/>
          </w:tcPr>
          <w:p w14:paraId="06F5B027" w14:textId="77777777"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Gross Profit</w:t>
            </w:r>
          </w:p>
        </w:tc>
        <w:tc>
          <w:tcPr>
            <w:tcW w:w="1260" w:type="dxa"/>
            <w:shd w:val="clear" w:color="auto" w:fill="auto"/>
            <w:noWrap/>
            <w:vAlign w:val="bottom"/>
            <w:hideMark/>
          </w:tcPr>
          <w:p w14:paraId="1A7377C0"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68,214,765</w:t>
            </w:r>
          </w:p>
        </w:tc>
        <w:tc>
          <w:tcPr>
            <w:tcW w:w="1217" w:type="dxa"/>
            <w:shd w:val="clear" w:color="auto" w:fill="auto"/>
            <w:noWrap/>
            <w:vAlign w:val="bottom"/>
            <w:hideMark/>
          </w:tcPr>
          <w:p w14:paraId="5AC5C156"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68,882,866</w:t>
            </w:r>
          </w:p>
        </w:tc>
      </w:tr>
      <w:tr w:rsidR="0009002F" w:rsidRPr="00076261" w14:paraId="3AE88C32" w14:textId="77777777" w:rsidTr="004A28D3">
        <w:trPr>
          <w:trHeight w:val="56"/>
          <w:jc w:val="center"/>
        </w:trPr>
        <w:tc>
          <w:tcPr>
            <w:tcW w:w="3960" w:type="dxa"/>
            <w:shd w:val="clear" w:color="auto" w:fill="auto"/>
            <w:noWrap/>
            <w:vAlign w:val="bottom"/>
            <w:hideMark/>
          </w:tcPr>
          <w:p w14:paraId="28E21CF1"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Selling and administrative expenses</w:t>
            </w:r>
          </w:p>
        </w:tc>
        <w:tc>
          <w:tcPr>
            <w:tcW w:w="1260" w:type="dxa"/>
            <w:shd w:val="clear" w:color="auto" w:fill="auto"/>
            <w:noWrap/>
            <w:vAlign w:val="bottom"/>
            <w:hideMark/>
          </w:tcPr>
          <w:p w14:paraId="057D11B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44,866,898</w:t>
            </w:r>
          </w:p>
        </w:tc>
        <w:tc>
          <w:tcPr>
            <w:tcW w:w="1217" w:type="dxa"/>
            <w:shd w:val="clear" w:color="auto" w:fill="auto"/>
            <w:noWrap/>
            <w:vAlign w:val="bottom"/>
            <w:hideMark/>
          </w:tcPr>
          <w:p w14:paraId="2A1D238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46,762,235</w:t>
            </w:r>
          </w:p>
        </w:tc>
      </w:tr>
      <w:tr w:rsidR="0009002F" w:rsidRPr="00076261" w14:paraId="419B8D59" w14:textId="77777777" w:rsidTr="004A28D3">
        <w:trPr>
          <w:trHeight w:val="56"/>
          <w:jc w:val="center"/>
        </w:trPr>
        <w:tc>
          <w:tcPr>
            <w:tcW w:w="3960" w:type="dxa"/>
            <w:shd w:val="clear" w:color="auto" w:fill="auto"/>
            <w:noWrap/>
            <w:vAlign w:val="bottom"/>
            <w:hideMark/>
          </w:tcPr>
          <w:p w14:paraId="6EAC86C1" w14:textId="77777777"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Operating Profit</w:t>
            </w:r>
          </w:p>
        </w:tc>
        <w:tc>
          <w:tcPr>
            <w:tcW w:w="1260" w:type="dxa"/>
            <w:shd w:val="clear" w:color="auto" w:fill="auto"/>
            <w:noWrap/>
            <w:vAlign w:val="bottom"/>
            <w:hideMark/>
          </w:tcPr>
          <w:p w14:paraId="6BBA8E06"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23,347,867</w:t>
            </w:r>
          </w:p>
        </w:tc>
        <w:tc>
          <w:tcPr>
            <w:tcW w:w="1217" w:type="dxa"/>
            <w:shd w:val="clear" w:color="auto" w:fill="auto"/>
            <w:noWrap/>
            <w:vAlign w:val="bottom"/>
            <w:hideMark/>
          </w:tcPr>
          <w:p w14:paraId="6EE77C61"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22,120,631</w:t>
            </w:r>
          </w:p>
        </w:tc>
      </w:tr>
      <w:tr w:rsidR="0009002F" w:rsidRPr="00076261" w14:paraId="0C693D24" w14:textId="77777777" w:rsidTr="004A28D3">
        <w:trPr>
          <w:trHeight w:val="56"/>
          <w:jc w:val="center"/>
        </w:trPr>
        <w:tc>
          <w:tcPr>
            <w:tcW w:w="3960" w:type="dxa"/>
            <w:shd w:val="clear" w:color="auto" w:fill="auto"/>
            <w:noWrap/>
            <w:vAlign w:val="bottom"/>
            <w:hideMark/>
          </w:tcPr>
          <w:p w14:paraId="1B6EE818"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Other non-operating income</w:t>
            </w:r>
          </w:p>
        </w:tc>
        <w:tc>
          <w:tcPr>
            <w:tcW w:w="1260" w:type="dxa"/>
            <w:shd w:val="clear" w:color="auto" w:fill="auto"/>
            <w:noWrap/>
            <w:vAlign w:val="bottom"/>
            <w:hideMark/>
          </w:tcPr>
          <w:p w14:paraId="08CAA296"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1,490,274</w:t>
            </w:r>
          </w:p>
        </w:tc>
        <w:tc>
          <w:tcPr>
            <w:tcW w:w="1217" w:type="dxa"/>
            <w:shd w:val="clear" w:color="auto" w:fill="auto"/>
            <w:noWrap/>
            <w:vAlign w:val="bottom"/>
            <w:hideMark/>
          </w:tcPr>
          <w:p w14:paraId="60CBFB01"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3,360,167</w:t>
            </w:r>
          </w:p>
        </w:tc>
      </w:tr>
      <w:tr w:rsidR="0009002F" w:rsidRPr="00076261" w14:paraId="458E3EC9" w14:textId="77777777" w:rsidTr="004A28D3">
        <w:trPr>
          <w:trHeight w:val="56"/>
          <w:jc w:val="center"/>
        </w:trPr>
        <w:tc>
          <w:tcPr>
            <w:tcW w:w="3960" w:type="dxa"/>
            <w:shd w:val="clear" w:color="auto" w:fill="auto"/>
            <w:noWrap/>
            <w:vAlign w:val="bottom"/>
            <w:hideMark/>
          </w:tcPr>
          <w:p w14:paraId="3C5B5782"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Other non-operating expense</w:t>
            </w:r>
          </w:p>
        </w:tc>
        <w:tc>
          <w:tcPr>
            <w:tcW w:w="1260" w:type="dxa"/>
            <w:shd w:val="clear" w:color="auto" w:fill="auto"/>
            <w:noWrap/>
            <w:vAlign w:val="bottom"/>
            <w:hideMark/>
          </w:tcPr>
          <w:p w14:paraId="1738F05E"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3,291,288</w:t>
            </w:r>
          </w:p>
        </w:tc>
        <w:tc>
          <w:tcPr>
            <w:tcW w:w="1217" w:type="dxa"/>
            <w:shd w:val="clear" w:color="auto" w:fill="auto"/>
            <w:noWrap/>
            <w:vAlign w:val="bottom"/>
            <w:hideMark/>
          </w:tcPr>
          <w:p w14:paraId="7E6A0D54"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1,997,469</w:t>
            </w:r>
          </w:p>
        </w:tc>
      </w:tr>
      <w:tr w:rsidR="0009002F" w:rsidRPr="00076261" w14:paraId="67E49AB9" w14:textId="77777777" w:rsidTr="004A28D3">
        <w:trPr>
          <w:trHeight w:val="56"/>
          <w:jc w:val="center"/>
        </w:trPr>
        <w:tc>
          <w:tcPr>
            <w:tcW w:w="3960" w:type="dxa"/>
            <w:shd w:val="clear" w:color="auto" w:fill="auto"/>
            <w:noWrap/>
            <w:vAlign w:val="bottom"/>
            <w:hideMark/>
          </w:tcPr>
          <w:p w14:paraId="7D0B74D1"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Share of profit of associates and joint ventures</w:t>
            </w:r>
          </w:p>
        </w:tc>
        <w:tc>
          <w:tcPr>
            <w:tcW w:w="1260" w:type="dxa"/>
            <w:shd w:val="clear" w:color="auto" w:fill="auto"/>
            <w:noWrap/>
            <w:vAlign w:val="bottom"/>
            <w:hideMark/>
          </w:tcPr>
          <w:p w14:paraId="3B8D60ED"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974,040</w:t>
            </w:r>
          </w:p>
        </w:tc>
        <w:tc>
          <w:tcPr>
            <w:tcW w:w="1217" w:type="dxa"/>
            <w:shd w:val="clear" w:color="auto" w:fill="auto"/>
            <w:noWrap/>
            <w:vAlign w:val="bottom"/>
            <w:hideMark/>
          </w:tcPr>
          <w:p w14:paraId="39CC2643"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302,763</w:t>
            </w:r>
          </w:p>
        </w:tc>
      </w:tr>
      <w:tr w:rsidR="0009002F" w:rsidRPr="00076261" w14:paraId="07D2F5C3" w14:textId="77777777" w:rsidTr="004A28D3">
        <w:trPr>
          <w:trHeight w:val="56"/>
          <w:jc w:val="center"/>
        </w:trPr>
        <w:tc>
          <w:tcPr>
            <w:tcW w:w="3960" w:type="dxa"/>
            <w:shd w:val="clear" w:color="auto" w:fill="auto"/>
            <w:noWrap/>
            <w:vAlign w:val="bottom"/>
            <w:hideMark/>
          </w:tcPr>
          <w:p w14:paraId="4810A8DD"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Financial income</w:t>
            </w:r>
          </w:p>
        </w:tc>
        <w:tc>
          <w:tcPr>
            <w:tcW w:w="1260" w:type="dxa"/>
            <w:shd w:val="clear" w:color="auto" w:fill="auto"/>
            <w:noWrap/>
            <w:vAlign w:val="bottom"/>
            <w:hideMark/>
          </w:tcPr>
          <w:p w14:paraId="422AF137"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9,294,510</w:t>
            </w:r>
          </w:p>
        </w:tc>
        <w:tc>
          <w:tcPr>
            <w:tcW w:w="1217" w:type="dxa"/>
            <w:shd w:val="clear" w:color="auto" w:fill="auto"/>
            <w:noWrap/>
            <w:vAlign w:val="bottom"/>
            <w:hideMark/>
          </w:tcPr>
          <w:p w14:paraId="04749709"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7,301,184</w:t>
            </w:r>
          </w:p>
        </w:tc>
      </w:tr>
      <w:tr w:rsidR="0009002F" w:rsidRPr="00076261" w14:paraId="759EACA1" w14:textId="77777777" w:rsidTr="004A28D3">
        <w:trPr>
          <w:trHeight w:val="80"/>
          <w:jc w:val="center"/>
        </w:trPr>
        <w:tc>
          <w:tcPr>
            <w:tcW w:w="3960" w:type="dxa"/>
            <w:shd w:val="clear" w:color="auto" w:fill="auto"/>
            <w:noWrap/>
            <w:vAlign w:val="bottom"/>
            <w:hideMark/>
          </w:tcPr>
          <w:p w14:paraId="432AE3E0"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Financial expense</w:t>
            </w:r>
          </w:p>
        </w:tc>
        <w:tc>
          <w:tcPr>
            <w:tcW w:w="1260" w:type="dxa"/>
            <w:shd w:val="clear" w:color="auto" w:fill="auto"/>
            <w:noWrap/>
            <w:vAlign w:val="bottom"/>
            <w:hideMark/>
          </w:tcPr>
          <w:p w14:paraId="5F74DE64"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8,867,472</w:t>
            </w:r>
          </w:p>
        </w:tc>
        <w:tc>
          <w:tcPr>
            <w:tcW w:w="1217" w:type="dxa"/>
            <w:shd w:val="clear" w:color="auto" w:fill="auto"/>
            <w:noWrap/>
            <w:vAlign w:val="bottom"/>
            <w:hideMark/>
          </w:tcPr>
          <w:p w14:paraId="21849040"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6,447,452</w:t>
            </w:r>
          </w:p>
        </w:tc>
      </w:tr>
      <w:tr w:rsidR="0009002F" w:rsidRPr="00076261" w14:paraId="43D04D3D" w14:textId="77777777" w:rsidTr="004A28D3">
        <w:trPr>
          <w:trHeight w:val="56"/>
          <w:jc w:val="center"/>
        </w:trPr>
        <w:tc>
          <w:tcPr>
            <w:tcW w:w="3960" w:type="dxa"/>
            <w:shd w:val="clear" w:color="auto" w:fill="auto"/>
            <w:noWrap/>
            <w:vAlign w:val="bottom"/>
            <w:hideMark/>
          </w:tcPr>
          <w:p w14:paraId="3A02920B" w14:textId="21A55DF9"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 xml:space="preserve">Profit before </w:t>
            </w:r>
            <w:r w:rsidR="006A7C98" w:rsidRPr="00076261">
              <w:rPr>
                <w:rFonts w:ascii="Arial" w:hAnsi="Arial" w:cs="Arial"/>
                <w:b/>
                <w:bCs/>
                <w:color w:val="000000"/>
                <w:sz w:val="18"/>
                <w:szCs w:val="18"/>
                <w:u w:color="000000"/>
                <w:lang w:val="en-CA" w:eastAsia="en-CA"/>
              </w:rPr>
              <w:t>I</w:t>
            </w:r>
            <w:r w:rsidRPr="00076261">
              <w:rPr>
                <w:rFonts w:ascii="Arial" w:hAnsi="Arial" w:cs="Arial"/>
                <w:b/>
                <w:bCs/>
                <w:color w:val="000000"/>
                <w:sz w:val="18"/>
                <w:szCs w:val="18"/>
                <w:u w:color="000000"/>
                <w:lang w:val="en-CA" w:eastAsia="en-CA"/>
              </w:rPr>
              <w:t xml:space="preserve">ncome </w:t>
            </w:r>
            <w:r w:rsidR="006A7C98" w:rsidRPr="00076261">
              <w:rPr>
                <w:rFonts w:ascii="Arial" w:hAnsi="Arial" w:cs="Arial"/>
                <w:b/>
                <w:bCs/>
                <w:color w:val="000000"/>
                <w:sz w:val="18"/>
                <w:szCs w:val="18"/>
                <w:u w:color="000000"/>
                <w:lang w:val="en-CA" w:eastAsia="en-CA"/>
              </w:rPr>
              <w:t>T</w:t>
            </w:r>
            <w:r w:rsidRPr="00076261">
              <w:rPr>
                <w:rFonts w:ascii="Arial" w:hAnsi="Arial" w:cs="Arial"/>
                <w:b/>
                <w:bCs/>
                <w:color w:val="000000"/>
                <w:sz w:val="18"/>
                <w:szCs w:val="18"/>
                <w:u w:color="000000"/>
                <w:lang w:val="en-CA" w:eastAsia="en-CA"/>
              </w:rPr>
              <w:t>ax</w:t>
            </w:r>
          </w:p>
        </w:tc>
        <w:tc>
          <w:tcPr>
            <w:tcW w:w="1260" w:type="dxa"/>
            <w:shd w:val="clear" w:color="auto" w:fill="auto"/>
            <w:noWrap/>
            <w:vAlign w:val="bottom"/>
            <w:hideMark/>
          </w:tcPr>
          <w:p w14:paraId="0FA980B2"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22,947,931</w:t>
            </w:r>
          </w:p>
        </w:tc>
        <w:tc>
          <w:tcPr>
            <w:tcW w:w="1217" w:type="dxa"/>
            <w:shd w:val="clear" w:color="auto" w:fill="auto"/>
            <w:noWrap/>
            <w:vAlign w:val="bottom"/>
            <w:hideMark/>
          </w:tcPr>
          <w:p w14:paraId="74BAF830"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24,639,824</w:t>
            </w:r>
          </w:p>
        </w:tc>
      </w:tr>
      <w:tr w:rsidR="0009002F" w:rsidRPr="00076261" w14:paraId="12F0A1AD" w14:textId="77777777" w:rsidTr="004A28D3">
        <w:trPr>
          <w:trHeight w:val="56"/>
          <w:jc w:val="center"/>
        </w:trPr>
        <w:tc>
          <w:tcPr>
            <w:tcW w:w="3960" w:type="dxa"/>
            <w:shd w:val="clear" w:color="auto" w:fill="auto"/>
            <w:noWrap/>
            <w:vAlign w:val="bottom"/>
            <w:hideMark/>
          </w:tcPr>
          <w:p w14:paraId="6689F4B5"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Income tax expense</w:t>
            </w:r>
          </w:p>
        </w:tc>
        <w:tc>
          <w:tcPr>
            <w:tcW w:w="1260" w:type="dxa"/>
            <w:shd w:val="clear" w:color="auto" w:fill="auto"/>
            <w:noWrap/>
            <w:vAlign w:val="bottom"/>
            <w:hideMark/>
          </w:tcPr>
          <w:p w14:paraId="557DC3A8"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6,099,929</w:t>
            </w:r>
          </w:p>
        </w:tc>
        <w:tc>
          <w:tcPr>
            <w:tcW w:w="1217" w:type="dxa"/>
            <w:shd w:val="clear" w:color="auto" w:fill="auto"/>
            <w:noWrap/>
            <w:vAlign w:val="bottom"/>
            <w:hideMark/>
          </w:tcPr>
          <w:p w14:paraId="54C7E031"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3,960,643</w:t>
            </w:r>
          </w:p>
        </w:tc>
      </w:tr>
      <w:tr w:rsidR="0009002F" w:rsidRPr="00076261" w14:paraId="2DE4D54D" w14:textId="77777777" w:rsidTr="004A28D3">
        <w:trPr>
          <w:trHeight w:val="56"/>
          <w:jc w:val="center"/>
        </w:trPr>
        <w:tc>
          <w:tcPr>
            <w:tcW w:w="3960" w:type="dxa"/>
            <w:shd w:val="clear" w:color="auto" w:fill="auto"/>
            <w:noWrap/>
            <w:vAlign w:val="bottom"/>
            <w:hideMark/>
          </w:tcPr>
          <w:p w14:paraId="37FB27D0" w14:textId="6012D4B9"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 xml:space="preserve">Profit for the </w:t>
            </w:r>
            <w:r w:rsidR="006A7C98" w:rsidRPr="00076261">
              <w:rPr>
                <w:rFonts w:ascii="Arial" w:hAnsi="Arial" w:cs="Arial"/>
                <w:b/>
                <w:bCs/>
                <w:color w:val="000000"/>
                <w:sz w:val="18"/>
                <w:szCs w:val="18"/>
                <w:u w:color="000000"/>
                <w:lang w:val="en-CA" w:eastAsia="en-CA"/>
              </w:rPr>
              <w:t>Y</w:t>
            </w:r>
            <w:r w:rsidRPr="00076261">
              <w:rPr>
                <w:rFonts w:ascii="Arial" w:hAnsi="Arial" w:cs="Arial"/>
                <w:b/>
                <w:bCs/>
                <w:color w:val="000000"/>
                <w:sz w:val="18"/>
                <w:szCs w:val="18"/>
                <w:u w:color="000000"/>
                <w:lang w:val="en-CA" w:eastAsia="en-CA"/>
              </w:rPr>
              <w:t>ear</w:t>
            </w:r>
          </w:p>
        </w:tc>
        <w:tc>
          <w:tcPr>
            <w:tcW w:w="1260" w:type="dxa"/>
            <w:shd w:val="clear" w:color="auto" w:fill="auto"/>
            <w:noWrap/>
            <w:vAlign w:val="bottom"/>
            <w:hideMark/>
          </w:tcPr>
          <w:p w14:paraId="39332251"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16,848,002</w:t>
            </w:r>
          </w:p>
        </w:tc>
        <w:tc>
          <w:tcPr>
            <w:tcW w:w="1217" w:type="dxa"/>
            <w:shd w:val="clear" w:color="auto" w:fill="auto"/>
            <w:noWrap/>
            <w:vAlign w:val="bottom"/>
            <w:hideMark/>
          </w:tcPr>
          <w:p w14:paraId="79B84966"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20,679,181</w:t>
            </w:r>
          </w:p>
        </w:tc>
      </w:tr>
      <w:tr w:rsidR="0009002F" w:rsidRPr="00076261" w14:paraId="4FB9F117" w14:textId="77777777" w:rsidTr="004A28D3">
        <w:trPr>
          <w:trHeight w:val="56"/>
          <w:jc w:val="center"/>
        </w:trPr>
        <w:tc>
          <w:tcPr>
            <w:tcW w:w="3960" w:type="dxa"/>
            <w:shd w:val="clear" w:color="auto" w:fill="auto"/>
            <w:noWrap/>
            <w:vAlign w:val="bottom"/>
            <w:hideMark/>
          </w:tcPr>
          <w:p w14:paraId="70B3A88C"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Profit attributable to owners of the parent</w:t>
            </w:r>
          </w:p>
        </w:tc>
        <w:tc>
          <w:tcPr>
            <w:tcW w:w="1260" w:type="dxa"/>
            <w:shd w:val="clear" w:color="auto" w:fill="auto"/>
            <w:noWrap/>
            <w:vAlign w:val="bottom"/>
            <w:hideMark/>
          </w:tcPr>
          <w:p w14:paraId="37560802"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16,524,908</w:t>
            </w:r>
          </w:p>
        </w:tc>
        <w:tc>
          <w:tcPr>
            <w:tcW w:w="1217" w:type="dxa"/>
            <w:shd w:val="clear" w:color="auto" w:fill="auto"/>
            <w:noWrap/>
            <w:vAlign w:val="bottom"/>
            <w:hideMark/>
          </w:tcPr>
          <w:p w14:paraId="7A7E0605"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20,403,517</w:t>
            </w:r>
          </w:p>
        </w:tc>
      </w:tr>
      <w:tr w:rsidR="0009002F" w:rsidRPr="00076261" w14:paraId="50C621E8" w14:textId="77777777" w:rsidTr="004A28D3">
        <w:trPr>
          <w:trHeight w:val="56"/>
          <w:jc w:val="center"/>
        </w:trPr>
        <w:tc>
          <w:tcPr>
            <w:tcW w:w="3960" w:type="dxa"/>
            <w:shd w:val="clear" w:color="auto" w:fill="auto"/>
            <w:noWrap/>
            <w:vAlign w:val="bottom"/>
            <w:hideMark/>
          </w:tcPr>
          <w:p w14:paraId="2B62E230" w14:textId="77777777" w:rsidR="0009002F" w:rsidRPr="00076261" w:rsidRDefault="0009002F" w:rsidP="0009002F">
            <w:pPr>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Profit attributable to non-controlling interests</w:t>
            </w:r>
          </w:p>
        </w:tc>
        <w:tc>
          <w:tcPr>
            <w:tcW w:w="1260" w:type="dxa"/>
            <w:shd w:val="clear" w:color="auto" w:fill="auto"/>
            <w:noWrap/>
            <w:vAlign w:val="bottom"/>
            <w:hideMark/>
          </w:tcPr>
          <w:p w14:paraId="0B8C1552"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323,094</w:t>
            </w:r>
          </w:p>
        </w:tc>
        <w:tc>
          <w:tcPr>
            <w:tcW w:w="1217" w:type="dxa"/>
            <w:shd w:val="clear" w:color="auto" w:fill="auto"/>
            <w:noWrap/>
            <w:vAlign w:val="bottom"/>
            <w:hideMark/>
          </w:tcPr>
          <w:p w14:paraId="181AA204" w14:textId="77777777" w:rsidR="0009002F" w:rsidRPr="00076261" w:rsidRDefault="0009002F" w:rsidP="006A7C98">
            <w:pPr>
              <w:jc w:val="right"/>
              <w:rPr>
                <w:rFonts w:ascii="Arial" w:hAnsi="Arial" w:cs="Arial"/>
                <w:color w:val="000000"/>
                <w:sz w:val="18"/>
                <w:szCs w:val="18"/>
                <w:u w:color="000000"/>
                <w:lang w:val="en-CA" w:eastAsia="en-CA"/>
              </w:rPr>
            </w:pPr>
            <w:r w:rsidRPr="00076261">
              <w:rPr>
                <w:rFonts w:ascii="Arial" w:hAnsi="Arial" w:cs="Arial"/>
                <w:color w:val="000000"/>
                <w:sz w:val="18"/>
                <w:szCs w:val="18"/>
                <w:u w:color="000000"/>
                <w:lang w:val="en-CA" w:eastAsia="en-CA"/>
              </w:rPr>
              <w:t>275,664</w:t>
            </w:r>
          </w:p>
        </w:tc>
      </w:tr>
      <w:tr w:rsidR="0009002F" w:rsidRPr="00076261" w14:paraId="65EFEBA6" w14:textId="77777777" w:rsidTr="004A28D3">
        <w:trPr>
          <w:trHeight w:val="242"/>
          <w:jc w:val="center"/>
        </w:trPr>
        <w:tc>
          <w:tcPr>
            <w:tcW w:w="3960" w:type="dxa"/>
            <w:shd w:val="clear" w:color="auto" w:fill="auto"/>
            <w:vAlign w:val="bottom"/>
            <w:hideMark/>
          </w:tcPr>
          <w:p w14:paraId="1A65449D" w14:textId="0040608A" w:rsidR="0009002F" w:rsidRPr="00076261" w:rsidRDefault="0009002F" w:rsidP="0009002F">
            <w:pPr>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 xml:space="preserve">Earnings per </w:t>
            </w:r>
            <w:r w:rsidR="006A7C98" w:rsidRPr="00076261">
              <w:rPr>
                <w:rFonts w:ascii="Arial" w:hAnsi="Arial" w:cs="Arial"/>
                <w:b/>
                <w:bCs/>
                <w:color w:val="000000"/>
                <w:sz w:val="18"/>
                <w:szCs w:val="18"/>
                <w:u w:color="000000"/>
                <w:lang w:val="en-CA" w:eastAsia="en-CA"/>
              </w:rPr>
              <w:t>S</w:t>
            </w:r>
            <w:r w:rsidRPr="00076261">
              <w:rPr>
                <w:rFonts w:ascii="Arial" w:hAnsi="Arial" w:cs="Arial"/>
                <w:b/>
                <w:bCs/>
                <w:color w:val="000000"/>
                <w:sz w:val="18"/>
                <w:szCs w:val="18"/>
                <w:u w:color="000000"/>
                <w:lang w:val="en-CA" w:eastAsia="en-CA"/>
              </w:rPr>
              <w:t xml:space="preserve">hare for </w:t>
            </w:r>
            <w:r w:rsidR="006A7C98" w:rsidRPr="00076261">
              <w:rPr>
                <w:rFonts w:ascii="Arial" w:hAnsi="Arial" w:cs="Arial"/>
                <w:b/>
                <w:bCs/>
                <w:color w:val="000000"/>
                <w:sz w:val="18"/>
                <w:szCs w:val="18"/>
                <w:u w:color="000000"/>
                <w:lang w:val="en-CA" w:eastAsia="en-CA"/>
              </w:rPr>
              <w:t>P</w:t>
            </w:r>
            <w:r w:rsidRPr="00076261">
              <w:rPr>
                <w:rFonts w:ascii="Arial" w:hAnsi="Arial" w:cs="Arial"/>
                <w:b/>
                <w:bCs/>
                <w:color w:val="000000"/>
                <w:sz w:val="18"/>
                <w:szCs w:val="18"/>
                <w:u w:color="000000"/>
                <w:lang w:val="en-CA" w:eastAsia="en-CA"/>
              </w:rPr>
              <w:t xml:space="preserve">rofit </w:t>
            </w:r>
            <w:r w:rsidR="006A7C98" w:rsidRPr="00076261">
              <w:rPr>
                <w:rFonts w:ascii="Arial" w:hAnsi="Arial" w:cs="Arial"/>
                <w:b/>
                <w:bCs/>
                <w:color w:val="000000"/>
                <w:sz w:val="18"/>
                <w:szCs w:val="18"/>
                <w:u w:color="000000"/>
                <w:lang w:val="en-CA" w:eastAsia="en-CA"/>
              </w:rPr>
              <w:t>A</w:t>
            </w:r>
            <w:r w:rsidRPr="00076261">
              <w:rPr>
                <w:rFonts w:ascii="Arial" w:hAnsi="Arial" w:cs="Arial"/>
                <w:b/>
                <w:bCs/>
                <w:color w:val="000000"/>
                <w:sz w:val="18"/>
                <w:szCs w:val="18"/>
                <w:u w:color="000000"/>
                <w:lang w:val="en-CA" w:eastAsia="en-CA"/>
              </w:rPr>
              <w:t xml:space="preserve">ttributable to </w:t>
            </w:r>
            <w:r w:rsidR="006A7C98" w:rsidRPr="00076261">
              <w:rPr>
                <w:rFonts w:ascii="Arial" w:hAnsi="Arial" w:cs="Arial"/>
                <w:b/>
                <w:bCs/>
                <w:color w:val="000000"/>
                <w:sz w:val="18"/>
                <w:szCs w:val="18"/>
                <w:u w:color="000000"/>
                <w:lang w:val="en-CA" w:eastAsia="en-CA"/>
              </w:rPr>
              <w:t>O</w:t>
            </w:r>
            <w:r w:rsidRPr="00076261">
              <w:rPr>
                <w:rFonts w:ascii="Arial" w:hAnsi="Arial" w:cs="Arial"/>
                <w:b/>
                <w:bCs/>
                <w:color w:val="000000"/>
                <w:sz w:val="18"/>
                <w:szCs w:val="18"/>
                <w:u w:color="000000"/>
                <w:lang w:val="en-CA" w:eastAsia="en-CA"/>
              </w:rPr>
              <w:t xml:space="preserve">wners of the </w:t>
            </w:r>
            <w:r w:rsidR="006A7C98" w:rsidRPr="00076261">
              <w:rPr>
                <w:rFonts w:ascii="Arial" w:hAnsi="Arial" w:cs="Arial"/>
                <w:b/>
                <w:bCs/>
                <w:color w:val="000000"/>
                <w:sz w:val="18"/>
                <w:szCs w:val="18"/>
                <w:u w:color="000000"/>
                <w:lang w:val="en-CA" w:eastAsia="en-CA"/>
              </w:rPr>
              <w:t>P</w:t>
            </w:r>
            <w:r w:rsidRPr="00076261">
              <w:rPr>
                <w:rFonts w:ascii="Arial" w:hAnsi="Arial" w:cs="Arial"/>
                <w:b/>
                <w:bCs/>
                <w:color w:val="000000"/>
                <w:sz w:val="18"/>
                <w:szCs w:val="18"/>
                <w:u w:color="000000"/>
                <w:lang w:val="en-CA" w:eastAsia="en-CA"/>
              </w:rPr>
              <w:t>arent</w:t>
            </w:r>
          </w:p>
        </w:tc>
        <w:tc>
          <w:tcPr>
            <w:tcW w:w="1260" w:type="dxa"/>
            <w:shd w:val="clear" w:color="auto" w:fill="auto"/>
            <w:noWrap/>
            <w:vAlign w:val="bottom"/>
            <w:hideMark/>
          </w:tcPr>
          <w:p w14:paraId="3A05EB24" w14:textId="77777777" w:rsidR="0009002F" w:rsidRPr="00076261" w:rsidRDefault="0009002F" w:rsidP="006A7C98">
            <w:pPr>
              <w:jc w:val="right"/>
              <w:rPr>
                <w:rFonts w:ascii="Arial" w:hAnsi="Arial" w:cs="Arial"/>
                <w:b/>
                <w:bCs/>
                <w:color w:val="000000"/>
                <w:sz w:val="18"/>
                <w:szCs w:val="18"/>
                <w:u w:color="000000"/>
                <w:lang w:val="en-CA" w:eastAsia="en-CA"/>
              </w:rPr>
            </w:pPr>
          </w:p>
        </w:tc>
        <w:tc>
          <w:tcPr>
            <w:tcW w:w="1217" w:type="dxa"/>
            <w:shd w:val="clear" w:color="auto" w:fill="auto"/>
            <w:noWrap/>
            <w:vAlign w:val="bottom"/>
            <w:hideMark/>
          </w:tcPr>
          <w:p w14:paraId="101A8F16" w14:textId="77777777" w:rsidR="0009002F" w:rsidRPr="00076261" w:rsidRDefault="0009002F" w:rsidP="006A7C98">
            <w:pPr>
              <w:jc w:val="right"/>
              <w:rPr>
                <w:rFonts w:ascii="Arial" w:hAnsi="Arial" w:cs="Arial"/>
                <w:sz w:val="18"/>
                <w:szCs w:val="18"/>
                <w:u w:color="000000"/>
                <w:lang w:val="en-CA" w:eastAsia="en-CA"/>
              </w:rPr>
            </w:pPr>
          </w:p>
        </w:tc>
      </w:tr>
      <w:tr w:rsidR="0009002F" w:rsidRPr="00076261" w14:paraId="539AFC16" w14:textId="77777777" w:rsidTr="004A28D3">
        <w:trPr>
          <w:trHeight w:val="56"/>
          <w:jc w:val="center"/>
        </w:trPr>
        <w:tc>
          <w:tcPr>
            <w:tcW w:w="3960" w:type="dxa"/>
            <w:shd w:val="clear" w:color="auto" w:fill="auto"/>
            <w:noWrap/>
            <w:vAlign w:val="bottom"/>
            <w:hideMark/>
          </w:tcPr>
          <w:p w14:paraId="40302309" w14:textId="77777777" w:rsidR="0009002F" w:rsidRPr="00076261" w:rsidRDefault="0009002F" w:rsidP="0009002F">
            <w:pPr>
              <w:ind w:firstLineChars="100" w:firstLine="180"/>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Basic</w:t>
            </w:r>
          </w:p>
        </w:tc>
        <w:tc>
          <w:tcPr>
            <w:tcW w:w="1260" w:type="dxa"/>
            <w:shd w:val="clear" w:color="auto" w:fill="auto"/>
            <w:noWrap/>
            <w:vAlign w:val="bottom"/>
            <w:hideMark/>
          </w:tcPr>
          <w:p w14:paraId="11BCE10C"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111.65</w:t>
            </w:r>
          </w:p>
        </w:tc>
        <w:tc>
          <w:tcPr>
            <w:tcW w:w="1217" w:type="dxa"/>
            <w:shd w:val="clear" w:color="auto" w:fill="auto"/>
            <w:noWrap/>
            <w:vAlign w:val="bottom"/>
            <w:hideMark/>
          </w:tcPr>
          <w:p w14:paraId="1612357F"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135.34</w:t>
            </w:r>
          </w:p>
        </w:tc>
      </w:tr>
      <w:tr w:rsidR="0009002F" w:rsidRPr="00076261" w14:paraId="293F921C" w14:textId="77777777" w:rsidTr="004A28D3">
        <w:trPr>
          <w:trHeight w:val="56"/>
          <w:jc w:val="center"/>
        </w:trPr>
        <w:tc>
          <w:tcPr>
            <w:tcW w:w="3960" w:type="dxa"/>
            <w:shd w:val="clear" w:color="auto" w:fill="auto"/>
            <w:noWrap/>
            <w:vAlign w:val="bottom"/>
            <w:hideMark/>
          </w:tcPr>
          <w:p w14:paraId="7BC5C59C" w14:textId="77777777" w:rsidR="0009002F" w:rsidRPr="00076261" w:rsidRDefault="0009002F" w:rsidP="0009002F">
            <w:pPr>
              <w:ind w:firstLineChars="100" w:firstLine="180"/>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Diluted</w:t>
            </w:r>
          </w:p>
        </w:tc>
        <w:tc>
          <w:tcPr>
            <w:tcW w:w="1260" w:type="dxa"/>
            <w:shd w:val="clear" w:color="auto" w:fill="auto"/>
            <w:noWrap/>
            <w:vAlign w:val="bottom"/>
            <w:hideMark/>
          </w:tcPr>
          <w:p w14:paraId="6D3AE7E8"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111.64</w:t>
            </w:r>
          </w:p>
        </w:tc>
        <w:tc>
          <w:tcPr>
            <w:tcW w:w="1217" w:type="dxa"/>
            <w:shd w:val="clear" w:color="auto" w:fill="auto"/>
            <w:noWrap/>
            <w:vAlign w:val="bottom"/>
            <w:hideMark/>
          </w:tcPr>
          <w:p w14:paraId="07DFA167" w14:textId="77777777" w:rsidR="0009002F" w:rsidRPr="00076261" w:rsidRDefault="0009002F" w:rsidP="006A7C98">
            <w:pPr>
              <w:jc w:val="right"/>
              <w:rPr>
                <w:rFonts w:ascii="Arial" w:hAnsi="Arial" w:cs="Arial"/>
                <w:b/>
                <w:bCs/>
                <w:color w:val="000000"/>
                <w:sz w:val="18"/>
                <w:szCs w:val="18"/>
                <w:u w:color="000000"/>
                <w:lang w:val="en-CA" w:eastAsia="en-CA"/>
              </w:rPr>
            </w:pPr>
            <w:r w:rsidRPr="00076261">
              <w:rPr>
                <w:rFonts w:ascii="Arial" w:hAnsi="Arial" w:cs="Arial"/>
                <w:b/>
                <w:bCs/>
                <w:color w:val="000000"/>
                <w:sz w:val="18"/>
                <w:szCs w:val="18"/>
                <w:u w:color="000000"/>
                <w:lang w:val="en-CA" w:eastAsia="en-CA"/>
              </w:rPr>
              <w:t>135.33</w:t>
            </w:r>
          </w:p>
        </w:tc>
      </w:tr>
    </w:tbl>
    <w:p w14:paraId="003B9DC5" w14:textId="11910404" w:rsidR="0009002F" w:rsidRPr="00076261" w:rsidRDefault="0009002F" w:rsidP="00B11B80">
      <w:pPr>
        <w:pStyle w:val="ExhibitText"/>
        <w:rPr>
          <w:rFonts w:eastAsia="SimSun"/>
          <w:sz w:val="12"/>
          <w:szCs w:val="12"/>
          <w:u w:color="000000"/>
          <w:bdr w:val="nil"/>
          <w:lang w:val="en-CA" w:eastAsia="zh-CN"/>
        </w:rPr>
      </w:pPr>
    </w:p>
    <w:p w14:paraId="0A202FC3" w14:textId="42A99E23" w:rsidR="0009002F" w:rsidRDefault="0009002F" w:rsidP="00B11B80">
      <w:pPr>
        <w:pStyle w:val="Footnote"/>
        <w:rPr>
          <w:rFonts w:eastAsia="SimSun" w:cs="Arial Unicode MS"/>
          <w:color w:val="000000"/>
          <w:spacing w:val="-4"/>
          <w:kern w:val="17"/>
          <w:u w:color="000000"/>
          <w:bdr w:val="nil"/>
          <w:lang w:val="en-CA" w:eastAsia="zh-CN"/>
        </w:rPr>
      </w:pPr>
      <w:r w:rsidRPr="00363E19">
        <w:rPr>
          <w:rFonts w:eastAsia="SimSun" w:cs="Arial Unicode MS"/>
          <w:color w:val="000000"/>
          <w:spacing w:val="-4"/>
          <w:kern w:val="17"/>
          <w:u w:color="000000"/>
          <w:bdr w:val="nil"/>
          <w:lang w:val="en-CA" w:eastAsia="zh-CN"/>
        </w:rPr>
        <w:t xml:space="preserve">Source: </w:t>
      </w:r>
      <w:r w:rsidRPr="00363E19">
        <w:rPr>
          <w:rFonts w:eastAsia="SimSun"/>
          <w:spacing w:val="-4"/>
          <w:kern w:val="17"/>
          <w:u w:color="000000"/>
          <w:bdr w:val="nil"/>
          <w:lang w:val="en-CA" w:eastAsia="zh-CN"/>
        </w:rPr>
        <w:t>Samsung</w:t>
      </w:r>
      <w:r w:rsidR="006A7C98" w:rsidRPr="00363E19">
        <w:rPr>
          <w:rFonts w:eastAsia="SimSun"/>
          <w:spacing w:val="-4"/>
          <w:kern w:val="17"/>
          <w:u w:color="000000"/>
          <w:bdr w:val="nil"/>
          <w:lang w:val="en-CA" w:eastAsia="zh-CN"/>
        </w:rPr>
        <w:t xml:space="preserve"> Electronics Co., Ltd.</w:t>
      </w:r>
      <w:r w:rsidRPr="00363E19">
        <w:rPr>
          <w:rFonts w:eastAsia="SimSun"/>
          <w:spacing w:val="-4"/>
          <w:kern w:val="17"/>
          <w:u w:color="000000"/>
          <w:bdr w:val="nil"/>
          <w:lang w:val="en-CA" w:eastAsia="zh-CN"/>
        </w:rPr>
        <w:t xml:space="preserve">, </w:t>
      </w:r>
      <w:r w:rsidRPr="00363E19">
        <w:rPr>
          <w:rFonts w:eastAsia="SimSun"/>
          <w:i/>
          <w:spacing w:val="-4"/>
          <w:kern w:val="17"/>
          <w:u w:color="000000"/>
          <w:bdr w:val="nil"/>
          <w:lang w:val="en-CA" w:eastAsia="zh-CN"/>
        </w:rPr>
        <w:t>Consolidated Financial Statements</w:t>
      </w:r>
      <w:r w:rsidR="006A7C98" w:rsidRPr="00363E19">
        <w:rPr>
          <w:rFonts w:eastAsia="SimSun"/>
          <w:i/>
          <w:spacing w:val="-4"/>
          <w:kern w:val="17"/>
          <w:u w:color="000000"/>
          <w:bdr w:val="nil"/>
          <w:lang w:val="en-CA" w:eastAsia="zh-CN"/>
        </w:rPr>
        <w:t xml:space="preserve"> of Samsung Electronics Co., Ltd. and Subsidiaries</w:t>
      </w:r>
      <w:r w:rsidRPr="00363E19">
        <w:rPr>
          <w:rFonts w:eastAsia="SimSun"/>
          <w:spacing w:val="-4"/>
          <w:kern w:val="17"/>
          <w:u w:color="000000"/>
          <w:bdr w:val="nil"/>
          <w:lang w:val="en-CA" w:eastAsia="zh-CN"/>
        </w:rPr>
        <w:t>, 3</w:t>
      </w:r>
      <w:r w:rsidR="006A7C98" w:rsidRPr="00363E19">
        <w:rPr>
          <w:rFonts w:eastAsia="SimSun"/>
          <w:spacing w:val="-4"/>
          <w:kern w:val="17"/>
          <w:u w:color="000000"/>
          <w:bdr w:val="nil"/>
          <w:lang w:val="en-CA" w:eastAsia="zh-CN"/>
        </w:rPr>
        <w:t>–</w:t>
      </w:r>
      <w:r w:rsidR="004A28D3" w:rsidRPr="00363E19">
        <w:rPr>
          <w:rFonts w:eastAsia="SimSun"/>
          <w:spacing w:val="-4"/>
          <w:kern w:val="17"/>
          <w:u w:color="000000"/>
          <w:bdr w:val="nil"/>
          <w:lang w:val="en-CA" w:eastAsia="zh-CN"/>
        </w:rPr>
        <w:t>6, accessed December 14, </w:t>
      </w:r>
      <w:r w:rsidRPr="00363E19">
        <w:rPr>
          <w:rFonts w:eastAsia="SimSun"/>
          <w:spacing w:val="-4"/>
          <w:kern w:val="17"/>
          <w:u w:color="000000"/>
          <w:bdr w:val="nil"/>
          <w:lang w:val="en-CA" w:eastAsia="zh-CN"/>
        </w:rPr>
        <w:t xml:space="preserve">2018, </w:t>
      </w:r>
      <w:r w:rsidR="00363E19" w:rsidRPr="00363E19">
        <w:rPr>
          <w:rFonts w:eastAsia="SimSun"/>
          <w:spacing w:val="-4"/>
          <w:kern w:val="17"/>
          <w:u w:color="000000"/>
          <w:bdr w:val="nil"/>
          <w:lang w:val="en-CA" w:eastAsia="zh-CN"/>
        </w:rPr>
        <w:t>https://images.samsung.com/is/content/samsung/p5/global/ir/docs/2015_con_quarter04 _all.pdf</w:t>
      </w:r>
      <w:r w:rsidRPr="00363E19">
        <w:rPr>
          <w:rFonts w:eastAsia="SimSun" w:cs="Arial Unicode MS"/>
          <w:color w:val="000000"/>
          <w:spacing w:val="-4"/>
          <w:kern w:val="17"/>
          <w:u w:color="000000"/>
          <w:bdr w:val="nil"/>
          <w:lang w:val="en-CA" w:eastAsia="zh-CN"/>
        </w:rPr>
        <w:t>.</w:t>
      </w:r>
    </w:p>
    <w:p w14:paraId="7A1690B8" w14:textId="77777777" w:rsidR="00363E19" w:rsidRPr="00363E19" w:rsidRDefault="00363E19" w:rsidP="00B11B80">
      <w:pPr>
        <w:pStyle w:val="Footnote"/>
        <w:rPr>
          <w:rFonts w:eastAsia="SimSun" w:cs="Arial Unicode MS"/>
          <w:color w:val="000000"/>
          <w:spacing w:val="-4"/>
          <w:kern w:val="17"/>
          <w:u w:color="000000"/>
          <w:bdr w:val="nil"/>
          <w:lang w:val="en-CA" w:eastAsia="zh-CN"/>
        </w:rPr>
      </w:pPr>
    </w:p>
    <w:p w14:paraId="6563006E" w14:textId="77777777" w:rsidR="0009002F" w:rsidRPr="00076261" w:rsidRDefault="0009002F" w:rsidP="00B11B80">
      <w:pPr>
        <w:pStyle w:val="ExhibitHeading"/>
        <w:rPr>
          <w:rFonts w:eastAsia="SimSun"/>
          <w:u w:color="000000"/>
          <w:bdr w:val="nil"/>
          <w:lang w:val="en-CA" w:eastAsia="zh-CN"/>
        </w:rPr>
      </w:pPr>
      <w:r w:rsidRPr="00076261">
        <w:rPr>
          <w:rFonts w:eastAsia="SimSun"/>
          <w:u w:color="000000"/>
          <w:bdr w:val="nil"/>
          <w:lang w:val="en-CA" w:eastAsia="zh-CN"/>
        </w:rPr>
        <w:lastRenderedPageBreak/>
        <w:t>Exhibit 2: Internet of Things Wireless Communications Standards and Channels</w:t>
      </w:r>
    </w:p>
    <w:p w14:paraId="22146011" w14:textId="77777777" w:rsidR="0009002F" w:rsidRPr="00076261" w:rsidRDefault="0009002F" w:rsidP="00B11B80">
      <w:pPr>
        <w:pStyle w:val="ExhibitText"/>
        <w:rPr>
          <w:rFonts w:eastAsia="SimSun"/>
          <w:u w:color="000000"/>
          <w:bdr w:val="nil"/>
          <w:lang w:val="en-CA" w:eastAsia="zh-CN"/>
        </w:rPr>
      </w:pPr>
    </w:p>
    <w:p w14:paraId="02B6396E" w14:textId="68DAF049" w:rsidR="0009002F" w:rsidRPr="00076261" w:rsidRDefault="00774322" w:rsidP="0009002F">
      <w:pPr>
        <w:pBdr>
          <w:top w:val="nil"/>
          <w:left w:val="nil"/>
          <w:bottom w:val="nil"/>
          <w:right w:val="nil"/>
          <w:between w:val="nil"/>
          <w:bar w:val="nil"/>
        </w:pBdr>
        <w:jc w:val="both"/>
        <w:rPr>
          <w:rFonts w:ascii="Arial" w:eastAsia="SimSun" w:hAnsi="Arial" w:cs="Arial"/>
          <w:b/>
          <w:color w:val="000000"/>
          <w:kern w:val="2"/>
          <w:sz w:val="24"/>
          <w:szCs w:val="24"/>
          <w:u w:color="000000"/>
          <w:bdr w:val="nil"/>
          <w:lang w:val="en-CA" w:eastAsia="zh-CN"/>
        </w:rPr>
      </w:pPr>
      <w:r w:rsidRPr="00076261">
        <w:rPr>
          <w:rFonts w:eastAsia="SimSun"/>
          <w:noProof/>
          <w:lang w:val="en-CA" w:eastAsia="en-CA"/>
        </w:rPr>
        <w:drawing>
          <wp:inline distT="0" distB="0" distL="0" distR="0" wp14:anchorId="40804532" wp14:editId="5FD9CFEE">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23C5EEDB" w14:textId="77777777" w:rsidR="0009002F" w:rsidRPr="00076261" w:rsidRDefault="0009002F" w:rsidP="00B11B80">
      <w:pPr>
        <w:pStyle w:val="ExhibitText"/>
        <w:rPr>
          <w:rFonts w:eastAsia="SimSun"/>
          <w:u w:color="000000"/>
          <w:bdr w:val="nil"/>
          <w:lang w:val="en-CA" w:eastAsia="zh-CN"/>
        </w:rPr>
      </w:pPr>
    </w:p>
    <w:p w14:paraId="4C69737B" w14:textId="19B29CA0" w:rsidR="00BA17EC" w:rsidRPr="00076261" w:rsidRDefault="00BA17EC" w:rsidP="00B11B80">
      <w:pPr>
        <w:pStyle w:val="Footnote"/>
        <w:rPr>
          <w:rFonts w:eastAsia="SimSun"/>
          <w:u w:color="000000"/>
          <w:bdr w:val="nil"/>
          <w:lang w:val="en-CA" w:eastAsia="zh-CN"/>
        </w:rPr>
      </w:pPr>
      <w:r w:rsidRPr="00076261">
        <w:rPr>
          <w:rFonts w:eastAsia="SimSun"/>
          <w:u w:color="000000"/>
          <w:bdr w:val="nil"/>
          <w:lang w:val="en-CA" w:eastAsia="zh-CN"/>
        </w:rPr>
        <w:t xml:space="preserve">Note: M2M = </w:t>
      </w:r>
      <w:r w:rsidR="001315D8" w:rsidRPr="00076261">
        <w:rPr>
          <w:rFonts w:eastAsia="SimSun"/>
          <w:u w:color="000000"/>
          <w:bdr w:val="nil"/>
          <w:lang w:val="en-CA" w:eastAsia="zh-CN"/>
        </w:rPr>
        <w:t>Modem-to-Modem</w:t>
      </w:r>
      <w:r w:rsidR="009C2FA9" w:rsidRPr="00076261">
        <w:rPr>
          <w:rFonts w:eastAsia="SimSun"/>
          <w:u w:color="000000"/>
          <w:bdr w:val="nil"/>
          <w:lang w:val="en-CA" w:eastAsia="zh-CN"/>
        </w:rPr>
        <w:t xml:space="preserve">; LP Wi-Fi = </w:t>
      </w:r>
      <w:r w:rsidR="001315D8" w:rsidRPr="00076261">
        <w:rPr>
          <w:rFonts w:eastAsia="SimSun"/>
          <w:u w:color="000000"/>
          <w:bdr w:val="nil"/>
          <w:lang w:val="en-CA" w:eastAsia="zh-CN"/>
        </w:rPr>
        <w:t>Low Power Wi-Fi</w:t>
      </w:r>
      <w:r w:rsidR="009C2FA9" w:rsidRPr="00076261">
        <w:rPr>
          <w:rFonts w:eastAsia="SimSun"/>
          <w:u w:color="000000"/>
          <w:bdr w:val="nil"/>
          <w:lang w:val="en-CA" w:eastAsia="zh-CN"/>
        </w:rPr>
        <w:t xml:space="preserve">; BTLE = </w:t>
      </w:r>
      <w:r w:rsidR="001315D8" w:rsidRPr="00076261">
        <w:rPr>
          <w:rFonts w:eastAsia="SimSun"/>
          <w:u w:color="000000"/>
          <w:bdr w:val="nil"/>
          <w:lang w:val="en-CA" w:eastAsia="zh-CN"/>
        </w:rPr>
        <w:t>Bluetooth Low Energy</w:t>
      </w:r>
      <w:r w:rsidR="009C2FA9" w:rsidRPr="00076261">
        <w:rPr>
          <w:rFonts w:eastAsia="SimSun"/>
          <w:u w:color="000000"/>
          <w:bdr w:val="nil"/>
          <w:lang w:val="en-CA" w:eastAsia="zh-CN"/>
        </w:rPr>
        <w:t>.</w:t>
      </w:r>
    </w:p>
    <w:p w14:paraId="7B68FC62" w14:textId="6A72AD26" w:rsidR="0009002F" w:rsidRPr="00076261" w:rsidRDefault="0009002F" w:rsidP="00B11B80">
      <w:pPr>
        <w:pStyle w:val="Footnote"/>
        <w:rPr>
          <w:rFonts w:eastAsia="SimSun"/>
          <w:b/>
          <w:sz w:val="24"/>
          <w:szCs w:val="24"/>
          <w:u w:color="000000"/>
          <w:bdr w:val="nil"/>
          <w:lang w:val="en-CA" w:eastAsia="zh-CN"/>
        </w:rPr>
      </w:pPr>
      <w:r w:rsidRPr="00076261">
        <w:rPr>
          <w:rFonts w:eastAsia="SimSun"/>
          <w:u w:color="000000"/>
          <w:bdr w:val="nil"/>
          <w:lang w:val="en-CA" w:eastAsia="zh-CN"/>
        </w:rPr>
        <w:t xml:space="preserve">Source: </w:t>
      </w:r>
      <w:r w:rsidR="00EE1D4B" w:rsidRPr="00076261">
        <w:rPr>
          <w:rFonts w:eastAsia="SimSun"/>
          <w:u w:color="000000"/>
          <w:bdr w:val="nil"/>
          <w:lang w:val="en-CA" w:eastAsia="zh-CN"/>
        </w:rPr>
        <w:t>Adapted by the case authors from</w:t>
      </w:r>
      <w:r w:rsidRPr="00076261">
        <w:rPr>
          <w:rFonts w:eastAsia="SimSun"/>
          <w:u w:color="000000"/>
          <w:bdr w:val="nil"/>
          <w:lang w:val="en-CA" w:eastAsia="zh-CN"/>
        </w:rPr>
        <w:t xml:space="preserve"> “Connectivity for </w:t>
      </w:r>
      <w:proofErr w:type="spellStart"/>
      <w:r w:rsidRPr="00076261">
        <w:rPr>
          <w:rFonts w:eastAsia="SimSun"/>
          <w:u w:color="000000"/>
          <w:bdr w:val="nil"/>
          <w:lang w:val="en-CA" w:eastAsia="zh-CN"/>
        </w:rPr>
        <w:t>IoT</w:t>
      </w:r>
      <w:proofErr w:type="spellEnd"/>
      <w:r w:rsidR="00EE1D4B" w:rsidRPr="00076261">
        <w:rPr>
          <w:rFonts w:eastAsia="SimSun"/>
          <w:u w:color="000000"/>
          <w:bdr w:val="nil"/>
          <w:lang w:val="en-CA" w:eastAsia="zh-CN"/>
        </w:rPr>
        <w:t>,</w:t>
      </w:r>
      <w:r w:rsidRPr="00076261">
        <w:rPr>
          <w:rFonts w:eastAsia="SimSun"/>
          <w:u w:color="000000"/>
          <w:bdr w:val="nil"/>
          <w:lang w:val="en-CA" w:eastAsia="zh-CN"/>
        </w:rPr>
        <w:t>”</w:t>
      </w:r>
      <w:r w:rsidR="00EE1D4B" w:rsidRPr="00076261">
        <w:rPr>
          <w:rFonts w:eastAsia="SimSun"/>
          <w:u w:color="000000"/>
          <w:bdr w:val="nil"/>
          <w:lang w:val="en-CA" w:eastAsia="zh-CN"/>
        </w:rPr>
        <w:t xml:space="preserve"> Imagination Technologies</w:t>
      </w:r>
      <w:r w:rsidRPr="00076261">
        <w:rPr>
          <w:rFonts w:eastAsia="SimSun"/>
          <w:u w:color="000000"/>
          <w:bdr w:val="nil"/>
          <w:lang w:val="en-CA" w:eastAsia="zh-CN"/>
        </w:rPr>
        <w:t>, accessed December 14, 2018, https://cdn57.androidauthority.net/wp-content/uploads/2015/08/imgtec-ensigma-and-iot-1280x720.png</w:t>
      </w:r>
      <w:r w:rsidR="00B11B80" w:rsidRPr="00076261">
        <w:rPr>
          <w:rFonts w:eastAsia="SimSun"/>
          <w:u w:color="000000"/>
          <w:bdr w:val="nil"/>
          <w:lang w:val="en-CA" w:eastAsia="zh-CN"/>
        </w:rPr>
        <w:t>.</w:t>
      </w:r>
    </w:p>
    <w:p w14:paraId="524EE178" w14:textId="3991FAD7" w:rsidR="0009002F" w:rsidRPr="00076261" w:rsidRDefault="0009002F">
      <w:pPr>
        <w:spacing w:after="200" w:line="276" w:lineRule="auto"/>
        <w:rPr>
          <w:rFonts w:ascii="Arial" w:hAnsi="Arial" w:cs="Arial"/>
          <w:b/>
          <w:caps/>
          <w:lang w:val="en-CA"/>
        </w:rPr>
      </w:pPr>
      <w:r w:rsidRPr="00076261">
        <w:rPr>
          <w:lang w:val="en-CA"/>
        </w:rPr>
        <w:br w:type="page"/>
      </w:r>
    </w:p>
    <w:p w14:paraId="3050D5B6" w14:textId="7032D875" w:rsidR="00B87DC0" w:rsidRPr="00076261" w:rsidRDefault="0009002F" w:rsidP="002B40FF">
      <w:pPr>
        <w:pStyle w:val="Casehead1"/>
        <w:rPr>
          <w:lang w:val="en-CA"/>
        </w:rPr>
      </w:pPr>
      <w:r w:rsidRPr="00076261">
        <w:rPr>
          <w:lang w:val="en-CA"/>
        </w:rPr>
        <w:lastRenderedPageBreak/>
        <w:t>ENDNOTES</w:t>
      </w:r>
    </w:p>
    <w:sectPr w:rsidR="00B87DC0" w:rsidRPr="00076261"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8147C" w16cid:durableId="21139140"/>
  <w16cid:commentId w16cid:paraId="39FF3F6E" w16cid:durableId="21226557"/>
  <w16cid:commentId w16cid:paraId="18354D36" w16cid:durableId="21138F67"/>
  <w16cid:commentId w16cid:paraId="7F082058" w16cid:durableId="21226586"/>
  <w16cid:commentId w16cid:paraId="24EF4194" w16cid:durableId="21139033"/>
  <w16cid:commentId w16cid:paraId="1CDD38D9" w16cid:durableId="2113903C"/>
  <w16cid:commentId w16cid:paraId="08FBE1A0" w16cid:durableId="21139044"/>
  <w16cid:commentId w16cid:paraId="09F9A26C" w16cid:durableId="212266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97757" w14:textId="77777777" w:rsidR="008123DB" w:rsidRDefault="008123DB" w:rsidP="00D75295">
      <w:r>
        <w:separator/>
      </w:r>
    </w:p>
  </w:endnote>
  <w:endnote w:type="continuationSeparator" w:id="0">
    <w:p w14:paraId="14689F74" w14:textId="77777777" w:rsidR="008123DB" w:rsidRDefault="008123DB" w:rsidP="00D75295">
      <w:r>
        <w:continuationSeparator/>
      </w:r>
    </w:p>
  </w:endnote>
  <w:endnote w:id="1">
    <w:p w14:paraId="45872958" w14:textId="232B4834" w:rsidR="00B34EC9" w:rsidRPr="00053FFD" w:rsidRDefault="00B34EC9">
      <w:pPr>
        <w:pStyle w:val="EndnoteText"/>
        <w:rPr>
          <w:lang w:val="en-GB"/>
        </w:rPr>
      </w:pPr>
      <w:r w:rsidRPr="00053FFD">
        <w:rPr>
          <w:rStyle w:val="EndnoteReference"/>
          <w:lang w:val="en-GB"/>
        </w:rPr>
        <w:endnoteRef/>
      </w:r>
      <w:r w:rsidRPr="00053FFD">
        <w:rPr>
          <w:lang w:val="en-GB"/>
        </w:rPr>
        <w:t xml:space="preserve"> </w:t>
      </w:r>
      <w:r w:rsidRPr="00053FFD">
        <w:rPr>
          <w:rFonts w:ascii="Arial" w:hAnsi="Arial" w:cs="Arial"/>
          <w:sz w:val="17"/>
          <w:szCs w:val="17"/>
          <w:lang w:val="en-GB"/>
        </w:rPr>
        <w:t xml:space="preserve">This case has been written on the basis of published sources only. Consequently, the interpretation and perspectives presented in this case are not necessarily those of Samsung Electronics </w:t>
      </w:r>
      <w:r w:rsidR="003B1CFF">
        <w:rPr>
          <w:rFonts w:ascii="Arial" w:hAnsi="Arial" w:cs="Arial"/>
          <w:sz w:val="17"/>
          <w:szCs w:val="17"/>
          <w:lang w:val="en-GB"/>
        </w:rPr>
        <w:t>Co. L</w:t>
      </w:r>
      <w:bookmarkStart w:id="0" w:name="_GoBack"/>
      <w:bookmarkEnd w:id="0"/>
      <w:r w:rsidR="003B1CFF">
        <w:rPr>
          <w:rFonts w:ascii="Arial" w:hAnsi="Arial" w:cs="Arial"/>
          <w:sz w:val="17"/>
          <w:szCs w:val="17"/>
          <w:lang w:val="en-GB"/>
        </w:rPr>
        <w:t xml:space="preserve">td. </w:t>
      </w:r>
      <w:r w:rsidRPr="00053FFD">
        <w:rPr>
          <w:rFonts w:ascii="Arial" w:hAnsi="Arial" w:cs="Arial"/>
          <w:sz w:val="17"/>
          <w:szCs w:val="17"/>
          <w:lang w:val="en-GB"/>
        </w:rPr>
        <w:t>or any of its employees.</w:t>
      </w:r>
    </w:p>
  </w:endnote>
  <w:endnote w:id="2">
    <w:p w14:paraId="707CEB1B" w14:textId="6F0AE5A4"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w:t>
      </w:r>
      <w:proofErr w:type="spellStart"/>
      <w:r w:rsidRPr="00053FFD">
        <w:rPr>
          <w:lang w:val="en-GB"/>
        </w:rPr>
        <w:t>Knud</w:t>
      </w:r>
      <w:proofErr w:type="spellEnd"/>
      <w:r w:rsidRPr="00053FFD">
        <w:rPr>
          <w:lang w:val="en-GB"/>
        </w:rPr>
        <w:t xml:space="preserve"> Lasse </w:t>
      </w:r>
      <w:proofErr w:type="spellStart"/>
      <w:r w:rsidRPr="00053FFD">
        <w:rPr>
          <w:lang w:val="en-GB"/>
        </w:rPr>
        <w:t>Lueth</w:t>
      </w:r>
      <w:proofErr w:type="spellEnd"/>
      <w:r w:rsidRPr="00053FFD">
        <w:rPr>
          <w:lang w:val="en-GB"/>
        </w:rPr>
        <w:t xml:space="preserve">, “Why the Internet of Things Is Called Internet of Things: Definition, History, Disambiguation,” </w:t>
      </w:r>
      <w:proofErr w:type="spellStart"/>
      <w:r w:rsidRPr="00053FFD">
        <w:rPr>
          <w:lang w:val="en-GB"/>
        </w:rPr>
        <w:t>IoT</w:t>
      </w:r>
      <w:proofErr w:type="spellEnd"/>
      <w:r w:rsidRPr="00053FFD">
        <w:rPr>
          <w:lang w:val="en-GB"/>
        </w:rPr>
        <w:t xml:space="preserve"> Analytics, December 19, 2014, accessed December 14, 2018, </w:t>
      </w:r>
      <w:r w:rsidRPr="00053FFD">
        <w:rPr>
          <w:rStyle w:val="Hyperlink"/>
          <w:color w:val="auto"/>
          <w:u w:val="none"/>
          <w:lang w:val="en-GB"/>
        </w:rPr>
        <w:t>https://iot-analytics.com/internet-of-things-definition.</w:t>
      </w:r>
    </w:p>
  </w:endnote>
  <w:endnote w:id="3">
    <w:p w14:paraId="644F06F7" w14:textId="561F82E9" w:rsidR="00B34EC9" w:rsidRPr="00053FFD" w:rsidRDefault="00B34EC9" w:rsidP="00092DF0">
      <w:pPr>
        <w:pStyle w:val="Footnote"/>
        <w:rPr>
          <w:lang w:val="en-GB"/>
        </w:rPr>
      </w:pPr>
      <w:r w:rsidRPr="00053FFD">
        <w:rPr>
          <w:rStyle w:val="EndnoteReference"/>
          <w:lang w:val="en-GB"/>
        </w:rPr>
        <w:endnoteRef/>
      </w:r>
      <w:r w:rsidRPr="00053FFD">
        <w:rPr>
          <w:lang w:val="en-GB"/>
        </w:rPr>
        <w:t xml:space="preserve"> All currency amounts are in US$ unless otherwise specified.</w:t>
      </w:r>
    </w:p>
  </w:endnote>
  <w:endnote w:id="4">
    <w:p w14:paraId="03546459" w14:textId="23C78122"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Samuel Gibbs, “Samsung Pledges over $100m to Make an Open ‘Internet of Things’ Finally Happen,” </w:t>
      </w:r>
      <w:r w:rsidRPr="00053FFD">
        <w:rPr>
          <w:i/>
          <w:lang w:val="en-GB"/>
        </w:rPr>
        <w:t>The Guardian</w:t>
      </w:r>
      <w:r w:rsidRPr="00053FFD">
        <w:rPr>
          <w:lang w:val="en-GB"/>
        </w:rPr>
        <w:t xml:space="preserve">, January 6, 2015, accessed December 14, 2018, </w:t>
      </w:r>
      <w:r w:rsidRPr="00053FFD">
        <w:rPr>
          <w:rStyle w:val="Hyperlink"/>
          <w:color w:val="auto"/>
          <w:u w:val="none"/>
          <w:lang w:val="en-GB"/>
        </w:rPr>
        <w:t>www.theguardian.com/technology/2015/jan/06/samsung-pledges-over-100bn-to-make-an-open-internet-of-things-finally-happen.</w:t>
      </w:r>
    </w:p>
  </w:endnote>
  <w:endnote w:id="5">
    <w:p w14:paraId="68EBB365" w14:textId="4254D218" w:rsidR="00B34EC9" w:rsidRPr="00053FFD" w:rsidRDefault="00B34EC9" w:rsidP="00B11B80">
      <w:pPr>
        <w:pStyle w:val="Footnote"/>
        <w:rPr>
          <w:lang w:val="en-GB"/>
        </w:rPr>
      </w:pPr>
      <w:r w:rsidRPr="00053FFD">
        <w:rPr>
          <w:rStyle w:val="EndnoteReference"/>
          <w:lang w:val="en-GB"/>
        </w:rPr>
        <w:endnoteRef/>
      </w:r>
      <w:r w:rsidRPr="00053FFD">
        <w:rPr>
          <w:lang w:val="en-GB"/>
        </w:rPr>
        <w:t> </w:t>
      </w:r>
      <w:bookmarkStart w:id="1" w:name="_Hlk18068300"/>
      <w:r w:rsidRPr="00053FFD">
        <w:rPr>
          <w:lang w:val="en-GB"/>
        </w:rPr>
        <w:t>Euromonitor International, “Consumer Electronics,” Passport, accessed December 14, 2018, www.portal.euromonitor.com/portal/statisticsevolution/index#</w:t>
      </w:r>
      <w:r>
        <w:rPr>
          <w:lang w:val="en-GB"/>
        </w:rPr>
        <w:t>.</w:t>
      </w:r>
      <w:bookmarkEnd w:id="1"/>
    </w:p>
  </w:endnote>
  <w:endnote w:id="6">
    <w:p w14:paraId="354E1A03" w14:textId="77B79F7C" w:rsidR="00B34EC9" w:rsidRPr="00053FFD" w:rsidRDefault="00B34EC9" w:rsidP="00B11B80">
      <w:pPr>
        <w:pStyle w:val="Footnote"/>
        <w:rPr>
          <w:spacing w:val="-4"/>
          <w:kern w:val="17"/>
          <w:lang w:val="en-GB"/>
        </w:rPr>
      </w:pPr>
      <w:r w:rsidRPr="00053FFD">
        <w:rPr>
          <w:rStyle w:val="EndnoteReference"/>
          <w:spacing w:val="-4"/>
          <w:kern w:val="17"/>
          <w:lang w:val="en-GB"/>
        </w:rPr>
        <w:endnoteRef/>
      </w:r>
      <w:r w:rsidRPr="00053FFD">
        <w:rPr>
          <w:spacing w:val="-4"/>
          <w:kern w:val="17"/>
          <w:lang w:val="en-GB"/>
        </w:rPr>
        <w:t xml:space="preserve"> Samsung Electronics Co., Ltd., </w:t>
      </w:r>
      <w:r w:rsidRPr="00053FFD">
        <w:rPr>
          <w:i/>
          <w:spacing w:val="-4"/>
          <w:kern w:val="17"/>
          <w:lang w:val="en-GB"/>
        </w:rPr>
        <w:t>Consolidated Financial Statements of Samsung Electronics Co., Ltd. and Subsidiaries</w:t>
      </w:r>
      <w:r w:rsidRPr="00053FFD">
        <w:rPr>
          <w:spacing w:val="-4"/>
          <w:kern w:val="17"/>
          <w:lang w:val="en-GB"/>
        </w:rPr>
        <w:t>, 4, accessed December 14, 2018, </w:t>
      </w:r>
      <w:r w:rsidRPr="00053FFD">
        <w:rPr>
          <w:rFonts w:eastAsia="SimSun"/>
          <w:spacing w:val="-4"/>
          <w:kern w:val="17"/>
          <w:u w:color="000000"/>
          <w:bdr w:val="nil"/>
          <w:lang w:val="en-GB" w:eastAsia="zh-CN"/>
        </w:rPr>
        <w:t>https://images.samsung.com/is/content/samsung/p5/global/ir/docs/2015_con_quarter04_all.pdf.</w:t>
      </w:r>
      <w:r w:rsidRPr="00053FFD">
        <w:rPr>
          <w:spacing w:val="-4"/>
          <w:kern w:val="17"/>
          <w:lang w:val="en-GB"/>
        </w:rPr>
        <w:t xml:space="preserve"> </w:t>
      </w:r>
    </w:p>
  </w:endnote>
  <w:endnote w:id="7">
    <w:p w14:paraId="1048A349" w14:textId="1B0257DB"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James </w:t>
      </w:r>
      <w:proofErr w:type="spellStart"/>
      <w:r w:rsidRPr="00053FFD">
        <w:rPr>
          <w:lang w:val="en-GB"/>
        </w:rPr>
        <w:t>Estrin</w:t>
      </w:r>
      <w:proofErr w:type="spellEnd"/>
      <w:r w:rsidRPr="00053FFD">
        <w:rPr>
          <w:lang w:val="en-GB"/>
        </w:rPr>
        <w:t xml:space="preserve">, “Samsung and the South Korean Success Story,” </w:t>
      </w:r>
      <w:r w:rsidRPr="00053FFD">
        <w:rPr>
          <w:i/>
          <w:lang w:val="en-GB"/>
        </w:rPr>
        <w:t>New York Times</w:t>
      </w:r>
      <w:r w:rsidRPr="00053FFD">
        <w:rPr>
          <w:lang w:val="en-GB"/>
        </w:rPr>
        <w:t>, November 13, 2015, accessed December 14, 2018, https://lens.blogs.nytimes.com/2015/11/13/samsung-and-the-south-korean-success-story.</w:t>
      </w:r>
    </w:p>
  </w:endnote>
  <w:endnote w:id="8">
    <w:p w14:paraId="4DACD1DA" w14:textId="52297331"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Jay </w:t>
      </w:r>
      <w:proofErr w:type="spellStart"/>
      <w:r w:rsidRPr="00053FFD">
        <w:rPr>
          <w:lang w:val="en-GB"/>
        </w:rPr>
        <w:t>Yarow</w:t>
      </w:r>
      <w:proofErr w:type="spellEnd"/>
      <w:r w:rsidRPr="00053FFD">
        <w:rPr>
          <w:lang w:val="en-GB"/>
        </w:rPr>
        <w:t>, "13 Mind Blowing Facts about Samsung,” Business Insider, April 3</w:t>
      </w:r>
      <w:r>
        <w:rPr>
          <w:lang w:val="en-GB"/>
        </w:rPr>
        <w:t>,</w:t>
      </w:r>
      <w:r w:rsidRPr="00053FFD">
        <w:rPr>
          <w:lang w:val="en-GB"/>
        </w:rPr>
        <w:t xml:space="preserve"> 2013, accessed December 14, 2018, </w:t>
      </w:r>
      <w:r w:rsidRPr="00053FFD">
        <w:rPr>
          <w:rStyle w:val="Hyperlink"/>
          <w:color w:val="auto"/>
          <w:u w:val="none"/>
          <w:lang w:val="en-GB"/>
        </w:rPr>
        <w:t>www.businessinsider.com/mind-blowing-facts-about-samsung-2013-4?op=1#samsung-lists-145-products-on-its-web-site-under-the-cell-phones-category-apple-has-three-phones-in-two-different-colors-11.</w:t>
      </w:r>
    </w:p>
  </w:endnote>
  <w:endnote w:id="9">
    <w:p w14:paraId="79FB8A15" w14:textId="67B7E25D"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“Samsung Electronics Wins 38 </w:t>
      </w:r>
      <w:proofErr w:type="spellStart"/>
      <w:r w:rsidRPr="00053FFD">
        <w:rPr>
          <w:lang w:val="en-GB"/>
        </w:rPr>
        <w:t>iF</w:t>
      </w:r>
      <w:proofErr w:type="spellEnd"/>
      <w:r w:rsidRPr="00053FFD">
        <w:rPr>
          <w:lang w:val="en-GB"/>
        </w:rPr>
        <w:t xml:space="preserve"> Design Awards,” Samsung Electronics Co., Ltd., May 31, 2016, accessed December 14, 2018, </w:t>
      </w:r>
      <w:r w:rsidRPr="00053FFD">
        <w:rPr>
          <w:rStyle w:val="Hyperlink"/>
          <w:color w:val="auto"/>
          <w:u w:val="none"/>
          <w:lang w:val="en-GB"/>
        </w:rPr>
        <w:t>www.samsung.com/levant/news/global/samsung-electronics-wins-38-if-design-awards.</w:t>
      </w:r>
    </w:p>
  </w:endnote>
  <w:endnote w:id="10">
    <w:p w14:paraId="477381EB" w14:textId="7E79013B"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Jacob Morgan, “A Simple Explanation of ‘the Internet of Things,’” </w:t>
      </w:r>
      <w:r w:rsidRPr="00053FFD">
        <w:rPr>
          <w:i/>
          <w:lang w:val="en-GB"/>
        </w:rPr>
        <w:t>Forbes</w:t>
      </w:r>
      <w:r w:rsidRPr="00053FFD">
        <w:rPr>
          <w:lang w:val="en-GB"/>
        </w:rPr>
        <w:t xml:space="preserve">, May 13, 2014, accessed December 14, 2018, </w:t>
      </w:r>
      <w:r w:rsidRPr="00053FFD">
        <w:rPr>
          <w:rStyle w:val="Hyperlink"/>
          <w:color w:val="auto"/>
          <w:u w:val="none"/>
          <w:lang w:val="en-GB"/>
        </w:rPr>
        <w:t>www.forbes.com/sites/jacobmorgan/2014/05/13/simple-explanation-internet-things-that-anyone-can-understand/#390e1cf81d09.</w:t>
      </w:r>
    </w:p>
  </w:endnote>
  <w:endnote w:id="11">
    <w:p w14:paraId="354BEEBC" w14:textId="78C59E47"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w:t>
      </w:r>
      <w:proofErr w:type="spellStart"/>
      <w:r w:rsidRPr="00053FFD">
        <w:rPr>
          <w:lang w:val="en-GB"/>
        </w:rPr>
        <w:t>Knud</w:t>
      </w:r>
      <w:proofErr w:type="spellEnd"/>
      <w:r w:rsidRPr="00053FFD">
        <w:rPr>
          <w:lang w:val="en-GB"/>
        </w:rPr>
        <w:t xml:space="preserve"> Lasse </w:t>
      </w:r>
      <w:proofErr w:type="spellStart"/>
      <w:r w:rsidRPr="00053FFD">
        <w:rPr>
          <w:lang w:val="en-GB"/>
        </w:rPr>
        <w:t>Lueth</w:t>
      </w:r>
      <w:proofErr w:type="spellEnd"/>
      <w:r w:rsidRPr="00053FFD">
        <w:rPr>
          <w:lang w:val="en-GB"/>
        </w:rPr>
        <w:t xml:space="preserve">, “The 10 Most Popular Internet of Things Applications Right Now,” </w:t>
      </w:r>
      <w:proofErr w:type="spellStart"/>
      <w:r w:rsidRPr="00053FFD">
        <w:rPr>
          <w:lang w:val="en-GB"/>
        </w:rPr>
        <w:t>IoT</w:t>
      </w:r>
      <w:proofErr w:type="spellEnd"/>
      <w:r w:rsidRPr="00053FFD">
        <w:rPr>
          <w:lang w:val="en-GB"/>
        </w:rPr>
        <w:t xml:space="preserve"> Analytics, February 2, 2015, accessed May 26, 2019, https://iot-analytics.com/10-internet-of-things-applications.</w:t>
      </w:r>
    </w:p>
  </w:endnote>
  <w:endnote w:id="12">
    <w:p w14:paraId="285B4413" w14:textId="60ABC89C"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Anna-Katrina </w:t>
      </w:r>
      <w:proofErr w:type="spellStart"/>
      <w:r w:rsidRPr="00053FFD">
        <w:rPr>
          <w:lang w:val="en-GB"/>
        </w:rPr>
        <w:t>Shedletsky</w:t>
      </w:r>
      <w:proofErr w:type="spellEnd"/>
      <w:r w:rsidRPr="00053FFD">
        <w:rPr>
          <w:lang w:val="en-GB"/>
        </w:rPr>
        <w:t xml:space="preserve">, “Why Industrial IOT Is Usually a Failure—and How to Fix It,” </w:t>
      </w:r>
      <w:r w:rsidRPr="00053FFD">
        <w:rPr>
          <w:i/>
          <w:lang w:val="en-GB"/>
        </w:rPr>
        <w:t>Forbes</w:t>
      </w:r>
      <w:r w:rsidRPr="00053FFD">
        <w:rPr>
          <w:lang w:val="en-GB"/>
        </w:rPr>
        <w:t>, August 6, 2018, accessed December 14, 2018, www.forbes.com/sites/annashedletsky/2018/08/06/why-industrial-iot-is-usually-a-failure-and-how-to-fix-it/#e1bf31b42eda.</w:t>
      </w:r>
    </w:p>
  </w:endnote>
  <w:endnote w:id="13">
    <w:p w14:paraId="504F665E" w14:textId="41246619"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“Global Internet of Things Market Size,” Statista, accessed December 14, 2018, www.statista.com</w:t>
      </w:r>
      <w:r w:rsidRPr="00053FFD">
        <w:rPr>
          <w:rStyle w:val="Hyperlink"/>
          <w:color w:val="auto"/>
          <w:u w:val="none"/>
          <w:lang w:val="en-GB"/>
        </w:rPr>
        <w:t>/statistics/485136/global-internet-of-things-market-size.</w:t>
      </w:r>
    </w:p>
  </w:endnote>
  <w:endnote w:id="14">
    <w:p w14:paraId="761B1C4B" w14:textId="43938E11" w:rsidR="00B34EC9" w:rsidRPr="00053FFD" w:rsidRDefault="00B34EC9" w:rsidP="00B11B80">
      <w:pPr>
        <w:pStyle w:val="Footnote"/>
        <w:rPr>
          <w:spacing w:val="-4"/>
          <w:kern w:val="17"/>
          <w:lang w:val="en-GB"/>
        </w:rPr>
      </w:pPr>
      <w:r w:rsidRPr="00053FFD">
        <w:rPr>
          <w:rStyle w:val="EndnoteReference"/>
          <w:spacing w:val="-4"/>
          <w:kern w:val="17"/>
          <w:lang w:val="en-GB"/>
        </w:rPr>
        <w:endnoteRef/>
      </w:r>
      <w:r w:rsidR="00363E19">
        <w:rPr>
          <w:spacing w:val="-4"/>
          <w:kern w:val="17"/>
          <w:lang w:val="en-GB"/>
        </w:rPr>
        <w:t xml:space="preserve"> </w:t>
      </w:r>
      <w:r w:rsidR="00363E19" w:rsidRPr="00053FFD">
        <w:rPr>
          <w:spacing w:val="-4"/>
          <w:kern w:val="17"/>
          <w:lang w:val="en-GB"/>
        </w:rPr>
        <w:t xml:space="preserve">Christopher Mims, “2014 </w:t>
      </w:r>
      <w:proofErr w:type="gramStart"/>
      <w:r w:rsidR="00363E19" w:rsidRPr="00053FFD">
        <w:rPr>
          <w:spacing w:val="-4"/>
          <w:kern w:val="17"/>
          <w:lang w:val="en-GB"/>
        </w:rPr>
        <w:t>Is</w:t>
      </w:r>
      <w:proofErr w:type="gramEnd"/>
      <w:r w:rsidR="00363E19" w:rsidRPr="00053FFD">
        <w:rPr>
          <w:spacing w:val="-4"/>
          <w:kern w:val="17"/>
          <w:lang w:val="en-GB"/>
        </w:rPr>
        <w:t xml:space="preserve"> the Year of the Internet of Things—No, Seriously, We Mean It This Time,” Quartz, December 5, 2013, accessed December 14, 2018, </w:t>
      </w:r>
      <w:r w:rsidR="00363E19" w:rsidRPr="00053FFD">
        <w:rPr>
          <w:rStyle w:val="Hyperlink"/>
          <w:color w:val="auto"/>
          <w:spacing w:val="-4"/>
          <w:kern w:val="17"/>
          <w:u w:val="none"/>
          <w:lang w:val="en-GB"/>
        </w:rPr>
        <w:t>https://qz.com/154064/2014-is-the-year-of-the-internet-of-things-no-seriously-we-mean-it-this-time.</w:t>
      </w:r>
    </w:p>
  </w:endnote>
  <w:endnote w:id="15">
    <w:p w14:paraId="2F764C86" w14:textId="23C4D4FF"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Gary Marshall, “The Automated Home Is a Mess,” </w:t>
      </w:r>
      <w:proofErr w:type="spellStart"/>
      <w:r w:rsidRPr="00053FFD">
        <w:rPr>
          <w:lang w:val="en-GB"/>
        </w:rPr>
        <w:t>TechRadar</w:t>
      </w:r>
      <w:proofErr w:type="spellEnd"/>
      <w:r w:rsidRPr="00053FFD">
        <w:rPr>
          <w:lang w:val="en-GB"/>
        </w:rPr>
        <w:t xml:space="preserve">, March 6, 2016, accessed December 14, 2018, </w:t>
      </w:r>
      <w:r w:rsidRPr="00053FFD">
        <w:rPr>
          <w:rStyle w:val="Hyperlink"/>
          <w:color w:val="auto"/>
          <w:u w:val="none"/>
          <w:lang w:val="en-GB"/>
        </w:rPr>
        <w:t>www.techradar.com/news/world-of-tech/the-automated-home-is-a-mess-1316149.</w:t>
      </w:r>
    </w:p>
  </w:endnote>
  <w:endnote w:id="16">
    <w:p w14:paraId="68626FC4" w14:textId="512BEE7D"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Clayton M. Christensen, </w:t>
      </w:r>
      <w:r w:rsidRPr="00053FFD">
        <w:rPr>
          <w:i/>
          <w:lang w:val="en-GB"/>
        </w:rPr>
        <w:t>The Innovator's Dilemma: When New Technologies Cause Great Firms to Fail</w:t>
      </w:r>
      <w:r w:rsidRPr="00053FFD">
        <w:rPr>
          <w:lang w:val="en-GB"/>
        </w:rPr>
        <w:t xml:space="preserve"> (Boston, MA: Harvard Business School Press, 1997).</w:t>
      </w:r>
    </w:p>
  </w:endnote>
  <w:endnote w:id="17">
    <w:p w14:paraId="2A84FFD0" w14:textId="11AB0238"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18">
    <w:p w14:paraId="4B56918C" w14:textId="030D99DB"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w:t>
      </w:r>
      <w:proofErr w:type="spellStart"/>
      <w:r w:rsidRPr="00053FFD">
        <w:rPr>
          <w:lang w:val="en-GB"/>
        </w:rPr>
        <w:t>Thilo</w:t>
      </w:r>
      <w:proofErr w:type="spellEnd"/>
      <w:r w:rsidRPr="00053FFD">
        <w:rPr>
          <w:lang w:val="en-GB"/>
        </w:rPr>
        <w:t xml:space="preserve"> </w:t>
      </w:r>
      <w:proofErr w:type="spellStart"/>
      <w:r w:rsidRPr="00053FFD">
        <w:rPr>
          <w:lang w:val="en-GB"/>
        </w:rPr>
        <w:t>Koslowski</w:t>
      </w:r>
      <w:proofErr w:type="spellEnd"/>
      <w:r w:rsidRPr="00053FFD">
        <w:rPr>
          <w:lang w:val="en-GB"/>
        </w:rPr>
        <w:t xml:space="preserve">, Anurag Gupta, and Peter Middleton, “Forecast Analysis: Internet of Things—Endpoints, Worldwide, 2015 Update,” Gartner, December 15, 2015, accessed December 14, 2018, </w:t>
      </w:r>
      <w:r w:rsidRPr="00053FFD">
        <w:rPr>
          <w:rStyle w:val="Hyperlink"/>
          <w:color w:val="auto"/>
          <w:u w:val="none"/>
          <w:lang w:val="en-GB"/>
        </w:rPr>
        <w:t>www.gartner.com/en/documents/3178626.</w:t>
      </w:r>
    </w:p>
  </w:endnote>
  <w:endnote w:id="19">
    <w:p w14:paraId="3D27A818" w14:textId="7F8A822B"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Anne </w:t>
      </w:r>
      <w:proofErr w:type="spellStart"/>
      <w:r w:rsidRPr="00053FFD">
        <w:rPr>
          <w:lang w:val="en-GB"/>
        </w:rPr>
        <w:t>Bosche</w:t>
      </w:r>
      <w:proofErr w:type="spellEnd"/>
      <w:r>
        <w:rPr>
          <w:lang w:val="en-GB"/>
        </w:rPr>
        <w:t xml:space="preserve"> et al.</w:t>
      </w:r>
      <w:r w:rsidRPr="00053FFD">
        <w:rPr>
          <w:lang w:val="en-GB"/>
        </w:rPr>
        <w:t xml:space="preserve">, “How Providers Can Succeed in the Internet of Things,” Bain &amp; Company, August 28, 2016, accessed December 14, 2018, </w:t>
      </w:r>
      <w:r w:rsidRPr="00053FFD">
        <w:rPr>
          <w:rStyle w:val="Hyperlink"/>
          <w:color w:val="auto"/>
          <w:u w:val="none"/>
          <w:lang w:val="en-GB"/>
        </w:rPr>
        <w:t>www.bain.com/insights/how-providers-can-succeed-in-the-internet-of-things.</w:t>
      </w:r>
    </w:p>
  </w:endnote>
  <w:endnote w:id="20">
    <w:p w14:paraId="1B6DC9E6" w14:textId="00DEFECF"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21">
    <w:p w14:paraId="5DE73B32" w14:textId="380EDA4A"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22">
    <w:p w14:paraId="0AD6D851" w14:textId="7FB0B7E2"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Christensen, op. cit.</w:t>
      </w:r>
    </w:p>
  </w:endnote>
  <w:endnote w:id="23">
    <w:p w14:paraId="6F354529" w14:textId="68C4C11F"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Amit </w:t>
      </w:r>
      <w:proofErr w:type="spellStart"/>
      <w:r w:rsidRPr="00053FFD">
        <w:rPr>
          <w:lang w:val="en-GB"/>
        </w:rPr>
        <w:t>Chowdhry</w:t>
      </w:r>
      <w:proofErr w:type="spellEnd"/>
      <w:r w:rsidRPr="00053FFD">
        <w:rPr>
          <w:lang w:val="en-GB"/>
        </w:rPr>
        <w:t xml:space="preserve">, “Samsung, Intel and Dell Launch ‘Internet of Things’ Consortium,” </w:t>
      </w:r>
      <w:r w:rsidRPr="00053FFD">
        <w:rPr>
          <w:i/>
          <w:lang w:val="en-GB"/>
        </w:rPr>
        <w:t>Forbes</w:t>
      </w:r>
      <w:r w:rsidRPr="00053FFD">
        <w:rPr>
          <w:lang w:val="en-GB"/>
        </w:rPr>
        <w:t xml:space="preserve">, July 9, 2014, accessed December 14, 2018, </w:t>
      </w:r>
      <w:r w:rsidRPr="00053FFD">
        <w:rPr>
          <w:rStyle w:val="Hyperlink"/>
          <w:color w:val="auto"/>
          <w:u w:val="none"/>
          <w:lang w:val="en-GB"/>
        </w:rPr>
        <w:t>www.forbes.com/sites/amitchowdhry/2014/07/09/samsung-intel-and-dell-launch-internet-of-things-consortium/#d5ab3d01880a.</w:t>
      </w:r>
    </w:p>
  </w:endnote>
  <w:endnote w:id="24">
    <w:p w14:paraId="69AB1666" w14:textId="7F408BAD"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“Samsung to Acquire SmartThings, Leading Open Platform for the Internet of Things,” Samsung Electronics Co. Ltd., August 15, 2014, accessed December 14, 2018, </w:t>
      </w:r>
      <w:r w:rsidRPr="00053FFD">
        <w:rPr>
          <w:rStyle w:val="Hyperlink"/>
          <w:color w:val="auto"/>
          <w:u w:val="none"/>
          <w:lang w:val="en-GB"/>
        </w:rPr>
        <w:t>https://news.samsung.com/global/samsung-to-acquire-smartthings-leading-open-platform-for-the-internet-of-things.</w:t>
      </w:r>
    </w:p>
  </w:endnote>
  <w:endnote w:id="25">
    <w:p w14:paraId="63874575" w14:textId="4C31A337"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26">
    <w:p w14:paraId="578083C0" w14:textId="321BD504" w:rsidR="00B34EC9" w:rsidRPr="00053FFD" w:rsidRDefault="00B34EC9" w:rsidP="00B11B80">
      <w:pPr>
        <w:pStyle w:val="Footnote"/>
        <w:rPr>
          <w:spacing w:val="-4"/>
          <w:kern w:val="17"/>
          <w:lang w:val="en-GB"/>
        </w:rPr>
      </w:pPr>
      <w:r w:rsidRPr="00053FFD">
        <w:rPr>
          <w:rStyle w:val="EndnoteReference"/>
          <w:spacing w:val="-4"/>
          <w:kern w:val="17"/>
          <w:lang w:val="en-GB"/>
        </w:rPr>
        <w:endnoteRef/>
      </w:r>
      <w:r w:rsidRPr="00053FFD">
        <w:rPr>
          <w:spacing w:val="-4"/>
          <w:kern w:val="17"/>
          <w:lang w:val="en-GB"/>
        </w:rPr>
        <w:t xml:space="preserve"> “</w:t>
      </w:r>
      <w:r w:rsidRPr="002A299D">
        <w:rPr>
          <w:spacing w:val="-4"/>
          <w:kern w:val="17"/>
          <w:lang w:val="en-GB"/>
        </w:rPr>
        <w:t>Start-Ups: The Secret Ingredient of Samsung’s Open Innovation</w:t>
      </w:r>
      <w:r>
        <w:rPr>
          <w:spacing w:val="-4"/>
          <w:kern w:val="17"/>
          <w:lang w:val="en-GB"/>
        </w:rPr>
        <w:t>,</w:t>
      </w:r>
      <w:r w:rsidRPr="00053FFD">
        <w:rPr>
          <w:spacing w:val="-4"/>
          <w:kern w:val="17"/>
          <w:lang w:val="en-GB"/>
        </w:rPr>
        <w:t>” Samsung Electronics Co. Ltd., September 21, 2015, accessed December 14, 2018, https://news.samsung.com/global/startups-the-secret-ingredient-of-samsungs-open-innovation.</w:t>
      </w:r>
    </w:p>
  </w:endnote>
  <w:endnote w:id="27">
    <w:p w14:paraId="7BBBAB05" w14:textId="0D59AD9B"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28">
    <w:p w14:paraId="41331F6D" w14:textId="70C7BF3C"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Gibbs, op. cit.</w:t>
      </w:r>
    </w:p>
  </w:endnote>
  <w:endnote w:id="29">
    <w:p w14:paraId="5AD4978E" w14:textId="5F72E862"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30">
    <w:p w14:paraId="28C709FD" w14:textId="42F20972" w:rsidR="00B34EC9" w:rsidRPr="00053FFD" w:rsidRDefault="00B34EC9" w:rsidP="00B11B80">
      <w:pPr>
        <w:pStyle w:val="Footnote"/>
        <w:rPr>
          <w:spacing w:val="-4"/>
          <w:kern w:val="17"/>
          <w:lang w:val="en-GB"/>
        </w:rPr>
      </w:pPr>
      <w:r w:rsidRPr="00053FFD">
        <w:rPr>
          <w:rStyle w:val="EndnoteReference"/>
          <w:spacing w:val="-4"/>
          <w:kern w:val="17"/>
          <w:lang w:val="en-GB"/>
        </w:rPr>
        <w:endnoteRef/>
      </w:r>
      <w:r w:rsidRPr="00053FFD">
        <w:rPr>
          <w:spacing w:val="-4"/>
          <w:kern w:val="17"/>
          <w:lang w:val="en-GB"/>
        </w:rPr>
        <w:t xml:space="preserve"> Jared Newman, “Why the Internet of Things Might Never Speak a Common Language,” Fast Company, March 18, 2016, accessed May 26, 2019, www.fastcompany.com/3057770/why-the-internet-of-things-might-never-speak-a-common-language.</w:t>
      </w:r>
    </w:p>
  </w:endnote>
  <w:endnote w:id="31">
    <w:p w14:paraId="76D6FBDC" w14:textId="3A005742"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Marshall, op. cit.</w:t>
      </w:r>
    </w:p>
  </w:endnote>
  <w:endnote w:id="32">
    <w:p w14:paraId="16110695" w14:textId="29D79AA9"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Adam </w:t>
      </w:r>
      <w:proofErr w:type="spellStart"/>
      <w:r w:rsidRPr="00053FFD">
        <w:rPr>
          <w:lang w:val="en-GB"/>
        </w:rPr>
        <w:t>Hartung</w:t>
      </w:r>
      <w:proofErr w:type="spellEnd"/>
      <w:r w:rsidRPr="00053FFD">
        <w:rPr>
          <w:lang w:val="en-GB"/>
        </w:rPr>
        <w:t xml:space="preserve">, “Top 20 R&amp;D Spenders—Not Good Investments,” </w:t>
      </w:r>
      <w:r w:rsidRPr="00053FFD">
        <w:rPr>
          <w:i/>
          <w:lang w:val="en-GB"/>
        </w:rPr>
        <w:t>Forbes</w:t>
      </w:r>
      <w:r w:rsidRPr="00053FFD">
        <w:rPr>
          <w:lang w:val="en-GB"/>
        </w:rPr>
        <w:t xml:space="preserve">, November 5, 2011, accessed December 14, 2018, </w:t>
      </w:r>
      <w:r w:rsidRPr="00053FFD">
        <w:rPr>
          <w:rStyle w:val="Hyperlink"/>
          <w:color w:val="auto"/>
          <w:u w:val="none"/>
          <w:lang w:val="en-GB"/>
        </w:rPr>
        <w:t>www.forbes.com/sites/adamhartung/2012/11/05/top-20-rd-spenders-not-good-investments/#23be5fb44805.</w:t>
      </w:r>
    </w:p>
  </w:endnote>
  <w:endnote w:id="33">
    <w:p w14:paraId="26364438" w14:textId="72380D9F"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“The World’s Top 10 Most Innovative Companies of 2015 in Big Data,” Fast Company, accessed May 26, 2019, www.fastcompany.com/3041638/the-worlds-top-10-most-innovative-companies-in-big-data.</w:t>
      </w:r>
    </w:p>
  </w:endnote>
  <w:endnote w:id="34">
    <w:p w14:paraId="64FF772A" w14:textId="3A205F8F"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w:t>
      </w:r>
      <w:proofErr w:type="spellStart"/>
      <w:r w:rsidRPr="00053FFD">
        <w:rPr>
          <w:lang w:val="en-GB"/>
        </w:rPr>
        <w:t>Hartung</w:t>
      </w:r>
      <w:proofErr w:type="spellEnd"/>
      <w:r w:rsidRPr="00053FFD">
        <w:rPr>
          <w:lang w:val="en-GB"/>
        </w:rPr>
        <w:t>, op. cit.</w:t>
      </w:r>
    </w:p>
  </w:endnote>
  <w:endnote w:id="35">
    <w:p w14:paraId="378B7C32" w14:textId="4113F68F"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Urban </w:t>
      </w:r>
      <w:proofErr w:type="spellStart"/>
      <w:r w:rsidRPr="00053FFD">
        <w:rPr>
          <w:lang w:val="en-GB"/>
        </w:rPr>
        <w:t>Nulden</w:t>
      </w:r>
      <w:proofErr w:type="spellEnd"/>
      <w:r w:rsidRPr="00053FFD">
        <w:rPr>
          <w:lang w:val="en-GB"/>
        </w:rPr>
        <w:t>, “Escalation in IT Projects: Can We Afford to Quit or Do We Have to Continue?</w:t>
      </w:r>
      <w:r>
        <w:rPr>
          <w:lang w:val="en-GB"/>
        </w:rPr>
        <w:t>,</w:t>
      </w:r>
      <w:r w:rsidRPr="00053FFD">
        <w:rPr>
          <w:lang w:val="en-GB"/>
        </w:rPr>
        <w:t>” Department of Informatics, Goteborg University, Sweden, 1996, accessed December 14, 2018, </w:t>
      </w:r>
      <w:r w:rsidRPr="00053FFD">
        <w:rPr>
          <w:rStyle w:val="Hyperlink"/>
          <w:color w:val="auto"/>
          <w:u w:val="none"/>
          <w:lang w:val="en-GB"/>
        </w:rPr>
        <w:t>https://pdfs.semanticscholar.org/1774/65e7db3a0747073118276aa457119ee995e3.pdf</w:t>
      </w:r>
      <w:r w:rsidRPr="00053FFD">
        <w:rPr>
          <w:lang w:val="en-GB"/>
        </w:rPr>
        <w:t>.</w:t>
      </w:r>
    </w:p>
  </w:endnote>
  <w:endnote w:id="36">
    <w:p w14:paraId="7D286041" w14:textId="17DAF6CC"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Joel </w:t>
      </w:r>
      <w:proofErr w:type="spellStart"/>
      <w:r w:rsidRPr="00053FFD">
        <w:rPr>
          <w:lang w:val="en-GB"/>
        </w:rPr>
        <w:t>Brockner</w:t>
      </w:r>
      <w:proofErr w:type="spellEnd"/>
      <w:r w:rsidRPr="00053FFD">
        <w:rPr>
          <w:lang w:val="en-GB"/>
        </w:rPr>
        <w:t xml:space="preserve">, “The Escalation of Commitment to a Failing Course of Action: Toward Theoretical Progress,” </w:t>
      </w:r>
      <w:r w:rsidRPr="00053FFD">
        <w:rPr>
          <w:i/>
          <w:lang w:val="en-GB"/>
        </w:rPr>
        <w:t>Academy of Management Review</w:t>
      </w:r>
      <w:r w:rsidRPr="00053FFD">
        <w:rPr>
          <w:lang w:val="en-GB"/>
        </w:rPr>
        <w:t xml:space="preserve"> 17, no. 1 (1997): 39–61. </w:t>
      </w:r>
    </w:p>
  </w:endnote>
  <w:endnote w:id="37">
    <w:p w14:paraId="11019281" w14:textId="2B71CD0C"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Barry </w:t>
      </w:r>
      <w:proofErr w:type="spellStart"/>
      <w:r w:rsidRPr="00053FFD">
        <w:rPr>
          <w:lang w:val="en-GB"/>
        </w:rPr>
        <w:t>Staw</w:t>
      </w:r>
      <w:proofErr w:type="spellEnd"/>
      <w:r w:rsidRPr="00053FFD">
        <w:rPr>
          <w:lang w:val="en-GB"/>
        </w:rPr>
        <w:t xml:space="preserve"> and Jerry Ross, “Knowing When to Pull the Plug,” </w:t>
      </w:r>
      <w:r w:rsidRPr="00053FFD">
        <w:rPr>
          <w:i/>
          <w:lang w:val="en-GB"/>
        </w:rPr>
        <w:t>Harvard Business Review</w:t>
      </w:r>
      <w:r w:rsidRPr="00053FFD">
        <w:rPr>
          <w:lang w:val="en-GB"/>
        </w:rPr>
        <w:t xml:space="preserve">, March 1987, accessed December 14, 2018, </w:t>
      </w:r>
      <w:r w:rsidRPr="00053FFD">
        <w:rPr>
          <w:rStyle w:val="Hyperlink"/>
          <w:color w:val="auto"/>
          <w:u w:val="none"/>
          <w:lang w:val="en-GB"/>
        </w:rPr>
        <w:t>https://hbr.org/1987/03/knowing-when-to-pull-the-plug.</w:t>
      </w:r>
    </w:p>
  </w:endnote>
  <w:endnote w:id="38">
    <w:p w14:paraId="045E2021" w14:textId="06FECFF6"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Daniel </w:t>
      </w:r>
      <w:proofErr w:type="spellStart"/>
      <w:r w:rsidRPr="00053FFD">
        <w:rPr>
          <w:lang w:val="en-GB"/>
        </w:rPr>
        <w:t>Kahneman</w:t>
      </w:r>
      <w:proofErr w:type="spellEnd"/>
      <w:r w:rsidRPr="00053FFD">
        <w:rPr>
          <w:lang w:val="en-GB"/>
        </w:rPr>
        <w:t xml:space="preserve">, </w:t>
      </w:r>
      <w:r>
        <w:rPr>
          <w:i/>
          <w:lang w:val="en-GB"/>
        </w:rPr>
        <w:t>Thinking, Fast and Slow</w:t>
      </w:r>
      <w:r w:rsidRPr="00053FFD">
        <w:rPr>
          <w:lang w:val="en-GB"/>
        </w:rPr>
        <w:t xml:space="preserve"> (New York, NY: Farrar, Straus and Giroux, 2011).</w:t>
      </w:r>
    </w:p>
  </w:endnote>
  <w:endnote w:id="39">
    <w:p w14:paraId="2A034D7C" w14:textId="787CD021"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w:t>
      </w:r>
      <w:proofErr w:type="spellStart"/>
      <w:r w:rsidRPr="00053FFD">
        <w:rPr>
          <w:lang w:val="en-GB"/>
        </w:rPr>
        <w:t>Nulden</w:t>
      </w:r>
      <w:proofErr w:type="spellEnd"/>
      <w:r w:rsidRPr="00053FFD">
        <w:rPr>
          <w:lang w:val="en-GB"/>
        </w:rPr>
        <w:t>, op. cit.</w:t>
      </w:r>
    </w:p>
  </w:endnote>
  <w:endnote w:id="40">
    <w:p w14:paraId="5BC04A10" w14:textId="05BE2E47"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“Samsung to Acquire SmartThings, Leading Open Platform for the Internet of Things,” Samsung Electronics Co. Ltd., August 15, 2014, accessed December 14, 2018, </w:t>
      </w:r>
      <w:r w:rsidRPr="00053FFD">
        <w:rPr>
          <w:rStyle w:val="Hyperlink"/>
          <w:color w:val="auto"/>
          <w:u w:val="none"/>
          <w:lang w:val="en-GB"/>
        </w:rPr>
        <w:t>https://news.samsung.com/global/samsung-to-acquire-smartthings-leading-open-platform-for-the-internet-of-things</w:t>
      </w:r>
    </w:p>
  </w:endnote>
  <w:endnote w:id="41">
    <w:p w14:paraId="7AE6349B" w14:textId="674971EE"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Marshall, op. cit.</w:t>
      </w:r>
    </w:p>
  </w:endnote>
  <w:endnote w:id="42">
    <w:p w14:paraId="6C7D149E" w14:textId="07A49FB1"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Mims, op. cit.</w:t>
      </w:r>
    </w:p>
  </w:endnote>
  <w:endnote w:id="43">
    <w:p w14:paraId="5A097F1B" w14:textId="518EEFD0"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Marshall, op. cit.</w:t>
      </w:r>
    </w:p>
  </w:endnote>
  <w:endnote w:id="44">
    <w:p w14:paraId="6A449A08" w14:textId="5921C89A"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45">
    <w:p w14:paraId="64D61034" w14:textId="745760AD"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Andrew </w:t>
      </w:r>
      <w:proofErr w:type="spellStart"/>
      <w:r w:rsidRPr="00053FFD">
        <w:rPr>
          <w:lang w:val="en-GB"/>
        </w:rPr>
        <w:t>Meola</w:t>
      </w:r>
      <w:proofErr w:type="spellEnd"/>
      <w:r w:rsidRPr="00053FFD">
        <w:rPr>
          <w:lang w:val="en-GB"/>
        </w:rPr>
        <w:t xml:space="preserve">, “A Major Red Flag about Security Could Threaten the Entire </w:t>
      </w:r>
      <w:proofErr w:type="spellStart"/>
      <w:r w:rsidRPr="00053FFD">
        <w:rPr>
          <w:lang w:val="en-GB"/>
        </w:rPr>
        <w:t>IoT</w:t>
      </w:r>
      <w:proofErr w:type="spellEnd"/>
      <w:r w:rsidRPr="00053FFD">
        <w:rPr>
          <w:lang w:val="en-GB"/>
        </w:rPr>
        <w:t xml:space="preserve">,” Business Insider, March 3, 2016, accessed December 14, 2018, </w:t>
      </w:r>
      <w:r w:rsidRPr="00053FFD">
        <w:rPr>
          <w:rStyle w:val="Hyperlink"/>
          <w:color w:val="auto"/>
          <w:u w:val="none"/>
          <w:lang w:val="en-GB"/>
        </w:rPr>
        <w:t>www.businessinsider.com/iot-cyber-security-hacking-problems-internet-of-things-2016-3.</w:t>
      </w:r>
    </w:p>
  </w:endnote>
  <w:endnote w:id="46">
    <w:p w14:paraId="2883F45D" w14:textId="6C7F3F95"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Andrew </w:t>
      </w:r>
      <w:proofErr w:type="spellStart"/>
      <w:r w:rsidRPr="00053FFD">
        <w:rPr>
          <w:lang w:val="en-GB"/>
        </w:rPr>
        <w:t>Meola</w:t>
      </w:r>
      <w:proofErr w:type="spellEnd"/>
      <w:r w:rsidRPr="00053FFD">
        <w:rPr>
          <w:lang w:val="en-GB"/>
        </w:rPr>
        <w:t xml:space="preserve">, “Researchers Discover Multiple Vulnerabilities in Samsung’s SmartThings Platform,” Business Insider, May 3, 2016, accessed December 14, 2018, </w:t>
      </w:r>
      <w:r w:rsidRPr="00053FFD">
        <w:rPr>
          <w:rStyle w:val="Hyperlink"/>
          <w:color w:val="auto"/>
          <w:u w:val="none"/>
          <w:lang w:val="en-GB"/>
        </w:rPr>
        <w:t>www.businessinsider.com/samsung-smartthings-platform-iot-security-issues-internet-of-things-2016-5.</w:t>
      </w:r>
    </w:p>
  </w:endnote>
  <w:endnote w:id="47">
    <w:p w14:paraId="69426C93" w14:textId="66BB8847"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Ibid.</w:t>
      </w:r>
    </w:p>
  </w:endnote>
  <w:endnote w:id="48">
    <w:p w14:paraId="344C3D9D" w14:textId="767B0D8A"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Lisa </w:t>
      </w:r>
      <w:proofErr w:type="spellStart"/>
      <w:r w:rsidRPr="00053FFD">
        <w:rPr>
          <w:lang w:val="en-GB"/>
        </w:rPr>
        <w:t>Richwine</w:t>
      </w:r>
      <w:proofErr w:type="spellEnd"/>
      <w:r w:rsidRPr="00053FFD">
        <w:rPr>
          <w:lang w:val="en-GB"/>
        </w:rPr>
        <w:t xml:space="preserve">, “Cyber-Attack Could Cost Sony Studio as Much as $100 Million,” Reuters, December 9, 2014, accessed December 14, 2018, </w:t>
      </w:r>
      <w:r w:rsidRPr="00053FFD">
        <w:rPr>
          <w:rStyle w:val="Hyperlink"/>
          <w:color w:val="auto"/>
          <w:u w:val="none"/>
          <w:lang w:val="en-GB"/>
        </w:rPr>
        <w:t>www.reuters.com/article/sony-cybersecurity-costs-idUSL1N0TT1YO20141209.</w:t>
      </w:r>
    </w:p>
  </w:endnote>
  <w:endnote w:id="49">
    <w:p w14:paraId="6BE46D53" w14:textId="1584C1F6" w:rsidR="00B34EC9" w:rsidRPr="00053FFD" w:rsidRDefault="00B34EC9" w:rsidP="00B11B80">
      <w:pPr>
        <w:pStyle w:val="Footnote"/>
        <w:rPr>
          <w:spacing w:val="-4"/>
          <w:kern w:val="17"/>
          <w:lang w:val="en-GB"/>
        </w:rPr>
      </w:pPr>
      <w:r w:rsidRPr="00053FFD">
        <w:rPr>
          <w:rStyle w:val="EndnoteReference"/>
          <w:spacing w:val="-4"/>
          <w:kern w:val="17"/>
          <w:lang w:val="en-GB"/>
        </w:rPr>
        <w:endnoteRef/>
      </w:r>
      <w:r w:rsidRPr="00053FFD">
        <w:rPr>
          <w:spacing w:val="-4"/>
          <w:kern w:val="17"/>
          <w:lang w:val="en-GB"/>
        </w:rPr>
        <w:t xml:space="preserve"> Vinod, “10 Shocking Figures Which Show the Cost of Cyber Security Breaches,” CBR Online, May 10, 2016, accessed December 14, 2018, </w:t>
      </w:r>
      <w:r w:rsidRPr="00053FFD">
        <w:rPr>
          <w:rStyle w:val="Hyperlink"/>
          <w:color w:val="auto"/>
          <w:spacing w:val="-4"/>
          <w:kern w:val="17"/>
          <w:u w:val="none"/>
          <w:lang w:val="en-GB"/>
        </w:rPr>
        <w:t>www.cbronline.com/business/10-shocking-figures-which-show-the-true-cost-of-cyber-security-breaches-4888746.</w:t>
      </w:r>
    </w:p>
  </w:endnote>
  <w:endnote w:id="50">
    <w:p w14:paraId="3542F952" w14:textId="4A142493" w:rsidR="00B34EC9" w:rsidRPr="00053FFD" w:rsidRDefault="00B34EC9" w:rsidP="00B11B80">
      <w:pPr>
        <w:pStyle w:val="Footnote"/>
        <w:rPr>
          <w:lang w:val="en-GB"/>
        </w:rPr>
      </w:pPr>
      <w:r w:rsidRPr="00053FFD">
        <w:rPr>
          <w:rStyle w:val="EndnoteReference"/>
          <w:lang w:val="en-GB"/>
        </w:rPr>
        <w:endnoteRef/>
      </w:r>
      <w:r w:rsidRPr="00053FFD">
        <w:rPr>
          <w:lang w:val="en-GB"/>
        </w:rPr>
        <w:t xml:space="preserve"> Aaron Tilley, “Samsung Will Invest $1.2 Billion Into US for ‘Internet of Things,’” </w:t>
      </w:r>
      <w:r w:rsidRPr="00053FFD">
        <w:rPr>
          <w:i/>
          <w:lang w:val="en-GB"/>
        </w:rPr>
        <w:t>Forbes</w:t>
      </w:r>
      <w:r w:rsidRPr="00053FFD">
        <w:rPr>
          <w:lang w:val="en-GB"/>
        </w:rPr>
        <w:t>, June 21, 2016, accessed December 14, 2018, www.forbes.com/sites/aarontilley/2016/06/21/samsung-will-invest-1-2-billion-into-us-for-internet-of-things/#fda943 95a6e0.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A72B6" w14:textId="77777777" w:rsidR="008123DB" w:rsidRDefault="008123DB" w:rsidP="00D75295">
      <w:r>
        <w:separator/>
      </w:r>
    </w:p>
  </w:footnote>
  <w:footnote w:type="continuationSeparator" w:id="0">
    <w:p w14:paraId="4ECCB540" w14:textId="77777777" w:rsidR="008123DB" w:rsidRDefault="008123D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19E192C" w:rsidR="008123DB" w:rsidRPr="00C92CC4" w:rsidRDefault="008123D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B1CFF">
      <w:rPr>
        <w:rFonts w:ascii="Arial" w:hAnsi="Arial"/>
        <w:b/>
        <w:noProof/>
      </w:rPr>
      <w:t>2</w:t>
    </w:r>
    <w:r>
      <w:rPr>
        <w:rFonts w:ascii="Arial" w:hAnsi="Arial"/>
        <w:b/>
      </w:rPr>
      <w:fldChar w:fldCharType="end"/>
    </w:r>
    <w:r w:rsidR="00076261">
      <w:rPr>
        <w:rFonts w:ascii="Arial" w:hAnsi="Arial"/>
        <w:b/>
      </w:rPr>
      <w:tab/>
      <w:t>9B19E020</w:t>
    </w:r>
  </w:p>
  <w:p w14:paraId="2B53C0A0" w14:textId="77777777" w:rsidR="008123DB" w:rsidRDefault="008123DB" w:rsidP="00D13667">
    <w:pPr>
      <w:pStyle w:val="Header"/>
      <w:tabs>
        <w:tab w:val="clear" w:pos="4680"/>
      </w:tabs>
      <w:rPr>
        <w:sz w:val="18"/>
        <w:szCs w:val="18"/>
      </w:rPr>
    </w:pPr>
  </w:p>
  <w:p w14:paraId="47119730" w14:textId="77777777" w:rsidR="008123DB" w:rsidRPr="00C92CC4" w:rsidRDefault="008123D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DEF"/>
    <w:rsid w:val="00016759"/>
    <w:rsid w:val="000216CE"/>
    <w:rsid w:val="00024ED4"/>
    <w:rsid w:val="00025DC7"/>
    <w:rsid w:val="00035F09"/>
    <w:rsid w:val="0003630F"/>
    <w:rsid w:val="00044ECC"/>
    <w:rsid w:val="00051FE7"/>
    <w:rsid w:val="000531D3"/>
    <w:rsid w:val="00053FFD"/>
    <w:rsid w:val="00055F83"/>
    <w:rsid w:val="0005646B"/>
    <w:rsid w:val="000615D1"/>
    <w:rsid w:val="00061F07"/>
    <w:rsid w:val="00076261"/>
    <w:rsid w:val="0008102D"/>
    <w:rsid w:val="00086B26"/>
    <w:rsid w:val="0009002F"/>
    <w:rsid w:val="00092DF0"/>
    <w:rsid w:val="00094C0E"/>
    <w:rsid w:val="000A146D"/>
    <w:rsid w:val="000A230B"/>
    <w:rsid w:val="000A381F"/>
    <w:rsid w:val="000D2A2F"/>
    <w:rsid w:val="000D7091"/>
    <w:rsid w:val="000F0C22"/>
    <w:rsid w:val="000F5838"/>
    <w:rsid w:val="000F6B09"/>
    <w:rsid w:val="000F6FDC"/>
    <w:rsid w:val="00104567"/>
    <w:rsid w:val="00104916"/>
    <w:rsid w:val="00104AA7"/>
    <w:rsid w:val="0012732D"/>
    <w:rsid w:val="001315D8"/>
    <w:rsid w:val="00143F25"/>
    <w:rsid w:val="00145051"/>
    <w:rsid w:val="00152682"/>
    <w:rsid w:val="00154FC9"/>
    <w:rsid w:val="0015500E"/>
    <w:rsid w:val="001814ED"/>
    <w:rsid w:val="001901C0"/>
    <w:rsid w:val="0019241A"/>
    <w:rsid w:val="00192A18"/>
    <w:rsid w:val="001A22D1"/>
    <w:rsid w:val="001A674A"/>
    <w:rsid w:val="001A752D"/>
    <w:rsid w:val="001A757E"/>
    <w:rsid w:val="001B5032"/>
    <w:rsid w:val="001C7777"/>
    <w:rsid w:val="001D344B"/>
    <w:rsid w:val="001E364F"/>
    <w:rsid w:val="001F4222"/>
    <w:rsid w:val="001F5E55"/>
    <w:rsid w:val="00203AA1"/>
    <w:rsid w:val="00213E98"/>
    <w:rsid w:val="002141C9"/>
    <w:rsid w:val="002230E4"/>
    <w:rsid w:val="00230150"/>
    <w:rsid w:val="0023081A"/>
    <w:rsid w:val="00233111"/>
    <w:rsid w:val="00241D51"/>
    <w:rsid w:val="00263DDC"/>
    <w:rsid w:val="00265FA8"/>
    <w:rsid w:val="00266FF0"/>
    <w:rsid w:val="002A299D"/>
    <w:rsid w:val="002A444B"/>
    <w:rsid w:val="002B40FF"/>
    <w:rsid w:val="002C4E29"/>
    <w:rsid w:val="002F460C"/>
    <w:rsid w:val="002F48D6"/>
    <w:rsid w:val="003110AF"/>
    <w:rsid w:val="00317391"/>
    <w:rsid w:val="003226C8"/>
    <w:rsid w:val="00326216"/>
    <w:rsid w:val="00334C44"/>
    <w:rsid w:val="00336580"/>
    <w:rsid w:val="00353A79"/>
    <w:rsid w:val="00354899"/>
    <w:rsid w:val="003555A8"/>
    <w:rsid w:val="00355FD6"/>
    <w:rsid w:val="00363E19"/>
    <w:rsid w:val="00364A5C"/>
    <w:rsid w:val="00373FB1"/>
    <w:rsid w:val="00375BE5"/>
    <w:rsid w:val="00393653"/>
    <w:rsid w:val="00396C76"/>
    <w:rsid w:val="00396DCD"/>
    <w:rsid w:val="003A75DD"/>
    <w:rsid w:val="003B1CFF"/>
    <w:rsid w:val="003B30D8"/>
    <w:rsid w:val="003B7EF2"/>
    <w:rsid w:val="003C3FA4"/>
    <w:rsid w:val="003D0BA1"/>
    <w:rsid w:val="003D6713"/>
    <w:rsid w:val="003E544A"/>
    <w:rsid w:val="003F2B0C"/>
    <w:rsid w:val="00407DAB"/>
    <w:rsid w:val="004105B2"/>
    <w:rsid w:val="0041145A"/>
    <w:rsid w:val="00412900"/>
    <w:rsid w:val="004221E4"/>
    <w:rsid w:val="004273F8"/>
    <w:rsid w:val="004323EB"/>
    <w:rsid w:val="004355A3"/>
    <w:rsid w:val="00446546"/>
    <w:rsid w:val="00452769"/>
    <w:rsid w:val="00454FA7"/>
    <w:rsid w:val="00465348"/>
    <w:rsid w:val="00470911"/>
    <w:rsid w:val="00477CD6"/>
    <w:rsid w:val="00492105"/>
    <w:rsid w:val="004979A5"/>
    <w:rsid w:val="004A25E0"/>
    <w:rsid w:val="004A28D3"/>
    <w:rsid w:val="004B1CCB"/>
    <w:rsid w:val="004B2759"/>
    <w:rsid w:val="004B632F"/>
    <w:rsid w:val="004C4CE1"/>
    <w:rsid w:val="004D3FB1"/>
    <w:rsid w:val="004D6F21"/>
    <w:rsid w:val="004D73A5"/>
    <w:rsid w:val="00502E34"/>
    <w:rsid w:val="005059E5"/>
    <w:rsid w:val="00515C18"/>
    <w:rsid w:val="005160F1"/>
    <w:rsid w:val="005172DF"/>
    <w:rsid w:val="00524F2F"/>
    <w:rsid w:val="00527E5C"/>
    <w:rsid w:val="00532CF5"/>
    <w:rsid w:val="005528CB"/>
    <w:rsid w:val="0056092A"/>
    <w:rsid w:val="00561E80"/>
    <w:rsid w:val="00566771"/>
    <w:rsid w:val="005771EB"/>
    <w:rsid w:val="00581E2E"/>
    <w:rsid w:val="00584F15"/>
    <w:rsid w:val="00586736"/>
    <w:rsid w:val="00593E76"/>
    <w:rsid w:val="0059514B"/>
    <w:rsid w:val="005A1B0F"/>
    <w:rsid w:val="005B4CE6"/>
    <w:rsid w:val="005B5EFE"/>
    <w:rsid w:val="005D204C"/>
    <w:rsid w:val="005D4017"/>
    <w:rsid w:val="006163F7"/>
    <w:rsid w:val="00627C63"/>
    <w:rsid w:val="0063350B"/>
    <w:rsid w:val="00652164"/>
    <w:rsid w:val="00652606"/>
    <w:rsid w:val="0067520F"/>
    <w:rsid w:val="00685501"/>
    <w:rsid w:val="006946EE"/>
    <w:rsid w:val="00696E83"/>
    <w:rsid w:val="006A088C"/>
    <w:rsid w:val="006A2F17"/>
    <w:rsid w:val="006A58A9"/>
    <w:rsid w:val="006A606D"/>
    <w:rsid w:val="006A7C98"/>
    <w:rsid w:val="006C0371"/>
    <w:rsid w:val="006C08B6"/>
    <w:rsid w:val="006C0B1A"/>
    <w:rsid w:val="006C6065"/>
    <w:rsid w:val="006C7F9F"/>
    <w:rsid w:val="006E2F6D"/>
    <w:rsid w:val="006E58F6"/>
    <w:rsid w:val="006E77E1"/>
    <w:rsid w:val="006F131D"/>
    <w:rsid w:val="00711642"/>
    <w:rsid w:val="00731582"/>
    <w:rsid w:val="007507C6"/>
    <w:rsid w:val="00751E0B"/>
    <w:rsid w:val="00752BCD"/>
    <w:rsid w:val="00757968"/>
    <w:rsid w:val="00766DA1"/>
    <w:rsid w:val="00772FD1"/>
    <w:rsid w:val="00774322"/>
    <w:rsid w:val="00780D94"/>
    <w:rsid w:val="007866A6"/>
    <w:rsid w:val="0079714B"/>
    <w:rsid w:val="007A130D"/>
    <w:rsid w:val="007A1EF2"/>
    <w:rsid w:val="007B0182"/>
    <w:rsid w:val="007D1A2D"/>
    <w:rsid w:val="007D32E6"/>
    <w:rsid w:val="007D4102"/>
    <w:rsid w:val="007E54A7"/>
    <w:rsid w:val="007F43B7"/>
    <w:rsid w:val="008123DB"/>
    <w:rsid w:val="00814603"/>
    <w:rsid w:val="00817575"/>
    <w:rsid w:val="00821FFC"/>
    <w:rsid w:val="008271CA"/>
    <w:rsid w:val="00837005"/>
    <w:rsid w:val="008467D5"/>
    <w:rsid w:val="00853F4B"/>
    <w:rsid w:val="00855906"/>
    <w:rsid w:val="00881F7F"/>
    <w:rsid w:val="00887E01"/>
    <w:rsid w:val="00895E8B"/>
    <w:rsid w:val="008A4DC4"/>
    <w:rsid w:val="008B438C"/>
    <w:rsid w:val="008D06CA"/>
    <w:rsid w:val="008D3A46"/>
    <w:rsid w:val="008E261E"/>
    <w:rsid w:val="008F1A0C"/>
    <w:rsid w:val="008F2385"/>
    <w:rsid w:val="0090589D"/>
    <w:rsid w:val="009067A4"/>
    <w:rsid w:val="00912619"/>
    <w:rsid w:val="00930885"/>
    <w:rsid w:val="00933D68"/>
    <w:rsid w:val="009340DB"/>
    <w:rsid w:val="00942508"/>
    <w:rsid w:val="0094618C"/>
    <w:rsid w:val="009467E0"/>
    <w:rsid w:val="0095684B"/>
    <w:rsid w:val="00972498"/>
    <w:rsid w:val="0097481F"/>
    <w:rsid w:val="00974CC6"/>
    <w:rsid w:val="00976AD4"/>
    <w:rsid w:val="009861F7"/>
    <w:rsid w:val="0099343A"/>
    <w:rsid w:val="00995547"/>
    <w:rsid w:val="009A312F"/>
    <w:rsid w:val="009A4E59"/>
    <w:rsid w:val="009A5348"/>
    <w:rsid w:val="009B0AB7"/>
    <w:rsid w:val="009C2FA9"/>
    <w:rsid w:val="009C76D5"/>
    <w:rsid w:val="009E0589"/>
    <w:rsid w:val="009F7AA4"/>
    <w:rsid w:val="00A078F5"/>
    <w:rsid w:val="00A10AD7"/>
    <w:rsid w:val="00A14A41"/>
    <w:rsid w:val="00A21F01"/>
    <w:rsid w:val="00A323B0"/>
    <w:rsid w:val="00A336B2"/>
    <w:rsid w:val="00A33DA4"/>
    <w:rsid w:val="00A403EC"/>
    <w:rsid w:val="00A559DB"/>
    <w:rsid w:val="00A569EA"/>
    <w:rsid w:val="00A676A0"/>
    <w:rsid w:val="00A70A64"/>
    <w:rsid w:val="00A9075C"/>
    <w:rsid w:val="00AC26D9"/>
    <w:rsid w:val="00AD48BB"/>
    <w:rsid w:val="00AF1B1F"/>
    <w:rsid w:val="00AF35FC"/>
    <w:rsid w:val="00AF5556"/>
    <w:rsid w:val="00B03639"/>
    <w:rsid w:val="00B0652A"/>
    <w:rsid w:val="00B11B80"/>
    <w:rsid w:val="00B1623F"/>
    <w:rsid w:val="00B33DA1"/>
    <w:rsid w:val="00B34EC9"/>
    <w:rsid w:val="00B40937"/>
    <w:rsid w:val="00B423EF"/>
    <w:rsid w:val="00B453DE"/>
    <w:rsid w:val="00B62497"/>
    <w:rsid w:val="00B72597"/>
    <w:rsid w:val="00B87DC0"/>
    <w:rsid w:val="00B901F9"/>
    <w:rsid w:val="00B91D2A"/>
    <w:rsid w:val="00B923C6"/>
    <w:rsid w:val="00B92A84"/>
    <w:rsid w:val="00BA17EC"/>
    <w:rsid w:val="00BC35ED"/>
    <w:rsid w:val="00BC4D98"/>
    <w:rsid w:val="00BD6EFB"/>
    <w:rsid w:val="00BE3DF5"/>
    <w:rsid w:val="00BF0FAC"/>
    <w:rsid w:val="00BF5EAB"/>
    <w:rsid w:val="00C02410"/>
    <w:rsid w:val="00C1584D"/>
    <w:rsid w:val="00C15BE2"/>
    <w:rsid w:val="00C224A8"/>
    <w:rsid w:val="00C3447F"/>
    <w:rsid w:val="00C34E7E"/>
    <w:rsid w:val="00C44714"/>
    <w:rsid w:val="00C462E8"/>
    <w:rsid w:val="00C67102"/>
    <w:rsid w:val="00C81491"/>
    <w:rsid w:val="00C81676"/>
    <w:rsid w:val="00C85C5D"/>
    <w:rsid w:val="00C92CC4"/>
    <w:rsid w:val="00CA0AFB"/>
    <w:rsid w:val="00CA2CE1"/>
    <w:rsid w:val="00CA3976"/>
    <w:rsid w:val="00CA50E3"/>
    <w:rsid w:val="00CA65EE"/>
    <w:rsid w:val="00CA757B"/>
    <w:rsid w:val="00CC1787"/>
    <w:rsid w:val="00CC182C"/>
    <w:rsid w:val="00CC50BB"/>
    <w:rsid w:val="00CD0824"/>
    <w:rsid w:val="00CD2908"/>
    <w:rsid w:val="00CF422A"/>
    <w:rsid w:val="00D03A82"/>
    <w:rsid w:val="00D13667"/>
    <w:rsid w:val="00D15344"/>
    <w:rsid w:val="00D23F57"/>
    <w:rsid w:val="00D31BEC"/>
    <w:rsid w:val="00D36E2A"/>
    <w:rsid w:val="00D63150"/>
    <w:rsid w:val="00D636BA"/>
    <w:rsid w:val="00D64A32"/>
    <w:rsid w:val="00D64EFC"/>
    <w:rsid w:val="00D75295"/>
    <w:rsid w:val="00D76CE9"/>
    <w:rsid w:val="00D8684D"/>
    <w:rsid w:val="00D91C4F"/>
    <w:rsid w:val="00D97F12"/>
    <w:rsid w:val="00DA6095"/>
    <w:rsid w:val="00DB42E7"/>
    <w:rsid w:val="00DC09D8"/>
    <w:rsid w:val="00DE01A6"/>
    <w:rsid w:val="00DE4BE3"/>
    <w:rsid w:val="00DE7A98"/>
    <w:rsid w:val="00DF32C2"/>
    <w:rsid w:val="00E26C0F"/>
    <w:rsid w:val="00E42B68"/>
    <w:rsid w:val="00E471A7"/>
    <w:rsid w:val="00E628CC"/>
    <w:rsid w:val="00E635CF"/>
    <w:rsid w:val="00E74633"/>
    <w:rsid w:val="00E87C34"/>
    <w:rsid w:val="00EB0289"/>
    <w:rsid w:val="00EB1E3B"/>
    <w:rsid w:val="00EC6E0A"/>
    <w:rsid w:val="00ED4E18"/>
    <w:rsid w:val="00ED7922"/>
    <w:rsid w:val="00EE02C4"/>
    <w:rsid w:val="00EE1D4B"/>
    <w:rsid w:val="00EE1F37"/>
    <w:rsid w:val="00F00398"/>
    <w:rsid w:val="00F0159C"/>
    <w:rsid w:val="00F105B7"/>
    <w:rsid w:val="00F13220"/>
    <w:rsid w:val="00F17A21"/>
    <w:rsid w:val="00F36A59"/>
    <w:rsid w:val="00F36FC2"/>
    <w:rsid w:val="00F37B27"/>
    <w:rsid w:val="00F37C42"/>
    <w:rsid w:val="00F43E7B"/>
    <w:rsid w:val="00F46556"/>
    <w:rsid w:val="00F50E91"/>
    <w:rsid w:val="00F51D26"/>
    <w:rsid w:val="00F56799"/>
    <w:rsid w:val="00F57D29"/>
    <w:rsid w:val="00F60786"/>
    <w:rsid w:val="00F61189"/>
    <w:rsid w:val="00F75565"/>
    <w:rsid w:val="00F91BC7"/>
    <w:rsid w:val="00F96201"/>
    <w:rsid w:val="00FA14D7"/>
    <w:rsid w:val="00FA1BBC"/>
    <w:rsid w:val="00FA7286"/>
    <w:rsid w:val="00FB4453"/>
    <w:rsid w:val="00FD0B18"/>
    <w:rsid w:val="00FD2FAD"/>
    <w:rsid w:val="00FD7454"/>
    <w:rsid w:val="00FE714F"/>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4B2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E1E8F-4B9A-4D05-B4E4-C373149A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2019-09-12T13:04:00Z</dcterms:created>
  <dcterms:modified xsi:type="dcterms:W3CDTF">2019-09-13T12:05:00Z</dcterms:modified>
</cp:coreProperties>
</file>