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A4FD90" w14:textId="77777777" w:rsidR="00BA028E" w:rsidRDefault="00BA028E" w:rsidP="00BA028E">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74C5BC40" wp14:editId="60D3D0C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BA06EC2" w14:textId="4711E5F3" w:rsidR="00BA028E" w:rsidRDefault="00776355" w:rsidP="00BA028E">
      <w:pPr>
        <w:pStyle w:val="ProductNumber"/>
      </w:pPr>
      <w:r>
        <w:t>9B19M007</w:t>
      </w:r>
    </w:p>
    <w:p w14:paraId="70E683B0" w14:textId="77777777" w:rsidR="00D75295" w:rsidRPr="006759DA" w:rsidRDefault="00D75295" w:rsidP="00D75295">
      <w:pPr>
        <w:jc w:val="right"/>
        <w:rPr>
          <w:rFonts w:ascii="Arial" w:hAnsi="Arial"/>
          <w:b/>
          <w:sz w:val="28"/>
          <w:szCs w:val="28"/>
          <w:lang w:val="en-GB"/>
        </w:rPr>
      </w:pPr>
    </w:p>
    <w:p w14:paraId="5656E7C7" w14:textId="77777777" w:rsidR="00013360" w:rsidRPr="006759DA" w:rsidRDefault="00013360" w:rsidP="00D75295">
      <w:pPr>
        <w:jc w:val="right"/>
        <w:rPr>
          <w:rFonts w:ascii="Arial" w:hAnsi="Arial"/>
          <w:b/>
          <w:sz w:val="28"/>
          <w:szCs w:val="28"/>
          <w:lang w:val="en-GB"/>
        </w:rPr>
      </w:pPr>
    </w:p>
    <w:p w14:paraId="5F06AC69" w14:textId="66FD3E6C" w:rsidR="00372BEC" w:rsidRPr="006759DA" w:rsidRDefault="008E1C52" w:rsidP="00013360">
      <w:pPr>
        <w:pStyle w:val="CaseTitle"/>
        <w:spacing w:after="0" w:line="240" w:lineRule="auto"/>
        <w:rPr>
          <w:sz w:val="20"/>
          <w:szCs w:val="20"/>
          <w:lang w:val="en-GB"/>
        </w:rPr>
      </w:pPr>
      <w:r w:rsidRPr="006759DA">
        <w:rPr>
          <w:rFonts w:eastAsia="Times New Roman"/>
          <w:szCs w:val="20"/>
          <w:lang w:val="en-GB"/>
        </w:rPr>
        <w:t>Costco Wholesale Corporation: Market Expansion and Global Strategy</w:t>
      </w:r>
      <w:r w:rsidR="00372BEC">
        <w:rPr>
          <w:rStyle w:val="EndnoteReference"/>
          <w:rFonts w:eastAsia="Times New Roman"/>
          <w:szCs w:val="20"/>
          <w:lang w:val="en-GB"/>
        </w:rPr>
        <w:endnoteReference w:id="1"/>
      </w:r>
    </w:p>
    <w:p w14:paraId="1E11204C" w14:textId="77777777" w:rsidR="00372BEC" w:rsidRPr="006759DA" w:rsidRDefault="00372BEC" w:rsidP="00013360">
      <w:pPr>
        <w:pStyle w:val="CaseTitle"/>
        <w:spacing w:after="0" w:line="240" w:lineRule="auto"/>
        <w:rPr>
          <w:sz w:val="20"/>
          <w:szCs w:val="20"/>
          <w:lang w:val="en-GB"/>
        </w:rPr>
      </w:pPr>
    </w:p>
    <w:p w14:paraId="1210C985" w14:textId="77777777" w:rsidR="00372BEC" w:rsidRPr="006759DA" w:rsidRDefault="00372BEC" w:rsidP="00013360">
      <w:pPr>
        <w:pStyle w:val="CaseTitle"/>
        <w:spacing w:after="0" w:line="240" w:lineRule="auto"/>
        <w:rPr>
          <w:sz w:val="20"/>
          <w:szCs w:val="20"/>
          <w:lang w:val="en-GB"/>
        </w:rPr>
      </w:pPr>
    </w:p>
    <w:p w14:paraId="290FB8DA" w14:textId="77777777" w:rsidR="00372BEC" w:rsidRPr="006759DA" w:rsidRDefault="00372BEC" w:rsidP="00627C63">
      <w:pPr>
        <w:pStyle w:val="StyleCopyrightStatementAfter0ptBottomSinglesolidline1"/>
        <w:rPr>
          <w:lang w:val="en-GB"/>
        </w:rPr>
      </w:pPr>
      <w:r w:rsidRPr="006759DA">
        <w:rPr>
          <w:lang w:val="en-GB"/>
        </w:rPr>
        <w:t>Chansoo Park, Vipin Viswanathan, Raadhika Gopinath, Sara Parveen, and Mary Furey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5B334C40" w14:textId="77777777" w:rsidR="00372BEC" w:rsidRPr="006759DA" w:rsidRDefault="00372BEC" w:rsidP="00751E0B">
      <w:pPr>
        <w:pStyle w:val="StyleCopyrightStatementAfter0ptBottomSinglesolidline1"/>
        <w:rPr>
          <w:lang w:val="en-GB"/>
        </w:rPr>
      </w:pPr>
    </w:p>
    <w:p w14:paraId="253C5B63" w14:textId="77777777" w:rsidR="00BA028E" w:rsidRPr="00A323B0" w:rsidRDefault="00BA028E" w:rsidP="00BA028E">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178AAD80" w14:textId="77777777" w:rsidR="00BA028E" w:rsidRPr="00A323B0" w:rsidRDefault="00BA028E" w:rsidP="00BA028E">
      <w:pPr>
        <w:pStyle w:val="StyleStyleCopyrightStatementAfter0ptBottomSinglesolid"/>
        <w:rPr>
          <w:rFonts w:cs="Arial"/>
          <w:szCs w:val="16"/>
        </w:rPr>
      </w:pPr>
    </w:p>
    <w:p w14:paraId="1EF62B79" w14:textId="4B655E50" w:rsidR="00372BEC" w:rsidRPr="006759DA" w:rsidRDefault="00BA028E" w:rsidP="00BA028E">
      <w:pPr>
        <w:pStyle w:val="StyleStyleCopyrightStatementAfter0ptBottomSinglesolid"/>
        <w:rPr>
          <w:lang w:val="en-GB"/>
        </w:rPr>
      </w:pPr>
      <w:r w:rsidRPr="00A323B0">
        <w:rPr>
          <w:rFonts w:cs="Arial"/>
          <w:iCs w:val="0"/>
          <w:color w:val="auto"/>
          <w:szCs w:val="16"/>
        </w:rPr>
        <w:t>Copyright © 20</w:t>
      </w:r>
      <w:r w:rsidR="00657815">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Pr>
          <w:rFonts w:cs="Arial"/>
          <w:iCs w:val="0"/>
          <w:color w:val="auto"/>
          <w:szCs w:val="16"/>
        </w:rPr>
        <w:t>2019-0</w:t>
      </w:r>
      <w:r w:rsidR="00657815">
        <w:rPr>
          <w:rFonts w:cs="Arial"/>
          <w:iCs w:val="0"/>
          <w:color w:val="auto"/>
          <w:szCs w:val="16"/>
        </w:rPr>
        <w:t>9</w:t>
      </w:r>
      <w:r>
        <w:rPr>
          <w:rFonts w:cs="Arial"/>
          <w:iCs w:val="0"/>
          <w:color w:val="auto"/>
          <w:szCs w:val="16"/>
        </w:rPr>
        <w:t>-</w:t>
      </w:r>
      <w:r w:rsidR="00657815">
        <w:rPr>
          <w:rFonts w:cs="Arial"/>
          <w:iCs w:val="0"/>
          <w:color w:val="auto"/>
          <w:szCs w:val="16"/>
        </w:rPr>
        <w:t>03</w:t>
      </w:r>
    </w:p>
    <w:p w14:paraId="64EE9121" w14:textId="77777777" w:rsidR="00372BEC" w:rsidRPr="006759DA" w:rsidRDefault="00372BEC" w:rsidP="00751E0B">
      <w:pPr>
        <w:pStyle w:val="StyleCopyrightStatementAfter0ptBottomSinglesolidline1"/>
        <w:rPr>
          <w:rFonts w:ascii="Times New Roman" w:hAnsi="Times New Roman"/>
          <w:sz w:val="20"/>
          <w:lang w:val="en-GB"/>
        </w:rPr>
      </w:pPr>
    </w:p>
    <w:p w14:paraId="2F428677" w14:textId="77777777" w:rsidR="00372BEC" w:rsidRPr="006759DA" w:rsidRDefault="00372BEC" w:rsidP="004B632F">
      <w:pPr>
        <w:pStyle w:val="StyleCopyrightStatementAfter0ptBottomSinglesolidline1"/>
        <w:rPr>
          <w:rFonts w:ascii="Times New Roman" w:hAnsi="Times New Roman"/>
          <w:sz w:val="20"/>
          <w:lang w:val="en-GB"/>
        </w:rPr>
      </w:pPr>
    </w:p>
    <w:p w14:paraId="262D5727" w14:textId="18C267B1" w:rsidR="00372BEC" w:rsidRPr="00B75DE3" w:rsidRDefault="00372BEC" w:rsidP="00B75DE3">
      <w:pPr>
        <w:pStyle w:val="BodyTextMain"/>
        <w:rPr>
          <w:rFonts w:eastAsiaTheme="minorHAnsi"/>
        </w:rPr>
      </w:pPr>
      <w:r w:rsidRPr="006759DA">
        <w:rPr>
          <w:rFonts w:eastAsiaTheme="minorHAnsi"/>
          <w:lang w:val="en-GB"/>
        </w:rPr>
        <w:t xml:space="preserve">Costco Wholesale Corporation (Costco) </w:t>
      </w:r>
      <w:r w:rsidRPr="006759DA">
        <w:rPr>
          <w:color w:val="000000"/>
          <w:lang w:val="en-GB" w:eastAsia="en-CA"/>
        </w:rPr>
        <w:t>became the world’s second-largest global retailer (see Exhibit 1).</w:t>
      </w:r>
      <w:r w:rsidRPr="006759DA">
        <w:rPr>
          <w:rStyle w:val="EndnoteReference"/>
          <w:lang w:val="en-GB" w:eastAsia="en-CA"/>
        </w:rPr>
        <w:endnoteReference w:id="2"/>
      </w:r>
      <w:r w:rsidRPr="006759DA">
        <w:rPr>
          <w:color w:val="000000"/>
          <w:lang w:val="en-GB" w:eastAsia="en-CA"/>
        </w:rPr>
        <w:t xml:space="preserve"> In 2016, the company had been successfully established in eight countries. It was clear that </w:t>
      </w:r>
      <w:r w:rsidRPr="00B75DE3">
        <w:rPr>
          <w:rFonts w:eastAsiaTheme="minorHAnsi"/>
        </w:rPr>
        <w:t>Costco’s next steps would have to build upon this momentum and that the company would have to expand operations. For any retailer, selecting new countries and an appropriate entry mode was of utmost importance, as different markets presented different challenges and considerations. Before the company could create an expansion plan, it was necessary to analyze the entry methods it had used in its prior expansions to understand the factors that had contributed to each success. What would be the best method</w:t>
      </w:r>
      <w:bookmarkStart w:id="0" w:name="_GoBack"/>
      <w:bookmarkEnd w:id="0"/>
      <w:r w:rsidRPr="00B75DE3">
        <w:rPr>
          <w:rFonts w:eastAsiaTheme="minorHAnsi"/>
        </w:rPr>
        <w:t xml:space="preserve"> for entry based on existing barriers in terms of culture and operational constraints?</w:t>
      </w:r>
    </w:p>
    <w:p w14:paraId="3475376E" w14:textId="77777777" w:rsidR="00372BEC" w:rsidRPr="00B75DE3" w:rsidRDefault="00372BEC" w:rsidP="00B75DE3">
      <w:pPr>
        <w:pStyle w:val="BodyTextMain"/>
        <w:rPr>
          <w:rFonts w:eastAsiaTheme="minorHAnsi"/>
        </w:rPr>
      </w:pPr>
    </w:p>
    <w:p w14:paraId="0FDC3CA6" w14:textId="77777777" w:rsidR="00372BEC" w:rsidRPr="006759DA" w:rsidRDefault="00372BEC" w:rsidP="008E1C52">
      <w:pPr>
        <w:pStyle w:val="BodyTextMain"/>
        <w:rPr>
          <w:rFonts w:eastAsiaTheme="minorHAnsi"/>
          <w:sz w:val="20"/>
          <w:lang w:val="en-GB"/>
        </w:rPr>
      </w:pPr>
    </w:p>
    <w:p w14:paraId="0F0F5CF0" w14:textId="77777777" w:rsidR="00372BEC" w:rsidRPr="006759DA" w:rsidRDefault="00372BEC" w:rsidP="008E1C52">
      <w:pPr>
        <w:pStyle w:val="Casehead1"/>
        <w:rPr>
          <w:lang w:val="en-GB" w:eastAsia="ko-KR"/>
        </w:rPr>
      </w:pPr>
      <w:r w:rsidRPr="006759DA">
        <w:rPr>
          <w:lang w:val="en-GB" w:eastAsia="ko-KR"/>
        </w:rPr>
        <w:t>Costco Wholesale Corporation</w:t>
      </w:r>
    </w:p>
    <w:p w14:paraId="5B6D123E" w14:textId="77777777" w:rsidR="00372BEC" w:rsidRPr="006759DA" w:rsidRDefault="00372BEC" w:rsidP="008E1C52">
      <w:pPr>
        <w:pStyle w:val="BodyTextMain"/>
        <w:rPr>
          <w:color w:val="000000"/>
          <w:sz w:val="20"/>
          <w:lang w:val="en-GB" w:eastAsia="en-CA"/>
        </w:rPr>
      </w:pPr>
    </w:p>
    <w:p w14:paraId="0261B110" w14:textId="0985CE8D" w:rsidR="00372BEC" w:rsidRPr="006759DA" w:rsidRDefault="00372BEC" w:rsidP="008E1C52">
      <w:pPr>
        <w:pStyle w:val="BodyTextMain"/>
        <w:rPr>
          <w:color w:val="000000"/>
          <w:spacing w:val="-2"/>
          <w:lang w:val="en-GB" w:eastAsia="en-CA"/>
        </w:rPr>
      </w:pPr>
      <w:r w:rsidRPr="006759DA">
        <w:rPr>
          <w:color w:val="000000"/>
          <w:spacing w:val="-2"/>
          <w:lang w:val="en-GB" w:eastAsia="en-CA"/>
        </w:rPr>
        <w:t xml:space="preserve">Headquartered in Issaquah, Washington, Costco was the </w:t>
      </w:r>
      <w:r w:rsidRPr="006759DA">
        <w:rPr>
          <w:rFonts w:eastAsiaTheme="minorHAnsi"/>
          <w:spacing w:val="-2"/>
          <w:lang w:val="en-GB"/>
        </w:rPr>
        <w:t>largest membership warehouse club in the United States</w:t>
      </w:r>
      <w:r w:rsidRPr="006759DA">
        <w:rPr>
          <w:color w:val="000000"/>
          <w:spacing w:val="-2"/>
          <w:lang w:val="en-GB" w:eastAsia="en-CA"/>
        </w:rPr>
        <w:t xml:space="preserve">, with 481 warehouses in 43 states and Puerto Rico. Costco had more than 80 million members and employed more than 200,000 full- and part-time employees around the world. The company sold </w:t>
      </w:r>
      <w:r>
        <w:rPr>
          <w:color w:val="000000"/>
          <w:spacing w:val="-2"/>
          <w:lang w:val="en-GB" w:eastAsia="en-CA"/>
        </w:rPr>
        <w:t>brand name</w:t>
      </w:r>
      <w:r w:rsidRPr="006759DA">
        <w:rPr>
          <w:color w:val="000000"/>
          <w:spacing w:val="-2"/>
          <w:lang w:val="en-GB" w:eastAsia="en-CA"/>
        </w:rPr>
        <w:t xml:space="preserve"> products at low prices and high volumes and offered ancillary service departments such as gas stations, pharmacies, food courts, optical centres, one-hour photo</w:t>
      </w:r>
      <w:r w:rsidRPr="006759DA">
        <w:rPr>
          <w:color w:val="000000"/>
          <w:spacing w:val="-2"/>
          <w:lang w:val="en-GB" w:eastAsia="ko-KR"/>
        </w:rPr>
        <w:t xml:space="preserve"> </w:t>
      </w:r>
      <w:r w:rsidRPr="006759DA">
        <w:rPr>
          <w:color w:val="000000"/>
          <w:spacing w:val="-2"/>
          <w:lang w:val="en-GB" w:eastAsia="en-CA"/>
        </w:rPr>
        <w:t xml:space="preserve">services, hearing centres, and travel services </w:t>
      </w:r>
      <w:r w:rsidRPr="006759DA">
        <w:rPr>
          <w:spacing w:val="-2"/>
          <w:lang w:val="en-GB"/>
        </w:rPr>
        <w:t>at its warehouse locations</w:t>
      </w:r>
      <w:r w:rsidRPr="006759DA">
        <w:rPr>
          <w:color w:val="000000"/>
          <w:spacing w:val="-2"/>
          <w:lang w:val="en-GB" w:eastAsia="en-CA"/>
        </w:rPr>
        <w:t xml:space="preserve">. </w:t>
      </w:r>
      <w:r w:rsidRPr="006759DA">
        <w:rPr>
          <w:lang w:val="en-GB"/>
        </w:rPr>
        <w:t xml:space="preserve">Costco also offered its own </w:t>
      </w:r>
      <w:r>
        <w:rPr>
          <w:lang w:val="en-GB"/>
        </w:rPr>
        <w:t>private label</w:t>
      </w:r>
      <w:r w:rsidRPr="006759DA">
        <w:rPr>
          <w:lang w:val="en-GB"/>
        </w:rPr>
        <w:t xml:space="preserve"> brand, Kirkland Signature, at its warehouses. </w:t>
      </w:r>
      <w:r w:rsidRPr="006759DA">
        <w:rPr>
          <w:color w:val="000000"/>
          <w:spacing w:val="-2"/>
          <w:lang w:val="en-GB" w:eastAsia="en-CA"/>
        </w:rPr>
        <w:t xml:space="preserve">Some of Costco’s global competitors were Walmart Inc. (Walmart); Walmart’s membership club, Sam’s West Inc. (Sam’s Club); Amazon.com Inc. (Amazon); Metro Inc. (Metro); Carrefour Group (Carrefour); </w:t>
      </w:r>
      <w:r>
        <w:rPr>
          <w:color w:val="000000"/>
          <w:spacing w:val="-2"/>
          <w:lang w:val="en-GB" w:eastAsia="en-CA"/>
        </w:rPr>
        <w:t>the</w:t>
      </w:r>
      <w:r w:rsidRPr="006759DA">
        <w:rPr>
          <w:color w:val="000000"/>
          <w:spacing w:val="-2"/>
          <w:lang w:val="en-GB" w:eastAsia="en-CA"/>
        </w:rPr>
        <w:t xml:space="preserve"> Home Depot Inc. (Home Depot); and Best Buy Co. Inc. (Best Buy).</w:t>
      </w:r>
    </w:p>
    <w:p w14:paraId="471EFB3C" w14:textId="77777777" w:rsidR="00372BEC" w:rsidRPr="006759DA" w:rsidRDefault="00372BEC" w:rsidP="001E2629">
      <w:pPr>
        <w:pStyle w:val="BodyTextMain"/>
        <w:tabs>
          <w:tab w:val="left" w:pos="8586"/>
        </w:tabs>
        <w:rPr>
          <w:color w:val="000000"/>
          <w:sz w:val="20"/>
          <w:lang w:val="en-GB" w:eastAsia="en-CA"/>
        </w:rPr>
      </w:pPr>
    </w:p>
    <w:p w14:paraId="3C8B00F6" w14:textId="46AD9F11" w:rsidR="00372BEC" w:rsidRPr="006759DA" w:rsidRDefault="00372BEC" w:rsidP="001E2629">
      <w:pPr>
        <w:pStyle w:val="BodyTextMain"/>
        <w:tabs>
          <w:tab w:val="left" w:pos="8586"/>
        </w:tabs>
        <w:rPr>
          <w:color w:val="000000"/>
          <w:sz w:val="20"/>
          <w:lang w:val="en-GB" w:eastAsia="en-CA"/>
        </w:rPr>
      </w:pPr>
    </w:p>
    <w:p w14:paraId="3BB0A9B8" w14:textId="77777777" w:rsidR="00372BEC" w:rsidRPr="006759DA" w:rsidRDefault="00372BEC" w:rsidP="008E12C7">
      <w:pPr>
        <w:pStyle w:val="Casehead1"/>
        <w:keepNext/>
        <w:keepLines/>
        <w:rPr>
          <w:lang w:val="en-GB"/>
        </w:rPr>
      </w:pPr>
      <w:r w:rsidRPr="006759DA">
        <w:rPr>
          <w:lang w:val="en-GB" w:eastAsia="ko-KR"/>
        </w:rPr>
        <w:t>Global</w:t>
      </w:r>
      <w:r w:rsidRPr="006759DA">
        <w:rPr>
          <w:lang w:val="en-GB"/>
        </w:rPr>
        <w:t xml:space="preserve"> Expansion to Date</w:t>
      </w:r>
    </w:p>
    <w:p w14:paraId="036BD535" w14:textId="77777777" w:rsidR="00372BEC" w:rsidRPr="006759DA" w:rsidRDefault="00372BEC" w:rsidP="008E12C7">
      <w:pPr>
        <w:pStyle w:val="BodyTextMain"/>
        <w:keepNext/>
        <w:keepLines/>
        <w:rPr>
          <w:color w:val="000000"/>
          <w:sz w:val="20"/>
          <w:lang w:val="en-GB" w:eastAsia="en-CA"/>
        </w:rPr>
      </w:pPr>
    </w:p>
    <w:p w14:paraId="5ADF122B" w14:textId="61CD95F2" w:rsidR="00372BEC" w:rsidRPr="006759DA" w:rsidRDefault="00372BEC" w:rsidP="008E12C7">
      <w:pPr>
        <w:pStyle w:val="BodyTextMain"/>
        <w:keepNext/>
        <w:keepLines/>
        <w:rPr>
          <w:color w:val="000000"/>
          <w:lang w:val="en-GB" w:eastAsia="ko-KR"/>
        </w:rPr>
      </w:pPr>
      <w:r w:rsidRPr="006759DA">
        <w:rPr>
          <w:color w:val="000000"/>
          <w:lang w:val="en-GB" w:eastAsia="en-CA"/>
        </w:rPr>
        <w:t xml:space="preserve">Costco’s 2014 sales totalled </w:t>
      </w:r>
      <w:r>
        <w:rPr>
          <w:color w:val="000000"/>
          <w:lang w:val="en-GB" w:eastAsia="en-CA"/>
        </w:rPr>
        <w:t>US</w:t>
      </w:r>
      <w:r w:rsidRPr="006759DA">
        <w:rPr>
          <w:color w:val="000000"/>
          <w:lang w:val="en-GB" w:eastAsia="en-CA"/>
        </w:rPr>
        <w:t>$112.6 billion,</w:t>
      </w:r>
      <w:r>
        <w:rPr>
          <w:rStyle w:val="EndnoteReference"/>
          <w:color w:val="000000"/>
          <w:lang w:val="en-GB" w:eastAsia="en-CA"/>
        </w:rPr>
        <w:endnoteReference w:id="3"/>
      </w:r>
      <w:r w:rsidRPr="006759DA">
        <w:rPr>
          <w:color w:val="000000"/>
          <w:lang w:val="en-GB" w:eastAsia="en-CA"/>
        </w:rPr>
        <w:t xml:space="preserve"> of which $32.1 billion was from international operations.</w:t>
      </w:r>
      <w:r w:rsidRPr="006759DA">
        <w:rPr>
          <w:rStyle w:val="EndnoteReference"/>
          <w:lang w:val="en-GB" w:eastAsia="en-CA"/>
        </w:rPr>
        <w:endnoteReference w:id="4"/>
      </w:r>
      <w:r w:rsidRPr="006759DA">
        <w:rPr>
          <w:color w:val="000000"/>
          <w:lang w:val="en-GB" w:eastAsia="en-CA"/>
        </w:rPr>
        <w:t xml:space="preserve"> That year, the company’s international operating income saw more growth than Costco’s total operating income (see Exhibit 2). In the five-year period ending in 2014, sales from the company’s international </w:t>
      </w:r>
      <w:r w:rsidRPr="006759DA">
        <w:rPr>
          <w:color w:val="000000"/>
          <w:lang w:val="en-GB" w:eastAsia="ko-KR"/>
        </w:rPr>
        <w:t xml:space="preserve">branches showed a significant </w:t>
      </w:r>
      <w:r w:rsidRPr="006759DA">
        <w:rPr>
          <w:color w:val="000000"/>
          <w:lang w:val="en-GB" w:eastAsia="en-CA"/>
        </w:rPr>
        <w:t>increase compared to its U.S.</w:t>
      </w:r>
      <w:r w:rsidRPr="006759DA">
        <w:rPr>
          <w:color w:val="000000"/>
          <w:lang w:val="en-GB" w:eastAsia="ko-KR"/>
        </w:rPr>
        <w:t xml:space="preserve"> branches (see Exhibit 3).</w:t>
      </w:r>
    </w:p>
    <w:p w14:paraId="3AC8D323" w14:textId="4CA206E4" w:rsidR="00372BEC" w:rsidRPr="006759DA" w:rsidRDefault="00372BEC" w:rsidP="008E1C52">
      <w:pPr>
        <w:pStyle w:val="BodyTextMain"/>
        <w:rPr>
          <w:color w:val="000000"/>
          <w:sz w:val="20"/>
          <w:lang w:val="en-GB" w:eastAsia="en-CA"/>
        </w:rPr>
      </w:pPr>
    </w:p>
    <w:p w14:paraId="1872F9AC" w14:textId="79B17ACE" w:rsidR="00372BEC" w:rsidRPr="006759DA" w:rsidRDefault="00372BEC" w:rsidP="008E1C52">
      <w:pPr>
        <w:pStyle w:val="BodyTextMain"/>
        <w:rPr>
          <w:color w:val="000000"/>
          <w:lang w:val="en-GB" w:eastAsia="en-CA"/>
        </w:rPr>
      </w:pPr>
      <w:r w:rsidRPr="006759DA">
        <w:rPr>
          <w:color w:val="000000"/>
          <w:lang w:val="en-GB" w:eastAsia="en-CA"/>
        </w:rPr>
        <w:lastRenderedPageBreak/>
        <w:t xml:space="preserve">Costco’s international expansion began with its entry into Canada in 1985; by October 2015, Costco had established 206 warehouses in eight countries outside the United States, as well as online storefronts in Canada, the United Kingdom, Mexico, and China. Several other retailers, such as Carrefour, Walmart, and Tesco PLC (Tesco), boasted a larger global presence than Costco, but the success the company had managed to achieve in all </w:t>
      </w:r>
      <w:r w:rsidRPr="006759DA">
        <w:rPr>
          <w:color w:val="000000"/>
          <w:lang w:val="en-GB" w:eastAsia="ko-KR"/>
        </w:rPr>
        <w:t>eight</w:t>
      </w:r>
      <w:r w:rsidRPr="006759DA">
        <w:rPr>
          <w:color w:val="000000"/>
          <w:lang w:val="en-GB" w:eastAsia="en-CA"/>
        </w:rPr>
        <w:t xml:space="preserve"> of the international markets it had entered was noteworthy (see Exhibits 4 and 5). Costco employed a variety of global expansion strategies in each of the eight markets, as detailed below.</w:t>
      </w:r>
    </w:p>
    <w:p w14:paraId="0DE10119" w14:textId="77777777" w:rsidR="00372BEC" w:rsidRPr="006759DA" w:rsidRDefault="00372BEC" w:rsidP="008E1C52">
      <w:pPr>
        <w:pStyle w:val="BodyTextMain"/>
        <w:rPr>
          <w:color w:val="000000"/>
          <w:sz w:val="20"/>
          <w:lang w:val="en-GB" w:eastAsia="en-CA"/>
        </w:rPr>
      </w:pPr>
    </w:p>
    <w:p w14:paraId="7EEF30F1" w14:textId="77777777" w:rsidR="00372BEC" w:rsidRPr="006759DA" w:rsidRDefault="00372BEC" w:rsidP="008E1C52">
      <w:pPr>
        <w:pStyle w:val="BodyTextMain"/>
        <w:rPr>
          <w:color w:val="000000"/>
          <w:sz w:val="20"/>
          <w:lang w:val="en-GB" w:eastAsia="en-CA"/>
        </w:rPr>
      </w:pPr>
    </w:p>
    <w:p w14:paraId="0BF3C5BF" w14:textId="77777777" w:rsidR="00372BEC" w:rsidRPr="006759DA" w:rsidRDefault="00372BEC" w:rsidP="008E1C52">
      <w:pPr>
        <w:pStyle w:val="Casehead2"/>
        <w:rPr>
          <w:lang w:val="en-GB"/>
        </w:rPr>
      </w:pPr>
      <w:r w:rsidRPr="006759DA">
        <w:rPr>
          <w:lang w:val="en-GB"/>
        </w:rPr>
        <w:t>Canada</w:t>
      </w:r>
    </w:p>
    <w:p w14:paraId="21F5E391" w14:textId="77777777" w:rsidR="00372BEC" w:rsidRPr="006759DA" w:rsidRDefault="00372BEC" w:rsidP="008E1C52">
      <w:pPr>
        <w:pStyle w:val="BodyTextMain"/>
        <w:rPr>
          <w:sz w:val="20"/>
          <w:lang w:val="en-GB"/>
        </w:rPr>
      </w:pPr>
    </w:p>
    <w:p w14:paraId="7127E779" w14:textId="70FCE044" w:rsidR="00372BEC" w:rsidRPr="006759DA" w:rsidRDefault="00372BEC" w:rsidP="008E1C52">
      <w:pPr>
        <w:pStyle w:val="BodyTextMain"/>
        <w:rPr>
          <w:lang w:val="en-GB"/>
        </w:rPr>
      </w:pPr>
      <w:r w:rsidRPr="006759DA">
        <w:rPr>
          <w:lang w:val="en-GB"/>
        </w:rPr>
        <w:t>Costco entered Canada in 1985, opening a company-owned warehouse in Burnaby, British Columbia.</w:t>
      </w:r>
      <w:r>
        <w:rPr>
          <w:rStyle w:val="EndnoteReference"/>
          <w:lang w:val="en-GB"/>
        </w:rPr>
        <w:endnoteReference w:id="5"/>
      </w:r>
      <w:r w:rsidRPr="006759DA">
        <w:rPr>
          <w:lang w:val="en-GB"/>
        </w:rPr>
        <w:t xml:space="preserve"> Costco’s major competitor from the United States, Price Club, opened its first warehouse in Montreal in 1986, after reaching a joint venture agreement with Steinberg Inc., a grocery chain in the French-speaking province of Quebec, in Eastern Canada.</w:t>
      </w:r>
      <w:r>
        <w:rPr>
          <w:rStyle w:val="EndnoteReference"/>
          <w:lang w:val="en-GB"/>
        </w:rPr>
        <w:endnoteReference w:id="6"/>
      </w:r>
      <w:r w:rsidRPr="006759DA">
        <w:rPr>
          <w:lang w:val="en-GB"/>
        </w:rPr>
        <w:t xml:space="preserve"> Price Club and Costco merged in 1993.</w:t>
      </w:r>
      <w:r>
        <w:rPr>
          <w:rStyle w:val="EndnoteReference"/>
          <w:lang w:val="en-GB"/>
        </w:rPr>
        <w:endnoteReference w:id="7"/>
      </w:r>
      <w:r w:rsidRPr="006759DA">
        <w:rPr>
          <w:lang w:val="en-GB"/>
        </w:rPr>
        <w:t xml:space="preserve"> By 2015, Costco had expanded its operations to </w:t>
      </w:r>
      <w:r>
        <w:rPr>
          <w:lang w:val="en-GB"/>
        </w:rPr>
        <w:t>90</w:t>
      </w:r>
      <w:r w:rsidRPr="006759DA">
        <w:rPr>
          <w:lang w:val="en-GB"/>
        </w:rPr>
        <w:t xml:space="preserve"> locations across nine provinces in Canada.</w:t>
      </w:r>
      <w:r>
        <w:rPr>
          <w:rStyle w:val="EndnoteReference"/>
          <w:lang w:val="en-GB"/>
        </w:rPr>
        <w:endnoteReference w:id="8"/>
      </w:r>
    </w:p>
    <w:p w14:paraId="22E7F6D5" w14:textId="77777777" w:rsidR="00372BEC" w:rsidRPr="006759DA" w:rsidRDefault="00372BEC" w:rsidP="008E1C52">
      <w:pPr>
        <w:pStyle w:val="BodyTextMain"/>
        <w:rPr>
          <w:sz w:val="20"/>
          <w:lang w:val="en-GB"/>
        </w:rPr>
      </w:pPr>
    </w:p>
    <w:p w14:paraId="37F5162E" w14:textId="606E87F9" w:rsidR="00372BEC" w:rsidRPr="00AC6F8B" w:rsidRDefault="00372BEC" w:rsidP="008E1C52">
      <w:pPr>
        <w:pStyle w:val="BodyTextMain"/>
        <w:rPr>
          <w:lang w:val="en-GB"/>
        </w:rPr>
      </w:pPr>
      <w:r w:rsidRPr="00AC6F8B">
        <w:rPr>
          <w:lang w:val="en-GB"/>
        </w:rPr>
        <w:t>Costco initiated a dual strategy in Canada that was an extension of the company’s strategy in the United States. Firstly, Costco mimicked its U.S. growth strategy by expanding geographically into the largest metropolitan areas on the country’s east and west coasts.</w:t>
      </w:r>
      <w:r w:rsidRPr="00AC6F8B">
        <w:rPr>
          <w:rStyle w:val="EndnoteReference"/>
          <w:lang w:val="en-GB"/>
        </w:rPr>
        <w:endnoteReference w:id="9"/>
      </w:r>
      <w:r w:rsidRPr="00AC6F8B">
        <w:rPr>
          <w:lang w:val="en-GB"/>
        </w:rPr>
        <w:t xml:space="preserve"> Secondly, owing to cultural similarities, Costco stocked its Canadian warehouses with products that closely resembled the product selection available in its American warehouses. Fascinated by this American-style shopping experience, Canadian consumers were increasingly drawn to Costco, and the company expanded to 24 Canadian warehouses (including Price Club warehouses). </w:t>
      </w:r>
      <w:r w:rsidR="002626AE" w:rsidRPr="00AC3238">
        <w:t xml:space="preserve">In 1992, Costco and </w:t>
      </w:r>
      <w:r w:rsidR="002626AE">
        <w:t>Price Club</w:t>
      </w:r>
      <w:r w:rsidR="002626AE" w:rsidRPr="00AC3238">
        <w:t xml:space="preserve"> had 12 warehouses each in Canada.</w:t>
      </w:r>
      <w:r w:rsidRPr="00AC6F8B">
        <w:rPr>
          <w:lang w:val="en-GB"/>
        </w:rPr>
        <w:t>A growth in consumer preference towards lower priced, higher quality products brought increased competition. Loblaws Inc. (Loblaws), the country’s largest supermarket retailer, opened its first membership warehouse, the Real Canadian Wholesale Club, in 1991; this was soon followed by Walmart, which entered the market in 1994.</w:t>
      </w:r>
      <w:r w:rsidRPr="00AC6F8B">
        <w:rPr>
          <w:rStyle w:val="CommentReference"/>
          <w:lang w:val="en-GB"/>
        </w:rPr>
        <w:t xml:space="preserve"> </w:t>
      </w:r>
    </w:p>
    <w:p w14:paraId="5060C385" w14:textId="77777777" w:rsidR="00372BEC" w:rsidRPr="006759DA" w:rsidRDefault="00372BEC" w:rsidP="008E1C52">
      <w:pPr>
        <w:pStyle w:val="BodyTextMain"/>
        <w:rPr>
          <w:sz w:val="20"/>
          <w:lang w:val="en-GB"/>
        </w:rPr>
      </w:pPr>
    </w:p>
    <w:p w14:paraId="324F3536" w14:textId="1B59DB9B" w:rsidR="00372BEC" w:rsidRPr="006759DA" w:rsidRDefault="00372BEC" w:rsidP="008E1C52">
      <w:pPr>
        <w:pStyle w:val="BodyTextMain"/>
        <w:rPr>
          <w:lang w:val="en-GB"/>
        </w:rPr>
      </w:pPr>
      <w:r w:rsidRPr="006759DA">
        <w:rPr>
          <w:lang w:val="en-GB"/>
        </w:rPr>
        <w:t>Canada’s appeal as a key international base increased after the signing of the Canada–United States Free Trade Agreement (CUSFTA) in 1987, which eliminated many trade barriers between the two countries.</w:t>
      </w:r>
      <w:r w:rsidRPr="006759DA">
        <w:rPr>
          <w:rStyle w:val="EndnoteReference"/>
          <w:lang w:val="en-GB"/>
        </w:rPr>
        <w:endnoteReference w:id="10"/>
      </w:r>
      <w:r w:rsidRPr="006759DA">
        <w:rPr>
          <w:lang w:val="en-GB"/>
        </w:rPr>
        <w:t xml:space="preserve"> After the agreement came into effect, several retail chains, including Costco, increased their presence in Canada, growing competition in the Canadian retail indust</w:t>
      </w:r>
      <w:r w:rsidRPr="006759DA">
        <w:rPr>
          <w:lang w:val="en-GB" w:eastAsia="ko-KR"/>
        </w:rPr>
        <w:t>ry.</w:t>
      </w:r>
      <w:r w:rsidRPr="006759DA">
        <w:rPr>
          <w:rStyle w:val="EndnoteReference"/>
          <w:lang w:val="en-GB" w:eastAsia="ko-KR"/>
        </w:rPr>
        <w:endnoteReference w:id="11"/>
      </w:r>
      <w:r w:rsidRPr="006759DA">
        <w:rPr>
          <w:lang w:val="en-GB"/>
        </w:rPr>
        <w:t xml:space="preserve"> This competition resulted in lower prices, to the benefit of Canadian consumers. Given Canadian consumers’ desire to save money, Costco’s commitment to low prices was a convincing argument; consumers invested in the company’s memberships and maintained their loyalty, year after year. According to Costco’s 2014 annual report, the membership renewal rate in Canada was 91 per cent, on par with its American rate during the same period.</w:t>
      </w:r>
      <w:r w:rsidRPr="006759DA">
        <w:rPr>
          <w:rStyle w:val="EndnoteReference"/>
          <w:lang w:val="en-GB"/>
        </w:rPr>
        <w:endnoteReference w:id="12"/>
      </w:r>
    </w:p>
    <w:p w14:paraId="135E5DD8" w14:textId="77777777" w:rsidR="00372BEC" w:rsidRPr="006759DA" w:rsidRDefault="00372BEC" w:rsidP="008E1C52">
      <w:pPr>
        <w:pStyle w:val="BodyTextMain"/>
        <w:rPr>
          <w:sz w:val="20"/>
          <w:lang w:val="en-GB"/>
        </w:rPr>
      </w:pPr>
    </w:p>
    <w:p w14:paraId="18763684" w14:textId="77777777" w:rsidR="00372BEC" w:rsidRPr="006759DA" w:rsidRDefault="00372BEC" w:rsidP="008E1C52">
      <w:pPr>
        <w:pStyle w:val="BodyTextMain"/>
        <w:rPr>
          <w:sz w:val="20"/>
          <w:lang w:val="en-GB"/>
        </w:rPr>
      </w:pPr>
    </w:p>
    <w:p w14:paraId="2642D062" w14:textId="77777777" w:rsidR="00372BEC" w:rsidRPr="006759DA" w:rsidRDefault="00372BEC" w:rsidP="008E1C52">
      <w:pPr>
        <w:pStyle w:val="Casehead2"/>
        <w:rPr>
          <w:lang w:val="en-GB"/>
        </w:rPr>
      </w:pPr>
      <w:r w:rsidRPr="006759DA">
        <w:rPr>
          <w:lang w:val="en-GB"/>
        </w:rPr>
        <w:t>Mexico</w:t>
      </w:r>
    </w:p>
    <w:p w14:paraId="6C40F9D2" w14:textId="77777777" w:rsidR="00372BEC" w:rsidRPr="006759DA" w:rsidRDefault="00372BEC" w:rsidP="008E1C52">
      <w:pPr>
        <w:pStyle w:val="BodyTextMain"/>
        <w:rPr>
          <w:sz w:val="20"/>
          <w:lang w:val="en-GB"/>
        </w:rPr>
      </w:pPr>
    </w:p>
    <w:p w14:paraId="13BCCC4D" w14:textId="6A1F63EE" w:rsidR="00372BEC" w:rsidRPr="00AC6F8B" w:rsidRDefault="00372BEC" w:rsidP="008E1C52">
      <w:pPr>
        <w:pStyle w:val="BodyTextMain"/>
        <w:rPr>
          <w:spacing w:val="-6"/>
          <w:lang w:val="en-GB"/>
        </w:rPr>
      </w:pPr>
      <w:r w:rsidRPr="00AC6F8B">
        <w:rPr>
          <w:spacing w:val="-6"/>
          <w:lang w:val="en-GB"/>
        </w:rPr>
        <w:t>Costco (Price Club) entered Mexico in 1992 through a joint venture (JV) with one of the largest Mexican supermarket chains, Controladora Comercial Mexicana SAB de CV (CCM). In 2012, Costco purchased CCM’s stake in the JV, and as of October 2015, the company owned and operated 36 stores in 18 Mexican states.</w:t>
      </w:r>
      <w:r w:rsidRPr="00AC6F8B">
        <w:rPr>
          <w:rStyle w:val="EndnoteReference"/>
          <w:spacing w:val="-6"/>
          <w:lang w:val="en-GB"/>
        </w:rPr>
        <w:endnoteReference w:id="13"/>
      </w:r>
      <w:r w:rsidRPr="00AC6F8B">
        <w:rPr>
          <w:spacing w:val="-6"/>
          <w:lang w:val="en-GB"/>
        </w:rPr>
        <w:t xml:space="preserve"> </w:t>
      </w:r>
    </w:p>
    <w:p w14:paraId="4CF665BC" w14:textId="77777777" w:rsidR="00372BEC" w:rsidRPr="006759DA" w:rsidRDefault="00372BEC" w:rsidP="008E1C52">
      <w:pPr>
        <w:pStyle w:val="BodyTextMain"/>
        <w:rPr>
          <w:sz w:val="20"/>
          <w:lang w:val="en-GB"/>
        </w:rPr>
      </w:pPr>
    </w:p>
    <w:p w14:paraId="63B948BC" w14:textId="62E4F7F0" w:rsidR="00372BEC" w:rsidRPr="006759DA" w:rsidRDefault="00372BEC" w:rsidP="002C63A1">
      <w:pPr>
        <w:pStyle w:val="BodyTextMain"/>
        <w:rPr>
          <w:lang w:val="en-GB"/>
        </w:rPr>
      </w:pPr>
      <w:r w:rsidRPr="006759DA">
        <w:rPr>
          <w:lang w:val="en-GB"/>
        </w:rPr>
        <w:t xml:space="preserve">Mexico had a history of protectionist trade policies that limited the amount of cross-border trade with U.S. companies. As negotiations for the North American Free Trade Agreement (NAFTA) progressed, major retailers in Mexico started approaching U.S. retailers about possible partnerships. </w:t>
      </w:r>
      <w:r w:rsidR="002626AE" w:rsidRPr="00AC3238">
        <w:t>NAFTA was signed by Canada, Mexico</w:t>
      </w:r>
      <w:r w:rsidR="002626AE">
        <w:t>,</w:t>
      </w:r>
      <w:r w:rsidR="002626AE" w:rsidRPr="00AC3238">
        <w:t xml:space="preserve"> and </w:t>
      </w:r>
      <w:r w:rsidR="002626AE">
        <w:t>the United States</w:t>
      </w:r>
      <w:r w:rsidR="002626AE" w:rsidRPr="00AC3238">
        <w:t xml:space="preserve"> to remove trade barriers among the three countries. The agreement came into effect in 1994. </w:t>
      </w:r>
      <w:r w:rsidRPr="006759DA">
        <w:rPr>
          <w:lang w:val="en-GB"/>
        </w:rPr>
        <w:t>Attracted by Mexico’s large, urbanizing population and a growing middle class, large U.S. retailers such as Costco and Walmart capitalized on the opportunity to establish a presence in Mexico.</w:t>
      </w:r>
      <w:r w:rsidRPr="006759DA">
        <w:rPr>
          <w:rStyle w:val="EndnoteReference"/>
          <w:lang w:val="en-GB"/>
        </w:rPr>
        <w:endnoteReference w:id="14"/>
      </w:r>
      <w:r w:rsidRPr="006759DA">
        <w:rPr>
          <w:lang w:val="en-GB"/>
        </w:rPr>
        <w:t xml:space="preserve"> </w:t>
      </w:r>
    </w:p>
    <w:p w14:paraId="4E994DCF" w14:textId="1E1BF387" w:rsidR="00372BEC" w:rsidRPr="007F1045" w:rsidRDefault="00372BEC" w:rsidP="008E1C52">
      <w:pPr>
        <w:pStyle w:val="BodyTextMain"/>
        <w:rPr>
          <w:spacing w:val="-4"/>
          <w:lang w:val="en-GB"/>
        </w:rPr>
      </w:pPr>
      <w:r w:rsidRPr="007F1045">
        <w:rPr>
          <w:spacing w:val="-4"/>
          <w:lang w:val="en-GB"/>
        </w:rPr>
        <w:lastRenderedPageBreak/>
        <w:t>In Mexico, Costco was in direct competition with Sam’s Club, which had aggressively expanded to 22 locations</w:t>
      </w:r>
      <w:r w:rsidRPr="007F1045">
        <w:rPr>
          <w:spacing w:val="-4"/>
          <w:lang w:val="en-GB" w:eastAsia="ko-KR"/>
        </w:rPr>
        <w:t xml:space="preserve"> </w:t>
      </w:r>
      <w:r w:rsidRPr="007F1045">
        <w:rPr>
          <w:spacing w:val="-4"/>
          <w:lang w:val="en-GB"/>
        </w:rPr>
        <w:t>in the three years following its entry in 1991.</w:t>
      </w:r>
      <w:r w:rsidRPr="007F1045">
        <w:rPr>
          <w:rStyle w:val="EndnoteReference"/>
          <w:spacing w:val="-4"/>
          <w:lang w:val="en-GB"/>
        </w:rPr>
        <w:endnoteReference w:id="15"/>
      </w:r>
      <w:r w:rsidRPr="007F1045">
        <w:rPr>
          <w:spacing w:val="-4"/>
          <w:lang w:val="en-GB"/>
        </w:rPr>
        <w:t xml:space="preserve"> Costco’s strategy was to open its warehouses in locations where Sam’s Club had no presence and win memberships through a first-to-market advantage. These shoppers were enticed by Costco’s guaranteed lower prices, which led to an increase in the volume of purchases they made during each visit. These consumers associated foreign-made items with positive attributes such as better quality and reliability, displaying a strong preference for them over locally made counterparts. This encouraged Costco to adapt its offerings and import non-food items. As the prices of imported goods dropped following NAFTA, Costco’s warehouses became a principal source of American-made products.</w:t>
      </w:r>
      <w:r w:rsidRPr="007F1045">
        <w:rPr>
          <w:rStyle w:val="EndnoteReference"/>
          <w:spacing w:val="-4"/>
          <w:lang w:val="en-GB"/>
        </w:rPr>
        <w:endnoteReference w:id="16"/>
      </w:r>
    </w:p>
    <w:p w14:paraId="6A4ADF3B" w14:textId="77777777" w:rsidR="00372BEC" w:rsidRPr="006759DA" w:rsidRDefault="00372BEC" w:rsidP="008E1C52">
      <w:pPr>
        <w:pStyle w:val="BodyTextMain"/>
        <w:rPr>
          <w:sz w:val="20"/>
          <w:lang w:val="en-GB"/>
        </w:rPr>
      </w:pPr>
    </w:p>
    <w:p w14:paraId="0A1620C7" w14:textId="77777777" w:rsidR="00372BEC" w:rsidRPr="006759DA" w:rsidRDefault="00372BEC" w:rsidP="008E1C52">
      <w:pPr>
        <w:pStyle w:val="BodyTextMain"/>
        <w:rPr>
          <w:sz w:val="20"/>
          <w:lang w:val="en-GB"/>
        </w:rPr>
      </w:pPr>
    </w:p>
    <w:p w14:paraId="5562BCE3" w14:textId="77777777" w:rsidR="00372BEC" w:rsidRPr="006759DA" w:rsidRDefault="00372BEC" w:rsidP="008E1C52">
      <w:pPr>
        <w:pStyle w:val="Casehead2"/>
        <w:rPr>
          <w:lang w:val="en-GB"/>
        </w:rPr>
      </w:pPr>
      <w:r w:rsidRPr="006759DA">
        <w:rPr>
          <w:lang w:val="en-GB"/>
        </w:rPr>
        <w:t>United Kingdom</w:t>
      </w:r>
    </w:p>
    <w:p w14:paraId="47F5443B" w14:textId="77777777" w:rsidR="00372BEC" w:rsidRPr="006759DA" w:rsidRDefault="00372BEC" w:rsidP="008E1C52">
      <w:pPr>
        <w:pStyle w:val="BodyTextMain"/>
        <w:rPr>
          <w:sz w:val="20"/>
          <w:lang w:val="en-GB"/>
        </w:rPr>
      </w:pPr>
    </w:p>
    <w:p w14:paraId="57FBEADD" w14:textId="3CD9068B" w:rsidR="00372BEC" w:rsidRPr="006759DA" w:rsidRDefault="00372BEC" w:rsidP="008E1C52">
      <w:pPr>
        <w:pStyle w:val="BodyTextMain"/>
        <w:rPr>
          <w:lang w:val="en-GB"/>
        </w:rPr>
      </w:pPr>
      <w:r w:rsidRPr="006759DA">
        <w:rPr>
          <w:lang w:val="en-GB"/>
        </w:rPr>
        <w:t xml:space="preserve">Costco entered the United Kingdom in 1993, opening its first store in Essex after reaching a JV agreement with French multinational retailer Carrefour. </w:t>
      </w:r>
      <w:r w:rsidR="005C3213" w:rsidRPr="003D7C1D">
        <w:t>Price Club also entered the market by forming a JV with a privately-owned retailer Littlewoods Organi</w:t>
      </w:r>
      <w:r w:rsidR="005C3213">
        <w:t>s</w:t>
      </w:r>
      <w:r w:rsidR="005C3213" w:rsidRPr="003D7C1D">
        <w:t xml:space="preserve">ation </w:t>
      </w:r>
      <w:r w:rsidR="005C3213">
        <w:t>PLC</w:t>
      </w:r>
      <w:r w:rsidR="005C3213" w:rsidRPr="003D7C1D">
        <w:t xml:space="preserve"> </w:t>
      </w:r>
      <w:r w:rsidR="005C3213">
        <w:t>in</w:t>
      </w:r>
      <w:r w:rsidR="005C3213" w:rsidRPr="003D7C1D">
        <w:t xml:space="preserve"> 2000</w:t>
      </w:r>
      <w:r w:rsidR="005C3213">
        <w:t>;</w:t>
      </w:r>
      <w:r w:rsidR="005C3213" w:rsidRPr="003D7C1D">
        <w:t xml:space="preserve"> Littlewoods’</w:t>
      </w:r>
      <w:r w:rsidR="005C3213">
        <w:t>s</w:t>
      </w:r>
      <w:r w:rsidR="005C3213" w:rsidRPr="003D7C1D">
        <w:t xml:space="preserve"> stake was sold to Costco.</w:t>
      </w:r>
      <w:r w:rsidR="005C3213">
        <w:t xml:space="preserve"> </w:t>
      </w:r>
      <w:r w:rsidRPr="006759DA">
        <w:rPr>
          <w:lang w:val="en-GB"/>
        </w:rPr>
        <w:t xml:space="preserve">In 2003, Costco purchased Carrefour’s stake in the JV, and by 2015, Costco operated 27 locations across the United Kingdom. </w:t>
      </w:r>
    </w:p>
    <w:p w14:paraId="75801F84" w14:textId="77777777" w:rsidR="00372BEC" w:rsidRPr="006759DA" w:rsidRDefault="00372BEC" w:rsidP="008E1C52">
      <w:pPr>
        <w:pStyle w:val="BodyTextMain"/>
        <w:rPr>
          <w:sz w:val="20"/>
          <w:lang w:val="en-GB"/>
        </w:rPr>
      </w:pPr>
    </w:p>
    <w:p w14:paraId="6FA59495" w14:textId="7F60BA10" w:rsidR="00372BEC" w:rsidRPr="006759DA" w:rsidRDefault="00372BEC" w:rsidP="008E1C52">
      <w:pPr>
        <w:pStyle w:val="BodyTextMain"/>
        <w:rPr>
          <w:spacing w:val="-4"/>
          <w:lang w:val="en-GB"/>
        </w:rPr>
      </w:pPr>
      <w:r w:rsidRPr="006759DA">
        <w:rPr>
          <w:spacing w:val="-4"/>
          <w:lang w:val="en-GB"/>
        </w:rPr>
        <w:t xml:space="preserve">As a wholesaler, Costco’s entry into the United Kingdom, an industrialized and developed nation with wealthy citizens, gave the company significant leverage to operate at a cost base lower than its local rivals. As it had in other countries, Costco operated its U.K. stores as strictly </w:t>
      </w:r>
      <w:r>
        <w:rPr>
          <w:spacing w:val="-4"/>
          <w:lang w:val="en-GB"/>
        </w:rPr>
        <w:t>no-frills-style</w:t>
      </w:r>
      <w:r w:rsidRPr="006759DA">
        <w:rPr>
          <w:spacing w:val="-4"/>
          <w:lang w:val="en-GB"/>
        </w:rPr>
        <w:t xml:space="preserve"> warehouses that contained only essentials and avoided facilities such as dressing rooms, which wasted floor space.</w:t>
      </w:r>
      <w:r w:rsidRPr="006759DA">
        <w:rPr>
          <w:rStyle w:val="EndnoteReference"/>
          <w:spacing w:val="-4"/>
          <w:lang w:val="en-GB"/>
        </w:rPr>
        <w:endnoteReference w:id="17"/>
      </w:r>
      <w:r w:rsidRPr="006759DA">
        <w:rPr>
          <w:spacing w:val="-4"/>
          <w:lang w:val="en-GB"/>
        </w:rPr>
        <w:t xml:space="preserve"> Costco did not invest in a paid advertising strategy; however, the local media extensively publicized several aspects of the company, such as its low</w:t>
      </w:r>
      <w:r w:rsidRPr="006759DA">
        <w:rPr>
          <w:spacing w:val="-4"/>
          <w:lang w:val="en-GB" w:eastAsia="ko-KR"/>
        </w:rPr>
        <w:t>er</w:t>
      </w:r>
      <w:r w:rsidRPr="006759DA">
        <w:rPr>
          <w:spacing w:val="-4"/>
          <w:lang w:val="en-GB"/>
        </w:rPr>
        <w:t>-</w:t>
      </w:r>
      <w:r w:rsidRPr="006759DA">
        <w:rPr>
          <w:spacing w:val="-4"/>
          <w:lang w:val="en-GB" w:eastAsia="ko-KR"/>
        </w:rPr>
        <w:t>than-</w:t>
      </w:r>
      <w:r w:rsidRPr="006759DA">
        <w:rPr>
          <w:spacing w:val="-4"/>
          <w:lang w:val="en-GB"/>
        </w:rPr>
        <w:t>average markup of 11 per cent, building a positive image of the company for consumers. Such publicity also attracted the attention of local retailers, who began slashing prices</w:t>
      </w:r>
      <w:r w:rsidRPr="006759DA">
        <w:rPr>
          <w:spacing w:val="-4"/>
          <w:lang w:val="en-GB" w:eastAsia="ko-KR"/>
        </w:rPr>
        <w:t xml:space="preserve"> </w:t>
      </w:r>
      <w:r w:rsidRPr="006759DA">
        <w:rPr>
          <w:spacing w:val="-4"/>
          <w:lang w:val="en-GB"/>
        </w:rPr>
        <w:t>in anticipation of a price war.</w:t>
      </w:r>
      <w:r w:rsidRPr="006759DA">
        <w:rPr>
          <w:rStyle w:val="EndnoteReference"/>
          <w:spacing w:val="-4"/>
          <w:lang w:val="en-GB"/>
        </w:rPr>
        <w:endnoteReference w:id="18"/>
      </w:r>
      <w:r w:rsidRPr="006759DA">
        <w:rPr>
          <w:spacing w:val="-4"/>
          <w:lang w:val="en-GB"/>
        </w:rPr>
        <w:t xml:space="preserve"> Conventional supermarket markups ranged from 21 to 40 per cent, making the British some of the highest-paying consumers in the Western hemisphere.</w:t>
      </w:r>
      <w:r w:rsidRPr="006759DA">
        <w:rPr>
          <w:rStyle w:val="EndnoteReference"/>
          <w:spacing w:val="-4"/>
          <w:lang w:val="en-GB"/>
        </w:rPr>
        <w:endnoteReference w:id="19"/>
      </w:r>
      <w:r w:rsidRPr="006759DA">
        <w:rPr>
          <w:spacing w:val="-4"/>
          <w:lang w:val="en-GB"/>
        </w:rPr>
        <w:t xml:space="preserve"> </w:t>
      </w:r>
      <w:r w:rsidRPr="00514B6E">
        <w:rPr>
          <w:spacing w:val="-4"/>
          <w:lang w:val="en-GB"/>
        </w:rPr>
        <w:t>However, the recession of 1991 resulted in a substantial reduction in consumer confidence,</w:t>
      </w:r>
      <w:r>
        <w:rPr>
          <w:rStyle w:val="EndnoteReference"/>
          <w:spacing w:val="-4"/>
          <w:lang w:val="en-GB"/>
        </w:rPr>
        <w:endnoteReference w:id="20"/>
      </w:r>
      <w:r w:rsidRPr="00514B6E">
        <w:rPr>
          <w:spacing w:val="-4"/>
          <w:lang w:val="en-GB"/>
        </w:rPr>
        <w:t xml:space="preserve"> which in turn made the UK consumers more price conscious.</w:t>
      </w:r>
      <w:r>
        <w:rPr>
          <w:rStyle w:val="EndnoteReference"/>
          <w:spacing w:val="-4"/>
          <w:lang w:val="en-GB"/>
        </w:rPr>
        <w:endnoteReference w:id="21"/>
      </w:r>
      <w:r w:rsidRPr="00514B6E">
        <w:rPr>
          <w:spacing w:val="-4"/>
          <w:lang w:val="en-GB"/>
        </w:rPr>
        <w:t xml:space="preserve"> This was the perfect opportunity for Costco to lure UK shoppers by its low price guarantees for bulk purchases.</w:t>
      </w:r>
      <w:r>
        <w:rPr>
          <w:rStyle w:val="EndnoteReference"/>
          <w:spacing w:val="-4"/>
          <w:lang w:val="en-GB"/>
        </w:rPr>
        <w:endnoteReference w:id="22"/>
      </w:r>
    </w:p>
    <w:p w14:paraId="3E421316" w14:textId="77777777" w:rsidR="00372BEC" w:rsidRPr="006759DA" w:rsidRDefault="00372BEC" w:rsidP="008E1C52">
      <w:pPr>
        <w:pStyle w:val="BodyTextMain"/>
        <w:rPr>
          <w:sz w:val="20"/>
          <w:lang w:val="en-GB"/>
        </w:rPr>
      </w:pPr>
    </w:p>
    <w:p w14:paraId="07E30FAF" w14:textId="62AF7F27" w:rsidR="00372BEC" w:rsidRPr="006759DA" w:rsidRDefault="00372BEC" w:rsidP="008E1C52">
      <w:pPr>
        <w:pStyle w:val="BodyTextMain"/>
        <w:rPr>
          <w:lang w:val="en-GB"/>
        </w:rPr>
      </w:pPr>
      <w:r w:rsidRPr="006759DA">
        <w:rPr>
          <w:lang w:val="en-GB"/>
        </w:rPr>
        <w:t>Costco faced strong resistance during its entry into the United Kingdom. The three big local retailers—Tesco, J. Sainsbury PLC (Sainsbury’s), and Argyll Group PLC—filed a lawsuit that questioned Costco’s wholesaler status and its qualification for less stringent planning controls, which included access to commercial and industrial land at lower cost than the higher priced land allocated for retailers.</w:t>
      </w:r>
      <w:r w:rsidRPr="006759DA">
        <w:rPr>
          <w:rStyle w:val="EndnoteReference"/>
          <w:lang w:val="en-GB"/>
        </w:rPr>
        <w:endnoteReference w:id="23"/>
      </w:r>
      <w:r w:rsidRPr="006759DA">
        <w:rPr>
          <w:lang w:val="en-GB"/>
        </w:rPr>
        <w:t xml:space="preserve"> Costco’s warehouse-style </w:t>
      </w:r>
      <w:r>
        <w:rPr>
          <w:lang w:val="en-GB"/>
        </w:rPr>
        <w:t>set-up</w:t>
      </w:r>
      <w:r w:rsidRPr="006759DA">
        <w:rPr>
          <w:lang w:val="en-GB"/>
        </w:rPr>
        <w:t xml:space="preserve"> and bulk product supply at discounted prices convinced the High Court to regard Costco as non-retail and to clear Costco to open its first store in the country.</w:t>
      </w:r>
      <w:r>
        <w:rPr>
          <w:rStyle w:val="EndnoteReference"/>
          <w:lang w:val="en-GB"/>
        </w:rPr>
        <w:endnoteReference w:id="24"/>
      </w:r>
    </w:p>
    <w:p w14:paraId="41F198F5" w14:textId="77777777" w:rsidR="00372BEC" w:rsidRPr="006759DA" w:rsidRDefault="00372BEC" w:rsidP="008E1C52">
      <w:pPr>
        <w:pStyle w:val="BodyTextMain"/>
        <w:rPr>
          <w:sz w:val="20"/>
          <w:lang w:val="en-GB"/>
        </w:rPr>
      </w:pPr>
    </w:p>
    <w:p w14:paraId="0DF415F6" w14:textId="77777777" w:rsidR="00372BEC" w:rsidRPr="006759DA" w:rsidRDefault="00372BEC" w:rsidP="008E1C52">
      <w:pPr>
        <w:pStyle w:val="BodyTextMain"/>
        <w:rPr>
          <w:sz w:val="20"/>
          <w:lang w:val="en-GB"/>
        </w:rPr>
      </w:pPr>
    </w:p>
    <w:p w14:paraId="6C85CB77" w14:textId="77777777" w:rsidR="00372BEC" w:rsidRPr="006759DA" w:rsidRDefault="00372BEC" w:rsidP="008E1C52">
      <w:pPr>
        <w:pStyle w:val="Casehead2"/>
        <w:rPr>
          <w:lang w:val="en-GB"/>
        </w:rPr>
      </w:pPr>
      <w:r w:rsidRPr="006759DA">
        <w:rPr>
          <w:lang w:val="en-GB"/>
        </w:rPr>
        <w:t>South Korea</w:t>
      </w:r>
    </w:p>
    <w:p w14:paraId="63DB739D" w14:textId="77777777" w:rsidR="00372BEC" w:rsidRPr="006759DA" w:rsidRDefault="00372BEC" w:rsidP="008E1C52">
      <w:pPr>
        <w:pStyle w:val="BodyTextMain"/>
        <w:rPr>
          <w:sz w:val="20"/>
          <w:lang w:val="en-GB"/>
        </w:rPr>
      </w:pPr>
    </w:p>
    <w:p w14:paraId="2F7C0C76" w14:textId="6F75AEA5" w:rsidR="00372BEC" w:rsidRPr="006759DA" w:rsidRDefault="00372BEC" w:rsidP="008E1C52">
      <w:pPr>
        <w:pStyle w:val="BodyTextMain"/>
        <w:rPr>
          <w:lang w:val="en-GB"/>
        </w:rPr>
      </w:pPr>
      <w:r w:rsidRPr="006759DA">
        <w:rPr>
          <w:lang w:val="en-GB"/>
        </w:rPr>
        <w:t xml:space="preserve">In 1994, Costco granted a </w:t>
      </w:r>
      <w:r>
        <w:rPr>
          <w:lang w:val="en-GB"/>
        </w:rPr>
        <w:t>licence</w:t>
      </w:r>
      <w:r w:rsidRPr="006759DA">
        <w:rPr>
          <w:lang w:val="en-GB"/>
        </w:rPr>
        <w:t xml:space="preserve"> to Shinsegae Department Store (Shinsegae), a major South Korean retailer, to open and operate a warehouse club store in Seoul.</w:t>
      </w:r>
      <w:r>
        <w:rPr>
          <w:rStyle w:val="EndnoteReference"/>
          <w:lang w:val="en-GB"/>
        </w:rPr>
        <w:endnoteReference w:id="25"/>
      </w:r>
      <w:r w:rsidRPr="006759DA">
        <w:rPr>
          <w:lang w:val="en-GB"/>
        </w:rPr>
        <w:t xml:space="preserve"> This became Costco’s first store in Asia. In 1998, Costco purchased the warehouses </w:t>
      </w:r>
      <w:r w:rsidRPr="006759DA">
        <w:rPr>
          <w:lang w:val="en-GB" w:eastAsia="ko-KR"/>
        </w:rPr>
        <w:t>from Shinsegae</w:t>
      </w:r>
      <w:r w:rsidRPr="006759DA">
        <w:rPr>
          <w:lang w:val="en-GB"/>
        </w:rPr>
        <w:t xml:space="preserve"> and subsequently formed a 94 per cent JV with the same partner.</w:t>
      </w:r>
      <w:r>
        <w:rPr>
          <w:rStyle w:val="EndnoteReference"/>
          <w:lang w:val="en-GB"/>
        </w:rPr>
        <w:endnoteReference w:id="26"/>
      </w:r>
      <w:r w:rsidRPr="006759DA">
        <w:rPr>
          <w:lang w:val="en-GB"/>
        </w:rPr>
        <w:t xml:space="preserve"> By 2015, the company had expanded to 12 locations in South Korea.</w:t>
      </w:r>
      <w:r>
        <w:rPr>
          <w:rStyle w:val="EndnoteReference"/>
          <w:lang w:val="en-GB"/>
        </w:rPr>
        <w:endnoteReference w:id="27"/>
      </w:r>
      <w:r w:rsidRPr="006759DA">
        <w:rPr>
          <w:lang w:val="en-GB"/>
        </w:rPr>
        <w:t xml:space="preserve"> </w:t>
      </w:r>
    </w:p>
    <w:p w14:paraId="44F6D891" w14:textId="77777777" w:rsidR="00372BEC" w:rsidRPr="006759DA" w:rsidRDefault="00372BEC" w:rsidP="008E1C52">
      <w:pPr>
        <w:pStyle w:val="BodyTextMain"/>
        <w:rPr>
          <w:sz w:val="20"/>
          <w:lang w:val="en-GB"/>
        </w:rPr>
      </w:pPr>
    </w:p>
    <w:p w14:paraId="2AA00AD9" w14:textId="7DBAFAE1" w:rsidR="00372BEC" w:rsidRPr="006759DA" w:rsidRDefault="00372BEC" w:rsidP="008E1C52">
      <w:pPr>
        <w:pStyle w:val="BodyTextMain"/>
        <w:rPr>
          <w:lang w:val="en-GB"/>
        </w:rPr>
      </w:pPr>
      <w:r w:rsidRPr="006759DA">
        <w:rPr>
          <w:lang w:val="en-GB"/>
        </w:rPr>
        <w:t xml:space="preserve">Costco introduced local shoppers to the lower price, higher quality value model, supplying a limited range of products in bigger quantities. South Korea’s relatively large households favoured Costco’s wholesale approach over the prevailing </w:t>
      </w:r>
      <w:r w:rsidRPr="006759DA">
        <w:rPr>
          <w:i/>
          <w:lang w:val="en-GB"/>
        </w:rPr>
        <w:t>harin</w:t>
      </w:r>
      <w:r w:rsidRPr="006759DA">
        <w:rPr>
          <w:lang w:val="en-GB"/>
        </w:rPr>
        <w:t xml:space="preserve"> </w:t>
      </w:r>
      <w:r w:rsidRPr="006759DA">
        <w:rPr>
          <w:lang w:val="en-GB" w:eastAsia="ko-KR"/>
        </w:rPr>
        <w:t>(</w:t>
      </w:r>
      <w:r w:rsidRPr="006759DA">
        <w:rPr>
          <w:lang w:val="en-GB"/>
        </w:rPr>
        <w:t>discount</w:t>
      </w:r>
      <w:r w:rsidRPr="006759DA">
        <w:rPr>
          <w:lang w:val="en-GB" w:eastAsia="ko-KR"/>
        </w:rPr>
        <w:t>)</w:t>
      </w:r>
      <w:r w:rsidRPr="006759DA">
        <w:rPr>
          <w:lang w:val="en-GB"/>
        </w:rPr>
        <w:t xml:space="preserve"> store format.</w:t>
      </w:r>
      <w:r w:rsidRPr="006759DA">
        <w:rPr>
          <w:rStyle w:val="EndnoteReference"/>
          <w:lang w:val="en-GB"/>
        </w:rPr>
        <w:endnoteReference w:id="28"/>
      </w:r>
      <w:r w:rsidRPr="006759DA">
        <w:rPr>
          <w:lang w:val="en-GB"/>
        </w:rPr>
        <w:t xml:space="preserve"> Costco granted an exclusive </w:t>
      </w:r>
      <w:r>
        <w:rPr>
          <w:lang w:val="en-GB"/>
        </w:rPr>
        <w:t>licence</w:t>
      </w:r>
      <w:r w:rsidRPr="006759DA">
        <w:rPr>
          <w:lang w:val="en-GB"/>
        </w:rPr>
        <w:t xml:space="preserve"> to Shinsegae to run daily warehouse operations, and the warehouse adapted products to the tastes and preferences of affluent and well-educated shoppers, who valued product quality, products with health </w:t>
      </w:r>
      <w:r w:rsidRPr="006759DA">
        <w:rPr>
          <w:lang w:val="en-GB"/>
        </w:rPr>
        <w:lastRenderedPageBreak/>
        <w:t>benefits, and customer service.</w:t>
      </w:r>
      <w:r w:rsidRPr="006759DA">
        <w:rPr>
          <w:rStyle w:val="EndnoteReference"/>
          <w:lang w:val="en-GB"/>
        </w:rPr>
        <w:endnoteReference w:id="29"/>
      </w:r>
      <w:r w:rsidRPr="006759DA">
        <w:rPr>
          <w:lang w:val="en-GB"/>
        </w:rPr>
        <w:t xml:space="preserve"> This localization meant that Costco was more successful in this market than most other foreign retailers. In 2014, </w:t>
      </w:r>
      <w:r w:rsidRPr="006759DA">
        <w:rPr>
          <w:i/>
          <w:lang w:val="en-GB"/>
        </w:rPr>
        <w:t>Fortune</w:t>
      </w:r>
      <w:r w:rsidRPr="006759DA">
        <w:rPr>
          <w:lang w:val="en-GB"/>
        </w:rPr>
        <w:t xml:space="preserve"> reported that Costco’s warehouse in Seoul had recorded the highest sales of any Costco worldwide and had earned the title of “busiest Costco in the world.”</w:t>
      </w:r>
      <w:r w:rsidRPr="006759DA">
        <w:rPr>
          <w:rStyle w:val="EndnoteReference"/>
          <w:lang w:val="en-GB"/>
        </w:rPr>
        <w:endnoteReference w:id="30"/>
      </w:r>
    </w:p>
    <w:p w14:paraId="58CCFAE6" w14:textId="77777777" w:rsidR="00372BEC" w:rsidRPr="006759DA" w:rsidRDefault="00372BEC" w:rsidP="008E1C52">
      <w:pPr>
        <w:pStyle w:val="BodyTextMain"/>
        <w:rPr>
          <w:sz w:val="20"/>
          <w:lang w:val="en-GB"/>
        </w:rPr>
      </w:pPr>
    </w:p>
    <w:p w14:paraId="4AC2421D" w14:textId="3ECC3ECF" w:rsidR="00372BEC" w:rsidRPr="006759DA" w:rsidRDefault="00372BEC" w:rsidP="008E1C52">
      <w:pPr>
        <w:pStyle w:val="BodyTextMain"/>
        <w:rPr>
          <w:lang w:val="en-GB"/>
        </w:rPr>
      </w:pPr>
      <w:r w:rsidRPr="006759DA">
        <w:rPr>
          <w:lang w:val="en-GB"/>
        </w:rPr>
        <w:t xml:space="preserve">Between the early 1960s and the late 1990s, South Korea had one of the </w:t>
      </w:r>
      <w:r>
        <w:rPr>
          <w:lang w:val="en-GB"/>
        </w:rPr>
        <w:t>fastest-growing</w:t>
      </w:r>
      <w:r w:rsidRPr="006759DA">
        <w:rPr>
          <w:lang w:val="en-GB"/>
        </w:rPr>
        <w:t xml:space="preserve"> economies in the world.</w:t>
      </w:r>
      <w:r w:rsidRPr="006759DA">
        <w:rPr>
          <w:rStyle w:val="EndnoteReference"/>
          <w:lang w:val="en-GB"/>
        </w:rPr>
        <w:endnoteReference w:id="31"/>
      </w:r>
      <w:r w:rsidRPr="006759DA">
        <w:rPr>
          <w:lang w:val="en-GB"/>
        </w:rPr>
        <w:t xml:space="preserve"> Foreign retailers, however, were largely barred from this growing market—primarily because of government controls over land development, zoning regulations, and restrictions on foreign direct investment (FDI).</w:t>
      </w:r>
      <w:r w:rsidRPr="006759DA">
        <w:rPr>
          <w:rStyle w:val="EndnoteReference"/>
          <w:lang w:val="en-GB"/>
        </w:rPr>
        <w:endnoteReference w:id="32"/>
      </w:r>
      <w:r w:rsidRPr="006759DA">
        <w:rPr>
          <w:lang w:val="en-GB"/>
        </w:rPr>
        <w:t xml:space="preserve"> Liberalization attempts during the 1990s led to the entry into the South Korean market of foreign retailers such as Walmart, Carrefour, and Tesco, but the government’s continued preferential treatment of local retailers proved costly for foreign players.</w:t>
      </w:r>
      <w:r w:rsidR="00F02DE6">
        <w:rPr>
          <w:lang w:val="en-GB"/>
        </w:rPr>
        <w:t xml:space="preserve"> </w:t>
      </w:r>
      <w:r w:rsidR="00F02DE6" w:rsidRPr="003D7C1D">
        <w:t>Walmart and Carrefour exited South Korea in 2006. Tesco announced its departure from the market in September 2015.</w:t>
      </w:r>
    </w:p>
    <w:p w14:paraId="196F3658" w14:textId="77777777" w:rsidR="00372BEC" w:rsidRPr="006759DA" w:rsidRDefault="00372BEC" w:rsidP="008E1C52">
      <w:pPr>
        <w:pStyle w:val="BodyTextMain"/>
        <w:rPr>
          <w:sz w:val="20"/>
          <w:u w:val="single"/>
          <w:lang w:val="en-GB"/>
        </w:rPr>
      </w:pPr>
    </w:p>
    <w:p w14:paraId="5A847F58" w14:textId="31356593" w:rsidR="00372BEC" w:rsidRPr="006759DA" w:rsidRDefault="00372BEC" w:rsidP="008E1C52">
      <w:pPr>
        <w:pStyle w:val="BodyTextMain"/>
        <w:rPr>
          <w:lang w:val="en-GB"/>
        </w:rPr>
      </w:pPr>
      <w:r w:rsidRPr="006759DA">
        <w:rPr>
          <w:lang w:val="en-GB"/>
        </w:rPr>
        <w:t>The South Korean government implemented several policies to protect the interests of smaller retailers in the country: these included mandatory store closures on alternating Sundays, restrictions on store operating hours, and zoning restrictions that affected big box retailers. Although other local retailers, such as E-Mart and Lotte Mart, had successfully won court injunctions against the Sunday closures, Costco suffered adverse media criticism, store boycotts, and fines when it kept its stores open on Sundays.</w:t>
      </w:r>
      <w:r w:rsidRPr="006759DA">
        <w:rPr>
          <w:rStyle w:val="EndnoteReference"/>
          <w:lang w:val="en-GB"/>
        </w:rPr>
        <w:endnoteReference w:id="33"/>
      </w:r>
    </w:p>
    <w:p w14:paraId="79C9C471" w14:textId="77777777" w:rsidR="00372BEC" w:rsidRPr="006759DA" w:rsidRDefault="00372BEC" w:rsidP="008E1C52">
      <w:pPr>
        <w:pStyle w:val="BodyTextMain"/>
        <w:rPr>
          <w:sz w:val="20"/>
          <w:u w:val="single"/>
          <w:lang w:val="en-GB" w:eastAsia="ko-KR"/>
        </w:rPr>
      </w:pPr>
    </w:p>
    <w:p w14:paraId="67FB4386" w14:textId="77777777" w:rsidR="00372BEC" w:rsidRPr="006759DA" w:rsidRDefault="00372BEC" w:rsidP="008E1C52">
      <w:pPr>
        <w:pStyle w:val="BodyTextMain"/>
        <w:rPr>
          <w:sz w:val="20"/>
          <w:u w:val="single"/>
          <w:lang w:val="en-GB" w:eastAsia="ko-KR"/>
        </w:rPr>
      </w:pPr>
    </w:p>
    <w:p w14:paraId="4C820D26" w14:textId="77777777" w:rsidR="00372BEC" w:rsidRPr="006759DA" w:rsidRDefault="00372BEC" w:rsidP="008E1C52">
      <w:pPr>
        <w:pStyle w:val="Casehead2"/>
        <w:rPr>
          <w:lang w:val="en-GB"/>
        </w:rPr>
      </w:pPr>
      <w:r w:rsidRPr="006759DA">
        <w:rPr>
          <w:lang w:val="en-GB"/>
        </w:rPr>
        <w:t>Taiwan</w:t>
      </w:r>
    </w:p>
    <w:p w14:paraId="343F4C70" w14:textId="77777777" w:rsidR="00372BEC" w:rsidRPr="006759DA" w:rsidRDefault="00372BEC" w:rsidP="008E1C52">
      <w:pPr>
        <w:pStyle w:val="BodyTextMain"/>
        <w:rPr>
          <w:sz w:val="20"/>
          <w:lang w:val="en-GB"/>
        </w:rPr>
      </w:pPr>
    </w:p>
    <w:p w14:paraId="780FBA20" w14:textId="323C6143" w:rsidR="00372BEC" w:rsidRPr="006759DA" w:rsidRDefault="00372BEC" w:rsidP="008E1C52">
      <w:pPr>
        <w:pStyle w:val="BodyTextMain"/>
        <w:rPr>
          <w:lang w:val="en-GB"/>
        </w:rPr>
      </w:pPr>
      <w:r w:rsidRPr="006759DA">
        <w:rPr>
          <w:lang w:val="en-GB"/>
        </w:rPr>
        <w:t>Costco entered Taiwan via a JV with the nation’s largest department store chain, President Group, opening its first store in Kaohsiung in 1997.</w:t>
      </w:r>
      <w:r>
        <w:rPr>
          <w:rStyle w:val="EndnoteReference"/>
          <w:lang w:val="en-GB"/>
        </w:rPr>
        <w:endnoteReference w:id="34"/>
      </w:r>
      <w:r w:rsidRPr="006759DA">
        <w:rPr>
          <w:lang w:val="en-GB"/>
        </w:rPr>
        <w:t xml:space="preserve"> By 2015, Costco had expanded to 11 locations in the country.</w:t>
      </w:r>
      <w:r>
        <w:rPr>
          <w:rStyle w:val="EndnoteReference"/>
          <w:lang w:val="en-GB"/>
        </w:rPr>
        <w:endnoteReference w:id="35"/>
      </w:r>
    </w:p>
    <w:p w14:paraId="37A7AB6C" w14:textId="77777777" w:rsidR="00372BEC" w:rsidRPr="006759DA" w:rsidRDefault="00372BEC" w:rsidP="008E1C52">
      <w:pPr>
        <w:pStyle w:val="BodyTextMain"/>
        <w:rPr>
          <w:sz w:val="20"/>
          <w:lang w:val="en-GB"/>
        </w:rPr>
      </w:pPr>
    </w:p>
    <w:p w14:paraId="357AAB79" w14:textId="2D0E5E02" w:rsidR="00372BEC" w:rsidRPr="006759DA" w:rsidRDefault="00372BEC" w:rsidP="008E1C52">
      <w:pPr>
        <w:pStyle w:val="BodyTextMain"/>
        <w:rPr>
          <w:lang w:val="en-GB"/>
        </w:rPr>
      </w:pPr>
      <w:r w:rsidRPr="006759DA">
        <w:rPr>
          <w:lang w:val="en-GB"/>
        </w:rPr>
        <w:t>Costco positioned itself as an American retailer with a distinct fondness for local tastes. The company offered products such as Kirkland brand beef steak, cut into thinner slices to meet the buying preferences of local shoppers who used beef steak in hot pot, a staple Taiwanese dish.</w:t>
      </w:r>
      <w:r w:rsidRPr="006759DA">
        <w:rPr>
          <w:rStyle w:val="EndnoteReference"/>
          <w:lang w:val="en-GB"/>
        </w:rPr>
        <w:endnoteReference w:id="36"/>
      </w:r>
      <w:r w:rsidRPr="006759DA">
        <w:rPr>
          <w:lang w:val="en-GB"/>
        </w:rPr>
        <w:t xml:space="preserve"> Such localization strategies enabled Costco to compete against traditional wet markets. Wet markets sold fish, meat, fruits, and vegetables, usually in the early mornings. Costco capitalized on its foreign retailer image and imported about 35 per cent of its products, which attracted the country’s younger population.</w:t>
      </w:r>
      <w:r w:rsidRPr="006759DA">
        <w:rPr>
          <w:rStyle w:val="EndnoteReference"/>
          <w:lang w:val="en-GB"/>
        </w:rPr>
        <w:endnoteReference w:id="37"/>
      </w:r>
      <w:r w:rsidRPr="006759DA">
        <w:rPr>
          <w:lang w:val="en-GB"/>
        </w:rPr>
        <w:t xml:space="preserve"> </w:t>
      </w:r>
    </w:p>
    <w:p w14:paraId="3E11072A" w14:textId="77777777" w:rsidR="00372BEC" w:rsidRPr="006759DA" w:rsidRDefault="00372BEC" w:rsidP="008E1C52">
      <w:pPr>
        <w:pStyle w:val="BodyTextMain"/>
        <w:rPr>
          <w:sz w:val="20"/>
          <w:lang w:val="en-GB"/>
        </w:rPr>
      </w:pPr>
    </w:p>
    <w:p w14:paraId="4D141AA7" w14:textId="0CCAF87E" w:rsidR="00372BEC" w:rsidRPr="00AC6F8B" w:rsidRDefault="00372BEC" w:rsidP="008E1C52">
      <w:pPr>
        <w:pStyle w:val="BodyTextMain"/>
        <w:rPr>
          <w:spacing w:val="-2"/>
          <w:lang w:val="en-GB"/>
        </w:rPr>
      </w:pPr>
      <w:r w:rsidRPr="00AC6F8B">
        <w:rPr>
          <w:spacing w:val="-2"/>
          <w:lang w:val="en-GB"/>
        </w:rPr>
        <w:t>After Taiwan liberalized foreign investment in 1986 and became a member of the World Trade Organization (WTO) in 2001, several international retailers entered the Taiwanese retail market.</w:t>
      </w:r>
      <w:r w:rsidRPr="00AC6F8B">
        <w:rPr>
          <w:rStyle w:val="EndnoteReference"/>
          <w:spacing w:val="-2"/>
          <w:lang w:val="en-GB"/>
        </w:rPr>
        <w:endnoteReference w:id="38"/>
      </w:r>
      <w:r w:rsidRPr="00AC6F8B">
        <w:rPr>
          <w:spacing w:val="-2"/>
          <w:lang w:val="en-GB"/>
        </w:rPr>
        <w:t xml:space="preserve"> The retail market became highly competitive, and this led some foreign retailers to exit; Makro exited the market in 2003.</w:t>
      </w:r>
      <w:r w:rsidRPr="00AC6F8B">
        <w:rPr>
          <w:rStyle w:val="EndnoteReference"/>
          <w:spacing w:val="-2"/>
          <w:lang w:val="en-GB"/>
        </w:rPr>
        <w:endnoteReference w:id="39"/>
      </w:r>
      <w:r w:rsidRPr="00AC6F8B">
        <w:rPr>
          <w:spacing w:val="-2"/>
          <w:lang w:val="en-GB"/>
        </w:rPr>
        <w:t xml:space="preserve"> In 2005, Carrefour took over Tesco’s stores in Taiwan after both companies agreed to an asset swap agreement.</w:t>
      </w:r>
      <w:r w:rsidRPr="00AC6F8B">
        <w:rPr>
          <w:rStyle w:val="EndnoteReference"/>
          <w:spacing w:val="-2"/>
          <w:lang w:val="en-GB"/>
        </w:rPr>
        <w:endnoteReference w:id="40"/>
      </w:r>
      <w:r w:rsidRPr="00AC6F8B">
        <w:rPr>
          <w:spacing w:val="-2"/>
          <w:lang w:val="en-GB"/>
        </w:rPr>
        <w:t xml:space="preserve"> Even with Costco’s best efforts, the company registered losses during its first five years of operation in Taiwan.</w:t>
      </w:r>
      <w:r w:rsidRPr="00AC6F8B">
        <w:rPr>
          <w:rStyle w:val="EndnoteReference"/>
          <w:spacing w:val="-2"/>
          <w:lang w:val="en-GB"/>
        </w:rPr>
        <w:endnoteReference w:id="41"/>
      </w:r>
    </w:p>
    <w:p w14:paraId="174F45EC" w14:textId="77777777" w:rsidR="00372BEC" w:rsidRPr="006759DA" w:rsidRDefault="00372BEC" w:rsidP="008E1C52">
      <w:pPr>
        <w:pStyle w:val="BodyTextMain"/>
        <w:rPr>
          <w:sz w:val="20"/>
          <w:lang w:val="en-GB"/>
        </w:rPr>
      </w:pPr>
    </w:p>
    <w:p w14:paraId="6DCED14F" w14:textId="702D4B52" w:rsidR="00372BEC" w:rsidRPr="006759DA" w:rsidRDefault="00372BEC" w:rsidP="008E1C52">
      <w:pPr>
        <w:pStyle w:val="BodyTextMain"/>
        <w:rPr>
          <w:spacing w:val="-2"/>
          <w:lang w:val="en-GB"/>
        </w:rPr>
      </w:pPr>
      <w:r w:rsidRPr="006759DA">
        <w:rPr>
          <w:spacing w:val="-2"/>
          <w:lang w:val="en-GB"/>
        </w:rPr>
        <w:t>Costco’s return policy was a major hit with Taiwanese shoppers. Unlike local retailers, Costco encouraged its shoppers to return any items that they were not happy with; even a half-eaten watermelon could be returned if it was not sweet. This lenient return policy created free word-of-mouth advertising that helped the company recruit new customers. More importantly, the loyalty of existing customers increased, as illustrated by a sharp rise in customer retention rates, from 45 per cent in 1998 to more than 80 per cent in 2010.</w:t>
      </w:r>
      <w:r w:rsidRPr="006759DA">
        <w:rPr>
          <w:rStyle w:val="EndnoteReference"/>
          <w:spacing w:val="-2"/>
          <w:lang w:val="en-GB"/>
        </w:rPr>
        <w:endnoteReference w:id="42"/>
      </w:r>
      <w:r w:rsidRPr="006759DA">
        <w:rPr>
          <w:spacing w:val="-2"/>
          <w:lang w:val="en-GB"/>
        </w:rPr>
        <w:t xml:space="preserve"> </w:t>
      </w:r>
    </w:p>
    <w:p w14:paraId="3240C613" w14:textId="77777777" w:rsidR="00372BEC" w:rsidRPr="006759DA" w:rsidRDefault="00372BEC" w:rsidP="008E1C52">
      <w:pPr>
        <w:pStyle w:val="BodyTextMain"/>
        <w:rPr>
          <w:sz w:val="20"/>
          <w:lang w:val="en-GB"/>
        </w:rPr>
      </w:pPr>
    </w:p>
    <w:p w14:paraId="2D5A5E9F" w14:textId="77777777" w:rsidR="00372BEC" w:rsidRPr="006759DA" w:rsidRDefault="00372BEC" w:rsidP="008E1C52">
      <w:pPr>
        <w:pStyle w:val="BodyTextMain"/>
        <w:rPr>
          <w:sz w:val="20"/>
          <w:lang w:val="en-GB"/>
        </w:rPr>
      </w:pPr>
    </w:p>
    <w:p w14:paraId="79FBA2D6" w14:textId="77777777" w:rsidR="00372BEC" w:rsidRPr="006759DA" w:rsidRDefault="00372BEC" w:rsidP="008E1C52">
      <w:pPr>
        <w:pStyle w:val="Casehead2"/>
        <w:rPr>
          <w:lang w:val="en-GB"/>
        </w:rPr>
      </w:pPr>
      <w:r w:rsidRPr="006759DA">
        <w:rPr>
          <w:lang w:val="en-GB"/>
        </w:rPr>
        <w:t>Japan</w:t>
      </w:r>
    </w:p>
    <w:p w14:paraId="45A2E713" w14:textId="77777777" w:rsidR="00372BEC" w:rsidRPr="006759DA" w:rsidRDefault="00372BEC" w:rsidP="008E1C52">
      <w:pPr>
        <w:pStyle w:val="BodyTextMain"/>
        <w:rPr>
          <w:sz w:val="20"/>
          <w:lang w:val="en-GB"/>
        </w:rPr>
      </w:pPr>
    </w:p>
    <w:p w14:paraId="7BE751F4" w14:textId="61ABA7B4" w:rsidR="00372BEC" w:rsidRPr="006759DA" w:rsidRDefault="00372BEC" w:rsidP="008E1C52">
      <w:pPr>
        <w:pStyle w:val="BodyTextMain"/>
        <w:rPr>
          <w:lang w:val="en-GB"/>
        </w:rPr>
      </w:pPr>
      <w:r w:rsidRPr="006759DA">
        <w:rPr>
          <w:lang w:val="en-GB"/>
        </w:rPr>
        <w:t xml:space="preserve">Costco established its first warehouse </w:t>
      </w:r>
      <w:r>
        <w:rPr>
          <w:lang w:val="en-GB"/>
        </w:rPr>
        <w:t xml:space="preserve">in </w:t>
      </w:r>
      <w:r w:rsidRPr="006759DA">
        <w:rPr>
          <w:lang w:val="en-GB"/>
        </w:rPr>
        <w:t xml:space="preserve">Japan in 1999; the </w:t>
      </w:r>
      <w:r>
        <w:rPr>
          <w:lang w:val="en-GB"/>
        </w:rPr>
        <w:t>wholly owned</w:t>
      </w:r>
      <w:r w:rsidRPr="006759DA">
        <w:rPr>
          <w:lang w:val="en-GB"/>
        </w:rPr>
        <w:t xml:space="preserve"> subsidiary was in Hisayama.</w:t>
      </w:r>
      <w:r>
        <w:rPr>
          <w:rStyle w:val="EndnoteReference"/>
          <w:lang w:val="en-GB"/>
        </w:rPr>
        <w:endnoteReference w:id="43"/>
      </w:r>
      <w:r w:rsidRPr="006759DA">
        <w:rPr>
          <w:lang w:val="en-GB"/>
        </w:rPr>
        <w:t xml:space="preserve"> By 2015, the company had expanded to 2</w:t>
      </w:r>
      <w:r>
        <w:rPr>
          <w:lang w:val="en-GB"/>
        </w:rPr>
        <w:t>4</w:t>
      </w:r>
      <w:r w:rsidRPr="006759DA">
        <w:rPr>
          <w:lang w:val="en-GB"/>
        </w:rPr>
        <w:t xml:space="preserve"> locations in Japan.</w:t>
      </w:r>
      <w:r>
        <w:rPr>
          <w:rStyle w:val="EndnoteReference"/>
          <w:lang w:val="en-GB"/>
        </w:rPr>
        <w:endnoteReference w:id="44"/>
      </w:r>
      <w:r w:rsidRPr="006759DA">
        <w:rPr>
          <w:lang w:val="en-GB"/>
        </w:rPr>
        <w:t xml:space="preserve"> </w:t>
      </w:r>
    </w:p>
    <w:p w14:paraId="555360B7" w14:textId="77777777" w:rsidR="00372BEC" w:rsidRPr="006759DA" w:rsidRDefault="00372BEC" w:rsidP="008E1C52">
      <w:pPr>
        <w:pStyle w:val="BodyTextMain"/>
        <w:rPr>
          <w:sz w:val="20"/>
          <w:lang w:val="en-GB"/>
        </w:rPr>
      </w:pPr>
    </w:p>
    <w:p w14:paraId="51535DED" w14:textId="31437A7F" w:rsidR="00372BEC" w:rsidRDefault="00372BEC" w:rsidP="008E1C52">
      <w:pPr>
        <w:pStyle w:val="BodyTextMain"/>
        <w:rPr>
          <w:spacing w:val="-4"/>
          <w:lang w:val="en-GB"/>
        </w:rPr>
      </w:pPr>
      <w:r w:rsidRPr="006759DA">
        <w:rPr>
          <w:spacing w:val="-4"/>
          <w:lang w:val="en-GB"/>
        </w:rPr>
        <w:t xml:space="preserve">Few thought that Costco would be successful in Japan, where the average house was only 60 per cent of the size of a house in the United States and rooms averaged a 40 per cent higher occupancy rate. This raised concerns </w:t>
      </w:r>
      <w:r w:rsidRPr="006759DA">
        <w:rPr>
          <w:spacing w:val="-4"/>
          <w:lang w:val="en-GB"/>
        </w:rPr>
        <w:lastRenderedPageBreak/>
        <w:t>that Japanese houses lacked sufficient storage space for the bulk merchandise Costco planned to supply.</w:t>
      </w:r>
      <w:r w:rsidRPr="006759DA">
        <w:rPr>
          <w:rStyle w:val="EndnoteReference"/>
          <w:spacing w:val="-4"/>
          <w:lang w:val="en-GB"/>
        </w:rPr>
        <w:endnoteReference w:id="45"/>
      </w:r>
      <w:r w:rsidRPr="006759DA">
        <w:rPr>
          <w:spacing w:val="-4"/>
          <w:lang w:val="en-GB"/>
        </w:rPr>
        <w:t xml:space="preserve"> Japanese customers tended to favour quality over price</w:t>
      </w:r>
      <w:r>
        <w:rPr>
          <w:spacing w:val="-4"/>
          <w:lang w:val="en-GB"/>
        </w:rPr>
        <w:t>.</w:t>
      </w:r>
      <w:r>
        <w:rPr>
          <w:rStyle w:val="EndnoteReference"/>
          <w:spacing w:val="-4"/>
          <w:lang w:val="en-GB"/>
        </w:rPr>
        <w:endnoteReference w:id="46"/>
      </w:r>
      <w:r w:rsidRPr="006759DA">
        <w:rPr>
          <w:spacing w:val="-4"/>
          <w:lang w:val="en-GB"/>
        </w:rPr>
        <w:t xml:space="preserve"> </w:t>
      </w:r>
      <w:r>
        <w:rPr>
          <w:spacing w:val="-4"/>
          <w:lang w:val="en-GB"/>
        </w:rPr>
        <w:t xml:space="preserve">General merchandise stores and supermarkets were easily accessible within short distances, so Japanese customers </w:t>
      </w:r>
      <w:r w:rsidRPr="006759DA">
        <w:rPr>
          <w:spacing w:val="-4"/>
          <w:lang w:val="en-GB"/>
        </w:rPr>
        <w:t xml:space="preserve">did not expect to travel long distances to a Costco warehouse for </w:t>
      </w:r>
      <w:r>
        <w:rPr>
          <w:spacing w:val="-4"/>
          <w:lang w:val="en-GB"/>
        </w:rPr>
        <w:t>frequent purchases</w:t>
      </w:r>
      <w:r w:rsidRPr="006759DA">
        <w:rPr>
          <w:spacing w:val="-4"/>
          <w:lang w:val="en-GB"/>
        </w:rPr>
        <w:t>.</w:t>
      </w:r>
      <w:r>
        <w:rPr>
          <w:rStyle w:val="EndnoteReference"/>
          <w:spacing w:val="-4"/>
          <w:lang w:val="en-GB"/>
        </w:rPr>
        <w:endnoteReference w:id="47"/>
      </w:r>
      <w:r w:rsidRPr="006759DA">
        <w:rPr>
          <w:spacing w:val="-4"/>
          <w:lang w:val="en-GB"/>
        </w:rPr>
        <w:t xml:space="preserve"> Considering these concerns, </w:t>
      </w:r>
      <w:r>
        <w:rPr>
          <w:spacing w:val="-4"/>
          <w:lang w:val="en-GB"/>
        </w:rPr>
        <w:t>the Japanese people</w:t>
      </w:r>
      <w:r w:rsidRPr="006759DA">
        <w:rPr>
          <w:spacing w:val="-4"/>
          <w:lang w:val="en-GB"/>
        </w:rPr>
        <w:t xml:space="preserve"> questioned the suitability of the warehouse club format to Japan</w:t>
      </w:r>
      <w:r>
        <w:rPr>
          <w:spacing w:val="-4"/>
          <w:lang w:val="en-GB"/>
        </w:rPr>
        <w:t>.</w:t>
      </w:r>
      <w:r>
        <w:rPr>
          <w:rStyle w:val="EndnoteReference"/>
          <w:spacing w:val="-4"/>
          <w:lang w:val="en-GB"/>
        </w:rPr>
        <w:endnoteReference w:id="48"/>
      </w:r>
    </w:p>
    <w:p w14:paraId="07D3A914" w14:textId="77777777" w:rsidR="003312F9" w:rsidRDefault="003312F9" w:rsidP="008E1C52">
      <w:pPr>
        <w:pStyle w:val="BodyTextMain"/>
        <w:rPr>
          <w:lang w:val="en-GB"/>
        </w:rPr>
      </w:pPr>
    </w:p>
    <w:p w14:paraId="763CCDDC" w14:textId="0B94CED7" w:rsidR="00372BEC" w:rsidRPr="006759DA" w:rsidRDefault="00372BEC" w:rsidP="008E1C52">
      <w:pPr>
        <w:pStyle w:val="BodyTextMain"/>
        <w:rPr>
          <w:lang w:val="en-GB"/>
        </w:rPr>
      </w:pPr>
      <w:r w:rsidRPr="006759DA">
        <w:rPr>
          <w:lang w:val="en-GB"/>
        </w:rPr>
        <w:t>In Japan, Costco targeted the wealthy segment of the population, people who had access to private transportation and made less frequent shopping trips. Costco enticed these consumers by stocking Japanese staples—</w:t>
      </w:r>
      <w:r w:rsidRPr="006759DA">
        <w:rPr>
          <w:color w:val="000000" w:themeColor="text1"/>
          <w:lang w:val="en-GB"/>
        </w:rPr>
        <w:t xml:space="preserve">several </w:t>
      </w:r>
      <w:r w:rsidRPr="006759DA">
        <w:rPr>
          <w:lang w:val="en-GB"/>
        </w:rPr>
        <w:t xml:space="preserve">varieties of fish, green tea, and seaweed—as well as imported goods and </w:t>
      </w:r>
      <w:r>
        <w:rPr>
          <w:lang w:val="en-GB"/>
        </w:rPr>
        <w:t>brand name</w:t>
      </w:r>
      <w:r w:rsidRPr="006759DA">
        <w:rPr>
          <w:lang w:val="en-GB"/>
        </w:rPr>
        <w:t xml:space="preserve"> merchandise that resonated with brand-loyal, quality-conscious consumers.</w:t>
      </w:r>
      <w:r w:rsidRPr="006759DA">
        <w:rPr>
          <w:rStyle w:val="EndnoteReference"/>
          <w:lang w:val="en-GB"/>
        </w:rPr>
        <w:endnoteReference w:id="49"/>
      </w:r>
      <w:r w:rsidRPr="006759DA">
        <w:rPr>
          <w:lang w:val="en-GB"/>
        </w:rPr>
        <w:t xml:space="preserve"> Costco also targeted small and </w:t>
      </w:r>
      <w:r>
        <w:rPr>
          <w:lang w:val="en-GB"/>
        </w:rPr>
        <w:t>medium-sized</w:t>
      </w:r>
      <w:r w:rsidRPr="006759DA">
        <w:rPr>
          <w:lang w:val="en-GB"/>
        </w:rPr>
        <w:t xml:space="preserve"> enterprises (SMEs) that purchased in bulk for resale. Several SMEs preferred Costco’s approach to low pricing over the quantity-based discounts that other Japanese wholesalers offered. By offering excellent customer service and a generous return and refund policy, Costco focused on developing trust with these SMEs to ensure their continued loyalty. Such measures ensured that Costco continued to grow in the Japanese market while other international retailers had to exit the country. </w:t>
      </w:r>
      <w:r w:rsidR="000878A1" w:rsidRPr="003D7C1D">
        <w:rPr>
          <w:lang w:val="en-CA"/>
        </w:rPr>
        <w:t>Carrefour and Tesco announced their exit from the market in 2005 and 2012</w:t>
      </w:r>
      <w:r w:rsidR="000878A1">
        <w:rPr>
          <w:lang w:val="en-CA"/>
        </w:rPr>
        <w:t>,</w:t>
      </w:r>
      <w:r w:rsidR="000878A1" w:rsidRPr="003D7C1D">
        <w:rPr>
          <w:lang w:val="en-CA"/>
        </w:rPr>
        <w:t xml:space="preserve"> respectively</w:t>
      </w:r>
      <w:r w:rsidR="000878A1">
        <w:rPr>
          <w:lang w:val="en-CA"/>
        </w:rPr>
        <w:t>.</w:t>
      </w:r>
      <w:r w:rsidR="000878A1" w:rsidRPr="006759DA">
        <w:rPr>
          <w:rStyle w:val="EndnoteReference"/>
          <w:lang w:val="en-GB"/>
        </w:rPr>
        <w:endnoteReference w:id="50"/>
      </w:r>
    </w:p>
    <w:p w14:paraId="5A637B36" w14:textId="77777777" w:rsidR="00372BEC" w:rsidRPr="006759DA" w:rsidRDefault="00372BEC" w:rsidP="008E4FEB">
      <w:pPr>
        <w:pStyle w:val="BodyTextMain"/>
        <w:rPr>
          <w:sz w:val="20"/>
          <w:lang w:val="en-GB"/>
        </w:rPr>
      </w:pPr>
    </w:p>
    <w:p w14:paraId="0EBD2E47" w14:textId="77777777" w:rsidR="00372BEC" w:rsidRPr="006759DA" w:rsidRDefault="00372BEC" w:rsidP="008E4FEB">
      <w:pPr>
        <w:pStyle w:val="BodyTextMain"/>
        <w:rPr>
          <w:sz w:val="20"/>
          <w:lang w:val="en-GB"/>
        </w:rPr>
      </w:pPr>
    </w:p>
    <w:p w14:paraId="6C461859" w14:textId="77777777" w:rsidR="00372BEC" w:rsidRPr="006759DA" w:rsidRDefault="00372BEC" w:rsidP="008E1C52">
      <w:pPr>
        <w:pStyle w:val="Casehead2"/>
        <w:rPr>
          <w:lang w:val="en-GB"/>
        </w:rPr>
      </w:pPr>
      <w:r w:rsidRPr="006759DA">
        <w:rPr>
          <w:lang w:val="en-GB"/>
        </w:rPr>
        <w:t xml:space="preserve">Australia </w:t>
      </w:r>
    </w:p>
    <w:p w14:paraId="5820EE77" w14:textId="77777777" w:rsidR="00372BEC" w:rsidRPr="006759DA" w:rsidRDefault="00372BEC" w:rsidP="008E1C52">
      <w:pPr>
        <w:pStyle w:val="BodyTextMain"/>
        <w:rPr>
          <w:sz w:val="20"/>
          <w:lang w:val="en-GB"/>
        </w:rPr>
      </w:pPr>
    </w:p>
    <w:p w14:paraId="026926DF" w14:textId="0336864A" w:rsidR="00372BEC" w:rsidRPr="006759DA" w:rsidRDefault="00372BEC" w:rsidP="008E1C52">
      <w:pPr>
        <w:pStyle w:val="BodyTextMain"/>
        <w:rPr>
          <w:lang w:val="en-GB"/>
        </w:rPr>
      </w:pPr>
      <w:r w:rsidRPr="006759DA">
        <w:rPr>
          <w:lang w:val="en-GB"/>
        </w:rPr>
        <w:t xml:space="preserve">Costco’s first company-owned warehouse store in Australia opened in 2009 in Docklands, a suburb of Melbourne. By 2015, the company had expanded its operations to </w:t>
      </w:r>
      <w:r>
        <w:rPr>
          <w:lang w:val="en-GB"/>
        </w:rPr>
        <w:t>8</w:t>
      </w:r>
      <w:r w:rsidRPr="006759DA">
        <w:rPr>
          <w:lang w:val="en-GB"/>
        </w:rPr>
        <w:t xml:space="preserve"> locations in the country.</w:t>
      </w:r>
      <w:r>
        <w:rPr>
          <w:rStyle w:val="EndnoteReference"/>
          <w:lang w:val="en-GB"/>
        </w:rPr>
        <w:endnoteReference w:id="51"/>
      </w:r>
    </w:p>
    <w:p w14:paraId="1704F21C" w14:textId="77777777" w:rsidR="00372BEC" w:rsidRPr="006759DA" w:rsidRDefault="00372BEC" w:rsidP="008E1C52">
      <w:pPr>
        <w:pStyle w:val="BodyTextMain"/>
        <w:rPr>
          <w:sz w:val="20"/>
          <w:lang w:val="en-GB"/>
        </w:rPr>
      </w:pPr>
    </w:p>
    <w:p w14:paraId="33C8DF63" w14:textId="38CDEE9D" w:rsidR="00372BEC" w:rsidRPr="006759DA" w:rsidRDefault="00372BEC" w:rsidP="008E1C52">
      <w:pPr>
        <w:pStyle w:val="BodyTextMain"/>
        <w:rPr>
          <w:lang w:val="en-GB"/>
        </w:rPr>
      </w:pPr>
      <w:r w:rsidRPr="006759DA">
        <w:rPr>
          <w:lang w:val="en-GB"/>
        </w:rPr>
        <w:t>Costco effectively recognized several attributes that were important to Australian consumer groups. It offered multiple payment options, including cash, electronic funds transfer at point of sale (EFTPOS),</w:t>
      </w:r>
      <w:r w:rsidRPr="006759DA">
        <w:rPr>
          <w:lang w:val="en-GB" w:eastAsia="ko-KR"/>
        </w:rPr>
        <w:t xml:space="preserve"> </w:t>
      </w:r>
      <w:r w:rsidRPr="006759DA">
        <w:rPr>
          <w:lang w:val="en-GB"/>
        </w:rPr>
        <w:t>and credit cards.</w:t>
      </w:r>
      <w:r w:rsidRPr="006759DA">
        <w:rPr>
          <w:rStyle w:val="EndnoteReference"/>
          <w:lang w:val="en-GB"/>
        </w:rPr>
        <w:endnoteReference w:id="52"/>
      </w:r>
      <w:r w:rsidRPr="006759DA">
        <w:rPr>
          <w:lang w:val="en-GB"/>
        </w:rPr>
        <w:t xml:space="preserve"> In order to keep costs down, Costco strictly restricted payment options available to its customers in other countries. As Australian consumers favoured Australian-made products over imports, Costco strategically included several local products in its offerings.</w:t>
      </w:r>
      <w:r w:rsidRPr="006759DA">
        <w:rPr>
          <w:rStyle w:val="EndnoteReference"/>
          <w:lang w:val="en-GB"/>
        </w:rPr>
        <w:endnoteReference w:id="53"/>
      </w:r>
      <w:r w:rsidRPr="006759DA">
        <w:rPr>
          <w:lang w:val="en-GB"/>
        </w:rPr>
        <w:t xml:space="preserve"> This openness and flexibility provided Costco with an early advantage in penetrating the duopoly that had previously characterized the Australian food retail market. </w:t>
      </w:r>
    </w:p>
    <w:p w14:paraId="3C2EA0D2" w14:textId="77777777" w:rsidR="00372BEC" w:rsidRPr="006759DA" w:rsidRDefault="00372BEC" w:rsidP="008E1C52">
      <w:pPr>
        <w:pStyle w:val="BodyTextMain"/>
        <w:rPr>
          <w:sz w:val="20"/>
          <w:lang w:val="en-GB"/>
        </w:rPr>
      </w:pPr>
    </w:p>
    <w:p w14:paraId="3F72D021" w14:textId="72AE510D" w:rsidR="00372BEC" w:rsidRPr="006759DA" w:rsidRDefault="00372BEC" w:rsidP="008E1C52">
      <w:pPr>
        <w:pStyle w:val="BodyTextMain"/>
        <w:rPr>
          <w:lang w:val="en-GB"/>
        </w:rPr>
      </w:pPr>
      <w:r w:rsidRPr="006759DA">
        <w:rPr>
          <w:lang w:val="en-GB"/>
        </w:rPr>
        <w:t>However, for the five-year period ending in 2014, Costco accumulated losses of $44.5 million in Australia.</w:t>
      </w:r>
      <w:r w:rsidRPr="006759DA">
        <w:rPr>
          <w:rStyle w:val="EndnoteReference"/>
          <w:lang w:val="en-GB"/>
        </w:rPr>
        <w:endnoteReference w:id="54"/>
      </w:r>
      <w:r w:rsidRPr="006759DA">
        <w:rPr>
          <w:lang w:val="en-GB"/>
        </w:rPr>
        <w:t xml:space="preserve"> Several factors were involved. Restrictive Australian planning and zoning laws delayed </w:t>
      </w:r>
      <w:r>
        <w:rPr>
          <w:lang w:val="en-GB"/>
        </w:rPr>
        <w:t xml:space="preserve">the </w:t>
      </w:r>
      <w:r w:rsidRPr="006759DA">
        <w:rPr>
          <w:lang w:val="en-GB"/>
        </w:rPr>
        <w:t>approval and building of Costco’s first store.</w:t>
      </w:r>
      <w:r w:rsidRPr="006759DA">
        <w:rPr>
          <w:rStyle w:val="EndnoteReference"/>
          <w:lang w:val="en-GB"/>
        </w:rPr>
        <w:endnoteReference w:id="55"/>
      </w:r>
      <w:r w:rsidRPr="006759DA">
        <w:rPr>
          <w:lang w:val="en-GB"/>
        </w:rPr>
        <w:t xml:space="preserve"> Next, local regulations prohibited Costco from providing some of its typical services, such as insurance and pharmacy. Lastly, Costco suffered a major setback with coupon promotions: Australian shoppers did not understand or appreciate coupons, and so Costco was forced to roll back most of its major coupon offers.</w:t>
      </w:r>
      <w:r w:rsidRPr="006759DA">
        <w:rPr>
          <w:rStyle w:val="EndnoteReference"/>
          <w:lang w:val="en-GB"/>
        </w:rPr>
        <w:endnoteReference w:id="56"/>
      </w:r>
    </w:p>
    <w:p w14:paraId="6F0678F5" w14:textId="77777777" w:rsidR="00372BEC" w:rsidRPr="006759DA" w:rsidRDefault="00372BEC" w:rsidP="008E1C52">
      <w:pPr>
        <w:pStyle w:val="BodyTextMain"/>
        <w:rPr>
          <w:sz w:val="20"/>
          <w:lang w:val="en-GB"/>
        </w:rPr>
      </w:pPr>
    </w:p>
    <w:p w14:paraId="0AA50900" w14:textId="77777777" w:rsidR="00372BEC" w:rsidRPr="006759DA" w:rsidRDefault="00372BEC" w:rsidP="008E1C52">
      <w:pPr>
        <w:pStyle w:val="BodyTextMain"/>
        <w:rPr>
          <w:sz w:val="20"/>
          <w:lang w:val="en-GB"/>
        </w:rPr>
      </w:pPr>
    </w:p>
    <w:p w14:paraId="665B4251" w14:textId="77777777" w:rsidR="00372BEC" w:rsidRPr="006759DA" w:rsidRDefault="00372BEC" w:rsidP="008E1C52">
      <w:pPr>
        <w:pStyle w:val="Casehead2"/>
        <w:rPr>
          <w:lang w:val="en-GB"/>
        </w:rPr>
      </w:pPr>
      <w:r w:rsidRPr="006759DA">
        <w:rPr>
          <w:lang w:val="en-GB"/>
        </w:rPr>
        <w:t>Spain</w:t>
      </w:r>
    </w:p>
    <w:p w14:paraId="560C0C3E" w14:textId="77777777" w:rsidR="00372BEC" w:rsidRPr="006759DA" w:rsidRDefault="00372BEC" w:rsidP="008E1C52">
      <w:pPr>
        <w:pStyle w:val="BodyTextMain"/>
        <w:rPr>
          <w:sz w:val="20"/>
          <w:lang w:val="en-GB"/>
        </w:rPr>
      </w:pPr>
    </w:p>
    <w:p w14:paraId="273E992A" w14:textId="663D7675" w:rsidR="00372BEC" w:rsidRPr="006759DA" w:rsidRDefault="00372BEC" w:rsidP="008E1C52">
      <w:pPr>
        <w:pStyle w:val="BodyTextMain"/>
        <w:rPr>
          <w:lang w:val="en-GB"/>
        </w:rPr>
      </w:pPr>
      <w:r w:rsidRPr="006759DA">
        <w:rPr>
          <w:lang w:val="en-GB"/>
        </w:rPr>
        <w:t>In May 2014, Costco’s first wholly owned warehouse opened in Spain, in the city of Seville. The company opened its second warehouse in the capital city of Madrid in October 2015.</w:t>
      </w:r>
      <w:r>
        <w:rPr>
          <w:rStyle w:val="EndnoteReference"/>
          <w:lang w:val="en-GB"/>
        </w:rPr>
        <w:endnoteReference w:id="57"/>
      </w:r>
    </w:p>
    <w:p w14:paraId="2786B6A7" w14:textId="77777777" w:rsidR="00372BEC" w:rsidRPr="006759DA" w:rsidRDefault="00372BEC" w:rsidP="008E1C52">
      <w:pPr>
        <w:pStyle w:val="BodyTextMain"/>
        <w:rPr>
          <w:sz w:val="20"/>
          <w:lang w:val="en-GB"/>
        </w:rPr>
      </w:pPr>
    </w:p>
    <w:p w14:paraId="7619E8B3" w14:textId="1D050E64" w:rsidR="00372BEC" w:rsidRPr="006759DA" w:rsidRDefault="00372BEC" w:rsidP="008E1C52">
      <w:pPr>
        <w:pStyle w:val="BodyTextMain"/>
        <w:rPr>
          <w:lang w:val="en-GB"/>
        </w:rPr>
      </w:pPr>
      <w:r w:rsidRPr="006759DA">
        <w:rPr>
          <w:lang w:val="en-GB"/>
        </w:rPr>
        <w:t>Costco’s entry into Spain was well received by the local population thanks to extensive local media coverage of the company’s anticipated product offerings, unique business style,</w:t>
      </w:r>
      <w:r>
        <w:rPr>
          <w:rStyle w:val="EndnoteReference"/>
          <w:lang w:val="en-GB"/>
        </w:rPr>
        <w:endnoteReference w:id="58"/>
      </w:r>
      <w:r w:rsidRPr="006759DA">
        <w:rPr>
          <w:lang w:val="en-GB"/>
        </w:rPr>
        <w:t xml:space="preserve"> and employee welfare schemes.</w:t>
      </w:r>
      <w:r>
        <w:rPr>
          <w:rStyle w:val="EndnoteReference"/>
          <w:lang w:val="en-GB"/>
        </w:rPr>
        <w:endnoteReference w:id="59"/>
      </w:r>
      <w:r w:rsidRPr="006759DA">
        <w:rPr>
          <w:lang w:val="en-GB"/>
        </w:rPr>
        <w:t xml:space="preserve"> Costco also gained the attention of suppliers at both local and national levels who were eager to forge business links with the warehouse giant. While it met its domestic product needs in Spain, Costco also planned to use these suppliers to supply products to its other locations worldwide.</w:t>
      </w:r>
      <w:r>
        <w:rPr>
          <w:rStyle w:val="EndnoteReference"/>
          <w:lang w:val="en-GB"/>
        </w:rPr>
        <w:endnoteReference w:id="60"/>
      </w:r>
      <w:r w:rsidRPr="006759DA">
        <w:rPr>
          <w:lang w:val="en-GB"/>
        </w:rPr>
        <w:t xml:space="preserve"> </w:t>
      </w:r>
    </w:p>
    <w:p w14:paraId="5B011888" w14:textId="77777777" w:rsidR="00372BEC" w:rsidRPr="006759DA" w:rsidRDefault="00372BEC" w:rsidP="008E1C52">
      <w:pPr>
        <w:pStyle w:val="BodyTextMain"/>
        <w:rPr>
          <w:sz w:val="20"/>
          <w:lang w:val="en-GB"/>
        </w:rPr>
      </w:pPr>
    </w:p>
    <w:p w14:paraId="5416FCD6" w14:textId="7C3501D2" w:rsidR="00372BEC" w:rsidRPr="00B75DE3" w:rsidRDefault="00372BEC" w:rsidP="008E1C52">
      <w:pPr>
        <w:pStyle w:val="BodyTextMain"/>
        <w:rPr>
          <w:spacing w:val="-2"/>
          <w:lang w:val="en-GB" w:eastAsia="ko-KR"/>
        </w:rPr>
      </w:pPr>
      <w:r w:rsidRPr="00B75DE3">
        <w:rPr>
          <w:spacing w:val="-2"/>
          <w:lang w:val="en-GB"/>
        </w:rPr>
        <w:lastRenderedPageBreak/>
        <w:t>Costco’s entry into Spain occurred during a period of economic uncertainty. Spain’s economic recovery from the recession of 2008 began in late 2013. However, as regional economic problems continued in the European Union, Spain’s high unemployment rate posed a substantial threat to Spain’s recovery. In mid-2015, Spain’s unemployment rate was 22.4 per cent, compared to the U.S. unemployment rate of 5.3 per cent.</w:t>
      </w:r>
      <w:r w:rsidRPr="00B75DE3">
        <w:rPr>
          <w:rStyle w:val="EndnoteReference"/>
          <w:spacing w:val="-2"/>
          <w:lang w:val="en-GB"/>
        </w:rPr>
        <w:endnoteReference w:id="61"/>
      </w:r>
      <w:r w:rsidRPr="00B75DE3">
        <w:rPr>
          <w:spacing w:val="-2"/>
          <w:lang w:val="en-GB"/>
        </w:rPr>
        <w:t xml:space="preserve"> If disposable income remained low</w:t>
      </w:r>
      <w:r w:rsidRPr="00B75DE3">
        <w:rPr>
          <w:spacing w:val="-2"/>
          <w:lang w:val="en-GB" w:eastAsia="ko-KR"/>
        </w:rPr>
        <w:t xml:space="preserve">, the purchasing power of </w:t>
      </w:r>
      <w:r w:rsidRPr="00B75DE3">
        <w:rPr>
          <w:spacing w:val="-2"/>
          <w:lang w:val="en-GB"/>
        </w:rPr>
        <w:t>Spanish shoppers would be hindered, and they would not approach bulk wholesale purchasing with the same enthusiasm as shoppers in other markets. Furthermore, Spain’s old-age dependency ratio was projected to hit 48.7 per cent by 2035.</w:t>
      </w:r>
      <w:r w:rsidRPr="00B75DE3">
        <w:rPr>
          <w:rStyle w:val="EndnoteReference"/>
          <w:spacing w:val="-2"/>
          <w:lang w:val="en-GB"/>
        </w:rPr>
        <w:endnoteReference w:id="62"/>
      </w:r>
      <w:r w:rsidRPr="00B75DE3">
        <w:rPr>
          <w:spacing w:val="-2"/>
          <w:lang w:val="en-GB"/>
        </w:rPr>
        <w:t xml:space="preserve"> As the country’s fertility rate was also considered low,</w:t>
      </w:r>
      <w:r w:rsidRPr="00B75DE3">
        <w:rPr>
          <w:rStyle w:val="EndnoteReference"/>
          <w:spacing w:val="-2"/>
          <w:lang w:val="en-GB"/>
        </w:rPr>
        <w:endnoteReference w:id="63"/>
      </w:r>
      <w:r w:rsidRPr="00B75DE3">
        <w:rPr>
          <w:spacing w:val="-2"/>
          <w:lang w:val="en-GB"/>
        </w:rPr>
        <w:t xml:space="preserve"> Costco would have to adapt its offerings to grow profitably in this market.</w:t>
      </w:r>
      <w:r w:rsidRPr="00B75DE3">
        <w:rPr>
          <w:rStyle w:val="EndnoteReference"/>
          <w:spacing w:val="-2"/>
          <w:lang w:val="en-GB"/>
        </w:rPr>
        <w:endnoteReference w:id="64"/>
      </w:r>
    </w:p>
    <w:p w14:paraId="10EE7902" w14:textId="77777777" w:rsidR="00372BEC" w:rsidRPr="006759DA" w:rsidRDefault="00372BEC" w:rsidP="008E1C52">
      <w:pPr>
        <w:pStyle w:val="BodyTextMain"/>
        <w:rPr>
          <w:sz w:val="20"/>
          <w:lang w:val="en-GB"/>
        </w:rPr>
      </w:pPr>
    </w:p>
    <w:p w14:paraId="27A4FE58" w14:textId="77777777" w:rsidR="00372BEC" w:rsidRPr="006759DA" w:rsidRDefault="00372BEC" w:rsidP="008E1C52">
      <w:pPr>
        <w:pStyle w:val="BodyTextMain"/>
        <w:rPr>
          <w:sz w:val="20"/>
          <w:lang w:val="en-GB"/>
        </w:rPr>
      </w:pPr>
    </w:p>
    <w:p w14:paraId="25D1ED0A" w14:textId="7B689D1C" w:rsidR="00372BEC" w:rsidRPr="006759DA" w:rsidRDefault="00372BEC" w:rsidP="00F605DE">
      <w:pPr>
        <w:pStyle w:val="Casehead1"/>
        <w:rPr>
          <w:lang w:val="en-GB"/>
        </w:rPr>
      </w:pPr>
      <w:r w:rsidRPr="006759DA">
        <w:rPr>
          <w:lang w:val="en-GB" w:eastAsia="ko-KR"/>
        </w:rPr>
        <w:t>Costco’s Global Strategy: Key Success Factors</w:t>
      </w:r>
    </w:p>
    <w:p w14:paraId="017F72A0" w14:textId="77777777" w:rsidR="00372BEC" w:rsidRPr="006759DA" w:rsidRDefault="00372BEC" w:rsidP="008E1C52">
      <w:pPr>
        <w:pStyle w:val="BodyTextMain"/>
        <w:rPr>
          <w:sz w:val="20"/>
          <w:lang w:val="en-GB"/>
        </w:rPr>
      </w:pPr>
    </w:p>
    <w:p w14:paraId="115D1D60" w14:textId="47DB886F" w:rsidR="00372BEC" w:rsidRPr="006759DA" w:rsidRDefault="00372BEC" w:rsidP="008E1C52">
      <w:pPr>
        <w:pStyle w:val="Casehead2"/>
        <w:rPr>
          <w:lang w:val="en-GB"/>
        </w:rPr>
      </w:pPr>
      <w:r w:rsidRPr="006759DA">
        <w:rPr>
          <w:lang w:val="en-GB"/>
        </w:rPr>
        <w:t>Increasing Member Recruitment and Retention</w:t>
      </w:r>
    </w:p>
    <w:p w14:paraId="3C3C96A9" w14:textId="77777777" w:rsidR="00372BEC" w:rsidRPr="006759DA" w:rsidRDefault="00372BEC" w:rsidP="008E1C52">
      <w:pPr>
        <w:pStyle w:val="BodyTextMain"/>
        <w:rPr>
          <w:sz w:val="20"/>
          <w:lang w:val="en-GB"/>
        </w:rPr>
      </w:pPr>
    </w:p>
    <w:p w14:paraId="0FAB5F1F" w14:textId="1E596AAE" w:rsidR="00372BEC" w:rsidRPr="00B75DE3" w:rsidRDefault="00372BEC" w:rsidP="008E1C52">
      <w:pPr>
        <w:pStyle w:val="BodyTextMain"/>
        <w:rPr>
          <w:spacing w:val="-2"/>
          <w:lang w:val="en-GB"/>
        </w:rPr>
      </w:pPr>
      <w:r w:rsidRPr="00B75DE3">
        <w:rPr>
          <w:spacing w:val="-2"/>
          <w:lang w:val="en-GB"/>
        </w:rPr>
        <w:t>Costco was a pioneer in the membership warehouse club model, which required customers to purchase yearly memberships to shop at warehouses. Members benefited from Costco’s lower prices, and an increase in customer savings offset the cost of the membership fees. Costco offered two basic membership types: Gold Star memberships for individuals and Business memberships for businesses. For an additional fee, each of these memberships could be upgraded to the Executive level, which guaranteed shoppers 2 per cent cashback on valid purchases made throughout the year. Although Walmart’s Sam’s Club also offered cashback to its customers, it set a yearly cap of $500 per customer. Costco’s no-cap cashback presented a convincing incentive for frequent shoppers to purchase Costco memberships. Moreover, Costco allowed its customers to cancel memberships at any time during the year and offered reimbursements of the unused portion of the membership fee. This hassle-free membership model allowed Costco to record a high membership compound annual growth rate of 7.1 per cent in the five years from 2010 to 2015. Complementing the high membership renewal rate in the United States and Canada, Costco’s international operations saw a significant 88 per cent increase in its membership renewal rate in 2015.</w:t>
      </w:r>
      <w:r w:rsidRPr="00B75DE3">
        <w:rPr>
          <w:rStyle w:val="EndnoteReference"/>
          <w:spacing w:val="-2"/>
          <w:lang w:val="en-GB"/>
        </w:rPr>
        <w:endnoteReference w:id="65"/>
      </w:r>
      <w:r w:rsidRPr="00B75DE3">
        <w:rPr>
          <w:spacing w:val="-2"/>
          <w:lang w:val="en-GB"/>
        </w:rPr>
        <w:t xml:space="preserve"> As revenues from membership fees contributed more than 75 per cent of Costco’s gross profit, recruiting and retaining members was a key focus.</w:t>
      </w:r>
      <w:r w:rsidRPr="00B75DE3">
        <w:rPr>
          <w:rStyle w:val="EndnoteReference"/>
          <w:spacing w:val="-2"/>
          <w:lang w:val="en-GB"/>
        </w:rPr>
        <w:endnoteReference w:id="66"/>
      </w:r>
    </w:p>
    <w:p w14:paraId="39223D38" w14:textId="77777777" w:rsidR="00372BEC" w:rsidRPr="006759DA" w:rsidRDefault="00372BEC" w:rsidP="008E1C52">
      <w:pPr>
        <w:pStyle w:val="BodyTextMain"/>
        <w:rPr>
          <w:sz w:val="20"/>
          <w:lang w:val="en-GB"/>
        </w:rPr>
      </w:pPr>
    </w:p>
    <w:p w14:paraId="39357EC5" w14:textId="77777777" w:rsidR="00372BEC" w:rsidRPr="006759DA" w:rsidRDefault="00372BEC" w:rsidP="008E1C52">
      <w:pPr>
        <w:pStyle w:val="BodyTextMain"/>
        <w:rPr>
          <w:sz w:val="20"/>
          <w:lang w:val="en-GB"/>
        </w:rPr>
      </w:pPr>
    </w:p>
    <w:p w14:paraId="71935892" w14:textId="7B2FFBA8" w:rsidR="00372BEC" w:rsidRPr="006759DA" w:rsidRDefault="00372BEC" w:rsidP="008E1C52">
      <w:pPr>
        <w:pStyle w:val="Casehead2"/>
        <w:rPr>
          <w:lang w:val="en-GB"/>
        </w:rPr>
      </w:pPr>
      <w:r w:rsidRPr="006759DA">
        <w:rPr>
          <w:lang w:val="en-GB"/>
        </w:rPr>
        <w:t>Leveraging the Kirkland Signature Brand</w:t>
      </w:r>
    </w:p>
    <w:p w14:paraId="3CB9C0F7" w14:textId="77777777" w:rsidR="00372BEC" w:rsidRPr="007F1045" w:rsidRDefault="00372BEC" w:rsidP="008E1C52">
      <w:pPr>
        <w:pStyle w:val="BodyTextMain"/>
        <w:rPr>
          <w:spacing w:val="-4"/>
          <w:sz w:val="20"/>
          <w:lang w:val="en-GB"/>
        </w:rPr>
      </w:pPr>
    </w:p>
    <w:p w14:paraId="6F51D201" w14:textId="7F555AE7" w:rsidR="00372BEC" w:rsidRPr="007F1045" w:rsidRDefault="00372BEC" w:rsidP="008E1C52">
      <w:pPr>
        <w:pStyle w:val="BodyTextMain"/>
        <w:rPr>
          <w:spacing w:val="-4"/>
          <w:lang w:val="en-GB"/>
        </w:rPr>
      </w:pPr>
      <w:r w:rsidRPr="007F1045">
        <w:rPr>
          <w:spacing w:val="-4"/>
          <w:lang w:val="en-GB"/>
        </w:rPr>
        <w:t>Kirkland Signature was Costco’s in-house brand, introduced to offer premium quality products at prices that were 10–20 per cent lower than those of other national brands.</w:t>
      </w:r>
      <w:r w:rsidRPr="007F1045">
        <w:rPr>
          <w:rStyle w:val="EndnoteReference"/>
          <w:spacing w:val="-4"/>
          <w:lang w:val="en-GB"/>
        </w:rPr>
        <w:endnoteReference w:id="67"/>
      </w:r>
      <w:r w:rsidRPr="007F1045">
        <w:rPr>
          <w:spacing w:val="-4"/>
          <w:lang w:val="en-GB"/>
        </w:rPr>
        <w:t xml:space="preserve"> In 2014, Kirkland Signature products contributed 25 per cent of Costco’s sales, a significantly higher penetration rate than other warehouse club house brands (18.1 per cent). Without the need to invest in promotional activities, Costco was able to strengthen the Kirkland Signature brand by introducing several new products across a broad range of categories every year. As of 2014, Costco typically earned a profit margin of 15 per cent on its in-house brand products, compared to 7–10 per cent for other brands.</w:t>
      </w:r>
      <w:r w:rsidRPr="007F1045">
        <w:rPr>
          <w:rStyle w:val="EndnoteReference"/>
          <w:spacing w:val="-4"/>
          <w:lang w:val="en-GB"/>
        </w:rPr>
        <w:endnoteReference w:id="68"/>
      </w:r>
      <w:r w:rsidRPr="007F1045">
        <w:rPr>
          <w:spacing w:val="-4"/>
          <w:lang w:val="en-GB"/>
        </w:rPr>
        <w:t xml:space="preserve"> Costco began to use third party e-commerce channels such as Google Express</w:t>
      </w:r>
      <w:r>
        <w:rPr>
          <w:spacing w:val="-4"/>
          <w:lang w:val="en-GB"/>
        </w:rPr>
        <w:t xml:space="preserve"> </w:t>
      </w:r>
      <w:r w:rsidRPr="007F1045">
        <w:rPr>
          <w:spacing w:val="-4"/>
          <w:lang w:val="en-GB"/>
        </w:rPr>
        <w:t>and InstaCart, seeking to make Kirkland Signature products available to a larger consumer base.</w:t>
      </w:r>
      <w:r>
        <w:rPr>
          <w:rStyle w:val="EndnoteReference"/>
          <w:spacing w:val="-4"/>
          <w:lang w:val="en-GB"/>
        </w:rPr>
        <w:endnoteReference w:id="69"/>
      </w:r>
      <w:r w:rsidRPr="007F1045">
        <w:rPr>
          <w:spacing w:val="-4"/>
          <w:lang w:val="en-GB"/>
        </w:rPr>
        <w:t xml:space="preserve"> </w:t>
      </w:r>
    </w:p>
    <w:p w14:paraId="5C4EA508" w14:textId="77777777" w:rsidR="00372BEC" w:rsidRPr="006759DA" w:rsidRDefault="00372BEC" w:rsidP="008E1C52">
      <w:pPr>
        <w:pStyle w:val="BodyTextMain"/>
        <w:rPr>
          <w:sz w:val="20"/>
          <w:lang w:val="en-GB"/>
        </w:rPr>
      </w:pPr>
    </w:p>
    <w:p w14:paraId="544D10B9" w14:textId="77777777" w:rsidR="00372BEC" w:rsidRPr="006759DA" w:rsidRDefault="00372BEC" w:rsidP="008E1C52">
      <w:pPr>
        <w:pStyle w:val="BodyTextMain"/>
        <w:rPr>
          <w:sz w:val="20"/>
          <w:lang w:val="en-GB"/>
        </w:rPr>
      </w:pPr>
    </w:p>
    <w:p w14:paraId="501DF9EC" w14:textId="4F14F3F7" w:rsidR="00372BEC" w:rsidRPr="006759DA" w:rsidRDefault="00372BEC" w:rsidP="008E1C52">
      <w:pPr>
        <w:pStyle w:val="Casehead2"/>
        <w:rPr>
          <w:lang w:val="en-GB"/>
        </w:rPr>
      </w:pPr>
      <w:r w:rsidRPr="006759DA">
        <w:rPr>
          <w:lang w:val="en-GB"/>
        </w:rPr>
        <w:t>Limiting the Range of Products to Enable Operational Excellence</w:t>
      </w:r>
    </w:p>
    <w:p w14:paraId="45396DFD" w14:textId="77777777" w:rsidR="00372BEC" w:rsidRPr="006759DA" w:rsidRDefault="00372BEC" w:rsidP="008E1C52">
      <w:pPr>
        <w:pStyle w:val="BodyTextMain"/>
        <w:rPr>
          <w:sz w:val="20"/>
          <w:lang w:val="en-GB"/>
        </w:rPr>
      </w:pPr>
    </w:p>
    <w:p w14:paraId="473D68E3" w14:textId="6AEFD6CE" w:rsidR="00372BEC" w:rsidRPr="00AC6F8B" w:rsidRDefault="00372BEC" w:rsidP="008E1C52">
      <w:pPr>
        <w:pStyle w:val="BodyTextMain"/>
        <w:rPr>
          <w:spacing w:val="-2"/>
          <w:lang w:val="en-GB"/>
        </w:rPr>
      </w:pPr>
      <w:r w:rsidRPr="00AC6F8B">
        <w:rPr>
          <w:spacing w:val="-2"/>
          <w:lang w:val="en-GB"/>
        </w:rPr>
        <w:t>Costco’s primary business model was built around the strategy of stocking a limited number of stock keeping units (SKUs), promoting sales of a limited range of products. A typical Costco warehouse stocked approximately 3,700 SKUs, less than many other big box retailers.</w:t>
      </w:r>
      <w:r w:rsidRPr="00AC6F8B">
        <w:rPr>
          <w:rStyle w:val="EndnoteReference"/>
          <w:spacing w:val="-2"/>
          <w:lang w:val="en-GB"/>
        </w:rPr>
        <w:endnoteReference w:id="70"/>
      </w:r>
      <w:r w:rsidRPr="00AC6F8B">
        <w:rPr>
          <w:spacing w:val="-2"/>
          <w:lang w:val="en-GB"/>
        </w:rPr>
        <w:t xml:space="preserve"> This strategy offered Costco several advantages. First, it allowed Costco to assign a greater area of the warehouse to each employee, which established higher productivity rates and increased overall profitability.</w:t>
      </w:r>
      <w:r w:rsidRPr="00AC6F8B">
        <w:rPr>
          <w:rStyle w:val="EndnoteReference"/>
          <w:spacing w:val="-2"/>
          <w:lang w:val="en-GB"/>
        </w:rPr>
        <w:endnoteReference w:id="71"/>
      </w:r>
      <w:r w:rsidRPr="00AC6F8B">
        <w:rPr>
          <w:spacing w:val="-2"/>
          <w:lang w:val="en-GB"/>
        </w:rPr>
        <w:t xml:space="preserve"> Second, it allowed Costco to focus on a smaller number of suppliers, which resulted in lower transaction costs. Costco’s transaction cost savings came from lower negotiation costs and reduced policing and enforcement costs.</w:t>
      </w:r>
      <w:r w:rsidRPr="00AC6F8B">
        <w:rPr>
          <w:rStyle w:val="EndnoteReference"/>
          <w:spacing w:val="-2"/>
          <w:lang w:val="en-GB"/>
        </w:rPr>
        <w:endnoteReference w:id="72"/>
      </w:r>
      <w:r w:rsidRPr="00AC6F8B">
        <w:rPr>
          <w:spacing w:val="-2"/>
          <w:lang w:val="en-GB"/>
        </w:rPr>
        <w:t xml:space="preserve"> Lastly, it meant that Costco </w:t>
      </w:r>
      <w:r w:rsidRPr="00AC6F8B">
        <w:rPr>
          <w:spacing w:val="-2"/>
          <w:lang w:val="en-GB"/>
        </w:rPr>
        <w:lastRenderedPageBreak/>
        <w:t>had a higher inventory turnover than its competitors. In August 2015, Costco’s inventory turnover ratio was 11.64.</w:t>
      </w:r>
      <w:r w:rsidRPr="00AC6F8B">
        <w:rPr>
          <w:rStyle w:val="EndnoteReference"/>
          <w:spacing w:val="-2"/>
          <w:lang w:val="en-GB"/>
        </w:rPr>
        <w:endnoteReference w:id="73"/>
      </w:r>
      <w:r w:rsidRPr="00AC6F8B">
        <w:rPr>
          <w:spacing w:val="-2"/>
          <w:lang w:val="en-GB"/>
        </w:rPr>
        <w:t xml:space="preserve"> Costco was able to sell inventory to its customers before having to pay its suppliers for those products, which significantly reduced the level of working capital it needed to maintain.</w:t>
      </w:r>
      <w:r w:rsidRPr="00AC6F8B">
        <w:rPr>
          <w:rStyle w:val="EndnoteReference"/>
          <w:spacing w:val="-2"/>
          <w:lang w:val="en-GB"/>
        </w:rPr>
        <w:endnoteReference w:id="74"/>
      </w:r>
      <w:r w:rsidRPr="00AC6F8B">
        <w:rPr>
          <w:spacing w:val="-2"/>
          <w:lang w:val="en-GB"/>
        </w:rPr>
        <w:t xml:space="preserve"> </w:t>
      </w:r>
    </w:p>
    <w:p w14:paraId="19EDAE79" w14:textId="77777777" w:rsidR="00372BEC" w:rsidRPr="006759DA" w:rsidRDefault="00372BEC" w:rsidP="008E1C52">
      <w:pPr>
        <w:pStyle w:val="BodyTextMain"/>
        <w:rPr>
          <w:sz w:val="20"/>
          <w:lang w:val="en-GB"/>
        </w:rPr>
      </w:pPr>
    </w:p>
    <w:p w14:paraId="2B877C26" w14:textId="77777777" w:rsidR="00372BEC" w:rsidRPr="006759DA" w:rsidRDefault="00372BEC" w:rsidP="008E1C52">
      <w:pPr>
        <w:pStyle w:val="BodyTextMain"/>
        <w:rPr>
          <w:sz w:val="20"/>
          <w:lang w:val="en-GB"/>
        </w:rPr>
      </w:pPr>
    </w:p>
    <w:p w14:paraId="4E4B21E9" w14:textId="2739D80F" w:rsidR="00372BEC" w:rsidRPr="006759DA" w:rsidRDefault="00372BEC" w:rsidP="006A0A5E">
      <w:pPr>
        <w:pStyle w:val="Casehead2"/>
        <w:keepNext/>
        <w:keepLines/>
        <w:rPr>
          <w:lang w:val="en-GB"/>
        </w:rPr>
      </w:pPr>
      <w:r w:rsidRPr="006759DA">
        <w:rPr>
          <w:lang w:val="en-GB"/>
        </w:rPr>
        <w:t xml:space="preserve">Applying a </w:t>
      </w:r>
      <w:r>
        <w:rPr>
          <w:lang w:val="en-GB"/>
        </w:rPr>
        <w:t>No-Frills</w:t>
      </w:r>
      <w:r w:rsidRPr="006759DA">
        <w:rPr>
          <w:lang w:val="en-GB"/>
        </w:rPr>
        <w:t xml:space="preserve"> Wholesaling Approach</w:t>
      </w:r>
    </w:p>
    <w:p w14:paraId="3360CC33" w14:textId="77777777" w:rsidR="00372BEC" w:rsidRPr="006759DA" w:rsidRDefault="00372BEC" w:rsidP="006A0A5E">
      <w:pPr>
        <w:pStyle w:val="BodyTextMain"/>
        <w:keepNext/>
        <w:keepLines/>
        <w:rPr>
          <w:sz w:val="20"/>
          <w:lang w:val="en-GB"/>
        </w:rPr>
      </w:pPr>
    </w:p>
    <w:p w14:paraId="480C938E" w14:textId="017E695C" w:rsidR="00372BEC" w:rsidRPr="00B75DE3" w:rsidRDefault="00372BEC" w:rsidP="006A0A5E">
      <w:pPr>
        <w:pStyle w:val="BodyTextMain"/>
        <w:keepNext/>
        <w:keepLines/>
        <w:rPr>
          <w:spacing w:val="-2"/>
          <w:lang w:val="en-GB"/>
        </w:rPr>
      </w:pPr>
      <w:r w:rsidRPr="00B75DE3">
        <w:rPr>
          <w:spacing w:val="-2"/>
          <w:lang w:val="en-GB"/>
        </w:rPr>
        <w:t>Typically, retailers set aside a sizeable portion of their budgets for marketing, store layout, and decor</w:t>
      </w:r>
      <w:r w:rsidRPr="00B75DE3">
        <w:rPr>
          <w:spacing w:val="-2"/>
          <w:lang w:val="en-GB" w:eastAsia="ko-KR"/>
        </w:rPr>
        <w:t xml:space="preserve">. </w:t>
      </w:r>
      <w:r w:rsidRPr="00B75DE3">
        <w:rPr>
          <w:spacing w:val="-2"/>
          <w:lang w:val="en-GB"/>
        </w:rPr>
        <w:t>Costco minimized its operating costs through its warehouse store format, distribution system, and marketing. Costco’s warehouses had a minimalist design, with bare cement floors and high, sparse ceilings. Floor plans were designed for economy and efficiency, ease of product handling, and inventory control;</w:t>
      </w:r>
      <w:r w:rsidRPr="00B75DE3">
        <w:rPr>
          <w:rStyle w:val="EndnoteReference"/>
          <w:spacing w:val="-2"/>
          <w:lang w:val="en-GB"/>
        </w:rPr>
        <w:endnoteReference w:id="75"/>
      </w:r>
      <w:r w:rsidRPr="00B75DE3">
        <w:rPr>
          <w:spacing w:val="-2"/>
          <w:lang w:val="en-GB"/>
        </w:rPr>
        <w:t xml:space="preserve"> and products were displayed on industrial type pallets to facilitate stacking and stocking.</w:t>
      </w:r>
      <w:r w:rsidRPr="00B75DE3">
        <w:rPr>
          <w:rStyle w:val="EndnoteReference"/>
          <w:spacing w:val="-2"/>
          <w:lang w:val="en-GB"/>
        </w:rPr>
        <w:endnoteReference w:id="76"/>
      </w:r>
      <w:r w:rsidRPr="00B75DE3">
        <w:rPr>
          <w:spacing w:val="-2"/>
          <w:lang w:val="en-GB"/>
        </w:rPr>
        <w:t xml:space="preserve"> To reduce electricity costs, Costco installed many skylights, sensibly placed throughout the store to utilize natural light.</w:t>
      </w:r>
      <w:r>
        <w:rPr>
          <w:rStyle w:val="EndnoteReference"/>
          <w:spacing w:val="-2"/>
          <w:lang w:val="en-GB"/>
        </w:rPr>
        <w:endnoteReference w:id="77"/>
      </w:r>
      <w:r w:rsidRPr="00B75DE3">
        <w:rPr>
          <w:spacing w:val="-2"/>
          <w:lang w:val="en-GB"/>
        </w:rPr>
        <w:t xml:space="preserve"> </w:t>
      </w:r>
    </w:p>
    <w:p w14:paraId="0EB8904F" w14:textId="77777777" w:rsidR="00372BEC" w:rsidRPr="006759DA" w:rsidRDefault="00372BEC" w:rsidP="008E1C52">
      <w:pPr>
        <w:pStyle w:val="BodyTextMain"/>
        <w:rPr>
          <w:sz w:val="20"/>
          <w:lang w:val="en-GB"/>
        </w:rPr>
      </w:pPr>
    </w:p>
    <w:p w14:paraId="6B70644A" w14:textId="345925BB" w:rsidR="00372BEC" w:rsidRPr="006759DA" w:rsidRDefault="00372BEC" w:rsidP="008E1C52">
      <w:pPr>
        <w:pStyle w:val="BodyTextMain"/>
        <w:rPr>
          <w:lang w:val="en-GB"/>
        </w:rPr>
      </w:pPr>
      <w:r w:rsidRPr="006759DA">
        <w:rPr>
          <w:lang w:val="en-GB"/>
        </w:rPr>
        <w:t>Costco avoided intermediaries in distribution; it purchased its merchandise directly from manufacturers. Goods were typically delivered to cross-docking consolidation points (depots) or directly to its warehouses, which resulted in significant cost savings</w:t>
      </w:r>
      <w:r>
        <w:rPr>
          <w:lang w:val="en-GB"/>
        </w:rPr>
        <w:t>.</w:t>
      </w:r>
      <w:r>
        <w:rPr>
          <w:rStyle w:val="EndnoteReference"/>
          <w:lang w:val="en-GB"/>
        </w:rPr>
        <w:endnoteReference w:id="78"/>
      </w:r>
      <w:r w:rsidRPr="006759DA">
        <w:rPr>
          <w:lang w:val="en-GB"/>
        </w:rPr>
        <w:t xml:space="preserve"> Although the company had direct purchasing relationships with many national, </w:t>
      </w:r>
      <w:r>
        <w:rPr>
          <w:lang w:val="en-GB"/>
        </w:rPr>
        <w:t>brand name</w:t>
      </w:r>
      <w:r w:rsidRPr="006759DA">
        <w:rPr>
          <w:lang w:val="en-GB"/>
        </w:rPr>
        <w:t xml:space="preserve"> merchandisers, it did not rely extensively on any one supplier</w:t>
      </w:r>
      <w:r>
        <w:rPr>
          <w:lang w:val="en-GB"/>
        </w:rPr>
        <w:t xml:space="preserve"> as it followed a supplier diversification strategy</w:t>
      </w:r>
      <w:r w:rsidRPr="006759DA">
        <w:rPr>
          <w:lang w:val="en-GB"/>
        </w:rPr>
        <w:t>.</w:t>
      </w:r>
      <w:r>
        <w:rPr>
          <w:rStyle w:val="EndnoteReference"/>
          <w:lang w:val="en-GB"/>
        </w:rPr>
        <w:endnoteReference w:id="79"/>
      </w:r>
    </w:p>
    <w:p w14:paraId="51C46D55" w14:textId="77777777" w:rsidR="00372BEC" w:rsidRPr="006759DA" w:rsidRDefault="00372BEC" w:rsidP="008E1C52">
      <w:pPr>
        <w:pStyle w:val="BodyTextMain"/>
        <w:rPr>
          <w:sz w:val="20"/>
          <w:lang w:val="en-GB"/>
        </w:rPr>
      </w:pPr>
    </w:p>
    <w:p w14:paraId="7F065300" w14:textId="7A59B51B" w:rsidR="00372BEC" w:rsidRPr="006759DA" w:rsidRDefault="00372BEC" w:rsidP="008E1C52">
      <w:pPr>
        <w:pStyle w:val="BodyTextMain"/>
        <w:rPr>
          <w:sz w:val="20"/>
          <w:lang w:val="en-GB"/>
        </w:rPr>
      </w:pPr>
      <w:r w:rsidRPr="006759DA">
        <w:rPr>
          <w:lang w:val="en-GB"/>
        </w:rPr>
        <w:t>Costco did not employ public relations staff.</w:t>
      </w:r>
      <w:r>
        <w:rPr>
          <w:rStyle w:val="EndnoteReference"/>
          <w:lang w:val="en-GB"/>
        </w:rPr>
        <w:endnoteReference w:id="80"/>
      </w:r>
      <w:r w:rsidRPr="006759DA">
        <w:rPr>
          <w:lang w:val="en-GB"/>
        </w:rPr>
        <w:t xml:space="preserve"> The company used free word-of-mouth advertising to </w:t>
      </w:r>
      <w:r>
        <w:rPr>
          <w:lang w:val="en-GB"/>
        </w:rPr>
        <w:t>promote its value proposition.</w:t>
      </w:r>
      <w:r>
        <w:rPr>
          <w:rStyle w:val="EndnoteReference"/>
          <w:lang w:val="en-GB"/>
        </w:rPr>
        <w:endnoteReference w:id="81"/>
      </w:r>
      <w:r w:rsidRPr="006759DA">
        <w:rPr>
          <w:lang w:val="en-GB"/>
        </w:rPr>
        <w:t xml:space="preserve"> </w:t>
      </w:r>
      <w:r>
        <w:rPr>
          <w:lang w:val="en-GB"/>
        </w:rPr>
        <w:t>T</w:t>
      </w:r>
      <w:r w:rsidRPr="006759DA">
        <w:rPr>
          <w:lang w:val="en-GB"/>
        </w:rPr>
        <w:t>he company’s promotional materials typically took the form of coupons</w:t>
      </w:r>
      <w:r w:rsidRPr="00D63D6C">
        <w:rPr>
          <w:lang w:val="en-GB"/>
        </w:rPr>
        <w:t xml:space="preserve"> </w:t>
      </w:r>
      <w:r>
        <w:rPr>
          <w:lang w:val="en-GB"/>
        </w:rPr>
        <w:t>for existing members and direct emails to potential new members</w:t>
      </w:r>
      <w:r w:rsidRPr="006759DA">
        <w:rPr>
          <w:lang w:val="en-GB"/>
        </w:rPr>
        <w:t xml:space="preserve">, </w:t>
      </w:r>
      <w:r>
        <w:rPr>
          <w:lang w:val="en-GB"/>
        </w:rPr>
        <w:t>and stayed away from traditional marketing methods to keep costs low.</w:t>
      </w:r>
      <w:r>
        <w:rPr>
          <w:rStyle w:val="EndnoteReference"/>
          <w:lang w:val="en-GB"/>
        </w:rPr>
        <w:endnoteReference w:id="82"/>
      </w:r>
    </w:p>
    <w:p w14:paraId="326904EC" w14:textId="77777777" w:rsidR="00372BEC" w:rsidRPr="006759DA" w:rsidRDefault="00372BEC" w:rsidP="008E1C52">
      <w:pPr>
        <w:pStyle w:val="BodyTextMain"/>
        <w:rPr>
          <w:sz w:val="20"/>
          <w:lang w:val="en-GB"/>
        </w:rPr>
      </w:pPr>
    </w:p>
    <w:p w14:paraId="30AB22EF" w14:textId="325575CA" w:rsidR="00372BEC" w:rsidRPr="006759DA" w:rsidRDefault="00372BEC" w:rsidP="008E1C52">
      <w:pPr>
        <w:pStyle w:val="Casehead2"/>
        <w:rPr>
          <w:lang w:val="en-GB" w:eastAsia="ko-KR"/>
        </w:rPr>
      </w:pPr>
      <w:r w:rsidRPr="006759DA">
        <w:rPr>
          <w:lang w:val="en-GB" w:eastAsia="ko-KR"/>
        </w:rPr>
        <w:t>Meeting Local Consumers’ Needs and Wants</w:t>
      </w:r>
    </w:p>
    <w:p w14:paraId="3067EF16" w14:textId="77777777" w:rsidR="00372BEC" w:rsidRPr="006759DA" w:rsidRDefault="00372BEC" w:rsidP="008E1C52">
      <w:pPr>
        <w:pStyle w:val="BodyTextMain"/>
        <w:rPr>
          <w:sz w:val="20"/>
          <w:lang w:val="en-GB"/>
        </w:rPr>
      </w:pPr>
    </w:p>
    <w:p w14:paraId="56BF705D" w14:textId="59B82A1C" w:rsidR="00372BEC" w:rsidRPr="00B75DE3" w:rsidRDefault="00372BEC" w:rsidP="008E1C52">
      <w:pPr>
        <w:pStyle w:val="BodyTextMain"/>
        <w:rPr>
          <w:spacing w:val="-2"/>
          <w:lang w:val="en-GB"/>
        </w:rPr>
      </w:pPr>
      <w:r w:rsidRPr="00B75DE3">
        <w:rPr>
          <w:spacing w:val="-2"/>
          <w:lang w:val="en-GB"/>
        </w:rPr>
        <w:t>Costco adapted well to each country it entered. The success or failure of its entry ultimately depended on understanding the needs and wants of customers in each given market. In countries such as Taiwan, where there was high retail competition,</w:t>
      </w:r>
      <w:r>
        <w:rPr>
          <w:rStyle w:val="EndnoteReference"/>
          <w:spacing w:val="-2"/>
          <w:lang w:val="en-GB"/>
        </w:rPr>
        <w:endnoteReference w:id="83"/>
      </w:r>
      <w:r w:rsidRPr="00B75DE3">
        <w:rPr>
          <w:spacing w:val="-2"/>
          <w:lang w:val="en-GB"/>
        </w:rPr>
        <w:t xml:space="preserve"> Costco partnered with a strong local retailer to gain its first foothold in the market. This allowed Costco to study the unique tastes and preferences of Taiwanese customers and then adapt its product offerings to meet the demands of this local consumer base.</w:t>
      </w:r>
      <w:r>
        <w:rPr>
          <w:rStyle w:val="EndnoteReference"/>
          <w:spacing w:val="-2"/>
          <w:lang w:val="en-GB"/>
        </w:rPr>
        <w:endnoteReference w:id="84"/>
      </w:r>
      <w:r w:rsidRPr="00B75DE3">
        <w:rPr>
          <w:spacing w:val="-2"/>
          <w:lang w:val="en-GB"/>
        </w:rPr>
        <w:t xml:space="preserve"> Costco succeeded in keeping its customers happy, making it easy to retain them year after year. Its “no questions asked” return policy</w:t>
      </w:r>
      <w:r w:rsidR="00E56010" w:rsidRPr="00B75DE3">
        <w:rPr>
          <w:spacing w:val="-2"/>
          <w:lang w:val="en-GB"/>
        </w:rPr>
        <w:t xml:space="preserve"> </w:t>
      </w:r>
      <w:r w:rsidRPr="00B75DE3">
        <w:rPr>
          <w:spacing w:val="-2"/>
          <w:lang w:val="en-GB"/>
        </w:rPr>
        <w:t xml:space="preserve">allowed Costco to stand out. </w:t>
      </w:r>
    </w:p>
    <w:p w14:paraId="6FFF7D6F" w14:textId="77777777" w:rsidR="00372BEC" w:rsidRPr="006759DA" w:rsidRDefault="00372BEC" w:rsidP="008E1C52">
      <w:pPr>
        <w:pStyle w:val="BodyTextMain"/>
        <w:rPr>
          <w:sz w:val="20"/>
          <w:lang w:val="en-GB"/>
        </w:rPr>
      </w:pPr>
    </w:p>
    <w:p w14:paraId="01EEA7E8" w14:textId="77777777" w:rsidR="00372BEC" w:rsidRPr="006759DA" w:rsidRDefault="00372BEC" w:rsidP="008E1C52">
      <w:pPr>
        <w:pStyle w:val="BodyTextMain"/>
        <w:rPr>
          <w:sz w:val="20"/>
          <w:lang w:val="en-GB"/>
        </w:rPr>
      </w:pPr>
    </w:p>
    <w:p w14:paraId="377BECA8" w14:textId="38D44DDA" w:rsidR="00372BEC" w:rsidRPr="006759DA" w:rsidRDefault="00372BEC" w:rsidP="008E1C52">
      <w:pPr>
        <w:pStyle w:val="Casehead2"/>
        <w:rPr>
          <w:lang w:val="en-GB"/>
        </w:rPr>
      </w:pPr>
      <w:r w:rsidRPr="006759DA">
        <w:rPr>
          <w:lang w:val="en-GB" w:eastAsia="ko-KR"/>
        </w:rPr>
        <w:t>Implementing H</w:t>
      </w:r>
      <w:r w:rsidRPr="006759DA">
        <w:rPr>
          <w:lang w:val="en-GB"/>
        </w:rPr>
        <w:t>uman Resources Policies that Foster Employee Retention</w:t>
      </w:r>
    </w:p>
    <w:p w14:paraId="2832C113" w14:textId="77777777" w:rsidR="00372BEC" w:rsidRPr="006759DA" w:rsidRDefault="00372BEC" w:rsidP="008E1C52">
      <w:pPr>
        <w:pStyle w:val="BodyTextMain"/>
        <w:rPr>
          <w:sz w:val="20"/>
          <w:lang w:val="en-GB"/>
        </w:rPr>
      </w:pPr>
    </w:p>
    <w:p w14:paraId="3E25B9CA" w14:textId="70261C2E" w:rsidR="00372BEC" w:rsidRPr="006759DA" w:rsidRDefault="00372BEC" w:rsidP="008E1C52">
      <w:pPr>
        <w:pStyle w:val="BodyTextMain"/>
        <w:rPr>
          <w:spacing w:val="-2"/>
          <w:lang w:val="en-GB"/>
        </w:rPr>
      </w:pPr>
      <w:r w:rsidRPr="006759DA">
        <w:rPr>
          <w:spacing w:val="-2"/>
          <w:lang w:val="en-GB"/>
        </w:rPr>
        <w:t>Employee retention was widely recognized as a major problem in the global retail industry. Costco’s employee turnover rates, however, painted a more positive picture. The company’s average turnover was generally low, around 17 per cent, and this rate dramatically dropped to just 6 per cent for employees who had completed the first year of their tenure at the company.</w:t>
      </w:r>
      <w:r w:rsidRPr="006759DA">
        <w:rPr>
          <w:rStyle w:val="EndnoteReference"/>
          <w:spacing w:val="-2"/>
          <w:lang w:val="en-GB"/>
        </w:rPr>
        <w:endnoteReference w:id="85"/>
      </w:r>
      <w:r w:rsidRPr="006759DA">
        <w:rPr>
          <w:spacing w:val="-2"/>
          <w:lang w:val="en-GB"/>
        </w:rPr>
        <w:t xml:space="preserve"> This was a direct result of Costco’s generous human </w:t>
      </w:r>
      <w:r>
        <w:rPr>
          <w:spacing w:val="-2"/>
          <w:lang w:val="en-GB"/>
        </w:rPr>
        <w:t>resources</w:t>
      </w:r>
      <w:r w:rsidRPr="006759DA">
        <w:rPr>
          <w:spacing w:val="-2"/>
          <w:lang w:val="en-GB"/>
        </w:rPr>
        <w:t xml:space="preserve"> policies. In 2006, Costco paid an average hourly wage of $17.00—72 per cent higher than the wages offered by its rival Sam’s Club in the United States. These wages were also supplemented by generous benefits: 82 per cent of Costco’s employees were covered by health insurance, and 91 per cent were covered by retirement plans. The company’s contributions towards these benefits were also typically higher than those of its rivals. As a result, Costco’s employees were more engaged in the workplace, and this contributed to increased employee loyalty, job performance, and productivity, and to better customer service.</w:t>
      </w:r>
      <w:r>
        <w:rPr>
          <w:rStyle w:val="EndnoteReference"/>
          <w:spacing w:val="-2"/>
          <w:lang w:val="en-GB"/>
        </w:rPr>
        <w:endnoteReference w:id="86"/>
      </w:r>
    </w:p>
    <w:p w14:paraId="48554396" w14:textId="77777777" w:rsidR="00372BEC" w:rsidRPr="006759DA" w:rsidRDefault="00372BEC" w:rsidP="008E1C52">
      <w:pPr>
        <w:pStyle w:val="BodyTextMain"/>
        <w:rPr>
          <w:sz w:val="20"/>
          <w:lang w:val="en-GB"/>
        </w:rPr>
      </w:pPr>
    </w:p>
    <w:p w14:paraId="0A0EBD18" w14:textId="77777777" w:rsidR="00372BEC" w:rsidRPr="006759DA" w:rsidRDefault="00372BEC" w:rsidP="008E1C52">
      <w:pPr>
        <w:pStyle w:val="BodyTextMain"/>
        <w:rPr>
          <w:sz w:val="20"/>
          <w:lang w:val="en-GB"/>
        </w:rPr>
      </w:pPr>
    </w:p>
    <w:p w14:paraId="6D4A8449" w14:textId="65033327" w:rsidR="00372BEC" w:rsidRPr="006759DA" w:rsidRDefault="00372BEC" w:rsidP="006A0A5E">
      <w:pPr>
        <w:pStyle w:val="Casehead1"/>
        <w:keepNext/>
        <w:keepLines/>
        <w:rPr>
          <w:lang w:val="en-GB"/>
        </w:rPr>
      </w:pPr>
      <w:r w:rsidRPr="006759DA">
        <w:rPr>
          <w:lang w:val="en-GB" w:eastAsia="ko-KR"/>
        </w:rPr>
        <w:lastRenderedPageBreak/>
        <w:t>Key Issues and Strategic Options</w:t>
      </w:r>
    </w:p>
    <w:p w14:paraId="5EC1C34D" w14:textId="77777777" w:rsidR="00372BEC" w:rsidRPr="006759DA" w:rsidRDefault="00372BEC" w:rsidP="006A0A5E">
      <w:pPr>
        <w:pStyle w:val="BodyTextMain"/>
        <w:keepNext/>
        <w:keepLines/>
        <w:rPr>
          <w:sz w:val="20"/>
          <w:lang w:val="en-GB"/>
        </w:rPr>
      </w:pPr>
    </w:p>
    <w:p w14:paraId="4A6E58A2" w14:textId="588329BE" w:rsidR="00372BEC" w:rsidRPr="006759DA" w:rsidRDefault="00372BEC" w:rsidP="006A0A5E">
      <w:pPr>
        <w:pStyle w:val="Casehead2"/>
        <w:keepNext/>
        <w:keepLines/>
        <w:rPr>
          <w:lang w:val="en-GB"/>
        </w:rPr>
      </w:pPr>
      <w:r w:rsidRPr="006759DA">
        <w:rPr>
          <w:lang w:val="en-GB"/>
        </w:rPr>
        <w:t xml:space="preserve">Increasing the Share of Total Revenue from International Operations </w:t>
      </w:r>
    </w:p>
    <w:p w14:paraId="064B1BC4" w14:textId="77777777" w:rsidR="00372BEC" w:rsidRPr="006759DA" w:rsidRDefault="00372BEC" w:rsidP="006A0A5E">
      <w:pPr>
        <w:pStyle w:val="BodyTextMain"/>
        <w:keepNext/>
        <w:keepLines/>
        <w:rPr>
          <w:sz w:val="20"/>
          <w:lang w:val="en-GB"/>
        </w:rPr>
      </w:pPr>
    </w:p>
    <w:p w14:paraId="0A74EAAD" w14:textId="6FB72883" w:rsidR="00372BEC" w:rsidRPr="006759DA" w:rsidRDefault="00372BEC" w:rsidP="006A0A5E">
      <w:pPr>
        <w:pStyle w:val="BodyTextMain"/>
        <w:keepNext/>
        <w:keepLines/>
        <w:rPr>
          <w:spacing w:val="-2"/>
          <w:lang w:val="en-GB"/>
        </w:rPr>
      </w:pPr>
      <w:r w:rsidRPr="006759DA">
        <w:rPr>
          <w:spacing w:val="-2"/>
          <w:lang w:val="en-GB"/>
        </w:rPr>
        <w:t>Despite international success, Costco’s share of revenues from operations outside of its home country continued to be insignificant. In 2014, just 29 per cent of the company’s net sales came from its international operations. A further cause for concern was that Canadian operations contributed 16 per cent of Costco’s total revenue. The United States and Canada</w:t>
      </w:r>
      <w:r>
        <w:rPr>
          <w:spacing w:val="-2"/>
          <w:lang w:val="en-GB"/>
        </w:rPr>
        <w:t>,</w:t>
      </w:r>
      <w:r w:rsidRPr="006759DA">
        <w:rPr>
          <w:spacing w:val="-2"/>
          <w:lang w:val="en-GB"/>
        </w:rPr>
        <w:t xml:space="preserve"> therefore</w:t>
      </w:r>
      <w:r>
        <w:rPr>
          <w:spacing w:val="-2"/>
          <w:lang w:val="en-GB"/>
        </w:rPr>
        <w:t>,</w:t>
      </w:r>
      <w:r w:rsidRPr="006759DA">
        <w:rPr>
          <w:spacing w:val="-2"/>
          <w:lang w:val="en-GB"/>
        </w:rPr>
        <w:t xml:space="preserve"> continued to be dominant markets for Costco. In comparison, Carrefour, the French multinational retailer, earned 65 per cent of its revenue in 2014 from its international locations, which spanned 32 countries through Latin America, Asia, and Europe.</w:t>
      </w:r>
      <w:r w:rsidRPr="006759DA">
        <w:rPr>
          <w:rStyle w:val="EndnoteReference"/>
          <w:spacing w:val="-2"/>
          <w:lang w:val="en-GB"/>
        </w:rPr>
        <w:endnoteReference w:id="87"/>
      </w:r>
      <w:r w:rsidRPr="006759DA">
        <w:rPr>
          <w:spacing w:val="-2"/>
          <w:lang w:val="en-GB"/>
        </w:rPr>
        <w:t xml:space="preserve"> Costco’s dependence on its U.S. and Canadian markets made it vulnerable to regional uncertainty and could significantly affect the company’s revenue growth.</w:t>
      </w:r>
    </w:p>
    <w:p w14:paraId="425B925D" w14:textId="77777777" w:rsidR="00372BEC" w:rsidRPr="006759DA" w:rsidRDefault="00372BEC" w:rsidP="008E1C52">
      <w:pPr>
        <w:pStyle w:val="BodyTextMain"/>
        <w:rPr>
          <w:sz w:val="20"/>
          <w:lang w:val="en-GB"/>
        </w:rPr>
      </w:pPr>
    </w:p>
    <w:p w14:paraId="4E0AD75F" w14:textId="6F76FB32" w:rsidR="00372BEC" w:rsidRPr="006759DA" w:rsidRDefault="00372BEC" w:rsidP="008E1C52">
      <w:pPr>
        <w:pStyle w:val="BodyTextMain"/>
        <w:rPr>
          <w:lang w:val="en-GB"/>
        </w:rPr>
      </w:pPr>
      <w:r w:rsidRPr="006759DA">
        <w:rPr>
          <w:lang w:val="en-GB"/>
        </w:rPr>
        <w:t>Some of Costco’s challenges included increased competition and changing government regulations in international markets. Mature markets such as Japan presented intense competition and a lack of growth opportunities for Costco. In Japan, the shifting preferences and lifestyles of consumers led to an increased preference for convenience stores over department stores and supermarkets.</w:t>
      </w:r>
      <w:r>
        <w:rPr>
          <w:rStyle w:val="EndnoteReference"/>
          <w:lang w:val="en-GB"/>
        </w:rPr>
        <w:endnoteReference w:id="88"/>
      </w:r>
      <w:r w:rsidRPr="006759DA">
        <w:rPr>
          <w:lang w:val="en-GB"/>
        </w:rPr>
        <w:t xml:space="preserve"> As a result, Costco also competed with convenience store chains such as 7-Eleven, Lawson, and Family Mart. Furthermore, political and legal changes in international markets had generally been unpredictable. This was exemplified by the South Korean government’s </w:t>
      </w:r>
      <w:r>
        <w:rPr>
          <w:lang w:val="en-GB"/>
        </w:rPr>
        <w:t>l</w:t>
      </w:r>
      <w:r w:rsidRPr="006759DA">
        <w:rPr>
          <w:lang w:val="en-GB"/>
        </w:rPr>
        <w:t xml:space="preserve">aws protecting small, family-owned shops at the expense of international </w:t>
      </w:r>
      <w:r>
        <w:rPr>
          <w:lang w:val="en-GB"/>
        </w:rPr>
        <w:t>big box</w:t>
      </w:r>
      <w:r w:rsidRPr="006759DA">
        <w:rPr>
          <w:lang w:val="en-GB"/>
        </w:rPr>
        <w:t xml:space="preserve"> retailers; </w:t>
      </w:r>
      <w:r>
        <w:rPr>
          <w:lang w:val="en-GB"/>
        </w:rPr>
        <w:t>non-compliance</w:t>
      </w:r>
      <w:r w:rsidRPr="006759DA">
        <w:rPr>
          <w:lang w:val="en-GB"/>
        </w:rPr>
        <w:t xml:space="preserve"> posed reputational as well as monetary risks.</w:t>
      </w:r>
      <w:r>
        <w:rPr>
          <w:rStyle w:val="EndnoteReference"/>
          <w:lang w:val="en-GB"/>
        </w:rPr>
        <w:endnoteReference w:id="89"/>
      </w:r>
      <w:r w:rsidRPr="006759DA">
        <w:rPr>
          <w:lang w:val="en-GB"/>
        </w:rPr>
        <w:t xml:space="preserve"> </w:t>
      </w:r>
    </w:p>
    <w:p w14:paraId="2FD7E5C9" w14:textId="77777777" w:rsidR="00372BEC" w:rsidRPr="006759DA" w:rsidRDefault="00372BEC" w:rsidP="008E4FEB">
      <w:pPr>
        <w:pStyle w:val="BodyTextMain"/>
        <w:rPr>
          <w:sz w:val="20"/>
          <w:lang w:val="en-GB"/>
        </w:rPr>
      </w:pPr>
    </w:p>
    <w:p w14:paraId="0897164E" w14:textId="77777777" w:rsidR="00372BEC" w:rsidRPr="006759DA" w:rsidRDefault="00372BEC" w:rsidP="008E4FEB">
      <w:pPr>
        <w:pStyle w:val="BodyTextMain"/>
        <w:rPr>
          <w:sz w:val="20"/>
          <w:lang w:val="en-GB"/>
        </w:rPr>
      </w:pPr>
    </w:p>
    <w:p w14:paraId="638007DD" w14:textId="7B5CB917" w:rsidR="00372BEC" w:rsidRPr="006759DA" w:rsidRDefault="00372BEC" w:rsidP="008E1C52">
      <w:pPr>
        <w:pStyle w:val="Casehead2"/>
        <w:rPr>
          <w:lang w:val="en-GB"/>
        </w:rPr>
      </w:pPr>
      <w:r w:rsidRPr="006759DA">
        <w:rPr>
          <w:lang w:val="en-GB"/>
        </w:rPr>
        <w:t>Finding, Entering, and Expanding into New Markets</w:t>
      </w:r>
      <w:r w:rsidRPr="006759DA">
        <w:rPr>
          <w:lang w:val="en-GB" w:eastAsia="ko-KR"/>
        </w:rPr>
        <w:t xml:space="preserve"> </w:t>
      </w:r>
      <w:r w:rsidRPr="006759DA">
        <w:rPr>
          <w:lang w:val="en-GB"/>
        </w:rPr>
        <w:t>with the Intention of Diversifying Risk</w:t>
      </w:r>
      <w:r w:rsidRPr="00B75DE3">
        <w:rPr>
          <w:rStyle w:val="EndnoteReference"/>
          <w:spacing w:val="-2"/>
          <w:lang w:val="en-GB"/>
        </w:rPr>
        <w:endnoteReference w:id="90"/>
      </w:r>
    </w:p>
    <w:p w14:paraId="41BA84C6" w14:textId="77777777" w:rsidR="00372BEC" w:rsidRPr="006759DA" w:rsidRDefault="00372BEC" w:rsidP="008E1C52">
      <w:pPr>
        <w:pStyle w:val="BodyTextMain"/>
        <w:rPr>
          <w:sz w:val="20"/>
          <w:lang w:val="en-GB"/>
        </w:rPr>
      </w:pPr>
    </w:p>
    <w:p w14:paraId="2B847174" w14:textId="38E86502" w:rsidR="00372BEC" w:rsidRPr="00B75DE3" w:rsidRDefault="00372BEC" w:rsidP="008E1C52">
      <w:pPr>
        <w:pStyle w:val="BodyTextMain"/>
        <w:rPr>
          <w:spacing w:val="-2"/>
          <w:lang w:val="en-GB"/>
        </w:rPr>
      </w:pPr>
      <w:r w:rsidRPr="00B75DE3">
        <w:rPr>
          <w:spacing w:val="-2"/>
          <w:lang w:val="en-GB"/>
        </w:rPr>
        <w:t>According to the AT Kearney 2015 Global Retail Development Index (GRDI), China was ranked as the best country for retail growth in 2014. Despite slower overall growth in 2014, the country’s retail sector continued to show rapid growth, at 11.6 per cent. Forecasts put China’s retail sector on track to grow to $8 trillion by 2022, encouraging major multinational retailers to expand into the country. Although Costco successfully entered the Chinese market in late 2014 and had opened an online store, its presence in the country was only minor. Furthermore, stiff competition from both local and international retailers suggested it would be risky to pursue aggressive expansion in China, due to a loss of significant revenue and income-earning potential.</w:t>
      </w:r>
    </w:p>
    <w:p w14:paraId="13013A99" w14:textId="551785A7" w:rsidR="00372BEC" w:rsidRPr="00B75DE3" w:rsidRDefault="00372BEC" w:rsidP="008E1C52">
      <w:pPr>
        <w:pStyle w:val="BodyTextMain"/>
        <w:rPr>
          <w:spacing w:val="-2"/>
          <w:sz w:val="20"/>
          <w:lang w:val="en-GB"/>
        </w:rPr>
      </w:pPr>
    </w:p>
    <w:p w14:paraId="3131AFB0" w14:textId="4677C236" w:rsidR="00372BEC" w:rsidRPr="00B75DE3" w:rsidRDefault="00372BEC" w:rsidP="008E1C52">
      <w:pPr>
        <w:pStyle w:val="BodyTextMain"/>
        <w:rPr>
          <w:spacing w:val="-2"/>
          <w:lang w:val="en-GB"/>
        </w:rPr>
      </w:pPr>
      <w:r w:rsidRPr="00B75DE3">
        <w:rPr>
          <w:spacing w:val="-2"/>
          <w:lang w:val="en-GB"/>
        </w:rPr>
        <w:t>Mexico was the only other country on the GRDI list where Costco had established a presence. The Mexican retail sector showed a relatively lacklustre growth rate of 2.4 per cent in 2014. Without organic growth, the existing players in the industry sought ways to grow their revenue through diversification. Although Costco had a strong presence in Mexico, with 36 stores, further expansion could be difficult due to market saturation.</w:t>
      </w:r>
    </w:p>
    <w:p w14:paraId="5A2DBDF0" w14:textId="77777777" w:rsidR="00372BEC" w:rsidRPr="006759DA" w:rsidRDefault="00372BEC" w:rsidP="008E1C52">
      <w:pPr>
        <w:pStyle w:val="BodyTextMain"/>
        <w:rPr>
          <w:sz w:val="20"/>
          <w:lang w:val="en-GB"/>
        </w:rPr>
      </w:pPr>
    </w:p>
    <w:p w14:paraId="27DC9993" w14:textId="7B626C34" w:rsidR="00372BEC" w:rsidRPr="006759DA" w:rsidRDefault="00372BEC" w:rsidP="008E1C52">
      <w:pPr>
        <w:pStyle w:val="BodyTextMain"/>
        <w:rPr>
          <w:spacing w:val="-2"/>
          <w:lang w:val="en-GB"/>
        </w:rPr>
      </w:pPr>
      <w:r w:rsidRPr="006759DA">
        <w:rPr>
          <w:spacing w:val="-2"/>
          <w:lang w:val="en-GB"/>
        </w:rPr>
        <w:t>The GRDI list included 28 other countries with significant retail sales growth potential, but Costco was unfortunately absent from these markets. These countries presented both opportunities and challenges for Costco to explore new markets and identify the most attractive options for its next market entry.</w:t>
      </w:r>
    </w:p>
    <w:p w14:paraId="700CAB56" w14:textId="77777777" w:rsidR="00372BEC" w:rsidRPr="006759DA" w:rsidRDefault="00372BEC" w:rsidP="008E1C52">
      <w:pPr>
        <w:pStyle w:val="BodyTextMain"/>
        <w:rPr>
          <w:sz w:val="20"/>
          <w:lang w:val="en-GB"/>
        </w:rPr>
      </w:pPr>
    </w:p>
    <w:p w14:paraId="026F2A8B" w14:textId="77777777" w:rsidR="00372BEC" w:rsidRPr="006759DA" w:rsidRDefault="00372BEC" w:rsidP="008E1C52">
      <w:pPr>
        <w:pStyle w:val="BodyTextMain"/>
        <w:rPr>
          <w:sz w:val="20"/>
          <w:lang w:val="en-GB"/>
        </w:rPr>
      </w:pPr>
    </w:p>
    <w:p w14:paraId="3115FB1A" w14:textId="4EEFB3F1" w:rsidR="00372BEC" w:rsidRPr="006759DA" w:rsidRDefault="00372BEC" w:rsidP="00201301">
      <w:pPr>
        <w:pStyle w:val="Casehead2"/>
        <w:keepNext/>
        <w:rPr>
          <w:lang w:val="en-GB"/>
        </w:rPr>
      </w:pPr>
      <w:r w:rsidRPr="006759DA">
        <w:rPr>
          <w:lang w:val="en-GB"/>
        </w:rPr>
        <w:t xml:space="preserve">Increasing Investments in </w:t>
      </w:r>
      <w:r>
        <w:rPr>
          <w:lang w:val="en-GB"/>
        </w:rPr>
        <w:t>Multi-channel</w:t>
      </w:r>
      <w:r w:rsidRPr="006759DA">
        <w:rPr>
          <w:lang w:val="en-GB"/>
        </w:rPr>
        <w:t xml:space="preserve"> Retailing to Attract Tech-Savvy Consumers </w:t>
      </w:r>
    </w:p>
    <w:p w14:paraId="334EEDD6" w14:textId="77777777" w:rsidR="00372BEC" w:rsidRPr="006759DA" w:rsidRDefault="00372BEC" w:rsidP="00201301">
      <w:pPr>
        <w:pStyle w:val="BodyTextMain"/>
        <w:keepNext/>
        <w:rPr>
          <w:sz w:val="20"/>
          <w:lang w:val="en-GB"/>
        </w:rPr>
      </w:pPr>
    </w:p>
    <w:p w14:paraId="3F4209E2" w14:textId="4559AA14" w:rsidR="00372BEC" w:rsidRPr="00B75DE3" w:rsidRDefault="00372BEC" w:rsidP="00201301">
      <w:pPr>
        <w:pStyle w:val="BodyTextMain"/>
        <w:keepNext/>
        <w:rPr>
          <w:spacing w:val="-2"/>
          <w:lang w:val="en-GB"/>
        </w:rPr>
      </w:pPr>
      <w:r w:rsidRPr="00B75DE3">
        <w:rPr>
          <w:spacing w:val="-2"/>
          <w:lang w:val="en-GB"/>
        </w:rPr>
        <w:t xml:space="preserve">In the </w:t>
      </w:r>
      <w:r>
        <w:rPr>
          <w:spacing w:val="-2"/>
          <w:lang w:val="en-GB"/>
        </w:rPr>
        <w:t>last two decades</w:t>
      </w:r>
      <w:r w:rsidRPr="00B75DE3">
        <w:rPr>
          <w:spacing w:val="-2"/>
          <w:lang w:val="en-GB"/>
        </w:rPr>
        <w:t>, the retail sector had witnessed several major technological innovations, one of the most significant of which was multi-channel or omni-channel retailing—providing customers with the convenience of shopping through a variety of channels: physical stores, social media, and websites.</w:t>
      </w:r>
      <w:r w:rsidRPr="00B75DE3">
        <w:rPr>
          <w:rStyle w:val="EndnoteReference"/>
          <w:spacing w:val="-2"/>
          <w:lang w:val="en-GB"/>
        </w:rPr>
        <w:endnoteReference w:id="91"/>
      </w:r>
      <w:r w:rsidRPr="00B75DE3">
        <w:rPr>
          <w:spacing w:val="-2"/>
          <w:lang w:val="en-GB"/>
        </w:rPr>
        <w:t xml:space="preserve"> Several big box retailers including Walmart had invested heavily to prepare for multi- or omni-channel retailing. Costco, on the other hand, had lagged. For example, South Korea had the highest smart phone penetration in the world: more than two-thirds of the population owned a device, and consumers increasingly used their </w:t>
      </w:r>
      <w:r w:rsidRPr="00B75DE3">
        <w:rPr>
          <w:spacing w:val="-2"/>
          <w:lang w:val="en-GB"/>
        </w:rPr>
        <w:lastRenderedPageBreak/>
        <w:t>mobile phones to purchase products online.</w:t>
      </w:r>
      <w:r w:rsidRPr="00B75DE3">
        <w:rPr>
          <w:rStyle w:val="EndnoteReference"/>
          <w:spacing w:val="-2"/>
          <w:lang w:val="en-GB"/>
        </w:rPr>
        <w:endnoteReference w:id="92"/>
      </w:r>
      <w:r w:rsidRPr="00B75DE3">
        <w:rPr>
          <w:spacing w:val="-2"/>
          <w:lang w:val="en-GB"/>
        </w:rPr>
        <w:t xml:space="preserve"> Although the company had an online presence in five countries (the United States, Canada, Mexico, the United Kingdom, and China), its online activities were separate from its warehouse operations.</w:t>
      </w:r>
    </w:p>
    <w:p w14:paraId="63820AF3" w14:textId="77777777" w:rsidR="00372BEC" w:rsidRPr="00B75DE3" w:rsidRDefault="00372BEC" w:rsidP="008E1C52">
      <w:pPr>
        <w:pStyle w:val="BodyTextMain"/>
        <w:rPr>
          <w:spacing w:val="-2"/>
          <w:sz w:val="20"/>
          <w:lang w:val="en-GB"/>
        </w:rPr>
      </w:pPr>
    </w:p>
    <w:p w14:paraId="0EEB030B" w14:textId="77777777" w:rsidR="00372BEC" w:rsidRPr="006759DA" w:rsidRDefault="00372BEC" w:rsidP="008E1C52">
      <w:pPr>
        <w:pStyle w:val="BodyTextMain"/>
        <w:rPr>
          <w:sz w:val="20"/>
          <w:lang w:val="en-GB"/>
        </w:rPr>
      </w:pPr>
    </w:p>
    <w:p w14:paraId="069B9CCD" w14:textId="24EC5E45" w:rsidR="00372BEC" w:rsidRPr="006759DA" w:rsidRDefault="00372BEC" w:rsidP="008E1C52">
      <w:pPr>
        <w:pStyle w:val="Casehead1"/>
        <w:rPr>
          <w:lang w:val="en-GB" w:eastAsia="ko-KR"/>
        </w:rPr>
      </w:pPr>
      <w:r w:rsidRPr="006759DA">
        <w:rPr>
          <w:lang w:val="en-GB" w:eastAsia="ko-KR"/>
        </w:rPr>
        <w:t>What was Next for Costco?</w:t>
      </w:r>
    </w:p>
    <w:p w14:paraId="1ADB0C30" w14:textId="77777777" w:rsidR="00372BEC" w:rsidRPr="006759DA" w:rsidRDefault="00372BEC" w:rsidP="008E1C52">
      <w:pPr>
        <w:pStyle w:val="BodyTextMain"/>
        <w:rPr>
          <w:sz w:val="20"/>
          <w:lang w:val="en-GB"/>
        </w:rPr>
      </w:pPr>
    </w:p>
    <w:p w14:paraId="7C35E7AF" w14:textId="1699A1C4" w:rsidR="00372BEC" w:rsidRPr="006759DA" w:rsidRDefault="00372BEC">
      <w:pPr>
        <w:pStyle w:val="BodyTextMain"/>
        <w:rPr>
          <w:lang w:val="en-GB" w:eastAsia="ko-KR"/>
        </w:rPr>
      </w:pPr>
      <w:r w:rsidRPr="006759DA">
        <w:rPr>
          <w:lang w:val="en-GB"/>
        </w:rPr>
        <w:t xml:space="preserve">With a global presence established in </w:t>
      </w:r>
      <w:r w:rsidRPr="006759DA">
        <w:rPr>
          <w:lang w:val="en-GB" w:eastAsia="ko-KR"/>
        </w:rPr>
        <w:t>eight</w:t>
      </w:r>
      <w:r w:rsidRPr="006759DA">
        <w:rPr>
          <w:lang w:val="en-GB"/>
        </w:rPr>
        <w:t xml:space="preserve"> distinct markets, how could Costco establish itself as a leading transnational retailer? Costco had managed to build upon successes and grow despite turbulent economic conditions. The company had successfully positioned itself as a market leader, broken stereotypes, and followed unconventional business strategies. As the global retail industry experienced intensified competition, </w:t>
      </w:r>
      <w:r w:rsidRPr="006759DA">
        <w:rPr>
          <w:lang w:val="en-GB" w:eastAsia="ko-KR"/>
        </w:rPr>
        <w:t>top global retailers faced challenges</w:t>
      </w:r>
      <w:r w:rsidRPr="006759DA">
        <w:rPr>
          <w:lang w:val="en-GB"/>
        </w:rPr>
        <w:t xml:space="preserve"> to operate and expand. Although Costco had climbed the global retailer ranking, the company faced challeng</w:t>
      </w:r>
      <w:r w:rsidRPr="006759DA">
        <w:rPr>
          <w:lang w:val="en-GB" w:eastAsia="ko-KR"/>
        </w:rPr>
        <w:t>es and uncertainties.</w:t>
      </w:r>
    </w:p>
    <w:p w14:paraId="3B06309E" w14:textId="77777777" w:rsidR="00372BEC" w:rsidRPr="006759DA" w:rsidRDefault="00372BEC" w:rsidP="008E4FEB">
      <w:pPr>
        <w:pStyle w:val="BodyTextMain"/>
        <w:rPr>
          <w:sz w:val="20"/>
          <w:lang w:val="en-GB"/>
        </w:rPr>
      </w:pPr>
    </w:p>
    <w:p w14:paraId="3E68312E" w14:textId="1C0DB03E" w:rsidR="00DA2CB7" w:rsidRPr="006759DA" w:rsidRDefault="00372BEC" w:rsidP="00F605DE">
      <w:pPr>
        <w:pStyle w:val="BodyTextMain"/>
        <w:rPr>
          <w:bCs/>
          <w:color w:val="000000"/>
          <w:lang w:val="en-GB" w:eastAsia="en-CA"/>
        </w:rPr>
      </w:pPr>
      <w:r w:rsidRPr="006759DA">
        <w:rPr>
          <w:bCs/>
          <w:color w:val="000000"/>
          <w:lang w:val="en-GB" w:eastAsia="en-CA"/>
        </w:rPr>
        <w:t xml:space="preserve">In 2017, Costco had </w:t>
      </w:r>
      <w:r w:rsidRPr="006759DA">
        <w:rPr>
          <w:rFonts w:eastAsiaTheme="minorHAnsi"/>
          <w:lang w:val="en-GB"/>
        </w:rPr>
        <w:t>selected specific modes of entry for each of its expansions. Walmart still held the top international retailer position,</w:t>
      </w:r>
      <w:r>
        <w:rPr>
          <w:rStyle w:val="EndnoteReference"/>
          <w:rFonts w:eastAsiaTheme="minorHAnsi"/>
          <w:lang w:val="en-GB"/>
        </w:rPr>
        <w:endnoteReference w:id="93"/>
      </w:r>
      <w:r w:rsidRPr="006759DA">
        <w:rPr>
          <w:rFonts w:eastAsiaTheme="minorHAnsi"/>
          <w:lang w:val="en-GB"/>
        </w:rPr>
        <w:t xml:space="preserve"> and future countries of interest included France</w:t>
      </w:r>
      <w:r>
        <w:rPr>
          <w:rStyle w:val="EndnoteReference"/>
          <w:rFonts w:eastAsiaTheme="minorHAnsi"/>
          <w:lang w:val="en-GB"/>
        </w:rPr>
        <w:endnoteReference w:id="94"/>
      </w:r>
      <w:r w:rsidRPr="006759DA">
        <w:rPr>
          <w:rFonts w:eastAsiaTheme="minorHAnsi"/>
          <w:lang w:val="en-GB"/>
        </w:rPr>
        <w:t>, Iceland</w:t>
      </w:r>
      <w:r>
        <w:rPr>
          <w:rStyle w:val="EndnoteReference"/>
          <w:rFonts w:eastAsiaTheme="minorHAnsi"/>
          <w:lang w:val="en-GB"/>
        </w:rPr>
        <w:endnoteReference w:id="95"/>
      </w:r>
      <w:r w:rsidRPr="006759DA">
        <w:rPr>
          <w:rFonts w:eastAsiaTheme="minorHAnsi"/>
          <w:lang w:val="en-GB"/>
        </w:rPr>
        <w:t>, China</w:t>
      </w:r>
      <w:r>
        <w:rPr>
          <w:rStyle w:val="EndnoteReference"/>
          <w:rFonts w:eastAsiaTheme="minorHAnsi"/>
          <w:lang w:val="en-GB"/>
        </w:rPr>
        <w:endnoteReference w:id="96"/>
      </w:r>
      <w:r w:rsidRPr="006759DA">
        <w:rPr>
          <w:rFonts w:eastAsiaTheme="minorHAnsi"/>
          <w:lang w:val="en-GB"/>
        </w:rPr>
        <w:t>, and India</w:t>
      </w:r>
      <w:r>
        <w:rPr>
          <w:rStyle w:val="EndnoteReference"/>
          <w:rFonts w:eastAsiaTheme="minorHAnsi"/>
          <w:lang w:val="en-GB"/>
        </w:rPr>
        <w:endnoteReference w:id="97"/>
      </w:r>
      <w:r w:rsidRPr="006759DA">
        <w:rPr>
          <w:rFonts w:eastAsiaTheme="minorHAnsi"/>
          <w:lang w:val="en-GB"/>
        </w:rPr>
        <w:t>.</w:t>
      </w:r>
      <w:r w:rsidR="00DC25A9" w:rsidRPr="006759DA">
        <w:rPr>
          <w:rFonts w:eastAsiaTheme="minorHAnsi"/>
          <w:lang w:val="en-GB"/>
        </w:rPr>
        <w:t xml:space="preserve"> </w:t>
      </w:r>
      <w:r w:rsidR="008E1C52" w:rsidRPr="006759DA">
        <w:rPr>
          <w:rFonts w:eastAsiaTheme="minorHAnsi"/>
          <w:lang w:val="en-GB"/>
        </w:rPr>
        <w:t>Costco c</w:t>
      </w:r>
      <w:r w:rsidR="006D704F" w:rsidRPr="006759DA">
        <w:rPr>
          <w:rFonts w:eastAsiaTheme="minorHAnsi"/>
          <w:lang w:val="en-GB"/>
        </w:rPr>
        <w:t>ould not</w:t>
      </w:r>
      <w:r w:rsidR="008E1C52" w:rsidRPr="006759DA">
        <w:rPr>
          <w:rFonts w:eastAsiaTheme="minorHAnsi"/>
          <w:lang w:val="en-GB"/>
        </w:rPr>
        <w:t xml:space="preserve"> afford to be viewed as hesitant on the international stage</w:t>
      </w:r>
      <w:r w:rsidR="00DC25A9" w:rsidRPr="006759DA">
        <w:rPr>
          <w:rFonts w:eastAsiaTheme="minorHAnsi"/>
          <w:lang w:val="en-GB"/>
        </w:rPr>
        <w:t xml:space="preserve"> and faced s</w:t>
      </w:r>
      <w:r w:rsidR="007F56AE" w:rsidRPr="006759DA">
        <w:rPr>
          <w:rFonts w:eastAsiaTheme="minorHAnsi"/>
          <w:lang w:val="en-GB"/>
        </w:rPr>
        <w:t>ome k</w:t>
      </w:r>
      <w:r w:rsidR="00AC1410" w:rsidRPr="006759DA">
        <w:rPr>
          <w:rFonts w:eastAsiaTheme="minorHAnsi"/>
          <w:lang w:val="en-GB"/>
        </w:rPr>
        <w:t>ey questions for the f</w:t>
      </w:r>
      <w:r w:rsidR="005A6646" w:rsidRPr="006759DA">
        <w:rPr>
          <w:rFonts w:eastAsiaTheme="minorHAnsi"/>
          <w:lang w:val="en-GB"/>
        </w:rPr>
        <w:t>uture</w:t>
      </w:r>
      <w:r w:rsidR="00AC1410" w:rsidRPr="006759DA">
        <w:rPr>
          <w:rFonts w:eastAsiaTheme="minorHAnsi"/>
          <w:lang w:val="en-GB"/>
        </w:rPr>
        <w:t xml:space="preserve">: </w:t>
      </w:r>
      <w:r w:rsidR="008E1C52" w:rsidRPr="006759DA">
        <w:rPr>
          <w:rFonts w:eastAsiaTheme="minorHAnsi"/>
          <w:lang w:val="en-GB"/>
        </w:rPr>
        <w:t>How c</w:t>
      </w:r>
      <w:r w:rsidR="006D704F" w:rsidRPr="006759DA">
        <w:rPr>
          <w:rFonts w:eastAsiaTheme="minorHAnsi"/>
          <w:lang w:val="en-GB"/>
        </w:rPr>
        <w:t>ould</w:t>
      </w:r>
      <w:r w:rsidR="008E1C52" w:rsidRPr="006759DA">
        <w:rPr>
          <w:rFonts w:eastAsiaTheme="minorHAnsi"/>
          <w:lang w:val="en-GB"/>
        </w:rPr>
        <w:t xml:space="preserve"> Costco </w:t>
      </w:r>
      <w:r w:rsidR="006D704F" w:rsidRPr="006759DA">
        <w:rPr>
          <w:rFonts w:eastAsiaTheme="minorHAnsi"/>
          <w:lang w:val="en-GB"/>
        </w:rPr>
        <w:t>leverage its experiences and</w:t>
      </w:r>
      <w:r w:rsidR="008E1C52" w:rsidRPr="006759DA">
        <w:rPr>
          <w:rFonts w:eastAsiaTheme="minorHAnsi"/>
          <w:lang w:val="en-GB"/>
        </w:rPr>
        <w:t xml:space="preserve"> continue its expansion successfully? What would be the best method for entry</w:t>
      </w:r>
      <w:r w:rsidR="00490637" w:rsidRPr="006759DA">
        <w:rPr>
          <w:rFonts w:eastAsiaTheme="minorHAnsi"/>
          <w:lang w:val="en-GB"/>
        </w:rPr>
        <w:t xml:space="preserve">, </w:t>
      </w:r>
      <w:r w:rsidR="008E1C52" w:rsidRPr="006759DA">
        <w:rPr>
          <w:rFonts w:eastAsiaTheme="minorHAnsi"/>
          <w:lang w:val="en-GB"/>
        </w:rPr>
        <w:t>based on existing barriers</w:t>
      </w:r>
      <w:r w:rsidR="00AC1410" w:rsidRPr="006759DA">
        <w:rPr>
          <w:rFonts w:eastAsiaTheme="minorHAnsi"/>
          <w:lang w:val="en-GB"/>
        </w:rPr>
        <w:t xml:space="preserve"> and </w:t>
      </w:r>
      <w:r w:rsidR="008E1C52" w:rsidRPr="006759DA">
        <w:rPr>
          <w:rFonts w:eastAsiaTheme="minorHAnsi"/>
          <w:lang w:val="en-GB"/>
        </w:rPr>
        <w:t>culture and operational constraints</w:t>
      </w:r>
      <w:r w:rsidR="00AC1410" w:rsidRPr="006759DA">
        <w:rPr>
          <w:rFonts w:eastAsiaTheme="minorHAnsi"/>
          <w:lang w:val="en-GB"/>
        </w:rPr>
        <w:t xml:space="preserve"> </w:t>
      </w:r>
      <w:r w:rsidR="00DC25A9" w:rsidRPr="006759DA">
        <w:rPr>
          <w:rFonts w:eastAsiaTheme="minorHAnsi"/>
          <w:lang w:val="en-GB"/>
        </w:rPr>
        <w:t xml:space="preserve">in </w:t>
      </w:r>
      <w:r w:rsidR="00AC1410" w:rsidRPr="006759DA">
        <w:rPr>
          <w:rFonts w:eastAsiaTheme="minorHAnsi"/>
          <w:lang w:val="en-GB"/>
        </w:rPr>
        <w:t>these countries</w:t>
      </w:r>
      <w:r w:rsidR="008E1C52" w:rsidRPr="006759DA">
        <w:rPr>
          <w:rFonts w:eastAsiaTheme="minorHAnsi"/>
          <w:lang w:val="en-GB"/>
        </w:rPr>
        <w:t xml:space="preserve">? </w:t>
      </w:r>
      <w:r w:rsidR="008E1C52" w:rsidRPr="006759DA">
        <w:rPr>
          <w:bCs/>
          <w:color w:val="000000"/>
          <w:lang w:val="en-GB" w:eastAsia="en-CA"/>
        </w:rPr>
        <w:t>Based upon Costco’s business model and the potential for a large consumer base, should Costco enter densely populated Asian countries, such as China and India?</w:t>
      </w:r>
    </w:p>
    <w:p w14:paraId="5A9470DC" w14:textId="50037683" w:rsidR="00DA2CB7" w:rsidRPr="006759DA" w:rsidRDefault="00DA2CB7" w:rsidP="00F605DE">
      <w:pPr>
        <w:pStyle w:val="BodyTextMain"/>
        <w:rPr>
          <w:bCs/>
          <w:color w:val="000000"/>
          <w:lang w:val="en-GB" w:eastAsia="en-CA"/>
        </w:rPr>
      </w:pPr>
    </w:p>
    <w:p w14:paraId="0BBA86B6" w14:textId="2FE65CBA" w:rsidR="00DA2CB7" w:rsidRPr="006759DA" w:rsidRDefault="00DA2CB7" w:rsidP="00F605DE">
      <w:pPr>
        <w:pStyle w:val="BodyTextMain"/>
        <w:rPr>
          <w:bCs/>
          <w:color w:val="000000"/>
          <w:lang w:val="en-GB" w:eastAsia="en-CA"/>
        </w:rPr>
      </w:pPr>
      <w:r w:rsidRPr="006759DA">
        <w:rPr>
          <w:bCs/>
          <w:noProof/>
          <w:color w:val="000000"/>
        </w:rPr>
        <mc:AlternateContent>
          <mc:Choice Requires="wps">
            <w:drawing>
              <wp:anchor distT="45720" distB="45720" distL="114300" distR="114300" simplePos="0" relativeHeight="251658240" behindDoc="0" locked="0" layoutInCell="1" allowOverlap="1" wp14:anchorId="4817E683" wp14:editId="76605576">
                <wp:simplePos x="0" y="0"/>
                <wp:positionH relativeFrom="column">
                  <wp:posOffset>890132</wp:posOffset>
                </wp:positionH>
                <wp:positionV relativeFrom="paragraph">
                  <wp:posOffset>29238</wp:posOffset>
                </wp:positionV>
                <wp:extent cx="4000500" cy="1404620"/>
                <wp:effectExtent l="0" t="0" r="1905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04620"/>
                        </a:xfrm>
                        <a:prstGeom prst="rect">
                          <a:avLst/>
                        </a:prstGeom>
                        <a:solidFill>
                          <a:srgbClr val="FFFFFF"/>
                        </a:solidFill>
                        <a:ln w="9525">
                          <a:solidFill>
                            <a:srgbClr val="000000"/>
                          </a:solidFill>
                          <a:miter lim="800000"/>
                          <a:headEnd/>
                          <a:tailEnd/>
                        </a:ln>
                      </wps:spPr>
                      <wps:txbx>
                        <w:txbxContent>
                          <w:p w14:paraId="0B3D8609" w14:textId="6B15AF5F" w:rsidR="00AA07E0" w:rsidRDefault="00AA07E0" w:rsidP="00DA2CB7">
                            <w:pPr>
                              <w:pStyle w:val="Footnote"/>
                            </w:pPr>
                            <w:r w:rsidRPr="001E2629">
                              <w:rPr>
                                <w:rFonts w:eastAsiaTheme="minorHAnsi"/>
                              </w:rPr>
                              <w:t>The authors would like to acknowledge the research assistance of Janine Scott.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17E683" id="_x0000_t202" coordsize="21600,21600" o:spt="202" path="m,l,21600r21600,l21600,xe">
                <v:stroke joinstyle="miter"/>
                <v:path gradientshapeok="t" o:connecttype="rect"/>
              </v:shapetype>
              <v:shape id="Text Box 2" o:spid="_x0000_s1026" type="#_x0000_t202" style="position:absolute;left:0;text-align:left;margin-left:70.1pt;margin-top:2.3pt;width:31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">
                <v:textbox style="mso-fit-shape-to-text:t">
                  <w:txbxContent>
                    <w:p w14:paraId="0B3D8609" w14:textId="6B15AF5F" w:rsidR="00AA07E0" w:rsidRDefault="00AA07E0" w:rsidP="00DA2CB7">
                      <w:pPr>
                        <w:pStyle w:val="Footnote"/>
                      </w:pPr>
                      <w:r w:rsidRPr="001E2629">
                        <w:rPr>
                          <w:rFonts w:eastAsiaTheme="minorHAnsi"/>
                        </w:rPr>
                        <w:t>The authors would like to acknowledge the research assistance of Janine Scott.</w:t>
                      </w:r>
                    </w:p>
                  </w:txbxContent>
                </v:textbox>
                <w10:wrap type="square"/>
              </v:shape>
            </w:pict>
          </mc:Fallback>
        </mc:AlternateContent>
      </w:r>
    </w:p>
    <w:p w14:paraId="0DCE9EFB" w14:textId="08311207" w:rsidR="00DA2CB7" w:rsidRPr="006759DA" w:rsidRDefault="00DA2CB7" w:rsidP="00F605DE">
      <w:pPr>
        <w:pStyle w:val="BodyTextMain"/>
        <w:rPr>
          <w:bCs/>
          <w:color w:val="000000"/>
          <w:lang w:val="en-GB" w:eastAsia="en-CA"/>
        </w:rPr>
      </w:pPr>
    </w:p>
    <w:p w14:paraId="4AB5B2C3" w14:textId="77777777" w:rsidR="00DA2CB7" w:rsidRPr="006759DA" w:rsidRDefault="00DA2CB7" w:rsidP="00F605DE">
      <w:pPr>
        <w:pStyle w:val="BodyTextMain"/>
        <w:rPr>
          <w:bCs/>
          <w:color w:val="000000"/>
          <w:lang w:val="en-GB" w:eastAsia="en-CA"/>
        </w:rPr>
      </w:pPr>
    </w:p>
    <w:p w14:paraId="19BF92B8" w14:textId="3E338C26" w:rsidR="008E1C52" w:rsidRPr="006759DA" w:rsidRDefault="008E1C52" w:rsidP="00F605DE">
      <w:pPr>
        <w:pStyle w:val="BodyTextMain"/>
        <w:rPr>
          <w:lang w:val="en-GB"/>
        </w:rPr>
      </w:pPr>
      <w:r w:rsidRPr="006759DA">
        <w:rPr>
          <w:lang w:val="en-GB"/>
        </w:rPr>
        <w:br w:type="page"/>
      </w:r>
    </w:p>
    <w:p w14:paraId="656C556A" w14:textId="77777777" w:rsidR="00465348" w:rsidRPr="006759DA" w:rsidRDefault="008E1C52" w:rsidP="00AC3238">
      <w:pPr>
        <w:pStyle w:val="ExhibitHeading"/>
        <w:rPr>
          <w:lang w:val="en-GB"/>
        </w:rPr>
      </w:pPr>
      <w:r w:rsidRPr="006759DA">
        <w:rPr>
          <w:lang w:val="en-GB"/>
        </w:rPr>
        <w:lastRenderedPageBreak/>
        <w:t>Exhibit 1</w:t>
      </w:r>
      <w:r w:rsidR="000111FE" w:rsidRPr="006759DA">
        <w:rPr>
          <w:lang w:val="en-GB"/>
        </w:rPr>
        <w:t>:</w:t>
      </w:r>
      <w:r w:rsidRPr="006759DA">
        <w:rPr>
          <w:lang w:val="en-GB"/>
        </w:rPr>
        <w:t xml:space="preserve"> Top 10 Global Retailers Worldwide, 2013</w:t>
      </w:r>
    </w:p>
    <w:p w14:paraId="0815A2AC" w14:textId="77777777" w:rsidR="008E1C52" w:rsidRPr="006759DA" w:rsidRDefault="008E1C52" w:rsidP="00AC3238">
      <w:pPr>
        <w:pStyle w:val="ExhibitHeading"/>
        <w:rPr>
          <w:lang w:val="en-GB"/>
        </w:rPr>
      </w:pPr>
    </w:p>
    <w:tbl>
      <w:tblPr>
        <w:tblStyle w:val="TableGrid"/>
        <w:tblW w:w="0" w:type="auto"/>
        <w:tblLook w:val="04A0" w:firstRow="1" w:lastRow="0" w:firstColumn="1" w:lastColumn="0" w:noHBand="0" w:noVBand="1"/>
      </w:tblPr>
      <w:tblGrid>
        <w:gridCol w:w="658"/>
        <w:gridCol w:w="2334"/>
        <w:gridCol w:w="1288"/>
        <w:gridCol w:w="1265"/>
        <w:gridCol w:w="1118"/>
        <w:gridCol w:w="1380"/>
        <w:gridCol w:w="1307"/>
      </w:tblGrid>
      <w:tr w:rsidR="008E1C52" w:rsidRPr="006759DA" w14:paraId="6B60F6EE" w14:textId="77777777" w:rsidTr="000111FE">
        <w:trPr>
          <w:trHeight w:val="74"/>
        </w:trPr>
        <w:tc>
          <w:tcPr>
            <w:tcW w:w="0" w:type="auto"/>
            <w:vAlign w:val="center"/>
          </w:tcPr>
          <w:p w14:paraId="410E47D2" w14:textId="6CC1B25F" w:rsidR="008E1C52" w:rsidRPr="006759DA" w:rsidRDefault="008E1C52">
            <w:pPr>
              <w:pStyle w:val="ExhibitText"/>
              <w:jc w:val="center"/>
              <w:rPr>
                <w:b/>
                <w:sz w:val="18"/>
                <w:szCs w:val="18"/>
                <w:lang w:val="en-GB"/>
              </w:rPr>
            </w:pPr>
            <w:r w:rsidRPr="006759DA">
              <w:rPr>
                <w:b/>
                <w:sz w:val="18"/>
                <w:szCs w:val="18"/>
                <w:lang w:val="en-GB"/>
              </w:rPr>
              <w:t xml:space="preserve">Top 250 </w:t>
            </w:r>
            <w:r w:rsidR="00B214A5" w:rsidRPr="006759DA">
              <w:rPr>
                <w:b/>
                <w:sz w:val="18"/>
                <w:szCs w:val="18"/>
                <w:lang w:val="en-GB"/>
              </w:rPr>
              <w:t>Rank</w:t>
            </w:r>
          </w:p>
        </w:tc>
        <w:tc>
          <w:tcPr>
            <w:tcW w:w="2358" w:type="dxa"/>
            <w:vAlign w:val="center"/>
          </w:tcPr>
          <w:p w14:paraId="5BE62AFD" w14:textId="77777777" w:rsidR="008E1C52" w:rsidRPr="006759DA" w:rsidRDefault="008E1C52" w:rsidP="000111FE">
            <w:pPr>
              <w:pStyle w:val="ExhibitText"/>
              <w:jc w:val="center"/>
              <w:rPr>
                <w:b/>
                <w:sz w:val="18"/>
                <w:szCs w:val="18"/>
                <w:lang w:val="en-GB"/>
              </w:rPr>
            </w:pPr>
            <w:r w:rsidRPr="006759DA">
              <w:rPr>
                <w:b/>
                <w:sz w:val="18"/>
                <w:szCs w:val="18"/>
                <w:lang w:val="en-GB"/>
              </w:rPr>
              <w:t>Name of Company</w:t>
            </w:r>
          </w:p>
        </w:tc>
        <w:tc>
          <w:tcPr>
            <w:tcW w:w="1297" w:type="dxa"/>
            <w:vAlign w:val="center"/>
          </w:tcPr>
          <w:p w14:paraId="280C14BD" w14:textId="77777777" w:rsidR="008E1C52" w:rsidRPr="006759DA" w:rsidRDefault="008E1C52" w:rsidP="000111FE">
            <w:pPr>
              <w:pStyle w:val="ExhibitText"/>
              <w:jc w:val="center"/>
              <w:rPr>
                <w:b/>
                <w:sz w:val="18"/>
                <w:szCs w:val="18"/>
                <w:lang w:val="en-GB"/>
              </w:rPr>
            </w:pPr>
            <w:r w:rsidRPr="006759DA">
              <w:rPr>
                <w:b/>
                <w:sz w:val="18"/>
                <w:szCs w:val="18"/>
                <w:lang w:val="en-GB"/>
              </w:rPr>
              <w:t>Country of Origin</w:t>
            </w:r>
          </w:p>
        </w:tc>
        <w:tc>
          <w:tcPr>
            <w:tcW w:w="1269" w:type="dxa"/>
            <w:vAlign w:val="center"/>
          </w:tcPr>
          <w:p w14:paraId="72844E8E" w14:textId="27A1150B" w:rsidR="008E1C52" w:rsidRPr="006759DA" w:rsidRDefault="008E1C52">
            <w:pPr>
              <w:pStyle w:val="ExhibitText"/>
              <w:jc w:val="center"/>
              <w:rPr>
                <w:b/>
                <w:sz w:val="18"/>
                <w:szCs w:val="18"/>
                <w:lang w:val="en-GB"/>
              </w:rPr>
            </w:pPr>
            <w:r w:rsidRPr="006759DA">
              <w:rPr>
                <w:b/>
                <w:sz w:val="18"/>
                <w:szCs w:val="18"/>
                <w:lang w:val="en-GB"/>
              </w:rPr>
              <w:t xml:space="preserve">Retail </w:t>
            </w:r>
            <w:r w:rsidR="00B214A5" w:rsidRPr="006759DA">
              <w:rPr>
                <w:b/>
                <w:sz w:val="18"/>
                <w:szCs w:val="18"/>
                <w:lang w:val="en-GB"/>
              </w:rPr>
              <w:t xml:space="preserve">Revenue </w:t>
            </w:r>
            <w:r w:rsidRPr="006759DA">
              <w:rPr>
                <w:b/>
                <w:sz w:val="18"/>
                <w:szCs w:val="18"/>
                <w:lang w:val="en-GB"/>
              </w:rPr>
              <w:t>(</w:t>
            </w:r>
            <w:r w:rsidR="004C6DB9">
              <w:rPr>
                <w:b/>
                <w:sz w:val="18"/>
                <w:szCs w:val="18"/>
                <w:lang w:val="en-GB"/>
              </w:rPr>
              <w:t>USD million</w:t>
            </w:r>
            <w:r w:rsidRPr="006759DA">
              <w:rPr>
                <w:b/>
                <w:sz w:val="18"/>
                <w:szCs w:val="18"/>
                <w:lang w:val="en-GB"/>
              </w:rPr>
              <w:t>)</w:t>
            </w:r>
          </w:p>
        </w:tc>
        <w:tc>
          <w:tcPr>
            <w:tcW w:w="1122" w:type="dxa"/>
            <w:vAlign w:val="center"/>
          </w:tcPr>
          <w:p w14:paraId="58C68AC1" w14:textId="618AF9D6" w:rsidR="008E1C52" w:rsidRPr="006759DA" w:rsidRDefault="008E1C52" w:rsidP="000111FE">
            <w:pPr>
              <w:pStyle w:val="ExhibitText"/>
              <w:jc w:val="center"/>
              <w:rPr>
                <w:b/>
                <w:sz w:val="18"/>
                <w:szCs w:val="18"/>
                <w:lang w:val="en-GB"/>
              </w:rPr>
            </w:pPr>
            <w:r w:rsidRPr="006759DA">
              <w:rPr>
                <w:b/>
                <w:sz w:val="18"/>
                <w:szCs w:val="18"/>
                <w:lang w:val="en-GB"/>
              </w:rPr>
              <w:t xml:space="preserve">Retail </w:t>
            </w:r>
            <w:r w:rsidR="00B214A5" w:rsidRPr="006759DA">
              <w:rPr>
                <w:b/>
                <w:sz w:val="18"/>
                <w:szCs w:val="18"/>
                <w:lang w:val="en-GB"/>
              </w:rPr>
              <w:t>Revenue Growth</w:t>
            </w:r>
            <w:r w:rsidR="004C6DB9">
              <w:rPr>
                <w:b/>
                <w:sz w:val="18"/>
                <w:szCs w:val="18"/>
                <w:lang w:val="en-GB"/>
              </w:rPr>
              <w:t xml:space="preserve"> (%)</w:t>
            </w:r>
          </w:p>
        </w:tc>
        <w:tc>
          <w:tcPr>
            <w:tcW w:w="1386" w:type="dxa"/>
            <w:vAlign w:val="center"/>
          </w:tcPr>
          <w:p w14:paraId="53C600FA" w14:textId="183709AF" w:rsidR="008E1C52" w:rsidRPr="006759DA" w:rsidRDefault="004C6DB9" w:rsidP="000111FE">
            <w:pPr>
              <w:pStyle w:val="ExhibitText"/>
              <w:jc w:val="center"/>
              <w:rPr>
                <w:b/>
                <w:sz w:val="18"/>
                <w:szCs w:val="18"/>
                <w:lang w:val="en-GB"/>
              </w:rPr>
            </w:pPr>
            <w:r>
              <w:rPr>
                <w:b/>
                <w:sz w:val="18"/>
                <w:szCs w:val="18"/>
                <w:lang w:val="en-GB"/>
              </w:rPr>
              <w:t>No. of</w:t>
            </w:r>
            <w:r w:rsidR="008E1C52" w:rsidRPr="006759DA">
              <w:rPr>
                <w:b/>
                <w:sz w:val="18"/>
                <w:szCs w:val="18"/>
                <w:lang w:val="en-GB"/>
              </w:rPr>
              <w:t xml:space="preserve"> </w:t>
            </w:r>
            <w:r w:rsidR="00B214A5" w:rsidRPr="006759DA">
              <w:rPr>
                <w:b/>
                <w:sz w:val="18"/>
                <w:szCs w:val="18"/>
                <w:lang w:val="en-GB"/>
              </w:rPr>
              <w:t xml:space="preserve">Countries </w:t>
            </w:r>
            <w:r>
              <w:rPr>
                <w:b/>
                <w:sz w:val="18"/>
                <w:szCs w:val="18"/>
                <w:lang w:val="en-GB"/>
              </w:rPr>
              <w:t>with</w:t>
            </w:r>
            <w:r w:rsidR="00B214A5" w:rsidRPr="006759DA">
              <w:rPr>
                <w:b/>
                <w:sz w:val="18"/>
                <w:szCs w:val="18"/>
                <w:lang w:val="en-GB"/>
              </w:rPr>
              <w:t xml:space="preserve"> Operations</w:t>
            </w:r>
          </w:p>
        </w:tc>
        <w:tc>
          <w:tcPr>
            <w:tcW w:w="1311" w:type="dxa"/>
            <w:vAlign w:val="center"/>
          </w:tcPr>
          <w:p w14:paraId="6E20621D" w14:textId="127B3427" w:rsidR="008E1C52" w:rsidRPr="006759DA" w:rsidRDefault="00B214A5" w:rsidP="000111FE">
            <w:pPr>
              <w:pStyle w:val="ExhibitText"/>
              <w:jc w:val="center"/>
              <w:rPr>
                <w:b/>
                <w:sz w:val="18"/>
                <w:szCs w:val="18"/>
                <w:lang w:val="en-GB"/>
              </w:rPr>
            </w:pPr>
            <w:r w:rsidRPr="006759DA">
              <w:rPr>
                <w:b/>
                <w:sz w:val="18"/>
                <w:szCs w:val="18"/>
                <w:lang w:val="en-GB"/>
              </w:rPr>
              <w:t xml:space="preserve">Retail Revenue </w:t>
            </w:r>
            <w:r w:rsidR="008E1C52" w:rsidRPr="006759DA">
              <w:rPr>
                <w:b/>
                <w:sz w:val="18"/>
                <w:szCs w:val="18"/>
                <w:lang w:val="en-GB"/>
              </w:rPr>
              <w:t xml:space="preserve">from </w:t>
            </w:r>
            <w:r w:rsidRPr="006759DA">
              <w:rPr>
                <w:b/>
                <w:sz w:val="18"/>
                <w:szCs w:val="18"/>
                <w:lang w:val="en-GB"/>
              </w:rPr>
              <w:t>Foreign Operations</w:t>
            </w:r>
            <w:r w:rsidR="004C6DB9">
              <w:rPr>
                <w:b/>
                <w:sz w:val="18"/>
                <w:szCs w:val="18"/>
                <w:lang w:val="en-GB"/>
              </w:rPr>
              <w:t xml:space="preserve"> (%)</w:t>
            </w:r>
          </w:p>
        </w:tc>
      </w:tr>
      <w:tr w:rsidR="008E1C52" w:rsidRPr="006759DA" w14:paraId="16E0DD54" w14:textId="77777777" w:rsidTr="008E1C52">
        <w:trPr>
          <w:trHeight w:val="205"/>
        </w:trPr>
        <w:tc>
          <w:tcPr>
            <w:tcW w:w="0" w:type="auto"/>
          </w:tcPr>
          <w:p w14:paraId="01EE072B" w14:textId="77777777" w:rsidR="008E1C52" w:rsidRPr="006759DA" w:rsidRDefault="008E1C52" w:rsidP="008E1C52">
            <w:pPr>
              <w:pStyle w:val="ExhibitText"/>
              <w:rPr>
                <w:sz w:val="18"/>
                <w:szCs w:val="18"/>
                <w:lang w:val="en-GB"/>
              </w:rPr>
            </w:pPr>
            <w:r w:rsidRPr="006759DA">
              <w:rPr>
                <w:sz w:val="18"/>
                <w:szCs w:val="18"/>
                <w:lang w:val="en-GB"/>
              </w:rPr>
              <w:t>1</w:t>
            </w:r>
          </w:p>
        </w:tc>
        <w:tc>
          <w:tcPr>
            <w:tcW w:w="2358" w:type="dxa"/>
          </w:tcPr>
          <w:p w14:paraId="2395B618" w14:textId="1B8C6AC7" w:rsidR="008E1C52" w:rsidRPr="006759DA" w:rsidRDefault="008E1C52">
            <w:pPr>
              <w:pStyle w:val="ExhibitText"/>
              <w:rPr>
                <w:sz w:val="18"/>
                <w:szCs w:val="18"/>
                <w:lang w:val="en-GB"/>
              </w:rPr>
            </w:pPr>
            <w:r w:rsidRPr="006759DA">
              <w:rPr>
                <w:sz w:val="18"/>
                <w:szCs w:val="18"/>
                <w:lang w:val="en-GB"/>
              </w:rPr>
              <w:t>Wal</w:t>
            </w:r>
            <w:r w:rsidR="00B214A5" w:rsidRPr="006759DA">
              <w:rPr>
                <w:sz w:val="18"/>
                <w:szCs w:val="18"/>
                <w:lang w:val="en-GB"/>
              </w:rPr>
              <w:t>m</w:t>
            </w:r>
            <w:r w:rsidRPr="006759DA">
              <w:rPr>
                <w:sz w:val="18"/>
                <w:szCs w:val="18"/>
                <w:lang w:val="en-GB"/>
              </w:rPr>
              <w:t>a</w:t>
            </w:r>
            <w:r w:rsidR="00B214A5" w:rsidRPr="006759DA">
              <w:rPr>
                <w:sz w:val="18"/>
                <w:szCs w:val="18"/>
                <w:lang w:val="en-GB"/>
              </w:rPr>
              <w:t>r</w:t>
            </w:r>
            <w:r w:rsidRPr="006759DA">
              <w:rPr>
                <w:sz w:val="18"/>
                <w:szCs w:val="18"/>
                <w:lang w:val="en-GB"/>
              </w:rPr>
              <w:t xml:space="preserve">t </w:t>
            </w:r>
            <w:r w:rsidR="00CD37ED">
              <w:rPr>
                <w:sz w:val="18"/>
                <w:szCs w:val="18"/>
                <w:lang w:val="en-GB"/>
              </w:rPr>
              <w:t>Inc.</w:t>
            </w:r>
          </w:p>
        </w:tc>
        <w:tc>
          <w:tcPr>
            <w:tcW w:w="1297" w:type="dxa"/>
          </w:tcPr>
          <w:p w14:paraId="41777669" w14:textId="77777777" w:rsidR="008E1C52" w:rsidRPr="006759DA" w:rsidRDefault="008E1C52" w:rsidP="006A0A5E">
            <w:pPr>
              <w:pStyle w:val="ExhibitText"/>
              <w:jc w:val="center"/>
              <w:rPr>
                <w:sz w:val="18"/>
                <w:szCs w:val="18"/>
                <w:lang w:val="en-GB"/>
              </w:rPr>
            </w:pPr>
            <w:r w:rsidRPr="006759DA">
              <w:rPr>
                <w:sz w:val="18"/>
                <w:szCs w:val="18"/>
                <w:lang w:val="en-GB"/>
              </w:rPr>
              <w:t>USA</w:t>
            </w:r>
          </w:p>
        </w:tc>
        <w:tc>
          <w:tcPr>
            <w:tcW w:w="1269" w:type="dxa"/>
          </w:tcPr>
          <w:p w14:paraId="1F0673C3" w14:textId="77777777" w:rsidR="008E1C52" w:rsidRPr="006759DA" w:rsidRDefault="008E1C52" w:rsidP="006A0A5E">
            <w:pPr>
              <w:pStyle w:val="ExhibitText"/>
              <w:jc w:val="right"/>
              <w:rPr>
                <w:sz w:val="18"/>
                <w:szCs w:val="18"/>
                <w:lang w:val="en-GB"/>
              </w:rPr>
            </w:pPr>
            <w:r w:rsidRPr="006759DA">
              <w:rPr>
                <w:sz w:val="18"/>
                <w:szCs w:val="18"/>
                <w:lang w:val="en-GB"/>
              </w:rPr>
              <w:t>476,294</w:t>
            </w:r>
          </w:p>
        </w:tc>
        <w:tc>
          <w:tcPr>
            <w:tcW w:w="1122" w:type="dxa"/>
          </w:tcPr>
          <w:p w14:paraId="5593BC9B" w14:textId="74E90704" w:rsidR="008E1C52" w:rsidRPr="006759DA" w:rsidRDefault="008E1C52" w:rsidP="006A0A5E">
            <w:pPr>
              <w:pStyle w:val="ExhibitText"/>
              <w:jc w:val="right"/>
              <w:rPr>
                <w:sz w:val="18"/>
                <w:szCs w:val="18"/>
                <w:lang w:val="en-GB"/>
              </w:rPr>
            </w:pPr>
            <w:r w:rsidRPr="006759DA">
              <w:rPr>
                <w:sz w:val="18"/>
                <w:szCs w:val="18"/>
                <w:lang w:val="en-GB"/>
              </w:rPr>
              <w:t>1.5</w:t>
            </w:r>
          </w:p>
        </w:tc>
        <w:tc>
          <w:tcPr>
            <w:tcW w:w="1386" w:type="dxa"/>
          </w:tcPr>
          <w:p w14:paraId="1FB76C10" w14:textId="77777777" w:rsidR="008E1C52" w:rsidRPr="006759DA" w:rsidRDefault="008E1C52" w:rsidP="006A0A5E">
            <w:pPr>
              <w:pStyle w:val="ExhibitText"/>
              <w:jc w:val="right"/>
              <w:rPr>
                <w:sz w:val="18"/>
                <w:szCs w:val="18"/>
                <w:lang w:val="en-GB"/>
              </w:rPr>
            </w:pPr>
            <w:r w:rsidRPr="006759DA">
              <w:rPr>
                <w:sz w:val="18"/>
                <w:szCs w:val="18"/>
                <w:lang w:val="en-GB"/>
              </w:rPr>
              <w:t>28</w:t>
            </w:r>
          </w:p>
        </w:tc>
        <w:tc>
          <w:tcPr>
            <w:tcW w:w="1311" w:type="dxa"/>
          </w:tcPr>
          <w:p w14:paraId="5AB96EEA" w14:textId="2ABF2388" w:rsidR="008E1C52" w:rsidRPr="006759DA" w:rsidRDefault="008E1C52" w:rsidP="006A0A5E">
            <w:pPr>
              <w:pStyle w:val="ExhibitText"/>
              <w:jc w:val="right"/>
              <w:rPr>
                <w:sz w:val="18"/>
                <w:szCs w:val="18"/>
                <w:lang w:val="en-GB"/>
              </w:rPr>
            </w:pPr>
            <w:r w:rsidRPr="006759DA">
              <w:rPr>
                <w:sz w:val="18"/>
                <w:szCs w:val="18"/>
                <w:lang w:val="en-GB"/>
              </w:rPr>
              <w:t>28.9</w:t>
            </w:r>
          </w:p>
        </w:tc>
      </w:tr>
      <w:tr w:rsidR="008E1C52" w:rsidRPr="006759DA" w14:paraId="76D87E49" w14:textId="77777777" w:rsidTr="008E1C52">
        <w:trPr>
          <w:trHeight w:val="64"/>
        </w:trPr>
        <w:tc>
          <w:tcPr>
            <w:tcW w:w="0" w:type="auto"/>
          </w:tcPr>
          <w:p w14:paraId="4B979C95" w14:textId="77777777" w:rsidR="008E1C52" w:rsidRPr="006759DA" w:rsidRDefault="008E1C52" w:rsidP="008E1C52">
            <w:pPr>
              <w:pStyle w:val="ExhibitText"/>
              <w:rPr>
                <w:sz w:val="18"/>
                <w:szCs w:val="18"/>
                <w:lang w:val="en-GB"/>
              </w:rPr>
            </w:pPr>
            <w:r w:rsidRPr="006759DA">
              <w:rPr>
                <w:sz w:val="18"/>
                <w:szCs w:val="18"/>
                <w:lang w:val="en-GB"/>
              </w:rPr>
              <w:t>2</w:t>
            </w:r>
          </w:p>
        </w:tc>
        <w:tc>
          <w:tcPr>
            <w:tcW w:w="2358" w:type="dxa"/>
          </w:tcPr>
          <w:p w14:paraId="125EDB65" w14:textId="1EDFA32A" w:rsidR="008E1C52" w:rsidRPr="006759DA" w:rsidRDefault="008E1C52" w:rsidP="008E1C52">
            <w:pPr>
              <w:pStyle w:val="ExhibitText"/>
              <w:rPr>
                <w:sz w:val="18"/>
                <w:szCs w:val="18"/>
                <w:lang w:val="en-GB"/>
              </w:rPr>
            </w:pPr>
            <w:r w:rsidRPr="006759DA">
              <w:rPr>
                <w:sz w:val="18"/>
                <w:szCs w:val="18"/>
                <w:lang w:val="en-GB"/>
              </w:rPr>
              <w:t>Costco Wholesale Corp</w:t>
            </w:r>
            <w:r w:rsidR="006557F8" w:rsidRPr="006759DA">
              <w:rPr>
                <w:sz w:val="18"/>
                <w:szCs w:val="18"/>
                <w:lang w:val="en-GB"/>
              </w:rPr>
              <w:t>oration</w:t>
            </w:r>
          </w:p>
        </w:tc>
        <w:tc>
          <w:tcPr>
            <w:tcW w:w="1297" w:type="dxa"/>
          </w:tcPr>
          <w:p w14:paraId="5C136E4F" w14:textId="77777777" w:rsidR="008E1C52" w:rsidRPr="006759DA" w:rsidRDefault="008E1C52" w:rsidP="006A0A5E">
            <w:pPr>
              <w:pStyle w:val="ExhibitText"/>
              <w:jc w:val="center"/>
              <w:rPr>
                <w:sz w:val="18"/>
                <w:szCs w:val="18"/>
                <w:lang w:val="en-GB"/>
              </w:rPr>
            </w:pPr>
            <w:r w:rsidRPr="006759DA">
              <w:rPr>
                <w:sz w:val="18"/>
                <w:szCs w:val="18"/>
                <w:lang w:val="en-GB"/>
              </w:rPr>
              <w:t>USA</w:t>
            </w:r>
          </w:p>
        </w:tc>
        <w:tc>
          <w:tcPr>
            <w:tcW w:w="1269" w:type="dxa"/>
          </w:tcPr>
          <w:p w14:paraId="707BA483" w14:textId="77777777" w:rsidR="008E1C52" w:rsidRPr="006759DA" w:rsidRDefault="008E1C52" w:rsidP="006A0A5E">
            <w:pPr>
              <w:pStyle w:val="ExhibitText"/>
              <w:jc w:val="right"/>
              <w:rPr>
                <w:sz w:val="18"/>
                <w:szCs w:val="18"/>
                <w:lang w:val="en-GB"/>
              </w:rPr>
            </w:pPr>
            <w:r w:rsidRPr="006759DA">
              <w:rPr>
                <w:sz w:val="18"/>
                <w:szCs w:val="18"/>
                <w:lang w:val="en-GB"/>
              </w:rPr>
              <w:t>105,156</w:t>
            </w:r>
          </w:p>
        </w:tc>
        <w:tc>
          <w:tcPr>
            <w:tcW w:w="1122" w:type="dxa"/>
          </w:tcPr>
          <w:p w14:paraId="5263314C" w14:textId="01C2F4A6" w:rsidR="008E1C52" w:rsidRPr="006759DA" w:rsidRDefault="008E1C52" w:rsidP="006A0A5E">
            <w:pPr>
              <w:pStyle w:val="ExhibitText"/>
              <w:jc w:val="right"/>
              <w:rPr>
                <w:sz w:val="18"/>
                <w:szCs w:val="18"/>
                <w:lang w:val="en-GB"/>
              </w:rPr>
            </w:pPr>
            <w:r w:rsidRPr="006759DA">
              <w:rPr>
                <w:sz w:val="18"/>
                <w:szCs w:val="18"/>
                <w:lang w:val="en-GB"/>
              </w:rPr>
              <w:t>6.1</w:t>
            </w:r>
          </w:p>
        </w:tc>
        <w:tc>
          <w:tcPr>
            <w:tcW w:w="1386" w:type="dxa"/>
          </w:tcPr>
          <w:p w14:paraId="42670641" w14:textId="77777777" w:rsidR="008E1C52" w:rsidRPr="006759DA" w:rsidRDefault="008E1C52" w:rsidP="006A0A5E">
            <w:pPr>
              <w:pStyle w:val="ExhibitText"/>
              <w:jc w:val="right"/>
              <w:rPr>
                <w:sz w:val="18"/>
                <w:szCs w:val="18"/>
                <w:lang w:val="en-GB"/>
              </w:rPr>
            </w:pPr>
            <w:r w:rsidRPr="006759DA">
              <w:rPr>
                <w:sz w:val="18"/>
                <w:szCs w:val="18"/>
                <w:lang w:val="en-GB"/>
              </w:rPr>
              <w:t>9</w:t>
            </w:r>
          </w:p>
        </w:tc>
        <w:tc>
          <w:tcPr>
            <w:tcW w:w="1311" w:type="dxa"/>
          </w:tcPr>
          <w:p w14:paraId="0567B6B2" w14:textId="2F30286C" w:rsidR="008E1C52" w:rsidRPr="006759DA" w:rsidRDefault="008E1C52" w:rsidP="006A0A5E">
            <w:pPr>
              <w:pStyle w:val="ExhibitText"/>
              <w:jc w:val="right"/>
              <w:rPr>
                <w:sz w:val="18"/>
                <w:szCs w:val="18"/>
                <w:lang w:val="en-GB"/>
              </w:rPr>
            </w:pPr>
            <w:r w:rsidRPr="006759DA">
              <w:rPr>
                <w:sz w:val="18"/>
                <w:szCs w:val="18"/>
                <w:lang w:val="en-GB"/>
              </w:rPr>
              <w:t>28.2</w:t>
            </w:r>
          </w:p>
        </w:tc>
      </w:tr>
      <w:tr w:rsidR="008E1C52" w:rsidRPr="006759DA" w14:paraId="412A94DD" w14:textId="77777777" w:rsidTr="008E1C52">
        <w:trPr>
          <w:trHeight w:val="246"/>
        </w:trPr>
        <w:tc>
          <w:tcPr>
            <w:tcW w:w="0" w:type="auto"/>
          </w:tcPr>
          <w:p w14:paraId="6A71BC7D" w14:textId="77777777" w:rsidR="008E1C52" w:rsidRPr="006759DA" w:rsidRDefault="008E1C52" w:rsidP="008E1C52">
            <w:pPr>
              <w:pStyle w:val="ExhibitText"/>
              <w:rPr>
                <w:sz w:val="18"/>
                <w:szCs w:val="18"/>
                <w:lang w:val="en-GB"/>
              </w:rPr>
            </w:pPr>
            <w:r w:rsidRPr="006759DA">
              <w:rPr>
                <w:sz w:val="18"/>
                <w:szCs w:val="18"/>
                <w:lang w:val="en-GB"/>
              </w:rPr>
              <w:t>3</w:t>
            </w:r>
          </w:p>
        </w:tc>
        <w:tc>
          <w:tcPr>
            <w:tcW w:w="2358" w:type="dxa"/>
          </w:tcPr>
          <w:p w14:paraId="2858FEEC" w14:textId="34E065A8" w:rsidR="008E1C52" w:rsidRPr="006759DA" w:rsidRDefault="008E1C52">
            <w:pPr>
              <w:pStyle w:val="ExhibitText"/>
              <w:rPr>
                <w:sz w:val="18"/>
                <w:szCs w:val="18"/>
                <w:lang w:val="en-GB"/>
              </w:rPr>
            </w:pPr>
            <w:r w:rsidRPr="006759DA">
              <w:rPr>
                <w:sz w:val="18"/>
                <w:szCs w:val="18"/>
                <w:lang w:val="en-GB"/>
              </w:rPr>
              <w:t>Carrefour SA</w:t>
            </w:r>
          </w:p>
        </w:tc>
        <w:tc>
          <w:tcPr>
            <w:tcW w:w="1297" w:type="dxa"/>
          </w:tcPr>
          <w:p w14:paraId="793872B5" w14:textId="77777777" w:rsidR="008E1C52" w:rsidRPr="006759DA" w:rsidRDefault="008E1C52" w:rsidP="006A0A5E">
            <w:pPr>
              <w:pStyle w:val="ExhibitText"/>
              <w:jc w:val="center"/>
              <w:rPr>
                <w:sz w:val="18"/>
                <w:szCs w:val="18"/>
                <w:lang w:val="en-GB"/>
              </w:rPr>
            </w:pPr>
            <w:r w:rsidRPr="006759DA">
              <w:rPr>
                <w:sz w:val="18"/>
                <w:szCs w:val="18"/>
                <w:lang w:val="en-GB"/>
              </w:rPr>
              <w:t>France</w:t>
            </w:r>
          </w:p>
        </w:tc>
        <w:tc>
          <w:tcPr>
            <w:tcW w:w="1269" w:type="dxa"/>
          </w:tcPr>
          <w:p w14:paraId="059574D5" w14:textId="77777777" w:rsidR="008E1C52" w:rsidRPr="006759DA" w:rsidRDefault="008E1C52" w:rsidP="006A0A5E">
            <w:pPr>
              <w:pStyle w:val="ExhibitText"/>
              <w:jc w:val="right"/>
              <w:rPr>
                <w:sz w:val="18"/>
                <w:szCs w:val="18"/>
                <w:lang w:val="en-GB"/>
              </w:rPr>
            </w:pPr>
            <w:r w:rsidRPr="006759DA">
              <w:rPr>
                <w:sz w:val="18"/>
                <w:szCs w:val="18"/>
                <w:lang w:val="en-GB"/>
              </w:rPr>
              <w:t>98,688</w:t>
            </w:r>
          </w:p>
        </w:tc>
        <w:tc>
          <w:tcPr>
            <w:tcW w:w="1122" w:type="dxa"/>
          </w:tcPr>
          <w:p w14:paraId="51AFB238" w14:textId="658B7FD7" w:rsidR="008E1C52" w:rsidRPr="006759DA" w:rsidRDefault="00B214A5" w:rsidP="006A0A5E">
            <w:pPr>
              <w:pStyle w:val="ExhibitText"/>
              <w:jc w:val="right"/>
              <w:rPr>
                <w:sz w:val="18"/>
                <w:szCs w:val="18"/>
                <w:lang w:val="en-GB"/>
              </w:rPr>
            </w:pPr>
            <w:r w:rsidRPr="006759DA">
              <w:rPr>
                <w:sz w:val="18"/>
                <w:szCs w:val="18"/>
                <w:lang w:val="en-GB"/>
              </w:rPr>
              <w:t>−</w:t>
            </w:r>
            <w:r w:rsidR="008E1C52" w:rsidRPr="006759DA">
              <w:rPr>
                <w:sz w:val="18"/>
                <w:szCs w:val="18"/>
                <w:lang w:val="en-GB"/>
              </w:rPr>
              <w:t>2.4</w:t>
            </w:r>
          </w:p>
        </w:tc>
        <w:tc>
          <w:tcPr>
            <w:tcW w:w="1386" w:type="dxa"/>
          </w:tcPr>
          <w:p w14:paraId="5C54F9F0" w14:textId="77777777" w:rsidR="008E1C52" w:rsidRPr="006759DA" w:rsidRDefault="008E1C52" w:rsidP="006A0A5E">
            <w:pPr>
              <w:pStyle w:val="ExhibitText"/>
              <w:jc w:val="right"/>
              <w:rPr>
                <w:sz w:val="18"/>
                <w:szCs w:val="18"/>
                <w:lang w:val="en-GB"/>
              </w:rPr>
            </w:pPr>
            <w:r w:rsidRPr="006759DA">
              <w:rPr>
                <w:sz w:val="18"/>
                <w:szCs w:val="18"/>
                <w:lang w:val="en-GB"/>
              </w:rPr>
              <w:t>33</w:t>
            </w:r>
          </w:p>
        </w:tc>
        <w:tc>
          <w:tcPr>
            <w:tcW w:w="1311" w:type="dxa"/>
          </w:tcPr>
          <w:p w14:paraId="43056619" w14:textId="33B44C53" w:rsidR="008E1C52" w:rsidRPr="006759DA" w:rsidRDefault="008E1C52" w:rsidP="006A0A5E">
            <w:pPr>
              <w:pStyle w:val="ExhibitText"/>
              <w:jc w:val="right"/>
              <w:rPr>
                <w:sz w:val="18"/>
                <w:szCs w:val="18"/>
                <w:lang w:val="en-GB"/>
              </w:rPr>
            </w:pPr>
            <w:r w:rsidRPr="006759DA">
              <w:rPr>
                <w:sz w:val="18"/>
                <w:szCs w:val="18"/>
                <w:lang w:val="en-GB"/>
              </w:rPr>
              <w:t>52.7</w:t>
            </w:r>
          </w:p>
        </w:tc>
      </w:tr>
      <w:tr w:rsidR="008E1C52" w:rsidRPr="006759DA" w14:paraId="19E529FA" w14:textId="77777777" w:rsidTr="008E1C52">
        <w:trPr>
          <w:trHeight w:val="190"/>
        </w:trPr>
        <w:tc>
          <w:tcPr>
            <w:tcW w:w="0" w:type="auto"/>
          </w:tcPr>
          <w:p w14:paraId="199DBC94" w14:textId="77777777" w:rsidR="008E1C52" w:rsidRPr="006759DA" w:rsidRDefault="008E1C52" w:rsidP="008E1C52">
            <w:pPr>
              <w:pStyle w:val="ExhibitText"/>
              <w:rPr>
                <w:sz w:val="18"/>
                <w:szCs w:val="18"/>
                <w:lang w:val="en-GB"/>
              </w:rPr>
            </w:pPr>
            <w:r w:rsidRPr="006759DA">
              <w:rPr>
                <w:sz w:val="18"/>
                <w:szCs w:val="18"/>
                <w:lang w:val="en-GB"/>
              </w:rPr>
              <w:t>4</w:t>
            </w:r>
          </w:p>
        </w:tc>
        <w:tc>
          <w:tcPr>
            <w:tcW w:w="2358" w:type="dxa"/>
          </w:tcPr>
          <w:p w14:paraId="53582885" w14:textId="77777777" w:rsidR="008E1C52" w:rsidRPr="006759DA" w:rsidRDefault="008E1C52" w:rsidP="008E1C52">
            <w:pPr>
              <w:pStyle w:val="ExhibitText"/>
              <w:rPr>
                <w:sz w:val="18"/>
                <w:szCs w:val="18"/>
                <w:lang w:val="en-GB"/>
              </w:rPr>
            </w:pPr>
            <w:r w:rsidRPr="006759DA">
              <w:rPr>
                <w:sz w:val="18"/>
                <w:szCs w:val="18"/>
                <w:lang w:val="en-GB"/>
              </w:rPr>
              <w:t>Schwarz Unternehmens Treuhand KG</w:t>
            </w:r>
          </w:p>
        </w:tc>
        <w:tc>
          <w:tcPr>
            <w:tcW w:w="1297" w:type="dxa"/>
          </w:tcPr>
          <w:p w14:paraId="78175D57" w14:textId="77777777" w:rsidR="008E1C52" w:rsidRPr="006759DA" w:rsidRDefault="008E1C52" w:rsidP="006A0A5E">
            <w:pPr>
              <w:pStyle w:val="ExhibitText"/>
              <w:jc w:val="center"/>
              <w:rPr>
                <w:sz w:val="18"/>
                <w:szCs w:val="18"/>
                <w:lang w:val="en-GB"/>
              </w:rPr>
            </w:pPr>
            <w:r w:rsidRPr="006759DA">
              <w:rPr>
                <w:sz w:val="18"/>
                <w:szCs w:val="18"/>
                <w:lang w:val="en-GB"/>
              </w:rPr>
              <w:t>Germany</w:t>
            </w:r>
          </w:p>
        </w:tc>
        <w:tc>
          <w:tcPr>
            <w:tcW w:w="1269" w:type="dxa"/>
          </w:tcPr>
          <w:p w14:paraId="3364C971" w14:textId="77777777" w:rsidR="008E1C52" w:rsidRPr="006759DA" w:rsidRDefault="008E1C52" w:rsidP="006A0A5E">
            <w:pPr>
              <w:pStyle w:val="ExhibitText"/>
              <w:jc w:val="right"/>
              <w:rPr>
                <w:sz w:val="18"/>
                <w:szCs w:val="18"/>
                <w:lang w:val="en-GB"/>
              </w:rPr>
            </w:pPr>
            <w:r w:rsidRPr="006759DA">
              <w:rPr>
                <w:sz w:val="18"/>
                <w:szCs w:val="18"/>
                <w:lang w:val="en-GB"/>
              </w:rPr>
              <w:t>98,662</w:t>
            </w:r>
          </w:p>
        </w:tc>
        <w:tc>
          <w:tcPr>
            <w:tcW w:w="1122" w:type="dxa"/>
          </w:tcPr>
          <w:p w14:paraId="3C90D130" w14:textId="26E0D13D" w:rsidR="008E1C52" w:rsidRPr="006759DA" w:rsidRDefault="008E1C52" w:rsidP="006A0A5E">
            <w:pPr>
              <w:pStyle w:val="ExhibitText"/>
              <w:jc w:val="right"/>
              <w:rPr>
                <w:sz w:val="18"/>
                <w:szCs w:val="18"/>
                <w:lang w:val="en-GB"/>
              </w:rPr>
            </w:pPr>
            <w:r w:rsidRPr="006759DA">
              <w:rPr>
                <w:sz w:val="18"/>
                <w:szCs w:val="18"/>
                <w:lang w:val="en-GB"/>
              </w:rPr>
              <w:t>9.5</w:t>
            </w:r>
          </w:p>
        </w:tc>
        <w:tc>
          <w:tcPr>
            <w:tcW w:w="1386" w:type="dxa"/>
          </w:tcPr>
          <w:p w14:paraId="1AB5EFD0" w14:textId="77777777" w:rsidR="008E1C52" w:rsidRPr="006759DA" w:rsidRDefault="008E1C52" w:rsidP="006A0A5E">
            <w:pPr>
              <w:pStyle w:val="ExhibitText"/>
              <w:jc w:val="right"/>
              <w:rPr>
                <w:sz w:val="18"/>
                <w:szCs w:val="18"/>
                <w:lang w:val="en-GB"/>
              </w:rPr>
            </w:pPr>
            <w:r w:rsidRPr="006759DA">
              <w:rPr>
                <w:sz w:val="18"/>
                <w:szCs w:val="18"/>
                <w:lang w:val="en-GB"/>
              </w:rPr>
              <w:t>26</w:t>
            </w:r>
          </w:p>
        </w:tc>
        <w:tc>
          <w:tcPr>
            <w:tcW w:w="1311" w:type="dxa"/>
          </w:tcPr>
          <w:p w14:paraId="50BDBC14" w14:textId="3D303BDB" w:rsidR="008E1C52" w:rsidRPr="006759DA" w:rsidRDefault="008E1C52" w:rsidP="006A0A5E">
            <w:pPr>
              <w:pStyle w:val="ExhibitText"/>
              <w:jc w:val="right"/>
              <w:rPr>
                <w:sz w:val="18"/>
                <w:szCs w:val="18"/>
                <w:lang w:val="en-GB"/>
              </w:rPr>
            </w:pPr>
            <w:r w:rsidRPr="006759DA">
              <w:rPr>
                <w:sz w:val="18"/>
                <w:szCs w:val="18"/>
                <w:lang w:val="en-GB"/>
              </w:rPr>
              <w:t>58.2</w:t>
            </w:r>
          </w:p>
        </w:tc>
      </w:tr>
      <w:tr w:rsidR="008E1C52" w:rsidRPr="006759DA" w14:paraId="696F3B56" w14:textId="77777777" w:rsidTr="008E1C52">
        <w:trPr>
          <w:trHeight w:val="111"/>
        </w:trPr>
        <w:tc>
          <w:tcPr>
            <w:tcW w:w="0" w:type="auto"/>
          </w:tcPr>
          <w:p w14:paraId="07882614" w14:textId="77777777" w:rsidR="008E1C52" w:rsidRPr="006759DA" w:rsidRDefault="008E1C52" w:rsidP="008E1C52">
            <w:pPr>
              <w:pStyle w:val="ExhibitText"/>
              <w:rPr>
                <w:sz w:val="18"/>
                <w:szCs w:val="18"/>
                <w:lang w:val="en-GB"/>
              </w:rPr>
            </w:pPr>
            <w:r w:rsidRPr="006759DA">
              <w:rPr>
                <w:sz w:val="18"/>
                <w:szCs w:val="18"/>
                <w:lang w:val="en-GB"/>
              </w:rPr>
              <w:t>5</w:t>
            </w:r>
          </w:p>
        </w:tc>
        <w:tc>
          <w:tcPr>
            <w:tcW w:w="2358" w:type="dxa"/>
          </w:tcPr>
          <w:p w14:paraId="0D2980F8" w14:textId="77777777" w:rsidR="008E1C52" w:rsidRPr="006759DA" w:rsidRDefault="008E1C52" w:rsidP="008E1C52">
            <w:pPr>
              <w:pStyle w:val="ExhibitText"/>
              <w:rPr>
                <w:sz w:val="18"/>
                <w:szCs w:val="18"/>
                <w:lang w:val="en-GB"/>
              </w:rPr>
            </w:pPr>
            <w:r w:rsidRPr="006759DA">
              <w:rPr>
                <w:sz w:val="18"/>
                <w:szCs w:val="18"/>
                <w:lang w:val="en-GB"/>
              </w:rPr>
              <w:t>Tesco PLC</w:t>
            </w:r>
          </w:p>
        </w:tc>
        <w:tc>
          <w:tcPr>
            <w:tcW w:w="1297" w:type="dxa"/>
          </w:tcPr>
          <w:p w14:paraId="0C456A50" w14:textId="77777777" w:rsidR="008E1C52" w:rsidRPr="006759DA" w:rsidRDefault="008E1C52" w:rsidP="006A0A5E">
            <w:pPr>
              <w:pStyle w:val="ExhibitText"/>
              <w:jc w:val="center"/>
              <w:rPr>
                <w:sz w:val="18"/>
                <w:szCs w:val="18"/>
                <w:lang w:val="en-GB"/>
              </w:rPr>
            </w:pPr>
            <w:r w:rsidRPr="006759DA">
              <w:rPr>
                <w:sz w:val="18"/>
                <w:szCs w:val="18"/>
                <w:lang w:val="en-GB"/>
              </w:rPr>
              <w:t>UK</w:t>
            </w:r>
          </w:p>
        </w:tc>
        <w:tc>
          <w:tcPr>
            <w:tcW w:w="1269" w:type="dxa"/>
          </w:tcPr>
          <w:p w14:paraId="5E0C25B9" w14:textId="77777777" w:rsidR="008E1C52" w:rsidRPr="006759DA" w:rsidRDefault="008E1C52" w:rsidP="006A0A5E">
            <w:pPr>
              <w:pStyle w:val="ExhibitText"/>
              <w:jc w:val="right"/>
              <w:rPr>
                <w:sz w:val="18"/>
                <w:szCs w:val="18"/>
                <w:lang w:val="en-GB"/>
              </w:rPr>
            </w:pPr>
            <w:r w:rsidRPr="006759DA">
              <w:rPr>
                <w:sz w:val="18"/>
                <w:szCs w:val="18"/>
                <w:lang w:val="en-GB"/>
              </w:rPr>
              <w:t>98,631</w:t>
            </w:r>
          </w:p>
        </w:tc>
        <w:tc>
          <w:tcPr>
            <w:tcW w:w="1122" w:type="dxa"/>
          </w:tcPr>
          <w:p w14:paraId="13101FEC" w14:textId="7E750411" w:rsidR="008E1C52" w:rsidRPr="006759DA" w:rsidRDefault="00B214A5" w:rsidP="006A0A5E">
            <w:pPr>
              <w:pStyle w:val="ExhibitText"/>
              <w:jc w:val="right"/>
              <w:rPr>
                <w:sz w:val="18"/>
                <w:szCs w:val="18"/>
                <w:lang w:val="en-GB"/>
              </w:rPr>
            </w:pPr>
            <w:r w:rsidRPr="006759DA">
              <w:rPr>
                <w:sz w:val="18"/>
                <w:szCs w:val="18"/>
                <w:lang w:val="en-GB"/>
              </w:rPr>
              <w:t>−</w:t>
            </w:r>
            <w:r w:rsidR="008E1C52" w:rsidRPr="006759DA">
              <w:rPr>
                <w:sz w:val="18"/>
                <w:szCs w:val="18"/>
                <w:lang w:val="en-GB"/>
              </w:rPr>
              <w:t>2.0</w:t>
            </w:r>
          </w:p>
        </w:tc>
        <w:tc>
          <w:tcPr>
            <w:tcW w:w="1386" w:type="dxa"/>
          </w:tcPr>
          <w:p w14:paraId="6CA561EB" w14:textId="77777777" w:rsidR="008E1C52" w:rsidRPr="006759DA" w:rsidRDefault="008E1C52" w:rsidP="006A0A5E">
            <w:pPr>
              <w:pStyle w:val="ExhibitText"/>
              <w:jc w:val="right"/>
              <w:rPr>
                <w:sz w:val="18"/>
                <w:szCs w:val="18"/>
                <w:lang w:val="en-GB"/>
              </w:rPr>
            </w:pPr>
            <w:r w:rsidRPr="006759DA">
              <w:rPr>
                <w:sz w:val="18"/>
                <w:szCs w:val="18"/>
                <w:lang w:val="en-GB"/>
              </w:rPr>
              <w:t>13</w:t>
            </w:r>
          </w:p>
        </w:tc>
        <w:tc>
          <w:tcPr>
            <w:tcW w:w="1311" w:type="dxa"/>
          </w:tcPr>
          <w:p w14:paraId="1FAA75A0" w14:textId="6A29F343" w:rsidR="008E1C52" w:rsidRPr="006759DA" w:rsidRDefault="008E1C52" w:rsidP="006A0A5E">
            <w:pPr>
              <w:pStyle w:val="ExhibitText"/>
              <w:jc w:val="right"/>
              <w:rPr>
                <w:sz w:val="18"/>
                <w:szCs w:val="18"/>
                <w:lang w:val="en-GB"/>
              </w:rPr>
            </w:pPr>
            <w:r w:rsidRPr="006759DA">
              <w:rPr>
                <w:sz w:val="18"/>
                <w:szCs w:val="18"/>
                <w:lang w:val="en-GB"/>
              </w:rPr>
              <w:t>32.3</w:t>
            </w:r>
          </w:p>
        </w:tc>
      </w:tr>
      <w:tr w:rsidR="008E1C52" w:rsidRPr="006759DA" w14:paraId="5BE9DFE3" w14:textId="77777777" w:rsidTr="008E1C52">
        <w:trPr>
          <w:trHeight w:val="223"/>
        </w:trPr>
        <w:tc>
          <w:tcPr>
            <w:tcW w:w="0" w:type="auto"/>
          </w:tcPr>
          <w:p w14:paraId="6B4445A1" w14:textId="77777777" w:rsidR="008E1C52" w:rsidRPr="006759DA" w:rsidRDefault="008E1C52" w:rsidP="008E1C52">
            <w:pPr>
              <w:pStyle w:val="ExhibitText"/>
              <w:rPr>
                <w:sz w:val="18"/>
                <w:szCs w:val="18"/>
                <w:lang w:val="en-GB"/>
              </w:rPr>
            </w:pPr>
            <w:r w:rsidRPr="006759DA">
              <w:rPr>
                <w:sz w:val="18"/>
                <w:szCs w:val="18"/>
                <w:lang w:val="en-GB"/>
              </w:rPr>
              <w:t>6</w:t>
            </w:r>
          </w:p>
        </w:tc>
        <w:tc>
          <w:tcPr>
            <w:tcW w:w="2358" w:type="dxa"/>
          </w:tcPr>
          <w:p w14:paraId="35302734" w14:textId="77777777" w:rsidR="008E1C52" w:rsidRPr="006759DA" w:rsidRDefault="008E1C52" w:rsidP="008E1C52">
            <w:pPr>
              <w:pStyle w:val="ExhibitText"/>
              <w:rPr>
                <w:sz w:val="18"/>
                <w:szCs w:val="18"/>
                <w:lang w:val="en-GB"/>
              </w:rPr>
            </w:pPr>
            <w:r w:rsidRPr="006759DA">
              <w:rPr>
                <w:sz w:val="18"/>
                <w:szCs w:val="18"/>
                <w:lang w:val="en-GB"/>
              </w:rPr>
              <w:t>The Kroger Co.</w:t>
            </w:r>
          </w:p>
        </w:tc>
        <w:tc>
          <w:tcPr>
            <w:tcW w:w="1297" w:type="dxa"/>
          </w:tcPr>
          <w:p w14:paraId="135CB728" w14:textId="77777777" w:rsidR="008E1C52" w:rsidRPr="006759DA" w:rsidRDefault="008E1C52" w:rsidP="006A0A5E">
            <w:pPr>
              <w:pStyle w:val="ExhibitText"/>
              <w:jc w:val="center"/>
              <w:rPr>
                <w:sz w:val="18"/>
                <w:szCs w:val="18"/>
                <w:lang w:val="en-GB"/>
              </w:rPr>
            </w:pPr>
            <w:r w:rsidRPr="006759DA">
              <w:rPr>
                <w:sz w:val="18"/>
                <w:szCs w:val="18"/>
                <w:lang w:val="en-GB"/>
              </w:rPr>
              <w:t>USA</w:t>
            </w:r>
          </w:p>
        </w:tc>
        <w:tc>
          <w:tcPr>
            <w:tcW w:w="1269" w:type="dxa"/>
          </w:tcPr>
          <w:p w14:paraId="66EB3506" w14:textId="77777777" w:rsidR="008E1C52" w:rsidRPr="006759DA" w:rsidRDefault="008E1C52" w:rsidP="006A0A5E">
            <w:pPr>
              <w:pStyle w:val="ExhibitText"/>
              <w:jc w:val="right"/>
              <w:rPr>
                <w:sz w:val="18"/>
                <w:szCs w:val="18"/>
                <w:lang w:val="en-GB"/>
              </w:rPr>
            </w:pPr>
            <w:r w:rsidRPr="006759DA">
              <w:rPr>
                <w:sz w:val="18"/>
                <w:szCs w:val="18"/>
                <w:lang w:val="en-GB"/>
              </w:rPr>
              <w:t>98,375</w:t>
            </w:r>
          </w:p>
        </w:tc>
        <w:tc>
          <w:tcPr>
            <w:tcW w:w="1122" w:type="dxa"/>
          </w:tcPr>
          <w:p w14:paraId="685E098F" w14:textId="6666518A" w:rsidR="008E1C52" w:rsidRPr="006759DA" w:rsidRDefault="008E1C52" w:rsidP="006A0A5E">
            <w:pPr>
              <w:pStyle w:val="ExhibitText"/>
              <w:jc w:val="right"/>
              <w:rPr>
                <w:sz w:val="18"/>
                <w:szCs w:val="18"/>
                <w:lang w:val="en-GB"/>
              </w:rPr>
            </w:pPr>
            <w:r w:rsidRPr="006759DA">
              <w:rPr>
                <w:sz w:val="18"/>
                <w:szCs w:val="18"/>
                <w:lang w:val="en-GB"/>
              </w:rPr>
              <w:t>1.7</w:t>
            </w:r>
          </w:p>
        </w:tc>
        <w:tc>
          <w:tcPr>
            <w:tcW w:w="1386" w:type="dxa"/>
          </w:tcPr>
          <w:p w14:paraId="7AA19FBE" w14:textId="77777777" w:rsidR="008E1C52" w:rsidRPr="006759DA" w:rsidRDefault="008E1C52" w:rsidP="006A0A5E">
            <w:pPr>
              <w:pStyle w:val="ExhibitText"/>
              <w:jc w:val="right"/>
              <w:rPr>
                <w:sz w:val="18"/>
                <w:szCs w:val="18"/>
                <w:lang w:val="en-GB"/>
              </w:rPr>
            </w:pPr>
            <w:r w:rsidRPr="006759DA">
              <w:rPr>
                <w:sz w:val="18"/>
                <w:szCs w:val="18"/>
                <w:lang w:val="en-GB"/>
              </w:rPr>
              <w:t>1</w:t>
            </w:r>
          </w:p>
        </w:tc>
        <w:tc>
          <w:tcPr>
            <w:tcW w:w="1311" w:type="dxa"/>
          </w:tcPr>
          <w:p w14:paraId="257A3256" w14:textId="7E53132A" w:rsidR="008E1C52" w:rsidRPr="006759DA" w:rsidRDefault="008E1C52" w:rsidP="006A0A5E">
            <w:pPr>
              <w:pStyle w:val="ExhibitText"/>
              <w:jc w:val="right"/>
              <w:rPr>
                <w:sz w:val="18"/>
                <w:szCs w:val="18"/>
                <w:lang w:val="en-GB"/>
              </w:rPr>
            </w:pPr>
            <w:r w:rsidRPr="006759DA">
              <w:rPr>
                <w:sz w:val="18"/>
                <w:szCs w:val="18"/>
                <w:lang w:val="en-GB"/>
              </w:rPr>
              <w:t>0.0</w:t>
            </w:r>
          </w:p>
        </w:tc>
      </w:tr>
      <w:tr w:rsidR="008E1C52" w:rsidRPr="006759DA" w14:paraId="559883E9" w14:textId="77777777" w:rsidTr="008E1C52">
        <w:trPr>
          <w:trHeight w:val="64"/>
        </w:trPr>
        <w:tc>
          <w:tcPr>
            <w:tcW w:w="0" w:type="auto"/>
          </w:tcPr>
          <w:p w14:paraId="363EEEB8" w14:textId="77777777" w:rsidR="008E1C52" w:rsidRPr="006759DA" w:rsidRDefault="008E1C52" w:rsidP="008E1C52">
            <w:pPr>
              <w:pStyle w:val="ExhibitText"/>
              <w:rPr>
                <w:sz w:val="18"/>
                <w:szCs w:val="18"/>
                <w:lang w:val="en-GB"/>
              </w:rPr>
            </w:pPr>
            <w:r w:rsidRPr="006759DA">
              <w:rPr>
                <w:sz w:val="18"/>
                <w:szCs w:val="18"/>
                <w:lang w:val="en-GB"/>
              </w:rPr>
              <w:t>7</w:t>
            </w:r>
          </w:p>
        </w:tc>
        <w:tc>
          <w:tcPr>
            <w:tcW w:w="2358" w:type="dxa"/>
          </w:tcPr>
          <w:p w14:paraId="2758C7DC" w14:textId="54133202" w:rsidR="008E1C52" w:rsidRPr="006759DA" w:rsidRDefault="008E1C52" w:rsidP="008E1C52">
            <w:pPr>
              <w:pStyle w:val="ExhibitText"/>
              <w:rPr>
                <w:sz w:val="18"/>
                <w:szCs w:val="18"/>
                <w:lang w:val="en-GB"/>
              </w:rPr>
            </w:pPr>
            <w:r w:rsidRPr="006759DA">
              <w:rPr>
                <w:sz w:val="18"/>
                <w:szCs w:val="18"/>
                <w:lang w:val="en-GB"/>
              </w:rPr>
              <w:t xml:space="preserve">Metro </w:t>
            </w:r>
            <w:r w:rsidR="00535175">
              <w:rPr>
                <w:sz w:val="18"/>
                <w:szCs w:val="18"/>
                <w:lang w:val="en-GB"/>
              </w:rPr>
              <w:t>AG</w:t>
            </w:r>
          </w:p>
        </w:tc>
        <w:tc>
          <w:tcPr>
            <w:tcW w:w="1297" w:type="dxa"/>
          </w:tcPr>
          <w:p w14:paraId="13F8138C" w14:textId="6A28A310" w:rsidR="008E1C52" w:rsidRPr="006759DA" w:rsidRDefault="008E1C52" w:rsidP="006A0A5E">
            <w:pPr>
              <w:pStyle w:val="ExhibitText"/>
              <w:jc w:val="center"/>
              <w:rPr>
                <w:sz w:val="18"/>
                <w:szCs w:val="18"/>
                <w:lang w:val="en-GB"/>
              </w:rPr>
            </w:pPr>
            <w:r w:rsidRPr="006759DA">
              <w:rPr>
                <w:sz w:val="18"/>
                <w:szCs w:val="18"/>
                <w:lang w:val="en-GB"/>
              </w:rPr>
              <w:t>Germany</w:t>
            </w:r>
          </w:p>
        </w:tc>
        <w:tc>
          <w:tcPr>
            <w:tcW w:w="1269" w:type="dxa"/>
          </w:tcPr>
          <w:p w14:paraId="2F12A66C" w14:textId="77777777" w:rsidR="008E1C52" w:rsidRPr="006759DA" w:rsidRDefault="008E1C52" w:rsidP="006A0A5E">
            <w:pPr>
              <w:pStyle w:val="ExhibitText"/>
              <w:jc w:val="right"/>
              <w:rPr>
                <w:sz w:val="18"/>
                <w:szCs w:val="18"/>
                <w:lang w:val="en-GB"/>
              </w:rPr>
            </w:pPr>
            <w:r w:rsidRPr="006759DA">
              <w:rPr>
                <w:sz w:val="18"/>
                <w:szCs w:val="18"/>
                <w:lang w:val="en-GB"/>
              </w:rPr>
              <w:t>86,393</w:t>
            </w:r>
          </w:p>
        </w:tc>
        <w:tc>
          <w:tcPr>
            <w:tcW w:w="1122" w:type="dxa"/>
          </w:tcPr>
          <w:p w14:paraId="7987386D" w14:textId="7F726B63" w:rsidR="008E1C52" w:rsidRPr="006759DA" w:rsidRDefault="00B214A5" w:rsidP="006A0A5E">
            <w:pPr>
              <w:pStyle w:val="ExhibitText"/>
              <w:jc w:val="right"/>
              <w:rPr>
                <w:sz w:val="18"/>
                <w:szCs w:val="18"/>
                <w:lang w:val="en-GB"/>
              </w:rPr>
            </w:pPr>
            <w:r w:rsidRPr="006759DA">
              <w:rPr>
                <w:sz w:val="18"/>
                <w:szCs w:val="18"/>
                <w:lang w:val="en-GB"/>
              </w:rPr>
              <w:t>−</w:t>
            </w:r>
            <w:r w:rsidR="008E1C52" w:rsidRPr="006759DA">
              <w:rPr>
                <w:sz w:val="18"/>
                <w:szCs w:val="18"/>
                <w:lang w:val="en-GB"/>
              </w:rPr>
              <w:t>2.5</w:t>
            </w:r>
          </w:p>
        </w:tc>
        <w:tc>
          <w:tcPr>
            <w:tcW w:w="1386" w:type="dxa"/>
          </w:tcPr>
          <w:p w14:paraId="538C9A78" w14:textId="77777777" w:rsidR="008E1C52" w:rsidRPr="006759DA" w:rsidRDefault="008E1C52" w:rsidP="006A0A5E">
            <w:pPr>
              <w:pStyle w:val="ExhibitText"/>
              <w:jc w:val="right"/>
              <w:rPr>
                <w:sz w:val="18"/>
                <w:szCs w:val="18"/>
                <w:lang w:val="en-GB"/>
              </w:rPr>
            </w:pPr>
            <w:r w:rsidRPr="006759DA">
              <w:rPr>
                <w:sz w:val="18"/>
                <w:szCs w:val="18"/>
                <w:lang w:val="en-GB"/>
              </w:rPr>
              <w:t>32</w:t>
            </w:r>
          </w:p>
        </w:tc>
        <w:tc>
          <w:tcPr>
            <w:tcW w:w="1311" w:type="dxa"/>
          </w:tcPr>
          <w:p w14:paraId="540EC496" w14:textId="638EAE0C" w:rsidR="008E1C52" w:rsidRPr="006759DA" w:rsidRDefault="008E1C52" w:rsidP="006A0A5E">
            <w:pPr>
              <w:pStyle w:val="ExhibitText"/>
              <w:jc w:val="right"/>
              <w:rPr>
                <w:sz w:val="18"/>
                <w:szCs w:val="18"/>
                <w:lang w:val="en-GB"/>
              </w:rPr>
            </w:pPr>
            <w:r w:rsidRPr="006759DA">
              <w:rPr>
                <w:sz w:val="18"/>
                <w:szCs w:val="18"/>
                <w:lang w:val="en-GB"/>
              </w:rPr>
              <w:t>62.3</w:t>
            </w:r>
          </w:p>
        </w:tc>
      </w:tr>
      <w:tr w:rsidR="008E1C52" w:rsidRPr="006759DA" w14:paraId="092443D0" w14:textId="77777777" w:rsidTr="008E1C52">
        <w:trPr>
          <w:trHeight w:val="64"/>
        </w:trPr>
        <w:tc>
          <w:tcPr>
            <w:tcW w:w="0" w:type="auto"/>
          </w:tcPr>
          <w:p w14:paraId="57095E2E" w14:textId="77777777" w:rsidR="008E1C52" w:rsidRPr="006759DA" w:rsidRDefault="008E1C52" w:rsidP="008E1C52">
            <w:pPr>
              <w:pStyle w:val="ExhibitText"/>
              <w:rPr>
                <w:sz w:val="18"/>
                <w:szCs w:val="18"/>
                <w:lang w:val="en-GB"/>
              </w:rPr>
            </w:pPr>
            <w:r w:rsidRPr="006759DA">
              <w:rPr>
                <w:sz w:val="18"/>
                <w:szCs w:val="18"/>
                <w:lang w:val="en-GB"/>
              </w:rPr>
              <w:t>8</w:t>
            </w:r>
          </w:p>
        </w:tc>
        <w:tc>
          <w:tcPr>
            <w:tcW w:w="2358" w:type="dxa"/>
          </w:tcPr>
          <w:p w14:paraId="1D6EF111" w14:textId="77777777" w:rsidR="008E1C52" w:rsidRPr="006759DA" w:rsidRDefault="008E1C52" w:rsidP="008E1C52">
            <w:pPr>
              <w:pStyle w:val="ExhibitText"/>
              <w:rPr>
                <w:sz w:val="18"/>
                <w:szCs w:val="18"/>
                <w:lang w:val="en-GB"/>
              </w:rPr>
            </w:pPr>
            <w:r w:rsidRPr="006759DA">
              <w:rPr>
                <w:sz w:val="18"/>
                <w:szCs w:val="18"/>
                <w:lang w:val="en-GB"/>
              </w:rPr>
              <w:t>Aldi Einkauf GmbH &amp; Co. oHG</w:t>
            </w:r>
          </w:p>
        </w:tc>
        <w:tc>
          <w:tcPr>
            <w:tcW w:w="1297" w:type="dxa"/>
          </w:tcPr>
          <w:p w14:paraId="4422D14C" w14:textId="77777777" w:rsidR="008E1C52" w:rsidRPr="006759DA" w:rsidRDefault="008E1C52" w:rsidP="006A0A5E">
            <w:pPr>
              <w:pStyle w:val="ExhibitText"/>
              <w:jc w:val="center"/>
              <w:rPr>
                <w:sz w:val="18"/>
                <w:szCs w:val="18"/>
                <w:lang w:val="en-GB"/>
              </w:rPr>
            </w:pPr>
            <w:r w:rsidRPr="006759DA">
              <w:rPr>
                <w:sz w:val="18"/>
                <w:szCs w:val="18"/>
                <w:lang w:val="en-GB"/>
              </w:rPr>
              <w:t>Germany</w:t>
            </w:r>
          </w:p>
        </w:tc>
        <w:tc>
          <w:tcPr>
            <w:tcW w:w="1269" w:type="dxa"/>
          </w:tcPr>
          <w:p w14:paraId="06C42C53" w14:textId="77777777" w:rsidR="008E1C52" w:rsidRPr="006759DA" w:rsidRDefault="008E1C52" w:rsidP="006A0A5E">
            <w:pPr>
              <w:pStyle w:val="ExhibitText"/>
              <w:jc w:val="right"/>
              <w:rPr>
                <w:sz w:val="18"/>
                <w:szCs w:val="18"/>
                <w:lang w:val="en-GB"/>
              </w:rPr>
            </w:pPr>
            <w:r w:rsidRPr="006759DA">
              <w:rPr>
                <w:sz w:val="18"/>
                <w:szCs w:val="18"/>
                <w:lang w:val="en-GB"/>
              </w:rPr>
              <w:t>81,090</w:t>
            </w:r>
          </w:p>
        </w:tc>
        <w:tc>
          <w:tcPr>
            <w:tcW w:w="1122" w:type="dxa"/>
          </w:tcPr>
          <w:p w14:paraId="2EE52C38" w14:textId="73B7F093" w:rsidR="008E1C52" w:rsidRPr="006759DA" w:rsidRDefault="008E1C52" w:rsidP="006A0A5E">
            <w:pPr>
              <w:pStyle w:val="ExhibitText"/>
              <w:jc w:val="right"/>
              <w:rPr>
                <w:sz w:val="18"/>
                <w:szCs w:val="18"/>
                <w:lang w:val="en-GB"/>
              </w:rPr>
            </w:pPr>
            <w:r w:rsidRPr="006759DA">
              <w:rPr>
                <w:sz w:val="18"/>
                <w:szCs w:val="18"/>
                <w:lang w:val="en-GB"/>
              </w:rPr>
              <w:t>4.7</w:t>
            </w:r>
          </w:p>
        </w:tc>
        <w:tc>
          <w:tcPr>
            <w:tcW w:w="1386" w:type="dxa"/>
          </w:tcPr>
          <w:p w14:paraId="28DE1F6F" w14:textId="77777777" w:rsidR="008E1C52" w:rsidRPr="006759DA" w:rsidRDefault="008E1C52" w:rsidP="006A0A5E">
            <w:pPr>
              <w:pStyle w:val="ExhibitText"/>
              <w:jc w:val="right"/>
              <w:rPr>
                <w:sz w:val="18"/>
                <w:szCs w:val="18"/>
                <w:lang w:val="en-GB"/>
              </w:rPr>
            </w:pPr>
            <w:r w:rsidRPr="006759DA">
              <w:rPr>
                <w:sz w:val="18"/>
                <w:szCs w:val="18"/>
                <w:lang w:val="en-GB"/>
              </w:rPr>
              <w:t>17</w:t>
            </w:r>
          </w:p>
        </w:tc>
        <w:tc>
          <w:tcPr>
            <w:tcW w:w="1311" w:type="dxa"/>
          </w:tcPr>
          <w:p w14:paraId="6C68BCEA" w14:textId="72953F05" w:rsidR="008E1C52" w:rsidRPr="006759DA" w:rsidRDefault="008E1C52" w:rsidP="006A0A5E">
            <w:pPr>
              <w:pStyle w:val="ExhibitText"/>
              <w:jc w:val="right"/>
              <w:rPr>
                <w:sz w:val="18"/>
                <w:szCs w:val="18"/>
                <w:lang w:val="en-GB"/>
              </w:rPr>
            </w:pPr>
            <w:r w:rsidRPr="006759DA">
              <w:rPr>
                <w:sz w:val="18"/>
                <w:szCs w:val="18"/>
                <w:lang w:val="en-GB"/>
              </w:rPr>
              <w:t>59.2</w:t>
            </w:r>
          </w:p>
        </w:tc>
      </w:tr>
      <w:tr w:rsidR="008E1C52" w:rsidRPr="006759DA" w14:paraId="11F17D4C" w14:textId="77777777" w:rsidTr="008E1C52">
        <w:trPr>
          <w:trHeight w:val="64"/>
        </w:trPr>
        <w:tc>
          <w:tcPr>
            <w:tcW w:w="0" w:type="auto"/>
          </w:tcPr>
          <w:p w14:paraId="4F4A3E21" w14:textId="77777777" w:rsidR="008E1C52" w:rsidRPr="006759DA" w:rsidRDefault="008E1C52" w:rsidP="008E1C52">
            <w:pPr>
              <w:pStyle w:val="ExhibitText"/>
              <w:rPr>
                <w:sz w:val="18"/>
                <w:szCs w:val="18"/>
                <w:lang w:val="en-GB"/>
              </w:rPr>
            </w:pPr>
            <w:r w:rsidRPr="006759DA">
              <w:rPr>
                <w:sz w:val="18"/>
                <w:szCs w:val="18"/>
                <w:lang w:val="en-GB"/>
              </w:rPr>
              <w:t>9</w:t>
            </w:r>
          </w:p>
        </w:tc>
        <w:tc>
          <w:tcPr>
            <w:tcW w:w="2358" w:type="dxa"/>
          </w:tcPr>
          <w:p w14:paraId="6E3E6156" w14:textId="629F9A53" w:rsidR="008E1C52" w:rsidRPr="006759DA" w:rsidRDefault="008E1C52" w:rsidP="008E1C52">
            <w:pPr>
              <w:pStyle w:val="ExhibitText"/>
              <w:rPr>
                <w:sz w:val="18"/>
                <w:szCs w:val="18"/>
                <w:lang w:val="en-GB"/>
              </w:rPr>
            </w:pPr>
            <w:r w:rsidRPr="006759DA">
              <w:rPr>
                <w:sz w:val="18"/>
                <w:szCs w:val="18"/>
                <w:lang w:val="en-GB"/>
              </w:rPr>
              <w:t>The Home Depot Inc.</w:t>
            </w:r>
          </w:p>
        </w:tc>
        <w:tc>
          <w:tcPr>
            <w:tcW w:w="1297" w:type="dxa"/>
          </w:tcPr>
          <w:p w14:paraId="6A2908EA" w14:textId="77777777" w:rsidR="008E1C52" w:rsidRPr="006759DA" w:rsidRDefault="008E1C52" w:rsidP="006A0A5E">
            <w:pPr>
              <w:pStyle w:val="ExhibitText"/>
              <w:jc w:val="center"/>
              <w:rPr>
                <w:sz w:val="18"/>
                <w:szCs w:val="18"/>
                <w:lang w:val="en-GB"/>
              </w:rPr>
            </w:pPr>
            <w:r w:rsidRPr="006759DA">
              <w:rPr>
                <w:sz w:val="18"/>
                <w:szCs w:val="18"/>
                <w:lang w:val="en-GB"/>
              </w:rPr>
              <w:t>USA</w:t>
            </w:r>
          </w:p>
        </w:tc>
        <w:tc>
          <w:tcPr>
            <w:tcW w:w="1269" w:type="dxa"/>
          </w:tcPr>
          <w:p w14:paraId="4347EFC5" w14:textId="77777777" w:rsidR="008E1C52" w:rsidRPr="006759DA" w:rsidRDefault="008E1C52" w:rsidP="006A0A5E">
            <w:pPr>
              <w:pStyle w:val="ExhibitText"/>
              <w:jc w:val="right"/>
              <w:rPr>
                <w:sz w:val="18"/>
                <w:szCs w:val="18"/>
                <w:lang w:val="en-GB"/>
              </w:rPr>
            </w:pPr>
            <w:r w:rsidRPr="006759DA">
              <w:rPr>
                <w:sz w:val="18"/>
                <w:szCs w:val="18"/>
                <w:lang w:val="en-GB"/>
              </w:rPr>
              <w:t>78,812</w:t>
            </w:r>
          </w:p>
        </w:tc>
        <w:tc>
          <w:tcPr>
            <w:tcW w:w="1122" w:type="dxa"/>
          </w:tcPr>
          <w:p w14:paraId="39C62E96" w14:textId="1FF05791" w:rsidR="008E1C52" w:rsidRPr="006759DA" w:rsidRDefault="008E1C52" w:rsidP="006A0A5E">
            <w:pPr>
              <w:pStyle w:val="ExhibitText"/>
              <w:jc w:val="right"/>
              <w:rPr>
                <w:sz w:val="18"/>
                <w:szCs w:val="18"/>
                <w:lang w:val="en-GB"/>
              </w:rPr>
            </w:pPr>
            <w:r w:rsidRPr="006759DA">
              <w:rPr>
                <w:sz w:val="18"/>
                <w:szCs w:val="18"/>
                <w:lang w:val="en-GB"/>
              </w:rPr>
              <w:t>5.4</w:t>
            </w:r>
          </w:p>
        </w:tc>
        <w:tc>
          <w:tcPr>
            <w:tcW w:w="1386" w:type="dxa"/>
          </w:tcPr>
          <w:p w14:paraId="02F5F80E" w14:textId="77777777" w:rsidR="008E1C52" w:rsidRPr="006759DA" w:rsidRDefault="008E1C52" w:rsidP="006A0A5E">
            <w:pPr>
              <w:pStyle w:val="ExhibitText"/>
              <w:jc w:val="right"/>
              <w:rPr>
                <w:sz w:val="18"/>
                <w:szCs w:val="18"/>
                <w:lang w:val="en-GB"/>
              </w:rPr>
            </w:pPr>
            <w:r w:rsidRPr="006759DA">
              <w:rPr>
                <w:sz w:val="18"/>
                <w:szCs w:val="18"/>
                <w:lang w:val="en-GB"/>
              </w:rPr>
              <w:t>4</w:t>
            </w:r>
          </w:p>
        </w:tc>
        <w:tc>
          <w:tcPr>
            <w:tcW w:w="1311" w:type="dxa"/>
          </w:tcPr>
          <w:p w14:paraId="3139D01C" w14:textId="625C215A" w:rsidR="008E1C52" w:rsidRPr="006759DA" w:rsidRDefault="008E1C52" w:rsidP="006A0A5E">
            <w:pPr>
              <w:pStyle w:val="ExhibitText"/>
              <w:jc w:val="right"/>
              <w:rPr>
                <w:sz w:val="18"/>
                <w:szCs w:val="18"/>
                <w:lang w:val="en-GB"/>
              </w:rPr>
            </w:pPr>
            <w:r w:rsidRPr="006759DA">
              <w:rPr>
                <w:sz w:val="18"/>
                <w:szCs w:val="18"/>
                <w:lang w:val="en-GB"/>
              </w:rPr>
              <w:t>10.8</w:t>
            </w:r>
          </w:p>
        </w:tc>
      </w:tr>
      <w:tr w:rsidR="008E1C52" w:rsidRPr="006759DA" w14:paraId="3C7C4668" w14:textId="77777777" w:rsidTr="008E1C52">
        <w:trPr>
          <w:trHeight w:val="69"/>
        </w:trPr>
        <w:tc>
          <w:tcPr>
            <w:tcW w:w="0" w:type="auto"/>
          </w:tcPr>
          <w:p w14:paraId="78607CC9" w14:textId="77777777" w:rsidR="008E1C52" w:rsidRPr="006759DA" w:rsidRDefault="008E1C52" w:rsidP="008E1C52">
            <w:pPr>
              <w:pStyle w:val="ExhibitText"/>
              <w:rPr>
                <w:sz w:val="18"/>
                <w:szCs w:val="18"/>
                <w:lang w:val="en-GB"/>
              </w:rPr>
            </w:pPr>
            <w:r w:rsidRPr="006759DA">
              <w:rPr>
                <w:sz w:val="18"/>
                <w:szCs w:val="18"/>
                <w:lang w:val="en-GB"/>
              </w:rPr>
              <w:t>10</w:t>
            </w:r>
          </w:p>
        </w:tc>
        <w:tc>
          <w:tcPr>
            <w:tcW w:w="2358" w:type="dxa"/>
          </w:tcPr>
          <w:p w14:paraId="28A0235B" w14:textId="77777777" w:rsidR="008E1C52" w:rsidRPr="006759DA" w:rsidRDefault="008E1C52" w:rsidP="008E1C52">
            <w:pPr>
              <w:pStyle w:val="ExhibitText"/>
              <w:rPr>
                <w:sz w:val="18"/>
                <w:szCs w:val="18"/>
                <w:lang w:val="en-GB"/>
              </w:rPr>
            </w:pPr>
            <w:r w:rsidRPr="006759DA">
              <w:rPr>
                <w:sz w:val="18"/>
                <w:szCs w:val="18"/>
                <w:lang w:val="en-GB"/>
              </w:rPr>
              <w:t>Target Corporation</w:t>
            </w:r>
          </w:p>
        </w:tc>
        <w:tc>
          <w:tcPr>
            <w:tcW w:w="1297" w:type="dxa"/>
          </w:tcPr>
          <w:p w14:paraId="2279291C" w14:textId="77777777" w:rsidR="008E1C52" w:rsidRPr="006759DA" w:rsidRDefault="008E1C52" w:rsidP="006A0A5E">
            <w:pPr>
              <w:pStyle w:val="ExhibitText"/>
              <w:jc w:val="center"/>
              <w:rPr>
                <w:sz w:val="18"/>
                <w:szCs w:val="18"/>
                <w:lang w:val="en-GB"/>
              </w:rPr>
            </w:pPr>
            <w:r w:rsidRPr="006759DA">
              <w:rPr>
                <w:sz w:val="18"/>
                <w:szCs w:val="18"/>
                <w:lang w:val="en-GB"/>
              </w:rPr>
              <w:t>USA</w:t>
            </w:r>
          </w:p>
        </w:tc>
        <w:tc>
          <w:tcPr>
            <w:tcW w:w="1269" w:type="dxa"/>
          </w:tcPr>
          <w:p w14:paraId="1D2AE2DA" w14:textId="77777777" w:rsidR="008E1C52" w:rsidRPr="006759DA" w:rsidRDefault="008E1C52" w:rsidP="006A0A5E">
            <w:pPr>
              <w:pStyle w:val="ExhibitText"/>
              <w:jc w:val="right"/>
              <w:rPr>
                <w:sz w:val="18"/>
                <w:szCs w:val="18"/>
                <w:lang w:val="en-GB"/>
              </w:rPr>
            </w:pPr>
            <w:r w:rsidRPr="006759DA">
              <w:rPr>
                <w:sz w:val="18"/>
                <w:szCs w:val="18"/>
                <w:lang w:val="en-GB"/>
              </w:rPr>
              <w:t>72,596</w:t>
            </w:r>
          </w:p>
        </w:tc>
        <w:tc>
          <w:tcPr>
            <w:tcW w:w="1122" w:type="dxa"/>
          </w:tcPr>
          <w:p w14:paraId="114D8A35" w14:textId="03786512" w:rsidR="008E1C52" w:rsidRPr="006759DA" w:rsidRDefault="008E1C52" w:rsidP="006A0A5E">
            <w:pPr>
              <w:pStyle w:val="ExhibitText"/>
              <w:jc w:val="right"/>
              <w:rPr>
                <w:sz w:val="18"/>
                <w:szCs w:val="18"/>
                <w:lang w:val="en-GB"/>
              </w:rPr>
            </w:pPr>
            <w:r w:rsidRPr="006759DA">
              <w:rPr>
                <w:sz w:val="18"/>
                <w:szCs w:val="18"/>
                <w:lang w:val="en-GB"/>
              </w:rPr>
              <w:t>0.9</w:t>
            </w:r>
          </w:p>
        </w:tc>
        <w:tc>
          <w:tcPr>
            <w:tcW w:w="1386" w:type="dxa"/>
          </w:tcPr>
          <w:p w14:paraId="66BBD1E4" w14:textId="77777777" w:rsidR="008E1C52" w:rsidRPr="006759DA" w:rsidRDefault="008E1C52" w:rsidP="006A0A5E">
            <w:pPr>
              <w:pStyle w:val="ExhibitText"/>
              <w:jc w:val="right"/>
              <w:rPr>
                <w:sz w:val="18"/>
                <w:szCs w:val="18"/>
                <w:lang w:val="en-GB"/>
              </w:rPr>
            </w:pPr>
            <w:r w:rsidRPr="006759DA">
              <w:rPr>
                <w:sz w:val="18"/>
                <w:szCs w:val="18"/>
                <w:lang w:val="en-GB"/>
              </w:rPr>
              <w:t>2</w:t>
            </w:r>
          </w:p>
        </w:tc>
        <w:tc>
          <w:tcPr>
            <w:tcW w:w="1311" w:type="dxa"/>
          </w:tcPr>
          <w:p w14:paraId="4E701256" w14:textId="3CCA222E" w:rsidR="008E1C52" w:rsidRPr="006759DA" w:rsidRDefault="008E1C52" w:rsidP="006A0A5E">
            <w:pPr>
              <w:pStyle w:val="ExhibitText"/>
              <w:jc w:val="right"/>
              <w:rPr>
                <w:sz w:val="18"/>
                <w:szCs w:val="18"/>
                <w:lang w:val="en-GB"/>
              </w:rPr>
            </w:pPr>
            <w:r w:rsidRPr="006759DA">
              <w:rPr>
                <w:sz w:val="18"/>
                <w:szCs w:val="18"/>
                <w:lang w:val="en-GB"/>
              </w:rPr>
              <w:t>1.8</w:t>
            </w:r>
          </w:p>
        </w:tc>
      </w:tr>
      <w:tr w:rsidR="008E1C52" w:rsidRPr="006759DA" w14:paraId="63E547E8" w14:textId="77777777" w:rsidTr="008E1C52">
        <w:tc>
          <w:tcPr>
            <w:tcW w:w="4262" w:type="dxa"/>
            <w:gridSpan w:val="3"/>
          </w:tcPr>
          <w:p w14:paraId="06A5E378" w14:textId="77777777" w:rsidR="008E1C52" w:rsidRPr="006759DA" w:rsidRDefault="008E1C52" w:rsidP="008E1C52">
            <w:pPr>
              <w:pStyle w:val="ExhibitText"/>
              <w:rPr>
                <w:b/>
                <w:sz w:val="18"/>
                <w:szCs w:val="18"/>
                <w:lang w:val="en-GB"/>
              </w:rPr>
            </w:pPr>
            <w:r w:rsidRPr="006759DA">
              <w:rPr>
                <w:b/>
                <w:sz w:val="18"/>
                <w:szCs w:val="18"/>
                <w:lang w:val="en-GB"/>
              </w:rPr>
              <w:t>Top 10</w:t>
            </w:r>
          </w:p>
        </w:tc>
        <w:tc>
          <w:tcPr>
            <w:tcW w:w="1269" w:type="dxa"/>
          </w:tcPr>
          <w:p w14:paraId="25142459" w14:textId="77777777" w:rsidR="008E1C52" w:rsidRPr="006759DA" w:rsidRDefault="008E1C52" w:rsidP="006A0A5E">
            <w:pPr>
              <w:pStyle w:val="ExhibitText"/>
              <w:jc w:val="right"/>
              <w:rPr>
                <w:b/>
                <w:sz w:val="18"/>
                <w:szCs w:val="18"/>
                <w:lang w:val="en-GB"/>
              </w:rPr>
            </w:pPr>
            <w:r w:rsidRPr="006759DA">
              <w:rPr>
                <w:b/>
                <w:sz w:val="18"/>
                <w:szCs w:val="18"/>
                <w:lang w:val="en-GB"/>
              </w:rPr>
              <w:t>$1,294,698</w:t>
            </w:r>
          </w:p>
        </w:tc>
        <w:tc>
          <w:tcPr>
            <w:tcW w:w="1122" w:type="dxa"/>
          </w:tcPr>
          <w:p w14:paraId="10C33530" w14:textId="318E12DB" w:rsidR="008E1C52" w:rsidRPr="006759DA" w:rsidRDefault="008E1C52" w:rsidP="006A0A5E">
            <w:pPr>
              <w:pStyle w:val="ExhibitText"/>
              <w:jc w:val="right"/>
              <w:rPr>
                <w:b/>
                <w:sz w:val="18"/>
                <w:szCs w:val="18"/>
                <w:lang w:val="en-GB"/>
              </w:rPr>
            </w:pPr>
            <w:r w:rsidRPr="006759DA">
              <w:rPr>
                <w:b/>
                <w:sz w:val="18"/>
                <w:szCs w:val="18"/>
                <w:lang w:val="en-GB"/>
              </w:rPr>
              <w:t>2.0</w:t>
            </w:r>
          </w:p>
        </w:tc>
        <w:tc>
          <w:tcPr>
            <w:tcW w:w="1386" w:type="dxa"/>
          </w:tcPr>
          <w:p w14:paraId="2BDC3786" w14:textId="77777777" w:rsidR="008E1C52" w:rsidRPr="006759DA" w:rsidRDefault="008E1C52" w:rsidP="006A0A5E">
            <w:pPr>
              <w:pStyle w:val="ExhibitText"/>
              <w:jc w:val="right"/>
              <w:rPr>
                <w:b/>
                <w:sz w:val="18"/>
                <w:szCs w:val="18"/>
                <w:lang w:val="en-GB"/>
              </w:rPr>
            </w:pPr>
            <w:r w:rsidRPr="006759DA">
              <w:rPr>
                <w:b/>
                <w:sz w:val="18"/>
                <w:szCs w:val="18"/>
                <w:lang w:val="en-GB"/>
              </w:rPr>
              <w:t>16.5</w:t>
            </w:r>
          </w:p>
        </w:tc>
        <w:tc>
          <w:tcPr>
            <w:tcW w:w="1311" w:type="dxa"/>
          </w:tcPr>
          <w:p w14:paraId="3A4AD54A" w14:textId="327634B9" w:rsidR="008E1C52" w:rsidRPr="006759DA" w:rsidRDefault="008E1C52" w:rsidP="006A0A5E">
            <w:pPr>
              <w:pStyle w:val="ExhibitText"/>
              <w:jc w:val="right"/>
              <w:rPr>
                <w:b/>
                <w:sz w:val="18"/>
                <w:szCs w:val="18"/>
                <w:lang w:val="en-GB"/>
              </w:rPr>
            </w:pPr>
            <w:r w:rsidRPr="006759DA">
              <w:rPr>
                <w:b/>
                <w:sz w:val="18"/>
                <w:szCs w:val="18"/>
                <w:lang w:val="en-GB"/>
              </w:rPr>
              <w:t>32.5</w:t>
            </w:r>
          </w:p>
        </w:tc>
      </w:tr>
      <w:tr w:rsidR="008E1C52" w:rsidRPr="006759DA" w14:paraId="2BB59F8F" w14:textId="77777777" w:rsidTr="008E1C52">
        <w:trPr>
          <w:trHeight w:val="125"/>
        </w:trPr>
        <w:tc>
          <w:tcPr>
            <w:tcW w:w="4262" w:type="dxa"/>
            <w:gridSpan w:val="3"/>
          </w:tcPr>
          <w:p w14:paraId="6E0468D1" w14:textId="77777777" w:rsidR="008E1C52" w:rsidRPr="006759DA" w:rsidRDefault="008E1C52" w:rsidP="008E1C52">
            <w:pPr>
              <w:pStyle w:val="ExhibitText"/>
              <w:rPr>
                <w:b/>
                <w:sz w:val="18"/>
                <w:szCs w:val="18"/>
                <w:lang w:val="en-GB"/>
              </w:rPr>
            </w:pPr>
            <w:r w:rsidRPr="006759DA">
              <w:rPr>
                <w:b/>
                <w:sz w:val="18"/>
                <w:szCs w:val="18"/>
                <w:lang w:val="en-GB"/>
              </w:rPr>
              <w:t>Top 250</w:t>
            </w:r>
          </w:p>
        </w:tc>
        <w:tc>
          <w:tcPr>
            <w:tcW w:w="1269" w:type="dxa"/>
          </w:tcPr>
          <w:p w14:paraId="3A361C74" w14:textId="77777777" w:rsidR="008E1C52" w:rsidRPr="006759DA" w:rsidRDefault="008E1C52" w:rsidP="006A0A5E">
            <w:pPr>
              <w:pStyle w:val="ExhibitText"/>
              <w:jc w:val="right"/>
              <w:rPr>
                <w:b/>
                <w:sz w:val="18"/>
                <w:szCs w:val="18"/>
                <w:lang w:val="en-GB"/>
              </w:rPr>
            </w:pPr>
            <w:r w:rsidRPr="006759DA">
              <w:rPr>
                <w:b/>
                <w:sz w:val="18"/>
                <w:szCs w:val="18"/>
                <w:lang w:val="en-GB"/>
              </w:rPr>
              <w:t>$4,354,562</w:t>
            </w:r>
          </w:p>
        </w:tc>
        <w:tc>
          <w:tcPr>
            <w:tcW w:w="1122" w:type="dxa"/>
          </w:tcPr>
          <w:p w14:paraId="48EE51CD" w14:textId="7BD17CE3" w:rsidR="008E1C52" w:rsidRPr="006759DA" w:rsidRDefault="008E1C52" w:rsidP="006A0A5E">
            <w:pPr>
              <w:pStyle w:val="ExhibitText"/>
              <w:jc w:val="right"/>
              <w:rPr>
                <w:b/>
                <w:sz w:val="18"/>
                <w:szCs w:val="18"/>
                <w:lang w:val="en-GB"/>
              </w:rPr>
            </w:pPr>
            <w:r w:rsidRPr="006759DA">
              <w:rPr>
                <w:b/>
                <w:sz w:val="18"/>
                <w:szCs w:val="18"/>
                <w:lang w:val="en-GB"/>
              </w:rPr>
              <w:t>4.1</w:t>
            </w:r>
          </w:p>
        </w:tc>
        <w:tc>
          <w:tcPr>
            <w:tcW w:w="1386" w:type="dxa"/>
          </w:tcPr>
          <w:p w14:paraId="79C50022" w14:textId="77777777" w:rsidR="008E1C52" w:rsidRPr="006759DA" w:rsidRDefault="008E1C52" w:rsidP="006A0A5E">
            <w:pPr>
              <w:pStyle w:val="ExhibitText"/>
              <w:jc w:val="right"/>
              <w:rPr>
                <w:b/>
                <w:sz w:val="18"/>
                <w:szCs w:val="18"/>
                <w:lang w:val="en-GB"/>
              </w:rPr>
            </w:pPr>
            <w:r w:rsidRPr="006759DA">
              <w:rPr>
                <w:b/>
                <w:sz w:val="18"/>
                <w:szCs w:val="18"/>
                <w:lang w:val="en-GB"/>
              </w:rPr>
              <w:t>10.2</w:t>
            </w:r>
          </w:p>
        </w:tc>
        <w:tc>
          <w:tcPr>
            <w:tcW w:w="1311" w:type="dxa"/>
          </w:tcPr>
          <w:p w14:paraId="15A31051" w14:textId="2EB10EF2" w:rsidR="008E1C52" w:rsidRPr="006759DA" w:rsidRDefault="008E1C52" w:rsidP="006A0A5E">
            <w:pPr>
              <w:pStyle w:val="ExhibitText"/>
              <w:jc w:val="right"/>
              <w:rPr>
                <w:b/>
                <w:sz w:val="18"/>
                <w:szCs w:val="18"/>
                <w:lang w:val="en-GB"/>
              </w:rPr>
            </w:pPr>
            <w:r w:rsidRPr="006759DA">
              <w:rPr>
                <w:b/>
                <w:sz w:val="18"/>
                <w:szCs w:val="18"/>
                <w:lang w:val="en-GB"/>
              </w:rPr>
              <w:t>23.4</w:t>
            </w:r>
          </w:p>
        </w:tc>
      </w:tr>
      <w:tr w:rsidR="008E1C52" w:rsidRPr="006759DA" w14:paraId="3789C5DF" w14:textId="77777777" w:rsidTr="008E1C52">
        <w:trPr>
          <w:trHeight w:val="181"/>
        </w:trPr>
        <w:tc>
          <w:tcPr>
            <w:tcW w:w="4262" w:type="dxa"/>
            <w:gridSpan w:val="3"/>
          </w:tcPr>
          <w:p w14:paraId="71B70A43" w14:textId="332E0A21" w:rsidR="008E1C52" w:rsidRPr="006759DA" w:rsidRDefault="008E1C52">
            <w:pPr>
              <w:pStyle w:val="ExhibitText"/>
              <w:rPr>
                <w:sz w:val="18"/>
                <w:szCs w:val="18"/>
                <w:lang w:val="en-GB"/>
              </w:rPr>
            </w:pPr>
            <w:r w:rsidRPr="006759DA">
              <w:rPr>
                <w:sz w:val="18"/>
                <w:szCs w:val="18"/>
                <w:lang w:val="en-GB"/>
              </w:rPr>
              <w:t xml:space="preserve">Top 10 </w:t>
            </w:r>
            <w:r w:rsidR="00B214A5" w:rsidRPr="006759DA">
              <w:rPr>
                <w:sz w:val="18"/>
                <w:szCs w:val="18"/>
                <w:lang w:val="en-GB"/>
              </w:rPr>
              <w:t xml:space="preserve">Share </w:t>
            </w:r>
            <w:r w:rsidRPr="006759DA">
              <w:rPr>
                <w:sz w:val="18"/>
                <w:szCs w:val="18"/>
                <w:lang w:val="en-GB"/>
              </w:rPr>
              <w:t xml:space="preserve">of Top 250 </w:t>
            </w:r>
            <w:r w:rsidR="00B214A5" w:rsidRPr="006759DA">
              <w:rPr>
                <w:sz w:val="18"/>
                <w:szCs w:val="18"/>
                <w:lang w:val="en-GB"/>
              </w:rPr>
              <w:t>Retail Revenue</w:t>
            </w:r>
          </w:p>
        </w:tc>
        <w:tc>
          <w:tcPr>
            <w:tcW w:w="1269" w:type="dxa"/>
          </w:tcPr>
          <w:p w14:paraId="161199F6" w14:textId="77777777" w:rsidR="008E1C52" w:rsidRPr="006759DA" w:rsidRDefault="008E1C52" w:rsidP="006A0A5E">
            <w:pPr>
              <w:pStyle w:val="ExhibitText"/>
              <w:jc w:val="right"/>
              <w:rPr>
                <w:sz w:val="18"/>
                <w:szCs w:val="18"/>
                <w:lang w:val="en-GB"/>
              </w:rPr>
            </w:pPr>
            <w:r w:rsidRPr="006759DA">
              <w:rPr>
                <w:sz w:val="18"/>
                <w:szCs w:val="18"/>
                <w:lang w:val="en-GB"/>
              </w:rPr>
              <w:t>29.7%</w:t>
            </w:r>
          </w:p>
        </w:tc>
        <w:tc>
          <w:tcPr>
            <w:tcW w:w="1122" w:type="dxa"/>
          </w:tcPr>
          <w:p w14:paraId="3C4C4251" w14:textId="77777777" w:rsidR="008E1C52" w:rsidRPr="006759DA" w:rsidRDefault="008E1C52" w:rsidP="006A0A5E">
            <w:pPr>
              <w:pStyle w:val="ExhibitText"/>
              <w:jc w:val="right"/>
              <w:rPr>
                <w:sz w:val="18"/>
                <w:szCs w:val="18"/>
                <w:lang w:val="en-GB"/>
              </w:rPr>
            </w:pPr>
          </w:p>
        </w:tc>
        <w:tc>
          <w:tcPr>
            <w:tcW w:w="1386" w:type="dxa"/>
          </w:tcPr>
          <w:p w14:paraId="5498EFFF" w14:textId="77777777" w:rsidR="008E1C52" w:rsidRPr="006759DA" w:rsidRDefault="008E1C52" w:rsidP="006A0A5E">
            <w:pPr>
              <w:pStyle w:val="ExhibitText"/>
              <w:jc w:val="right"/>
              <w:rPr>
                <w:sz w:val="18"/>
                <w:szCs w:val="18"/>
                <w:lang w:val="en-GB"/>
              </w:rPr>
            </w:pPr>
          </w:p>
        </w:tc>
        <w:tc>
          <w:tcPr>
            <w:tcW w:w="1311" w:type="dxa"/>
          </w:tcPr>
          <w:p w14:paraId="0A3BE9EC" w14:textId="77777777" w:rsidR="008E1C52" w:rsidRPr="006759DA" w:rsidRDefault="008E1C52" w:rsidP="006A0A5E">
            <w:pPr>
              <w:pStyle w:val="ExhibitText"/>
              <w:jc w:val="right"/>
              <w:rPr>
                <w:sz w:val="18"/>
                <w:szCs w:val="18"/>
                <w:lang w:val="en-GB"/>
              </w:rPr>
            </w:pPr>
          </w:p>
        </w:tc>
      </w:tr>
    </w:tbl>
    <w:p w14:paraId="3B78CC43" w14:textId="77777777" w:rsidR="008E1C52" w:rsidRPr="006759DA" w:rsidRDefault="008E1C52" w:rsidP="008E1C52">
      <w:pPr>
        <w:pStyle w:val="BodyTextMain"/>
        <w:rPr>
          <w:rFonts w:asciiTheme="minorEastAsia" w:hAnsiTheme="minorEastAsia" w:cstheme="minorEastAsia"/>
          <w:lang w:val="en-GB"/>
        </w:rPr>
      </w:pPr>
    </w:p>
    <w:p w14:paraId="2440EE6C" w14:textId="5AC2AC69" w:rsidR="008E1C52" w:rsidRPr="006759DA" w:rsidRDefault="008E1C52" w:rsidP="008E4FEB">
      <w:pPr>
        <w:pStyle w:val="Footnote"/>
        <w:rPr>
          <w:lang w:val="en-GB"/>
        </w:rPr>
      </w:pPr>
      <w:r w:rsidRPr="006759DA">
        <w:rPr>
          <w:lang w:val="en-GB"/>
        </w:rPr>
        <w:t>Source: Deloitte</w:t>
      </w:r>
      <w:r w:rsidR="00B214A5" w:rsidRPr="006759DA">
        <w:rPr>
          <w:lang w:val="en-GB"/>
        </w:rPr>
        <w:t>,</w:t>
      </w:r>
      <w:r w:rsidRPr="006759DA">
        <w:rPr>
          <w:lang w:val="en-GB"/>
        </w:rPr>
        <w:t xml:space="preserve"> </w:t>
      </w:r>
      <w:r w:rsidRPr="006759DA">
        <w:rPr>
          <w:i/>
          <w:lang w:val="en-GB"/>
        </w:rPr>
        <w:t>Global Powers of Retailing 201</w:t>
      </w:r>
      <w:r w:rsidR="00797CDC" w:rsidRPr="006759DA">
        <w:rPr>
          <w:i/>
          <w:lang w:val="en-GB"/>
        </w:rPr>
        <w:t>5</w:t>
      </w:r>
      <w:r w:rsidR="00B214A5" w:rsidRPr="006759DA">
        <w:rPr>
          <w:i/>
          <w:lang w:val="en-GB"/>
        </w:rPr>
        <w:t xml:space="preserve">: </w:t>
      </w:r>
      <w:r w:rsidR="00797CDC" w:rsidRPr="006759DA">
        <w:rPr>
          <w:i/>
          <w:lang w:val="en-GB"/>
        </w:rPr>
        <w:t>Embracing Innovation</w:t>
      </w:r>
      <w:r w:rsidR="00B214A5" w:rsidRPr="006759DA">
        <w:rPr>
          <w:lang w:val="en-GB"/>
        </w:rPr>
        <w:t>, 201</w:t>
      </w:r>
      <w:r w:rsidR="00797CDC" w:rsidRPr="006759DA">
        <w:rPr>
          <w:lang w:val="en-GB"/>
        </w:rPr>
        <w:t>5</w:t>
      </w:r>
      <w:r w:rsidR="00B214A5" w:rsidRPr="006759DA">
        <w:rPr>
          <w:lang w:val="en-GB"/>
        </w:rPr>
        <w:t xml:space="preserve">, accessed </w:t>
      </w:r>
      <w:r w:rsidR="00797CDC" w:rsidRPr="006759DA">
        <w:rPr>
          <w:lang w:val="en-GB"/>
        </w:rPr>
        <w:t>July 11, 2018</w:t>
      </w:r>
      <w:r w:rsidR="00B214A5" w:rsidRPr="006759DA">
        <w:rPr>
          <w:lang w:val="en-GB"/>
        </w:rPr>
        <w:t xml:space="preserve">, </w:t>
      </w:r>
      <w:r w:rsidRPr="006759DA">
        <w:rPr>
          <w:lang w:val="en-GB"/>
        </w:rPr>
        <w:t>www2.deloitte.com/content/dam/Deloitte/global/Documents/Consumer-Business/gx-cb-global-powers-of-retailing-2016.pdf</w:t>
      </w:r>
      <w:r w:rsidR="00B214A5" w:rsidRPr="006759DA">
        <w:rPr>
          <w:lang w:val="en-GB"/>
        </w:rPr>
        <w:t>.</w:t>
      </w:r>
    </w:p>
    <w:p w14:paraId="6AE9178A" w14:textId="77777777" w:rsidR="00183014" w:rsidRPr="006759DA" w:rsidRDefault="00183014" w:rsidP="008E1C52">
      <w:pPr>
        <w:pStyle w:val="BodyTextMain"/>
        <w:rPr>
          <w:rFonts w:asciiTheme="minorEastAsia" w:hAnsiTheme="minorEastAsia" w:cstheme="minorEastAsia"/>
          <w:lang w:val="en-GB"/>
        </w:rPr>
      </w:pPr>
    </w:p>
    <w:p w14:paraId="3B219EE8" w14:textId="77777777" w:rsidR="008E1C52" w:rsidRPr="006759DA" w:rsidRDefault="008E1C52" w:rsidP="008E1C52">
      <w:pPr>
        <w:pStyle w:val="BodyTextMain"/>
        <w:rPr>
          <w:rFonts w:asciiTheme="minorEastAsia" w:hAnsiTheme="minorEastAsia" w:cstheme="minorEastAsia"/>
          <w:sz w:val="10"/>
          <w:szCs w:val="10"/>
          <w:lang w:val="en-GB"/>
        </w:rPr>
      </w:pPr>
    </w:p>
    <w:p w14:paraId="13D9EC72" w14:textId="77777777" w:rsidR="008E1C52" w:rsidRPr="006759DA" w:rsidRDefault="000111FE" w:rsidP="00973B67">
      <w:pPr>
        <w:pStyle w:val="ExhibitHeading"/>
        <w:rPr>
          <w:lang w:val="en-GB"/>
        </w:rPr>
      </w:pPr>
      <w:r w:rsidRPr="006759DA">
        <w:rPr>
          <w:lang w:val="en-GB"/>
        </w:rPr>
        <w:t>Exhibit 2: Costco Operating Income and Warehouse Count</w:t>
      </w:r>
    </w:p>
    <w:p w14:paraId="2A5093CD" w14:textId="77777777" w:rsidR="008E1C52" w:rsidRPr="006759DA" w:rsidRDefault="008E1C52" w:rsidP="008E1C52">
      <w:pPr>
        <w:pStyle w:val="BodyTextMain"/>
        <w:rPr>
          <w:rFonts w:asciiTheme="minorEastAsia" w:hAnsiTheme="minorEastAsia" w:cstheme="minorEastAsia"/>
          <w:sz w:val="12"/>
          <w:szCs w:val="12"/>
          <w:lang w:val="en-GB"/>
        </w:rPr>
      </w:pPr>
    </w:p>
    <w:p w14:paraId="7042F6C3" w14:textId="77777777" w:rsidR="008E1C52" w:rsidRPr="006759DA" w:rsidRDefault="000111FE" w:rsidP="000111FE">
      <w:pPr>
        <w:pStyle w:val="BodyTextMain"/>
        <w:jc w:val="center"/>
        <w:rPr>
          <w:rFonts w:asciiTheme="minorEastAsia" w:hAnsiTheme="minorEastAsia" w:cstheme="minorEastAsia"/>
          <w:lang w:val="en-GB"/>
        </w:rPr>
      </w:pPr>
      <w:r w:rsidRPr="006759DA">
        <w:rPr>
          <w:rFonts w:asciiTheme="minorEastAsia" w:hAnsiTheme="minorEastAsia" w:cstheme="minorEastAsia"/>
          <w:noProof/>
          <w:sz w:val="20"/>
          <w:szCs w:val="20"/>
        </w:rPr>
        <w:drawing>
          <wp:inline distT="0" distB="0" distL="0" distR="0" wp14:anchorId="3D1B40F4" wp14:editId="2D35AA7B">
            <wp:extent cx="5390515" cy="3086100"/>
            <wp:effectExtent l="0" t="0" r="63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06114D6" w14:textId="77777777" w:rsidR="00151974" w:rsidRPr="006759DA" w:rsidRDefault="00151974" w:rsidP="008E4FEB">
      <w:pPr>
        <w:pStyle w:val="Footnote"/>
        <w:rPr>
          <w:lang w:val="en-GB"/>
        </w:rPr>
      </w:pPr>
    </w:p>
    <w:p w14:paraId="54018821" w14:textId="23AD1082" w:rsidR="008E1C52" w:rsidRPr="006759DA" w:rsidRDefault="000111FE" w:rsidP="008E4FEB">
      <w:pPr>
        <w:pStyle w:val="Footnote"/>
        <w:rPr>
          <w:lang w:val="en-GB"/>
        </w:rPr>
      </w:pPr>
      <w:r w:rsidRPr="006759DA">
        <w:rPr>
          <w:lang w:val="en-GB"/>
        </w:rPr>
        <w:t xml:space="preserve">Source: </w:t>
      </w:r>
      <w:r w:rsidR="00426962" w:rsidRPr="006759DA">
        <w:rPr>
          <w:lang w:val="en-GB"/>
        </w:rPr>
        <w:t xml:space="preserve">Created by case authors based on data from </w:t>
      </w:r>
      <w:r w:rsidRPr="006759DA">
        <w:rPr>
          <w:lang w:val="en-GB"/>
        </w:rPr>
        <w:t>Costco Wholesale</w:t>
      </w:r>
      <w:r w:rsidR="006557F8" w:rsidRPr="006759DA">
        <w:rPr>
          <w:lang w:val="en-GB"/>
        </w:rPr>
        <w:t xml:space="preserve"> Corporation,</w:t>
      </w:r>
      <w:r w:rsidR="00426962" w:rsidRPr="006759DA">
        <w:rPr>
          <w:lang w:val="en-GB"/>
        </w:rPr>
        <w:t xml:space="preserve"> </w:t>
      </w:r>
      <w:r w:rsidR="006C4048">
        <w:rPr>
          <w:lang w:val="en-GB"/>
        </w:rPr>
        <w:t>A</w:t>
      </w:r>
      <w:r w:rsidRPr="006759DA">
        <w:rPr>
          <w:lang w:val="en-GB"/>
        </w:rPr>
        <w:t xml:space="preserve">nnual </w:t>
      </w:r>
      <w:r w:rsidR="006C4048">
        <w:rPr>
          <w:lang w:val="en-GB"/>
        </w:rPr>
        <w:t>R</w:t>
      </w:r>
      <w:r w:rsidR="00426962" w:rsidRPr="006759DA">
        <w:rPr>
          <w:lang w:val="en-GB"/>
        </w:rPr>
        <w:t xml:space="preserve">eports, </w:t>
      </w:r>
      <w:r w:rsidRPr="006759DA">
        <w:rPr>
          <w:lang w:val="en-GB"/>
        </w:rPr>
        <w:t>1998</w:t>
      </w:r>
      <w:r w:rsidR="00426962" w:rsidRPr="006759DA">
        <w:rPr>
          <w:lang w:val="en-GB"/>
        </w:rPr>
        <w:t>–</w:t>
      </w:r>
      <w:r w:rsidRPr="006759DA">
        <w:rPr>
          <w:lang w:val="en-GB"/>
        </w:rPr>
        <w:t>2014</w:t>
      </w:r>
      <w:r w:rsidR="00934188" w:rsidRPr="006759DA">
        <w:rPr>
          <w:lang w:val="en-GB"/>
        </w:rPr>
        <w:t xml:space="preserve">, accessed </w:t>
      </w:r>
      <w:r w:rsidR="0022272A">
        <w:rPr>
          <w:lang w:val="en-GB"/>
        </w:rPr>
        <w:t>December</w:t>
      </w:r>
      <w:r w:rsidR="00934188" w:rsidRPr="006759DA">
        <w:rPr>
          <w:lang w:val="en-GB"/>
        </w:rPr>
        <w:t xml:space="preserve"> 3</w:t>
      </w:r>
      <w:r w:rsidR="00426962" w:rsidRPr="006759DA">
        <w:rPr>
          <w:lang w:val="en-GB"/>
        </w:rPr>
        <w:t xml:space="preserve">, 2018, </w:t>
      </w:r>
      <w:r w:rsidR="006557F8" w:rsidRPr="006759DA">
        <w:rPr>
          <w:lang w:val="en-GB"/>
        </w:rPr>
        <w:t>http://phx.corporate-ir.net/phoenix.zhtml?c=83830&amp;p=irol-reportsannual</w:t>
      </w:r>
      <w:r w:rsidR="0022272A">
        <w:rPr>
          <w:lang w:val="en-GB"/>
        </w:rPr>
        <w:t>.</w:t>
      </w:r>
    </w:p>
    <w:p w14:paraId="29F46E77" w14:textId="77777777" w:rsidR="008E1C52" w:rsidRPr="006759DA" w:rsidRDefault="000111FE" w:rsidP="006557F8">
      <w:pPr>
        <w:pStyle w:val="ExhibitHeading"/>
        <w:keepNext/>
        <w:rPr>
          <w:lang w:val="en-GB"/>
        </w:rPr>
      </w:pPr>
      <w:r w:rsidRPr="006759DA">
        <w:rPr>
          <w:lang w:val="en-GB"/>
        </w:rPr>
        <w:lastRenderedPageBreak/>
        <w:t>Exhibit 3: Costco Sales Revenue</w:t>
      </w:r>
    </w:p>
    <w:p w14:paraId="213EA140" w14:textId="77777777" w:rsidR="008E1C52" w:rsidRPr="006759DA" w:rsidRDefault="008E1C52" w:rsidP="006557F8">
      <w:pPr>
        <w:pStyle w:val="BodyTextMain"/>
        <w:rPr>
          <w:lang w:val="en-GB"/>
        </w:rPr>
      </w:pPr>
    </w:p>
    <w:p w14:paraId="7ABCDBCE" w14:textId="77777777" w:rsidR="008E1C52" w:rsidRPr="006759DA" w:rsidRDefault="000111FE" w:rsidP="006557F8">
      <w:pPr>
        <w:pStyle w:val="BodyTextMain"/>
        <w:keepNext/>
        <w:rPr>
          <w:rFonts w:asciiTheme="minorEastAsia" w:hAnsiTheme="minorEastAsia" w:cstheme="minorEastAsia"/>
          <w:lang w:val="en-GB"/>
        </w:rPr>
      </w:pPr>
      <w:r w:rsidRPr="006759DA">
        <w:rPr>
          <w:rFonts w:asciiTheme="minorEastAsia" w:hAnsiTheme="minorEastAsia" w:cstheme="minorEastAsia"/>
          <w:noProof/>
          <w:sz w:val="21"/>
          <w:szCs w:val="21"/>
        </w:rPr>
        <w:drawing>
          <wp:inline distT="0" distB="0" distL="0" distR="0" wp14:anchorId="27D080C0" wp14:editId="68E39BAE">
            <wp:extent cx="5802630" cy="2419350"/>
            <wp:effectExtent l="0" t="0" r="762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2B88762" w14:textId="3CBAC50B" w:rsidR="00426962" w:rsidRPr="006759DA" w:rsidRDefault="000111FE" w:rsidP="006557F8">
      <w:pPr>
        <w:pStyle w:val="Footnote"/>
        <w:keepNext/>
        <w:rPr>
          <w:lang w:val="en-GB"/>
        </w:rPr>
      </w:pPr>
      <w:r w:rsidRPr="006759DA">
        <w:rPr>
          <w:lang w:val="en-GB"/>
        </w:rPr>
        <w:t xml:space="preserve">Source: </w:t>
      </w:r>
      <w:r w:rsidR="00426962" w:rsidRPr="006759DA">
        <w:rPr>
          <w:lang w:val="en-GB"/>
        </w:rPr>
        <w:t>Created by case authors based on data from Costco Wholesale</w:t>
      </w:r>
      <w:r w:rsidR="004B6E70" w:rsidRPr="006759DA">
        <w:rPr>
          <w:lang w:val="en-GB"/>
        </w:rPr>
        <w:t xml:space="preserve"> </w:t>
      </w:r>
      <w:r w:rsidR="006557F8" w:rsidRPr="006759DA">
        <w:rPr>
          <w:lang w:val="en-GB"/>
        </w:rPr>
        <w:t xml:space="preserve">Corporation, </w:t>
      </w:r>
      <w:r w:rsidR="006C4048">
        <w:rPr>
          <w:lang w:val="en-GB"/>
        </w:rPr>
        <w:t>A</w:t>
      </w:r>
      <w:r w:rsidR="00426962" w:rsidRPr="006759DA">
        <w:rPr>
          <w:lang w:val="en-GB"/>
        </w:rPr>
        <w:t xml:space="preserve">nnual </w:t>
      </w:r>
      <w:r w:rsidR="006C4048">
        <w:rPr>
          <w:lang w:val="en-GB"/>
        </w:rPr>
        <w:t>R</w:t>
      </w:r>
      <w:r w:rsidR="00426962" w:rsidRPr="006759DA">
        <w:rPr>
          <w:lang w:val="en-GB"/>
        </w:rPr>
        <w:t>eports</w:t>
      </w:r>
      <w:r w:rsidR="006557F8" w:rsidRPr="006759DA">
        <w:rPr>
          <w:lang w:val="en-GB"/>
        </w:rPr>
        <w:t>,</w:t>
      </w:r>
      <w:r w:rsidR="00934188" w:rsidRPr="006759DA">
        <w:rPr>
          <w:lang w:val="en-GB"/>
        </w:rPr>
        <w:t xml:space="preserve"> 1998–2014, accessed </w:t>
      </w:r>
      <w:r w:rsidR="00C02907">
        <w:rPr>
          <w:lang w:val="en-GB"/>
        </w:rPr>
        <w:t xml:space="preserve">December </w:t>
      </w:r>
      <w:r w:rsidR="00934188" w:rsidRPr="006759DA">
        <w:rPr>
          <w:lang w:val="en-GB"/>
        </w:rPr>
        <w:t>3</w:t>
      </w:r>
      <w:r w:rsidR="00426962" w:rsidRPr="006759DA">
        <w:rPr>
          <w:lang w:val="en-GB"/>
        </w:rPr>
        <w:t>, 2018, http://phx.corporate-ir.net/phoenix.zht</w:t>
      </w:r>
      <w:r w:rsidR="007B158D" w:rsidRPr="006759DA">
        <w:rPr>
          <w:lang w:val="en-GB"/>
        </w:rPr>
        <w:t>ml?c=83830&amp;p=irol-reportsannual</w:t>
      </w:r>
      <w:r w:rsidR="00C02907">
        <w:rPr>
          <w:lang w:val="en-GB"/>
        </w:rPr>
        <w:t>.</w:t>
      </w:r>
    </w:p>
    <w:p w14:paraId="021E2852" w14:textId="77777777" w:rsidR="008E1C52" w:rsidRPr="006759DA" w:rsidRDefault="008E1C52" w:rsidP="00776355">
      <w:pPr>
        <w:pStyle w:val="BodyTextMain"/>
        <w:rPr>
          <w:lang w:val="en-GB"/>
        </w:rPr>
      </w:pPr>
    </w:p>
    <w:p w14:paraId="71C97FF2" w14:textId="77777777" w:rsidR="008E1C52" w:rsidRPr="006759DA" w:rsidRDefault="008E1C52" w:rsidP="00776355">
      <w:pPr>
        <w:pStyle w:val="BodyTextMain"/>
        <w:rPr>
          <w:lang w:val="en-GB"/>
        </w:rPr>
      </w:pPr>
    </w:p>
    <w:p w14:paraId="5A3E6265" w14:textId="763D3A53" w:rsidR="008E1C52" w:rsidRPr="006759DA" w:rsidRDefault="00134B8D" w:rsidP="008E4FEB">
      <w:pPr>
        <w:pStyle w:val="ExhibitHeading"/>
        <w:rPr>
          <w:lang w:val="en-GB"/>
        </w:rPr>
      </w:pPr>
      <w:r w:rsidRPr="006759DA">
        <w:rPr>
          <w:lang w:val="en-GB"/>
        </w:rPr>
        <w:t>Exhibit 4</w:t>
      </w:r>
      <w:r w:rsidR="000111FE" w:rsidRPr="006759DA">
        <w:rPr>
          <w:lang w:val="en-GB"/>
        </w:rPr>
        <w:t>: Costco’s Market Entry Mode and Current Level of Ownership by Country</w:t>
      </w:r>
    </w:p>
    <w:p w14:paraId="2651A3B8" w14:textId="77777777" w:rsidR="008E1C52" w:rsidRPr="006759DA" w:rsidRDefault="008E1C52" w:rsidP="008E1C52">
      <w:pPr>
        <w:pStyle w:val="BodyTextMain"/>
        <w:rPr>
          <w:rFonts w:asciiTheme="minorEastAsia" w:hAnsiTheme="minorEastAsia" w:cstheme="minorEastAsia"/>
          <w:lang w:val="en-GB"/>
        </w:rPr>
      </w:pPr>
    </w:p>
    <w:tbl>
      <w:tblPr>
        <w:tblStyle w:val="TableGrid"/>
        <w:tblW w:w="0" w:type="auto"/>
        <w:tblLook w:val="04A0" w:firstRow="1" w:lastRow="0" w:firstColumn="1" w:lastColumn="0" w:noHBand="0" w:noVBand="1"/>
      </w:tblPr>
      <w:tblGrid>
        <w:gridCol w:w="1795"/>
        <w:gridCol w:w="1800"/>
        <w:gridCol w:w="2790"/>
        <w:gridCol w:w="2965"/>
      </w:tblGrid>
      <w:tr w:rsidR="000111FE" w:rsidRPr="006759DA" w14:paraId="602E3071" w14:textId="77777777" w:rsidTr="00C23159">
        <w:tc>
          <w:tcPr>
            <w:tcW w:w="1795" w:type="dxa"/>
          </w:tcPr>
          <w:p w14:paraId="25029A52" w14:textId="77777777" w:rsidR="000111FE" w:rsidRPr="006759DA" w:rsidRDefault="000111FE" w:rsidP="008E4FEB">
            <w:pPr>
              <w:pStyle w:val="ExhibitText"/>
              <w:rPr>
                <w:b/>
                <w:lang w:val="en-GB"/>
              </w:rPr>
            </w:pPr>
            <w:r w:rsidRPr="006759DA">
              <w:rPr>
                <w:b/>
                <w:lang w:val="en-GB"/>
              </w:rPr>
              <w:t>Country</w:t>
            </w:r>
          </w:p>
        </w:tc>
        <w:tc>
          <w:tcPr>
            <w:tcW w:w="1800" w:type="dxa"/>
          </w:tcPr>
          <w:p w14:paraId="6FE6F269" w14:textId="77777777" w:rsidR="000111FE" w:rsidRPr="006759DA" w:rsidRDefault="000111FE" w:rsidP="006A0A5E">
            <w:pPr>
              <w:pStyle w:val="ExhibitText"/>
              <w:jc w:val="center"/>
              <w:rPr>
                <w:b/>
                <w:lang w:val="en-GB"/>
              </w:rPr>
            </w:pPr>
            <w:r w:rsidRPr="006759DA">
              <w:rPr>
                <w:b/>
                <w:lang w:val="en-GB"/>
              </w:rPr>
              <w:t>Year of Entry</w:t>
            </w:r>
          </w:p>
        </w:tc>
        <w:tc>
          <w:tcPr>
            <w:tcW w:w="2790" w:type="dxa"/>
          </w:tcPr>
          <w:p w14:paraId="09EE8FF2" w14:textId="77777777" w:rsidR="000111FE" w:rsidRPr="006759DA" w:rsidRDefault="000111FE" w:rsidP="006A0A5E">
            <w:pPr>
              <w:pStyle w:val="ExhibitText"/>
              <w:jc w:val="center"/>
              <w:rPr>
                <w:b/>
                <w:lang w:val="en-GB"/>
              </w:rPr>
            </w:pPr>
            <w:r w:rsidRPr="006759DA">
              <w:rPr>
                <w:b/>
                <w:lang w:val="en-GB"/>
              </w:rPr>
              <w:t>Market Entry Mode</w:t>
            </w:r>
          </w:p>
        </w:tc>
        <w:tc>
          <w:tcPr>
            <w:tcW w:w="2965" w:type="dxa"/>
          </w:tcPr>
          <w:p w14:paraId="2014FCAD" w14:textId="77777777" w:rsidR="000111FE" w:rsidRPr="006759DA" w:rsidRDefault="000111FE" w:rsidP="006A0A5E">
            <w:pPr>
              <w:pStyle w:val="ExhibitText"/>
              <w:jc w:val="center"/>
              <w:rPr>
                <w:b/>
                <w:lang w:val="en-GB"/>
              </w:rPr>
            </w:pPr>
            <w:r w:rsidRPr="006759DA">
              <w:rPr>
                <w:b/>
                <w:lang w:val="en-GB"/>
              </w:rPr>
              <w:t>Current Level of Ownership</w:t>
            </w:r>
          </w:p>
        </w:tc>
      </w:tr>
      <w:tr w:rsidR="000111FE" w:rsidRPr="006759DA" w14:paraId="120A51DA" w14:textId="77777777" w:rsidTr="00C23159">
        <w:tc>
          <w:tcPr>
            <w:tcW w:w="1795" w:type="dxa"/>
          </w:tcPr>
          <w:p w14:paraId="670556B6" w14:textId="77777777" w:rsidR="000111FE" w:rsidRPr="006759DA" w:rsidRDefault="000111FE" w:rsidP="008E4FEB">
            <w:pPr>
              <w:pStyle w:val="ExhibitText"/>
              <w:rPr>
                <w:lang w:val="en-GB"/>
              </w:rPr>
            </w:pPr>
            <w:r w:rsidRPr="006759DA">
              <w:rPr>
                <w:lang w:val="en-GB"/>
              </w:rPr>
              <w:t>Canada</w:t>
            </w:r>
          </w:p>
        </w:tc>
        <w:tc>
          <w:tcPr>
            <w:tcW w:w="1800" w:type="dxa"/>
          </w:tcPr>
          <w:p w14:paraId="52DC6107" w14:textId="77777777" w:rsidR="000111FE" w:rsidRPr="006759DA" w:rsidRDefault="000111FE" w:rsidP="006A0A5E">
            <w:pPr>
              <w:pStyle w:val="ExhibitText"/>
              <w:jc w:val="center"/>
              <w:rPr>
                <w:lang w:val="en-GB"/>
              </w:rPr>
            </w:pPr>
            <w:r w:rsidRPr="006759DA">
              <w:rPr>
                <w:lang w:val="en-GB"/>
              </w:rPr>
              <w:t>1985</w:t>
            </w:r>
          </w:p>
        </w:tc>
        <w:tc>
          <w:tcPr>
            <w:tcW w:w="2790" w:type="dxa"/>
          </w:tcPr>
          <w:p w14:paraId="6B832C5F" w14:textId="089EDB98" w:rsidR="000111FE" w:rsidRPr="006759DA" w:rsidRDefault="000111FE" w:rsidP="006A0A5E">
            <w:pPr>
              <w:pStyle w:val="ExhibitText"/>
              <w:jc w:val="center"/>
              <w:rPr>
                <w:lang w:val="en-GB"/>
              </w:rPr>
            </w:pPr>
            <w:r w:rsidRPr="006759DA">
              <w:rPr>
                <w:lang w:val="en-GB"/>
              </w:rPr>
              <w:t xml:space="preserve">Wholly </w:t>
            </w:r>
            <w:r w:rsidR="00426962" w:rsidRPr="006759DA">
              <w:rPr>
                <w:lang w:val="en-GB"/>
              </w:rPr>
              <w:t>Owned Subsidiary</w:t>
            </w:r>
          </w:p>
        </w:tc>
        <w:tc>
          <w:tcPr>
            <w:tcW w:w="2965" w:type="dxa"/>
          </w:tcPr>
          <w:p w14:paraId="224A28C2" w14:textId="77777777" w:rsidR="000111FE" w:rsidRPr="006759DA" w:rsidRDefault="000111FE" w:rsidP="006A0A5E">
            <w:pPr>
              <w:pStyle w:val="ExhibitText"/>
              <w:jc w:val="center"/>
              <w:rPr>
                <w:lang w:val="en-GB"/>
              </w:rPr>
            </w:pPr>
            <w:r w:rsidRPr="006759DA">
              <w:rPr>
                <w:lang w:val="en-GB"/>
              </w:rPr>
              <w:t>100% by Costco</w:t>
            </w:r>
          </w:p>
        </w:tc>
      </w:tr>
      <w:tr w:rsidR="000111FE" w:rsidRPr="006759DA" w14:paraId="46C2E708" w14:textId="77777777" w:rsidTr="00C23159">
        <w:tc>
          <w:tcPr>
            <w:tcW w:w="1795" w:type="dxa"/>
          </w:tcPr>
          <w:p w14:paraId="30F2D497" w14:textId="77777777" w:rsidR="000111FE" w:rsidRPr="006759DA" w:rsidRDefault="000111FE" w:rsidP="008E4FEB">
            <w:pPr>
              <w:pStyle w:val="ExhibitText"/>
              <w:rPr>
                <w:lang w:val="en-GB"/>
              </w:rPr>
            </w:pPr>
            <w:r w:rsidRPr="006759DA">
              <w:rPr>
                <w:lang w:val="en-GB"/>
              </w:rPr>
              <w:t>Mexico</w:t>
            </w:r>
          </w:p>
        </w:tc>
        <w:tc>
          <w:tcPr>
            <w:tcW w:w="1800" w:type="dxa"/>
          </w:tcPr>
          <w:p w14:paraId="6ED267C4" w14:textId="77777777" w:rsidR="000111FE" w:rsidRPr="006759DA" w:rsidRDefault="000111FE" w:rsidP="006A0A5E">
            <w:pPr>
              <w:pStyle w:val="ExhibitText"/>
              <w:jc w:val="center"/>
              <w:rPr>
                <w:lang w:val="en-GB"/>
              </w:rPr>
            </w:pPr>
            <w:r w:rsidRPr="006759DA">
              <w:rPr>
                <w:lang w:val="en-GB"/>
              </w:rPr>
              <w:t>1991</w:t>
            </w:r>
          </w:p>
        </w:tc>
        <w:tc>
          <w:tcPr>
            <w:tcW w:w="2790" w:type="dxa"/>
          </w:tcPr>
          <w:p w14:paraId="18E3ABEA" w14:textId="77777777" w:rsidR="000111FE" w:rsidRPr="006759DA" w:rsidRDefault="000111FE" w:rsidP="006A0A5E">
            <w:pPr>
              <w:pStyle w:val="ExhibitText"/>
              <w:jc w:val="center"/>
              <w:rPr>
                <w:lang w:val="en-GB"/>
              </w:rPr>
            </w:pPr>
            <w:r w:rsidRPr="006759DA">
              <w:rPr>
                <w:lang w:val="en-GB"/>
              </w:rPr>
              <w:t>Joint Venture</w:t>
            </w:r>
          </w:p>
        </w:tc>
        <w:tc>
          <w:tcPr>
            <w:tcW w:w="2965" w:type="dxa"/>
          </w:tcPr>
          <w:p w14:paraId="7146DE16" w14:textId="77777777" w:rsidR="000111FE" w:rsidRPr="006759DA" w:rsidRDefault="000111FE" w:rsidP="006A0A5E">
            <w:pPr>
              <w:pStyle w:val="ExhibitText"/>
              <w:jc w:val="center"/>
              <w:rPr>
                <w:lang w:val="en-GB"/>
              </w:rPr>
            </w:pPr>
            <w:r w:rsidRPr="006759DA">
              <w:rPr>
                <w:lang w:val="en-GB"/>
              </w:rPr>
              <w:t>100% by Costco</w:t>
            </w:r>
          </w:p>
        </w:tc>
      </w:tr>
      <w:tr w:rsidR="000111FE" w:rsidRPr="006759DA" w14:paraId="436BA2F9" w14:textId="77777777" w:rsidTr="00C23159">
        <w:tc>
          <w:tcPr>
            <w:tcW w:w="1795" w:type="dxa"/>
          </w:tcPr>
          <w:p w14:paraId="3E25ED41" w14:textId="77777777" w:rsidR="000111FE" w:rsidRPr="006759DA" w:rsidRDefault="000111FE" w:rsidP="008E4FEB">
            <w:pPr>
              <w:pStyle w:val="ExhibitText"/>
              <w:rPr>
                <w:lang w:val="en-GB"/>
              </w:rPr>
            </w:pPr>
            <w:r w:rsidRPr="006759DA">
              <w:rPr>
                <w:lang w:val="en-GB"/>
              </w:rPr>
              <w:t>United Kingdom</w:t>
            </w:r>
          </w:p>
        </w:tc>
        <w:tc>
          <w:tcPr>
            <w:tcW w:w="1800" w:type="dxa"/>
          </w:tcPr>
          <w:p w14:paraId="500BBE2A" w14:textId="77777777" w:rsidR="000111FE" w:rsidRPr="006759DA" w:rsidRDefault="000111FE" w:rsidP="006A0A5E">
            <w:pPr>
              <w:pStyle w:val="ExhibitText"/>
              <w:jc w:val="center"/>
              <w:rPr>
                <w:lang w:val="en-GB"/>
              </w:rPr>
            </w:pPr>
            <w:r w:rsidRPr="006759DA">
              <w:rPr>
                <w:lang w:val="en-GB"/>
              </w:rPr>
              <w:t>1993</w:t>
            </w:r>
          </w:p>
        </w:tc>
        <w:tc>
          <w:tcPr>
            <w:tcW w:w="2790" w:type="dxa"/>
          </w:tcPr>
          <w:p w14:paraId="6D8B2C25" w14:textId="77777777" w:rsidR="000111FE" w:rsidRPr="006759DA" w:rsidRDefault="000111FE" w:rsidP="006A0A5E">
            <w:pPr>
              <w:pStyle w:val="ExhibitText"/>
              <w:jc w:val="center"/>
              <w:rPr>
                <w:lang w:val="en-GB"/>
              </w:rPr>
            </w:pPr>
            <w:r w:rsidRPr="006759DA">
              <w:rPr>
                <w:lang w:val="en-GB"/>
              </w:rPr>
              <w:t>Joint Venture</w:t>
            </w:r>
          </w:p>
        </w:tc>
        <w:tc>
          <w:tcPr>
            <w:tcW w:w="2965" w:type="dxa"/>
          </w:tcPr>
          <w:p w14:paraId="0F296DF2" w14:textId="77777777" w:rsidR="000111FE" w:rsidRPr="006759DA" w:rsidRDefault="000111FE" w:rsidP="006A0A5E">
            <w:pPr>
              <w:pStyle w:val="ExhibitText"/>
              <w:jc w:val="center"/>
              <w:rPr>
                <w:lang w:val="en-GB"/>
              </w:rPr>
            </w:pPr>
            <w:r w:rsidRPr="006759DA">
              <w:rPr>
                <w:lang w:val="en-GB"/>
              </w:rPr>
              <w:t>100% by Costco</w:t>
            </w:r>
          </w:p>
        </w:tc>
      </w:tr>
      <w:tr w:rsidR="000111FE" w:rsidRPr="006759DA" w14:paraId="7102E261" w14:textId="77777777" w:rsidTr="00C23159">
        <w:tc>
          <w:tcPr>
            <w:tcW w:w="1795" w:type="dxa"/>
          </w:tcPr>
          <w:p w14:paraId="1357FDEE" w14:textId="77777777" w:rsidR="000111FE" w:rsidRPr="006759DA" w:rsidRDefault="000111FE" w:rsidP="008E4FEB">
            <w:pPr>
              <w:pStyle w:val="ExhibitText"/>
              <w:rPr>
                <w:lang w:val="en-GB"/>
              </w:rPr>
            </w:pPr>
            <w:r w:rsidRPr="006759DA">
              <w:rPr>
                <w:lang w:val="en-GB"/>
              </w:rPr>
              <w:t>South Korea</w:t>
            </w:r>
          </w:p>
        </w:tc>
        <w:tc>
          <w:tcPr>
            <w:tcW w:w="1800" w:type="dxa"/>
          </w:tcPr>
          <w:p w14:paraId="31B55446" w14:textId="77777777" w:rsidR="000111FE" w:rsidRPr="006759DA" w:rsidRDefault="000111FE" w:rsidP="006A0A5E">
            <w:pPr>
              <w:pStyle w:val="ExhibitText"/>
              <w:jc w:val="center"/>
              <w:rPr>
                <w:lang w:val="en-GB"/>
              </w:rPr>
            </w:pPr>
            <w:r w:rsidRPr="006759DA">
              <w:rPr>
                <w:lang w:val="en-GB"/>
              </w:rPr>
              <w:t>1994</w:t>
            </w:r>
          </w:p>
        </w:tc>
        <w:tc>
          <w:tcPr>
            <w:tcW w:w="2790" w:type="dxa"/>
          </w:tcPr>
          <w:p w14:paraId="146EDFD8" w14:textId="09BDF248" w:rsidR="000111FE" w:rsidRPr="006759DA" w:rsidRDefault="00C02907" w:rsidP="006A0A5E">
            <w:pPr>
              <w:pStyle w:val="ExhibitText"/>
              <w:jc w:val="center"/>
              <w:rPr>
                <w:lang w:val="en-GB"/>
              </w:rPr>
            </w:pPr>
            <w:r>
              <w:rPr>
                <w:lang w:val="en-GB"/>
              </w:rPr>
              <w:t>Licence</w:t>
            </w:r>
          </w:p>
        </w:tc>
        <w:tc>
          <w:tcPr>
            <w:tcW w:w="2965" w:type="dxa"/>
          </w:tcPr>
          <w:p w14:paraId="7C8E0FD9" w14:textId="3AE5450D" w:rsidR="000111FE" w:rsidRPr="006759DA" w:rsidRDefault="000111FE" w:rsidP="006A0A5E">
            <w:pPr>
              <w:pStyle w:val="ExhibitText"/>
              <w:jc w:val="center"/>
              <w:rPr>
                <w:lang w:val="en-GB"/>
              </w:rPr>
            </w:pPr>
            <w:r w:rsidRPr="006759DA">
              <w:rPr>
                <w:lang w:val="en-GB"/>
              </w:rPr>
              <w:t>JV</w:t>
            </w:r>
            <w:r w:rsidR="00426962" w:rsidRPr="006759DA">
              <w:rPr>
                <w:lang w:val="en-GB"/>
              </w:rPr>
              <w:t xml:space="preserve">: </w:t>
            </w:r>
            <w:r w:rsidRPr="006759DA">
              <w:rPr>
                <w:lang w:val="en-GB"/>
              </w:rPr>
              <w:t>94% by Costco, 6% by Shinsegae</w:t>
            </w:r>
          </w:p>
        </w:tc>
      </w:tr>
      <w:tr w:rsidR="000111FE" w:rsidRPr="006759DA" w14:paraId="5F7CB3C7" w14:textId="77777777" w:rsidTr="00C23159">
        <w:tc>
          <w:tcPr>
            <w:tcW w:w="1795" w:type="dxa"/>
          </w:tcPr>
          <w:p w14:paraId="16B38878" w14:textId="77777777" w:rsidR="000111FE" w:rsidRPr="006759DA" w:rsidRDefault="000111FE" w:rsidP="008E4FEB">
            <w:pPr>
              <w:pStyle w:val="ExhibitText"/>
              <w:rPr>
                <w:lang w:val="en-GB"/>
              </w:rPr>
            </w:pPr>
            <w:r w:rsidRPr="006759DA">
              <w:rPr>
                <w:lang w:val="en-GB"/>
              </w:rPr>
              <w:t>Taiwan</w:t>
            </w:r>
          </w:p>
        </w:tc>
        <w:tc>
          <w:tcPr>
            <w:tcW w:w="1800" w:type="dxa"/>
          </w:tcPr>
          <w:p w14:paraId="0087265C" w14:textId="77777777" w:rsidR="000111FE" w:rsidRPr="006759DA" w:rsidRDefault="000111FE" w:rsidP="006A0A5E">
            <w:pPr>
              <w:pStyle w:val="ExhibitText"/>
              <w:jc w:val="center"/>
              <w:rPr>
                <w:lang w:val="en-GB"/>
              </w:rPr>
            </w:pPr>
            <w:r w:rsidRPr="006759DA">
              <w:rPr>
                <w:lang w:val="en-GB"/>
              </w:rPr>
              <w:t>1997</w:t>
            </w:r>
          </w:p>
        </w:tc>
        <w:tc>
          <w:tcPr>
            <w:tcW w:w="2790" w:type="dxa"/>
          </w:tcPr>
          <w:p w14:paraId="5BD744D4" w14:textId="77777777" w:rsidR="000111FE" w:rsidRPr="006759DA" w:rsidRDefault="000111FE" w:rsidP="006A0A5E">
            <w:pPr>
              <w:pStyle w:val="ExhibitText"/>
              <w:jc w:val="center"/>
              <w:rPr>
                <w:lang w:val="en-GB"/>
              </w:rPr>
            </w:pPr>
            <w:r w:rsidRPr="006759DA">
              <w:rPr>
                <w:lang w:val="en-GB"/>
              </w:rPr>
              <w:t>Joint Venture</w:t>
            </w:r>
          </w:p>
        </w:tc>
        <w:tc>
          <w:tcPr>
            <w:tcW w:w="2965" w:type="dxa"/>
          </w:tcPr>
          <w:p w14:paraId="6C7855B3" w14:textId="0896D433" w:rsidR="000111FE" w:rsidRPr="006759DA" w:rsidRDefault="000111FE" w:rsidP="006A0A5E">
            <w:pPr>
              <w:pStyle w:val="ExhibitText"/>
              <w:jc w:val="center"/>
              <w:rPr>
                <w:lang w:val="en-GB"/>
              </w:rPr>
            </w:pPr>
            <w:r w:rsidRPr="006759DA">
              <w:rPr>
                <w:lang w:val="en-GB"/>
              </w:rPr>
              <w:t>JV</w:t>
            </w:r>
            <w:r w:rsidR="00426962" w:rsidRPr="006759DA">
              <w:rPr>
                <w:lang w:val="en-GB"/>
              </w:rPr>
              <w:t xml:space="preserve">: </w:t>
            </w:r>
            <w:r w:rsidRPr="006759DA">
              <w:rPr>
                <w:lang w:val="en-GB"/>
              </w:rPr>
              <w:t>55% by Costco, 45% by President DaTong Group</w:t>
            </w:r>
          </w:p>
        </w:tc>
      </w:tr>
      <w:tr w:rsidR="000111FE" w:rsidRPr="006759DA" w14:paraId="277F698F" w14:textId="77777777" w:rsidTr="00C23159">
        <w:tc>
          <w:tcPr>
            <w:tcW w:w="1795" w:type="dxa"/>
          </w:tcPr>
          <w:p w14:paraId="4E09CDF5" w14:textId="77777777" w:rsidR="000111FE" w:rsidRPr="006759DA" w:rsidRDefault="000111FE" w:rsidP="008E4FEB">
            <w:pPr>
              <w:pStyle w:val="ExhibitText"/>
              <w:rPr>
                <w:lang w:val="en-GB"/>
              </w:rPr>
            </w:pPr>
            <w:r w:rsidRPr="006759DA">
              <w:rPr>
                <w:lang w:val="en-GB"/>
              </w:rPr>
              <w:t>Japan</w:t>
            </w:r>
          </w:p>
        </w:tc>
        <w:tc>
          <w:tcPr>
            <w:tcW w:w="1800" w:type="dxa"/>
          </w:tcPr>
          <w:p w14:paraId="692F02B9" w14:textId="77777777" w:rsidR="000111FE" w:rsidRPr="006759DA" w:rsidRDefault="000111FE" w:rsidP="006A0A5E">
            <w:pPr>
              <w:pStyle w:val="ExhibitText"/>
              <w:jc w:val="center"/>
              <w:rPr>
                <w:lang w:val="en-GB"/>
              </w:rPr>
            </w:pPr>
            <w:r w:rsidRPr="006759DA">
              <w:rPr>
                <w:lang w:val="en-GB"/>
              </w:rPr>
              <w:t>1998</w:t>
            </w:r>
          </w:p>
        </w:tc>
        <w:tc>
          <w:tcPr>
            <w:tcW w:w="2790" w:type="dxa"/>
          </w:tcPr>
          <w:p w14:paraId="4B88616D" w14:textId="473AC28C" w:rsidR="000111FE" w:rsidRPr="006759DA" w:rsidRDefault="000111FE" w:rsidP="006A0A5E">
            <w:pPr>
              <w:pStyle w:val="ExhibitText"/>
              <w:jc w:val="center"/>
              <w:rPr>
                <w:lang w:val="en-GB"/>
              </w:rPr>
            </w:pPr>
            <w:r w:rsidRPr="006759DA">
              <w:rPr>
                <w:lang w:val="en-GB"/>
              </w:rPr>
              <w:t xml:space="preserve">Wholly </w:t>
            </w:r>
            <w:r w:rsidR="00426962" w:rsidRPr="006759DA">
              <w:rPr>
                <w:lang w:val="en-GB"/>
              </w:rPr>
              <w:t>Owned Subsidiary</w:t>
            </w:r>
          </w:p>
        </w:tc>
        <w:tc>
          <w:tcPr>
            <w:tcW w:w="2965" w:type="dxa"/>
          </w:tcPr>
          <w:p w14:paraId="4A0E73DB" w14:textId="77777777" w:rsidR="000111FE" w:rsidRPr="006759DA" w:rsidRDefault="000111FE" w:rsidP="006A0A5E">
            <w:pPr>
              <w:pStyle w:val="ExhibitText"/>
              <w:jc w:val="center"/>
              <w:rPr>
                <w:lang w:val="en-GB"/>
              </w:rPr>
            </w:pPr>
            <w:r w:rsidRPr="006759DA">
              <w:rPr>
                <w:lang w:val="en-GB"/>
              </w:rPr>
              <w:t>100% by Costco</w:t>
            </w:r>
          </w:p>
        </w:tc>
      </w:tr>
      <w:tr w:rsidR="000111FE" w:rsidRPr="006759DA" w14:paraId="3F9D892B" w14:textId="77777777" w:rsidTr="00C23159">
        <w:tc>
          <w:tcPr>
            <w:tcW w:w="1795" w:type="dxa"/>
          </w:tcPr>
          <w:p w14:paraId="73FFDDDC" w14:textId="1D575F27" w:rsidR="000111FE" w:rsidRPr="006759DA" w:rsidRDefault="000111FE">
            <w:pPr>
              <w:pStyle w:val="ExhibitText"/>
              <w:rPr>
                <w:lang w:val="en-GB"/>
              </w:rPr>
            </w:pPr>
            <w:r w:rsidRPr="006759DA">
              <w:rPr>
                <w:lang w:val="en-GB"/>
              </w:rPr>
              <w:t>Australia</w:t>
            </w:r>
          </w:p>
        </w:tc>
        <w:tc>
          <w:tcPr>
            <w:tcW w:w="1800" w:type="dxa"/>
          </w:tcPr>
          <w:p w14:paraId="28047895" w14:textId="3BEA1E9B" w:rsidR="000111FE" w:rsidRPr="006759DA" w:rsidRDefault="000111FE" w:rsidP="006A0A5E">
            <w:pPr>
              <w:pStyle w:val="ExhibitText"/>
              <w:jc w:val="center"/>
              <w:rPr>
                <w:lang w:val="en-GB"/>
              </w:rPr>
            </w:pPr>
            <w:r w:rsidRPr="006759DA">
              <w:rPr>
                <w:lang w:val="en-GB"/>
              </w:rPr>
              <w:t>2007</w:t>
            </w:r>
          </w:p>
        </w:tc>
        <w:tc>
          <w:tcPr>
            <w:tcW w:w="2790" w:type="dxa"/>
          </w:tcPr>
          <w:p w14:paraId="6C3255C2" w14:textId="1FA4E612" w:rsidR="000111FE" w:rsidRPr="006759DA" w:rsidRDefault="000111FE" w:rsidP="006A0A5E">
            <w:pPr>
              <w:pStyle w:val="ExhibitText"/>
              <w:jc w:val="center"/>
              <w:rPr>
                <w:lang w:val="en-GB"/>
              </w:rPr>
            </w:pPr>
            <w:r w:rsidRPr="006759DA">
              <w:rPr>
                <w:lang w:val="en-GB"/>
              </w:rPr>
              <w:t xml:space="preserve">Wholly </w:t>
            </w:r>
            <w:r w:rsidR="00426962" w:rsidRPr="006759DA">
              <w:rPr>
                <w:lang w:val="en-GB"/>
              </w:rPr>
              <w:t>Owned Subsidiary</w:t>
            </w:r>
          </w:p>
        </w:tc>
        <w:tc>
          <w:tcPr>
            <w:tcW w:w="2965" w:type="dxa"/>
          </w:tcPr>
          <w:p w14:paraId="6210F540" w14:textId="77777777" w:rsidR="000111FE" w:rsidRPr="006759DA" w:rsidRDefault="000111FE" w:rsidP="006A0A5E">
            <w:pPr>
              <w:pStyle w:val="ExhibitText"/>
              <w:jc w:val="center"/>
              <w:rPr>
                <w:lang w:val="en-GB"/>
              </w:rPr>
            </w:pPr>
            <w:r w:rsidRPr="006759DA">
              <w:rPr>
                <w:lang w:val="en-GB"/>
              </w:rPr>
              <w:t>100% by Costco</w:t>
            </w:r>
          </w:p>
        </w:tc>
      </w:tr>
      <w:tr w:rsidR="000111FE" w:rsidRPr="006759DA" w14:paraId="5F91F77B" w14:textId="77777777" w:rsidTr="00C23159">
        <w:tc>
          <w:tcPr>
            <w:tcW w:w="1795" w:type="dxa"/>
          </w:tcPr>
          <w:p w14:paraId="19A40633" w14:textId="77777777" w:rsidR="000111FE" w:rsidRPr="006759DA" w:rsidRDefault="000111FE" w:rsidP="008E4FEB">
            <w:pPr>
              <w:pStyle w:val="ExhibitText"/>
              <w:rPr>
                <w:lang w:val="en-GB"/>
              </w:rPr>
            </w:pPr>
            <w:r w:rsidRPr="006759DA">
              <w:rPr>
                <w:lang w:val="en-GB"/>
              </w:rPr>
              <w:t>Spain</w:t>
            </w:r>
          </w:p>
        </w:tc>
        <w:tc>
          <w:tcPr>
            <w:tcW w:w="1800" w:type="dxa"/>
          </w:tcPr>
          <w:p w14:paraId="448E8242" w14:textId="77777777" w:rsidR="000111FE" w:rsidRPr="006759DA" w:rsidRDefault="000111FE" w:rsidP="006A0A5E">
            <w:pPr>
              <w:pStyle w:val="ExhibitText"/>
              <w:jc w:val="center"/>
              <w:rPr>
                <w:lang w:val="en-GB"/>
              </w:rPr>
            </w:pPr>
            <w:r w:rsidRPr="006759DA">
              <w:rPr>
                <w:lang w:val="en-GB"/>
              </w:rPr>
              <w:t>2014</w:t>
            </w:r>
          </w:p>
        </w:tc>
        <w:tc>
          <w:tcPr>
            <w:tcW w:w="2790" w:type="dxa"/>
          </w:tcPr>
          <w:p w14:paraId="2A27EC81" w14:textId="6FD6A22A" w:rsidR="000111FE" w:rsidRPr="006759DA" w:rsidRDefault="000111FE" w:rsidP="006A0A5E">
            <w:pPr>
              <w:pStyle w:val="ExhibitText"/>
              <w:jc w:val="center"/>
              <w:rPr>
                <w:lang w:val="en-GB"/>
              </w:rPr>
            </w:pPr>
            <w:r w:rsidRPr="006759DA">
              <w:rPr>
                <w:lang w:val="en-GB"/>
              </w:rPr>
              <w:t xml:space="preserve">Wholly </w:t>
            </w:r>
            <w:r w:rsidR="00426962" w:rsidRPr="006759DA">
              <w:rPr>
                <w:lang w:val="en-GB"/>
              </w:rPr>
              <w:t>Owned Subsidiary</w:t>
            </w:r>
          </w:p>
        </w:tc>
        <w:tc>
          <w:tcPr>
            <w:tcW w:w="2965" w:type="dxa"/>
          </w:tcPr>
          <w:p w14:paraId="58A8D220" w14:textId="77777777" w:rsidR="000111FE" w:rsidRPr="006759DA" w:rsidRDefault="000111FE" w:rsidP="006A0A5E">
            <w:pPr>
              <w:pStyle w:val="ExhibitText"/>
              <w:jc w:val="center"/>
              <w:rPr>
                <w:lang w:val="en-GB"/>
              </w:rPr>
            </w:pPr>
            <w:r w:rsidRPr="006759DA">
              <w:rPr>
                <w:lang w:val="en-GB"/>
              </w:rPr>
              <w:t>100% by Costco</w:t>
            </w:r>
          </w:p>
        </w:tc>
      </w:tr>
    </w:tbl>
    <w:p w14:paraId="7DD00C10" w14:textId="77777777" w:rsidR="008E1C52" w:rsidRPr="006759DA" w:rsidRDefault="008E1C52" w:rsidP="008E1C52">
      <w:pPr>
        <w:pStyle w:val="BodyTextMain"/>
        <w:rPr>
          <w:rFonts w:asciiTheme="minorEastAsia" w:hAnsiTheme="minorEastAsia" w:cstheme="minorEastAsia"/>
          <w:lang w:val="en-GB"/>
        </w:rPr>
      </w:pPr>
    </w:p>
    <w:p w14:paraId="2EE4DE03" w14:textId="1EF19272" w:rsidR="00C02907" w:rsidRDefault="00C02907" w:rsidP="00426962">
      <w:pPr>
        <w:pStyle w:val="Footnote"/>
        <w:rPr>
          <w:lang w:val="en-GB"/>
        </w:rPr>
      </w:pPr>
      <w:r>
        <w:rPr>
          <w:lang w:val="en-GB"/>
        </w:rPr>
        <w:t>Note: JV = joint venture.</w:t>
      </w:r>
    </w:p>
    <w:p w14:paraId="5171CF54" w14:textId="567E28AA" w:rsidR="00426962" w:rsidRPr="006759DA" w:rsidRDefault="00C23159" w:rsidP="00426962">
      <w:pPr>
        <w:pStyle w:val="Footnote"/>
        <w:rPr>
          <w:lang w:val="en-GB"/>
        </w:rPr>
      </w:pPr>
      <w:r w:rsidRPr="006759DA">
        <w:rPr>
          <w:lang w:val="en-GB"/>
        </w:rPr>
        <w:t xml:space="preserve">Source: </w:t>
      </w:r>
      <w:r w:rsidR="00426962" w:rsidRPr="006759DA">
        <w:rPr>
          <w:lang w:val="en-GB"/>
        </w:rPr>
        <w:t xml:space="preserve">Created by case authors based on data from Costco Wholesale </w:t>
      </w:r>
      <w:r w:rsidR="006557F8" w:rsidRPr="006759DA">
        <w:rPr>
          <w:lang w:val="en-GB"/>
        </w:rPr>
        <w:t xml:space="preserve">Corporation, </w:t>
      </w:r>
      <w:r w:rsidR="006C4048">
        <w:rPr>
          <w:lang w:val="en-GB"/>
        </w:rPr>
        <w:t>A</w:t>
      </w:r>
      <w:r w:rsidR="00426962" w:rsidRPr="006759DA">
        <w:rPr>
          <w:lang w:val="en-GB"/>
        </w:rPr>
        <w:t xml:space="preserve">nnual </w:t>
      </w:r>
      <w:r w:rsidR="006C4048">
        <w:rPr>
          <w:lang w:val="en-GB"/>
        </w:rPr>
        <w:t>R</w:t>
      </w:r>
      <w:r w:rsidR="00426962" w:rsidRPr="006759DA">
        <w:rPr>
          <w:lang w:val="en-GB"/>
        </w:rPr>
        <w:t>eports, 1998–2014, accessed May 2, 2018, http://phx.corporate-ir.net/phoenix.zhtml?c=83830&amp;p=irol-reportsannual.</w:t>
      </w:r>
    </w:p>
    <w:p w14:paraId="0B1666A0" w14:textId="77777777" w:rsidR="008E1C52" w:rsidRPr="006759DA" w:rsidRDefault="008E1C52" w:rsidP="00426962">
      <w:pPr>
        <w:pStyle w:val="Footnote"/>
        <w:rPr>
          <w:rFonts w:asciiTheme="minorEastAsia" w:hAnsiTheme="minorEastAsia" w:cstheme="minorEastAsia"/>
          <w:lang w:val="en-GB"/>
        </w:rPr>
      </w:pPr>
    </w:p>
    <w:p w14:paraId="756BB454" w14:textId="77777777" w:rsidR="008E1C52" w:rsidRPr="006759DA" w:rsidRDefault="008E1C52" w:rsidP="008E1C52">
      <w:pPr>
        <w:pStyle w:val="BodyTextMain"/>
        <w:rPr>
          <w:rFonts w:asciiTheme="minorEastAsia" w:hAnsiTheme="minorEastAsia" w:cstheme="minorEastAsia"/>
          <w:lang w:val="en-GB"/>
        </w:rPr>
      </w:pPr>
    </w:p>
    <w:p w14:paraId="6020C0D2" w14:textId="77777777" w:rsidR="008E4FEB" w:rsidRPr="006759DA" w:rsidRDefault="008E4FEB">
      <w:pPr>
        <w:spacing w:after="200" w:line="276" w:lineRule="auto"/>
        <w:rPr>
          <w:rFonts w:ascii="Arial" w:eastAsia="Calibri" w:hAnsi="Arial" w:cs="Arial"/>
          <w:b/>
          <w:caps/>
          <w:lang w:val="en-GB"/>
        </w:rPr>
      </w:pPr>
      <w:r w:rsidRPr="006759DA">
        <w:rPr>
          <w:rFonts w:eastAsia="Calibri"/>
          <w:lang w:val="en-GB"/>
        </w:rPr>
        <w:br w:type="page"/>
      </w:r>
    </w:p>
    <w:p w14:paraId="0028A80E" w14:textId="54F389CE" w:rsidR="00851757" w:rsidRPr="006759DA" w:rsidRDefault="00C23159" w:rsidP="00D475FB">
      <w:pPr>
        <w:pStyle w:val="ExhibitHeading"/>
        <w:rPr>
          <w:rFonts w:eastAsia="Calibri"/>
          <w:lang w:val="en-GB"/>
        </w:rPr>
      </w:pPr>
      <w:r w:rsidRPr="006759DA">
        <w:rPr>
          <w:rFonts w:eastAsia="Calibri"/>
          <w:lang w:val="en-GB"/>
        </w:rPr>
        <w:lastRenderedPageBreak/>
        <w:t>Exhibit</w:t>
      </w:r>
      <w:r w:rsidRPr="006759DA">
        <w:rPr>
          <w:lang w:val="en-GB"/>
        </w:rPr>
        <w:t xml:space="preserve"> </w:t>
      </w:r>
      <w:r w:rsidR="00134B8D" w:rsidRPr="006759DA">
        <w:rPr>
          <w:rFonts w:eastAsia="Calibri"/>
          <w:lang w:val="en-GB"/>
        </w:rPr>
        <w:t>5</w:t>
      </w:r>
      <w:r w:rsidRPr="006759DA">
        <w:rPr>
          <w:rFonts w:eastAsia="Calibri"/>
          <w:lang w:val="en-GB"/>
        </w:rPr>
        <w:t>:</w:t>
      </w:r>
      <w:r w:rsidRPr="006759DA">
        <w:rPr>
          <w:lang w:val="en-GB"/>
        </w:rPr>
        <w:t xml:space="preserve"> </w:t>
      </w:r>
      <w:r w:rsidRPr="006759DA">
        <w:rPr>
          <w:rFonts w:eastAsia="Calibri"/>
          <w:lang w:val="en-GB"/>
        </w:rPr>
        <w:t>Costco</w:t>
      </w:r>
      <w:r w:rsidRPr="006759DA">
        <w:rPr>
          <w:lang w:val="en-GB"/>
        </w:rPr>
        <w:t xml:space="preserve"> </w:t>
      </w:r>
      <w:r w:rsidRPr="006759DA">
        <w:rPr>
          <w:rFonts w:eastAsia="Calibri"/>
          <w:lang w:val="en-GB"/>
        </w:rPr>
        <w:t>Wholesale</w:t>
      </w:r>
      <w:r w:rsidRPr="006759DA">
        <w:rPr>
          <w:lang w:val="en-GB"/>
        </w:rPr>
        <w:t xml:space="preserve"> </w:t>
      </w:r>
      <w:r w:rsidRPr="006759DA">
        <w:rPr>
          <w:rFonts w:eastAsia="Calibri"/>
          <w:lang w:val="en-GB"/>
        </w:rPr>
        <w:t>Corporation</w:t>
      </w:r>
      <w:r w:rsidRPr="006759DA">
        <w:rPr>
          <w:lang w:val="en-GB"/>
        </w:rPr>
        <w:t xml:space="preserve"> </w:t>
      </w:r>
      <w:r w:rsidR="00851757" w:rsidRPr="006759DA">
        <w:rPr>
          <w:lang w:val="en-GB"/>
        </w:rPr>
        <w:t xml:space="preserve">2015 </w:t>
      </w:r>
      <w:r w:rsidRPr="006759DA">
        <w:rPr>
          <w:rFonts w:eastAsia="Calibri"/>
          <w:lang w:val="en-GB"/>
        </w:rPr>
        <w:t>Key Facts</w:t>
      </w:r>
      <w:r w:rsidR="00851757" w:rsidRPr="006759DA">
        <w:rPr>
          <w:rFonts w:eastAsia="Calibri"/>
          <w:lang w:val="en-GB"/>
        </w:rPr>
        <w:t xml:space="preserve"> </w:t>
      </w:r>
    </w:p>
    <w:p w14:paraId="42236B78" w14:textId="77777777" w:rsidR="008E1C52" w:rsidRPr="006759DA" w:rsidRDefault="008E1C52" w:rsidP="008E1C52">
      <w:pPr>
        <w:pStyle w:val="BodyTextMain"/>
        <w:rPr>
          <w:rFonts w:asciiTheme="minorEastAsia" w:hAnsiTheme="minorEastAsia" w:cstheme="minorEastAsia"/>
          <w:lang w:val="en-GB"/>
        </w:rPr>
      </w:pPr>
    </w:p>
    <w:tbl>
      <w:tblPr>
        <w:tblStyle w:val="TableGrid"/>
        <w:tblW w:w="0" w:type="auto"/>
        <w:tblLook w:val="04A0" w:firstRow="1" w:lastRow="0" w:firstColumn="1" w:lastColumn="0" w:noHBand="0" w:noVBand="1"/>
      </w:tblPr>
      <w:tblGrid>
        <w:gridCol w:w="3483"/>
        <w:gridCol w:w="5867"/>
      </w:tblGrid>
      <w:tr w:rsidR="00D475FB" w:rsidRPr="006759DA" w14:paraId="4F0CF9BE" w14:textId="77777777" w:rsidTr="00236FD1">
        <w:tc>
          <w:tcPr>
            <w:tcW w:w="3483" w:type="dxa"/>
          </w:tcPr>
          <w:p w14:paraId="58DAFA43" w14:textId="77746568" w:rsidR="00D475FB" w:rsidRPr="006759DA" w:rsidRDefault="00D475FB">
            <w:pPr>
              <w:pStyle w:val="ExhibitText"/>
              <w:rPr>
                <w:rFonts w:eastAsia="Calibri"/>
                <w:lang w:val="en-GB"/>
              </w:rPr>
            </w:pPr>
            <w:r w:rsidRPr="006759DA">
              <w:rPr>
                <w:rFonts w:eastAsia="Calibri"/>
                <w:lang w:val="en-GB"/>
              </w:rPr>
              <w:t>Number</w:t>
            </w:r>
            <w:r w:rsidRPr="006759DA">
              <w:rPr>
                <w:lang w:val="en-GB"/>
              </w:rPr>
              <w:t xml:space="preserve"> </w:t>
            </w:r>
            <w:r w:rsidRPr="006759DA">
              <w:rPr>
                <w:rFonts w:eastAsia="Calibri"/>
                <w:lang w:val="en-GB"/>
              </w:rPr>
              <w:t>of</w:t>
            </w:r>
            <w:r w:rsidRPr="006759DA">
              <w:rPr>
                <w:lang w:val="en-GB"/>
              </w:rPr>
              <w:t xml:space="preserve"> </w:t>
            </w:r>
            <w:r w:rsidR="00426962" w:rsidRPr="006759DA">
              <w:rPr>
                <w:rFonts w:eastAsia="Calibri"/>
                <w:lang w:val="en-GB"/>
              </w:rPr>
              <w:t>W</w:t>
            </w:r>
            <w:r w:rsidR="004B49F8" w:rsidRPr="006759DA">
              <w:rPr>
                <w:rFonts w:eastAsia="Calibri"/>
                <w:lang w:val="en-GB"/>
              </w:rPr>
              <w:t>arehouses</w:t>
            </w:r>
          </w:p>
        </w:tc>
        <w:tc>
          <w:tcPr>
            <w:tcW w:w="5867" w:type="dxa"/>
            <w:vAlign w:val="bottom"/>
          </w:tcPr>
          <w:p w14:paraId="63BFC59D" w14:textId="6FF15378" w:rsidR="00D475FB" w:rsidRPr="006759DA" w:rsidRDefault="00D475FB" w:rsidP="006A0A5E">
            <w:pPr>
              <w:jc w:val="center"/>
              <w:rPr>
                <w:rFonts w:ascii="Arial" w:eastAsiaTheme="minorHAnsi" w:hAnsi="Arial" w:cs="Arial"/>
                <w:lang w:val="en-GB"/>
              </w:rPr>
            </w:pPr>
            <w:r w:rsidRPr="006759DA">
              <w:rPr>
                <w:rFonts w:ascii="Arial" w:eastAsiaTheme="minorHAnsi" w:hAnsi="Arial" w:cs="Arial"/>
                <w:lang w:val="en-GB"/>
              </w:rPr>
              <w:t>698</w:t>
            </w:r>
          </w:p>
        </w:tc>
      </w:tr>
      <w:tr w:rsidR="00D475FB" w:rsidRPr="006759DA" w14:paraId="7D30AF86" w14:textId="77777777" w:rsidTr="00236FD1">
        <w:tc>
          <w:tcPr>
            <w:tcW w:w="3483" w:type="dxa"/>
          </w:tcPr>
          <w:p w14:paraId="3E8B82D2" w14:textId="0190E2B2" w:rsidR="00D475FB" w:rsidRPr="006759DA" w:rsidRDefault="00D475FB">
            <w:pPr>
              <w:pStyle w:val="ExhibitText"/>
              <w:rPr>
                <w:lang w:val="en-GB"/>
              </w:rPr>
            </w:pPr>
            <w:r w:rsidRPr="006759DA">
              <w:rPr>
                <w:rFonts w:eastAsia="Calibri"/>
                <w:lang w:val="en-GB"/>
              </w:rPr>
              <w:t>Areas</w:t>
            </w:r>
            <w:r w:rsidRPr="006759DA">
              <w:rPr>
                <w:lang w:val="en-GB"/>
              </w:rPr>
              <w:t xml:space="preserve"> </w:t>
            </w:r>
            <w:r w:rsidRPr="006759DA">
              <w:rPr>
                <w:rFonts w:eastAsia="Calibri"/>
                <w:lang w:val="en-GB"/>
              </w:rPr>
              <w:t>of</w:t>
            </w:r>
            <w:r w:rsidRPr="006759DA">
              <w:rPr>
                <w:lang w:val="en-GB"/>
              </w:rPr>
              <w:t xml:space="preserve"> </w:t>
            </w:r>
            <w:r w:rsidR="00426962" w:rsidRPr="006759DA">
              <w:rPr>
                <w:rFonts w:eastAsia="Calibri"/>
                <w:lang w:val="en-GB"/>
              </w:rPr>
              <w:t>Retail</w:t>
            </w:r>
            <w:r w:rsidR="00426962" w:rsidRPr="006759DA">
              <w:rPr>
                <w:lang w:val="en-GB"/>
              </w:rPr>
              <w:t xml:space="preserve"> </w:t>
            </w:r>
            <w:r w:rsidR="00426962" w:rsidRPr="006759DA">
              <w:rPr>
                <w:rFonts w:eastAsia="Calibri"/>
                <w:lang w:val="en-GB"/>
              </w:rPr>
              <w:t>Operation</w:t>
            </w:r>
          </w:p>
        </w:tc>
        <w:tc>
          <w:tcPr>
            <w:tcW w:w="5867" w:type="dxa"/>
            <w:vAlign w:val="bottom"/>
          </w:tcPr>
          <w:p w14:paraId="09269426" w14:textId="57045DD1" w:rsidR="00D475FB" w:rsidRPr="006759DA" w:rsidRDefault="00D475FB" w:rsidP="006A0A5E">
            <w:pPr>
              <w:pStyle w:val="ExhibitText"/>
              <w:jc w:val="center"/>
              <w:rPr>
                <w:rFonts w:eastAsia="Calibri"/>
                <w:lang w:val="en-GB"/>
              </w:rPr>
            </w:pPr>
            <w:r w:rsidRPr="006759DA">
              <w:rPr>
                <w:rFonts w:eastAsia="Calibri"/>
                <w:lang w:val="en-GB"/>
              </w:rPr>
              <w:t>488</w:t>
            </w:r>
            <w:r w:rsidRPr="006759DA">
              <w:rPr>
                <w:lang w:val="en-GB"/>
              </w:rPr>
              <w:t xml:space="preserve"> </w:t>
            </w:r>
            <w:r w:rsidRPr="006759DA">
              <w:rPr>
                <w:rFonts w:eastAsia="Calibri"/>
                <w:lang w:val="en-GB"/>
              </w:rPr>
              <w:t>locations</w:t>
            </w:r>
            <w:r w:rsidRPr="006759DA">
              <w:rPr>
                <w:lang w:val="en-GB"/>
              </w:rPr>
              <w:t xml:space="preserve"> </w:t>
            </w:r>
            <w:r w:rsidRPr="006759DA">
              <w:rPr>
                <w:rFonts w:eastAsia="Calibri"/>
                <w:lang w:val="en-GB"/>
              </w:rPr>
              <w:t>in</w:t>
            </w:r>
            <w:r w:rsidRPr="006759DA">
              <w:rPr>
                <w:lang w:val="en-GB"/>
              </w:rPr>
              <w:t xml:space="preserve"> </w:t>
            </w:r>
            <w:r w:rsidRPr="006759DA">
              <w:rPr>
                <w:rFonts w:eastAsia="Calibri"/>
                <w:lang w:val="en-GB"/>
              </w:rPr>
              <w:t>43</w:t>
            </w:r>
            <w:r w:rsidRPr="006759DA">
              <w:rPr>
                <w:lang w:val="en-GB"/>
              </w:rPr>
              <w:t xml:space="preserve"> </w:t>
            </w:r>
            <w:r w:rsidRPr="006759DA">
              <w:rPr>
                <w:rFonts w:eastAsia="Calibri"/>
                <w:lang w:val="en-GB"/>
              </w:rPr>
              <w:t>U</w:t>
            </w:r>
            <w:r w:rsidRPr="006759DA">
              <w:rPr>
                <w:lang w:val="en-GB"/>
              </w:rPr>
              <w:t>.</w:t>
            </w:r>
            <w:r w:rsidRPr="006759DA">
              <w:rPr>
                <w:rFonts w:eastAsia="Calibri"/>
                <w:lang w:val="en-GB"/>
              </w:rPr>
              <w:t>S</w:t>
            </w:r>
            <w:r w:rsidRPr="006759DA">
              <w:rPr>
                <w:lang w:val="en-GB"/>
              </w:rPr>
              <w:t xml:space="preserve">. </w:t>
            </w:r>
            <w:r w:rsidR="00C02907">
              <w:rPr>
                <w:rFonts w:eastAsia="Calibri"/>
                <w:lang w:val="en-GB"/>
              </w:rPr>
              <w:t>states</w:t>
            </w:r>
            <w:r w:rsidRPr="006759DA">
              <w:rPr>
                <w:lang w:val="en-GB"/>
              </w:rPr>
              <w:t xml:space="preserve"> </w:t>
            </w:r>
            <w:r w:rsidRPr="006759DA">
              <w:rPr>
                <w:rFonts w:eastAsia="Calibri"/>
                <w:lang w:val="en-GB"/>
              </w:rPr>
              <w:t>&amp;</w:t>
            </w:r>
            <w:r w:rsidRPr="006759DA">
              <w:rPr>
                <w:lang w:val="en-GB"/>
              </w:rPr>
              <w:t xml:space="preserve"> </w:t>
            </w:r>
            <w:r w:rsidRPr="006759DA">
              <w:rPr>
                <w:rFonts w:eastAsia="Calibri"/>
                <w:lang w:val="en-GB"/>
              </w:rPr>
              <w:t>Puerto</w:t>
            </w:r>
            <w:r w:rsidRPr="006759DA">
              <w:rPr>
                <w:lang w:val="en-GB"/>
              </w:rPr>
              <w:t xml:space="preserve"> </w:t>
            </w:r>
            <w:r w:rsidRPr="006759DA">
              <w:rPr>
                <w:rFonts w:eastAsia="Calibri"/>
                <w:lang w:val="en-GB"/>
              </w:rPr>
              <w:t>Rico</w:t>
            </w:r>
          </w:p>
          <w:p w14:paraId="280E31D3" w14:textId="1FC14AFB" w:rsidR="00D475FB" w:rsidRPr="006759DA" w:rsidRDefault="00D475FB" w:rsidP="006A0A5E">
            <w:pPr>
              <w:pStyle w:val="ExhibitText"/>
              <w:jc w:val="center"/>
              <w:rPr>
                <w:rFonts w:eastAsia="Calibri"/>
                <w:lang w:val="en-GB"/>
              </w:rPr>
            </w:pPr>
            <w:r w:rsidRPr="006759DA">
              <w:rPr>
                <w:rFonts w:eastAsia="Calibri"/>
                <w:lang w:val="en-GB"/>
              </w:rPr>
              <w:t>90</w:t>
            </w:r>
            <w:r w:rsidRPr="006759DA">
              <w:rPr>
                <w:lang w:val="en-GB"/>
              </w:rPr>
              <w:t xml:space="preserve"> </w:t>
            </w:r>
            <w:r w:rsidRPr="006759DA">
              <w:rPr>
                <w:rFonts w:eastAsia="Calibri"/>
                <w:lang w:val="en-GB"/>
              </w:rPr>
              <w:t>locations</w:t>
            </w:r>
            <w:r w:rsidRPr="006759DA">
              <w:rPr>
                <w:lang w:val="en-GB"/>
              </w:rPr>
              <w:t xml:space="preserve"> </w:t>
            </w:r>
            <w:r w:rsidRPr="006759DA">
              <w:rPr>
                <w:rFonts w:eastAsia="Calibri"/>
                <w:lang w:val="en-GB"/>
              </w:rPr>
              <w:t>in</w:t>
            </w:r>
            <w:r w:rsidRPr="006759DA">
              <w:rPr>
                <w:lang w:val="en-GB"/>
              </w:rPr>
              <w:t xml:space="preserve"> </w:t>
            </w:r>
            <w:r w:rsidRPr="006759DA">
              <w:rPr>
                <w:rFonts w:eastAsia="Calibri"/>
                <w:lang w:val="en-GB"/>
              </w:rPr>
              <w:t>nine</w:t>
            </w:r>
            <w:r w:rsidRPr="006759DA">
              <w:rPr>
                <w:lang w:val="en-GB"/>
              </w:rPr>
              <w:t xml:space="preserve"> </w:t>
            </w:r>
            <w:r w:rsidRPr="006759DA">
              <w:rPr>
                <w:rFonts w:eastAsia="Calibri"/>
                <w:lang w:val="en-GB"/>
              </w:rPr>
              <w:t>Canadian</w:t>
            </w:r>
            <w:r w:rsidRPr="006759DA">
              <w:rPr>
                <w:lang w:val="en-GB"/>
              </w:rPr>
              <w:t xml:space="preserve"> </w:t>
            </w:r>
            <w:r w:rsidRPr="006759DA">
              <w:rPr>
                <w:rFonts w:eastAsia="Calibri"/>
                <w:lang w:val="en-GB"/>
              </w:rPr>
              <w:t>provinces</w:t>
            </w:r>
          </w:p>
          <w:p w14:paraId="439A3216" w14:textId="4CA9AF74" w:rsidR="00D475FB" w:rsidRPr="006759DA" w:rsidRDefault="00D475FB" w:rsidP="006A0A5E">
            <w:pPr>
              <w:pStyle w:val="ExhibitText"/>
              <w:jc w:val="center"/>
              <w:rPr>
                <w:rFonts w:eastAsia="Calibri"/>
                <w:lang w:val="en-GB"/>
              </w:rPr>
            </w:pPr>
            <w:r w:rsidRPr="006759DA">
              <w:rPr>
                <w:rFonts w:eastAsia="Calibri"/>
                <w:lang w:val="en-GB"/>
              </w:rPr>
              <w:t>27</w:t>
            </w:r>
            <w:r w:rsidRPr="006759DA">
              <w:rPr>
                <w:lang w:val="en-GB"/>
              </w:rPr>
              <w:t xml:space="preserve"> </w:t>
            </w:r>
            <w:r w:rsidRPr="006759DA">
              <w:rPr>
                <w:rFonts w:eastAsia="Calibri"/>
                <w:lang w:val="en-GB"/>
              </w:rPr>
              <w:t>locations</w:t>
            </w:r>
            <w:r w:rsidRPr="006759DA">
              <w:rPr>
                <w:lang w:val="en-GB"/>
              </w:rPr>
              <w:t xml:space="preserve"> </w:t>
            </w:r>
            <w:r w:rsidRPr="006759DA">
              <w:rPr>
                <w:rFonts w:eastAsia="Calibri"/>
                <w:lang w:val="en-GB"/>
              </w:rPr>
              <w:t>in</w:t>
            </w:r>
            <w:r w:rsidRPr="006759DA">
              <w:rPr>
                <w:lang w:val="en-GB"/>
              </w:rPr>
              <w:t xml:space="preserve"> </w:t>
            </w:r>
            <w:r w:rsidRPr="006759DA">
              <w:rPr>
                <w:rFonts w:eastAsia="Calibri"/>
                <w:lang w:val="en-GB"/>
              </w:rPr>
              <w:t>the</w:t>
            </w:r>
            <w:r w:rsidRPr="006759DA">
              <w:rPr>
                <w:lang w:val="en-GB"/>
              </w:rPr>
              <w:t xml:space="preserve"> </w:t>
            </w:r>
            <w:r w:rsidRPr="006759DA">
              <w:rPr>
                <w:rFonts w:eastAsia="Calibri"/>
                <w:lang w:val="en-GB"/>
              </w:rPr>
              <w:t>United</w:t>
            </w:r>
            <w:r w:rsidRPr="006759DA">
              <w:rPr>
                <w:lang w:val="en-GB"/>
              </w:rPr>
              <w:t xml:space="preserve"> </w:t>
            </w:r>
            <w:r w:rsidRPr="006759DA">
              <w:rPr>
                <w:rFonts w:eastAsia="Calibri"/>
                <w:lang w:val="en-GB"/>
              </w:rPr>
              <w:t>Kingdom</w:t>
            </w:r>
          </w:p>
          <w:p w14:paraId="78D82EBD" w14:textId="007F7840" w:rsidR="00D475FB" w:rsidRPr="006759DA" w:rsidRDefault="00D475FB" w:rsidP="006A0A5E">
            <w:pPr>
              <w:pStyle w:val="ExhibitText"/>
              <w:jc w:val="center"/>
              <w:rPr>
                <w:rFonts w:eastAsia="Calibri"/>
                <w:lang w:val="en-GB"/>
              </w:rPr>
            </w:pPr>
            <w:r w:rsidRPr="006759DA">
              <w:rPr>
                <w:lang w:val="en-GB"/>
              </w:rPr>
              <w:t xml:space="preserve">11 </w:t>
            </w:r>
            <w:r w:rsidRPr="006759DA">
              <w:rPr>
                <w:rFonts w:eastAsia="Calibri"/>
                <w:lang w:val="en-GB"/>
              </w:rPr>
              <w:t>locations</w:t>
            </w:r>
            <w:r w:rsidRPr="006759DA">
              <w:rPr>
                <w:lang w:val="en-GB"/>
              </w:rPr>
              <w:t xml:space="preserve"> </w:t>
            </w:r>
            <w:r w:rsidRPr="006759DA">
              <w:rPr>
                <w:rFonts w:eastAsia="Calibri"/>
                <w:lang w:val="en-GB"/>
              </w:rPr>
              <w:t>in</w:t>
            </w:r>
            <w:r w:rsidRPr="006759DA">
              <w:rPr>
                <w:lang w:val="en-GB"/>
              </w:rPr>
              <w:t xml:space="preserve"> </w:t>
            </w:r>
            <w:r w:rsidRPr="006759DA">
              <w:rPr>
                <w:rFonts w:eastAsia="Calibri"/>
                <w:lang w:val="en-GB"/>
              </w:rPr>
              <w:t>Taiwan</w:t>
            </w:r>
          </w:p>
          <w:p w14:paraId="0D080120" w14:textId="28BF470F" w:rsidR="00D475FB" w:rsidRPr="006759DA" w:rsidRDefault="00D475FB" w:rsidP="006A0A5E">
            <w:pPr>
              <w:pStyle w:val="ExhibitText"/>
              <w:jc w:val="center"/>
              <w:rPr>
                <w:rFonts w:eastAsia="Calibri"/>
                <w:lang w:val="en-GB"/>
              </w:rPr>
            </w:pPr>
            <w:r w:rsidRPr="006759DA">
              <w:rPr>
                <w:lang w:val="en-GB"/>
              </w:rPr>
              <w:t xml:space="preserve">12 </w:t>
            </w:r>
            <w:r w:rsidRPr="006759DA">
              <w:rPr>
                <w:rFonts w:eastAsia="Calibri"/>
                <w:lang w:val="en-GB"/>
              </w:rPr>
              <w:t>locations</w:t>
            </w:r>
            <w:r w:rsidRPr="006759DA">
              <w:rPr>
                <w:lang w:val="en-GB"/>
              </w:rPr>
              <w:t xml:space="preserve"> </w:t>
            </w:r>
            <w:r w:rsidRPr="006759DA">
              <w:rPr>
                <w:rFonts w:eastAsia="Calibri"/>
                <w:lang w:val="en-GB"/>
              </w:rPr>
              <w:t>in</w:t>
            </w:r>
            <w:r w:rsidRPr="006759DA">
              <w:rPr>
                <w:lang w:val="en-GB"/>
              </w:rPr>
              <w:t xml:space="preserve"> </w:t>
            </w:r>
            <w:r w:rsidRPr="006759DA">
              <w:rPr>
                <w:rFonts w:eastAsia="Calibri"/>
                <w:lang w:val="en-GB"/>
              </w:rPr>
              <w:t>Korea</w:t>
            </w:r>
          </w:p>
          <w:p w14:paraId="071FE28C" w14:textId="62453E93" w:rsidR="00D475FB" w:rsidRPr="006759DA" w:rsidRDefault="00D475FB" w:rsidP="006A0A5E">
            <w:pPr>
              <w:pStyle w:val="ExhibitText"/>
              <w:jc w:val="center"/>
              <w:rPr>
                <w:rFonts w:eastAsia="Calibri"/>
                <w:lang w:val="en-GB"/>
              </w:rPr>
            </w:pPr>
            <w:r w:rsidRPr="006759DA">
              <w:rPr>
                <w:lang w:val="en-GB"/>
              </w:rPr>
              <w:t xml:space="preserve">24 </w:t>
            </w:r>
            <w:r w:rsidRPr="006759DA">
              <w:rPr>
                <w:rFonts w:eastAsia="Calibri"/>
                <w:lang w:val="en-GB"/>
              </w:rPr>
              <w:t>locations</w:t>
            </w:r>
            <w:r w:rsidRPr="006759DA">
              <w:rPr>
                <w:lang w:val="en-GB"/>
              </w:rPr>
              <w:t xml:space="preserve"> </w:t>
            </w:r>
            <w:r w:rsidRPr="006759DA">
              <w:rPr>
                <w:rFonts w:eastAsia="Calibri"/>
                <w:lang w:val="en-GB"/>
              </w:rPr>
              <w:t>in</w:t>
            </w:r>
            <w:r w:rsidRPr="006759DA">
              <w:rPr>
                <w:lang w:val="en-GB"/>
              </w:rPr>
              <w:t xml:space="preserve"> </w:t>
            </w:r>
            <w:r w:rsidRPr="006759DA">
              <w:rPr>
                <w:rFonts w:eastAsia="Calibri"/>
                <w:lang w:val="en-GB"/>
              </w:rPr>
              <w:t>Japan</w:t>
            </w:r>
          </w:p>
          <w:p w14:paraId="6D42D7FE" w14:textId="531CD937" w:rsidR="00D475FB" w:rsidRPr="006759DA" w:rsidRDefault="00D475FB" w:rsidP="006A0A5E">
            <w:pPr>
              <w:pStyle w:val="ExhibitText"/>
              <w:jc w:val="center"/>
              <w:rPr>
                <w:rFonts w:eastAsia="Calibri"/>
                <w:lang w:val="en-GB"/>
              </w:rPr>
            </w:pPr>
            <w:r w:rsidRPr="006759DA">
              <w:rPr>
                <w:rFonts w:eastAsia="Calibri"/>
                <w:lang w:val="en-GB"/>
              </w:rPr>
              <w:t>8 locations</w:t>
            </w:r>
            <w:r w:rsidRPr="006759DA">
              <w:rPr>
                <w:lang w:val="en-GB"/>
              </w:rPr>
              <w:t xml:space="preserve"> </w:t>
            </w:r>
            <w:r w:rsidRPr="006759DA">
              <w:rPr>
                <w:rFonts w:eastAsia="Calibri"/>
                <w:lang w:val="en-GB"/>
              </w:rPr>
              <w:t>in</w:t>
            </w:r>
            <w:r w:rsidRPr="006759DA">
              <w:rPr>
                <w:lang w:val="en-GB"/>
              </w:rPr>
              <w:t xml:space="preserve"> </w:t>
            </w:r>
            <w:r w:rsidRPr="006759DA">
              <w:rPr>
                <w:rFonts w:eastAsia="Calibri"/>
                <w:lang w:val="en-GB"/>
              </w:rPr>
              <w:t>Australia</w:t>
            </w:r>
          </w:p>
          <w:p w14:paraId="386521E3" w14:textId="33A4A652" w:rsidR="00D475FB" w:rsidRPr="006759DA" w:rsidRDefault="00D475FB" w:rsidP="006A0A5E">
            <w:pPr>
              <w:pStyle w:val="ExhibitText"/>
              <w:jc w:val="center"/>
              <w:rPr>
                <w:rFonts w:eastAsia="Calibri"/>
                <w:lang w:val="en-GB"/>
              </w:rPr>
            </w:pPr>
            <w:r w:rsidRPr="006759DA">
              <w:rPr>
                <w:lang w:val="en-GB"/>
              </w:rPr>
              <w:t xml:space="preserve">36 </w:t>
            </w:r>
            <w:r w:rsidRPr="006759DA">
              <w:rPr>
                <w:rFonts w:eastAsia="Calibri"/>
                <w:lang w:val="en-GB"/>
              </w:rPr>
              <w:t>locations</w:t>
            </w:r>
            <w:r w:rsidRPr="006759DA">
              <w:rPr>
                <w:lang w:val="en-GB"/>
              </w:rPr>
              <w:t xml:space="preserve"> </w:t>
            </w:r>
            <w:r w:rsidRPr="006759DA">
              <w:rPr>
                <w:rFonts w:eastAsia="Calibri"/>
                <w:lang w:val="en-GB"/>
              </w:rPr>
              <w:t>in</w:t>
            </w:r>
            <w:r w:rsidRPr="006759DA">
              <w:rPr>
                <w:lang w:val="en-GB"/>
              </w:rPr>
              <w:t xml:space="preserve"> </w:t>
            </w:r>
            <w:r w:rsidRPr="006759DA">
              <w:rPr>
                <w:rFonts w:eastAsia="Calibri"/>
                <w:lang w:val="en-GB"/>
              </w:rPr>
              <w:t>18</w:t>
            </w:r>
            <w:r w:rsidRPr="006759DA">
              <w:rPr>
                <w:lang w:val="en-GB"/>
              </w:rPr>
              <w:t xml:space="preserve"> </w:t>
            </w:r>
            <w:r w:rsidRPr="006759DA">
              <w:rPr>
                <w:rFonts w:eastAsia="Calibri"/>
                <w:lang w:val="en-GB"/>
              </w:rPr>
              <w:t>Mexican</w:t>
            </w:r>
            <w:r w:rsidRPr="006759DA">
              <w:rPr>
                <w:lang w:val="en-GB"/>
              </w:rPr>
              <w:t xml:space="preserve"> </w:t>
            </w:r>
            <w:r w:rsidRPr="006759DA">
              <w:rPr>
                <w:rFonts w:eastAsia="Calibri"/>
                <w:lang w:val="en-GB"/>
              </w:rPr>
              <w:t>states</w:t>
            </w:r>
          </w:p>
          <w:p w14:paraId="1AD1C9A0" w14:textId="0212F3FE" w:rsidR="00D475FB" w:rsidRPr="006759DA" w:rsidRDefault="00D475FB" w:rsidP="006A0A5E">
            <w:pPr>
              <w:pStyle w:val="ExhibitText"/>
              <w:jc w:val="center"/>
              <w:rPr>
                <w:lang w:val="en-GB"/>
              </w:rPr>
            </w:pPr>
            <w:r w:rsidRPr="006759DA">
              <w:rPr>
                <w:rFonts w:eastAsia="Calibri"/>
                <w:lang w:val="en-GB"/>
              </w:rPr>
              <w:t>2</w:t>
            </w:r>
            <w:r w:rsidRPr="006759DA">
              <w:rPr>
                <w:lang w:val="en-GB"/>
              </w:rPr>
              <w:t xml:space="preserve"> </w:t>
            </w:r>
            <w:r w:rsidRPr="006759DA">
              <w:rPr>
                <w:rFonts w:eastAsia="Calibri"/>
                <w:lang w:val="en-GB"/>
              </w:rPr>
              <w:t>locations</w:t>
            </w:r>
            <w:r w:rsidRPr="006759DA">
              <w:rPr>
                <w:lang w:val="en-GB"/>
              </w:rPr>
              <w:t xml:space="preserve"> </w:t>
            </w:r>
            <w:r w:rsidRPr="006759DA">
              <w:rPr>
                <w:rFonts w:eastAsia="Calibri"/>
                <w:lang w:val="en-GB"/>
              </w:rPr>
              <w:t>in</w:t>
            </w:r>
            <w:r w:rsidRPr="006759DA">
              <w:rPr>
                <w:lang w:val="en-GB"/>
              </w:rPr>
              <w:t xml:space="preserve"> </w:t>
            </w:r>
            <w:r w:rsidRPr="006759DA">
              <w:rPr>
                <w:rFonts w:eastAsia="Calibri"/>
                <w:lang w:val="en-GB"/>
              </w:rPr>
              <w:t>Spain</w:t>
            </w:r>
          </w:p>
        </w:tc>
      </w:tr>
      <w:tr w:rsidR="00236FD1" w:rsidRPr="006759DA" w14:paraId="5FEFEB2C" w14:textId="77777777" w:rsidTr="00236FD1">
        <w:tc>
          <w:tcPr>
            <w:tcW w:w="3483" w:type="dxa"/>
          </w:tcPr>
          <w:p w14:paraId="4FCAB4EB" w14:textId="4E8D583A" w:rsidR="00D475FB" w:rsidRPr="006759DA" w:rsidRDefault="00D475FB" w:rsidP="00851757">
            <w:pPr>
              <w:pStyle w:val="ExhibitText"/>
              <w:rPr>
                <w:lang w:val="en-GB"/>
              </w:rPr>
            </w:pPr>
            <w:r w:rsidRPr="006759DA">
              <w:rPr>
                <w:rFonts w:eastAsia="Calibri"/>
                <w:lang w:val="en-GB"/>
              </w:rPr>
              <w:t>Membership</w:t>
            </w:r>
            <w:r w:rsidRPr="006759DA">
              <w:rPr>
                <w:lang w:val="en-GB"/>
              </w:rPr>
              <w:t xml:space="preserve"> </w:t>
            </w:r>
            <w:r w:rsidRPr="006759DA">
              <w:rPr>
                <w:rFonts w:eastAsia="Calibri"/>
                <w:lang w:val="en-GB"/>
              </w:rPr>
              <w:t xml:space="preserve">Data </w:t>
            </w:r>
          </w:p>
        </w:tc>
        <w:tc>
          <w:tcPr>
            <w:tcW w:w="5867" w:type="dxa"/>
            <w:vAlign w:val="bottom"/>
          </w:tcPr>
          <w:p w14:paraId="2E8B8459" w14:textId="76F433DB" w:rsidR="00D475FB" w:rsidRPr="006759DA" w:rsidRDefault="00D475FB" w:rsidP="006A0A5E">
            <w:pPr>
              <w:pStyle w:val="ExhibitText"/>
              <w:jc w:val="center"/>
              <w:rPr>
                <w:rFonts w:eastAsia="Calibri"/>
                <w:lang w:val="en-GB"/>
              </w:rPr>
            </w:pPr>
            <w:r w:rsidRPr="006759DA">
              <w:rPr>
                <w:rFonts w:eastAsia="Calibri"/>
                <w:lang w:val="en-GB"/>
              </w:rPr>
              <w:t>81.3</w:t>
            </w:r>
            <w:r w:rsidRPr="006759DA">
              <w:rPr>
                <w:lang w:val="en-GB"/>
              </w:rPr>
              <w:t xml:space="preserve"> </w:t>
            </w:r>
            <w:r w:rsidRPr="006759DA">
              <w:rPr>
                <w:rFonts w:eastAsia="Calibri"/>
                <w:lang w:val="en-GB"/>
              </w:rPr>
              <w:t>million total</w:t>
            </w:r>
            <w:r w:rsidRPr="006759DA">
              <w:rPr>
                <w:lang w:val="en-GB"/>
              </w:rPr>
              <w:t xml:space="preserve"> </w:t>
            </w:r>
            <w:r w:rsidRPr="006759DA">
              <w:rPr>
                <w:rFonts w:eastAsia="Calibri"/>
                <w:lang w:val="en-GB"/>
              </w:rPr>
              <w:t>cardholders</w:t>
            </w:r>
          </w:p>
          <w:p w14:paraId="3961102A" w14:textId="01482FB7" w:rsidR="00D475FB" w:rsidRPr="006759DA" w:rsidRDefault="00D475FB" w:rsidP="006A0A5E">
            <w:pPr>
              <w:pStyle w:val="ExhibitText"/>
              <w:jc w:val="center"/>
              <w:rPr>
                <w:rFonts w:eastAsia="Calibri"/>
                <w:lang w:val="en-GB"/>
              </w:rPr>
            </w:pPr>
            <w:r w:rsidRPr="006759DA">
              <w:rPr>
                <w:rFonts w:eastAsia="Calibri"/>
                <w:lang w:val="en-GB"/>
              </w:rPr>
              <w:t>36.7</w:t>
            </w:r>
            <w:r w:rsidRPr="006759DA">
              <w:rPr>
                <w:lang w:val="en-GB"/>
              </w:rPr>
              <w:t xml:space="preserve"> </w:t>
            </w:r>
            <w:r w:rsidRPr="006759DA">
              <w:rPr>
                <w:rFonts w:eastAsia="Calibri"/>
                <w:lang w:val="en-GB"/>
              </w:rPr>
              <w:t>million</w:t>
            </w:r>
            <w:r w:rsidRPr="006759DA">
              <w:rPr>
                <w:lang w:val="en-GB"/>
              </w:rPr>
              <w:t xml:space="preserve"> </w:t>
            </w:r>
            <w:r w:rsidRPr="006759DA">
              <w:rPr>
                <w:rFonts w:eastAsia="Calibri"/>
                <w:lang w:val="en-GB"/>
              </w:rPr>
              <w:t>household cards</w:t>
            </w:r>
          </w:p>
          <w:p w14:paraId="5BB6002F" w14:textId="09FEBBB3" w:rsidR="00D475FB" w:rsidRPr="006759DA" w:rsidRDefault="00D475FB" w:rsidP="006A0A5E">
            <w:pPr>
              <w:pStyle w:val="ExhibitText"/>
              <w:jc w:val="center"/>
              <w:rPr>
                <w:rFonts w:eastAsia="Calibri"/>
                <w:lang w:val="en-GB"/>
              </w:rPr>
            </w:pPr>
            <w:r w:rsidRPr="006759DA">
              <w:rPr>
                <w:rFonts w:eastAsia="Calibri"/>
                <w:lang w:val="en-GB"/>
              </w:rPr>
              <w:t>34</w:t>
            </w:r>
            <w:r w:rsidRPr="006759DA">
              <w:rPr>
                <w:lang w:val="en-GB"/>
              </w:rPr>
              <w:t xml:space="preserve"> </w:t>
            </w:r>
            <w:r w:rsidRPr="006759DA">
              <w:rPr>
                <w:rFonts w:eastAsia="Calibri"/>
                <w:lang w:val="en-GB"/>
              </w:rPr>
              <w:t>million</w:t>
            </w:r>
            <w:r w:rsidRPr="006759DA">
              <w:rPr>
                <w:lang w:val="en-GB"/>
              </w:rPr>
              <w:t xml:space="preserve"> </w:t>
            </w:r>
            <w:r w:rsidRPr="006759DA">
              <w:rPr>
                <w:rFonts w:eastAsia="Calibri"/>
                <w:lang w:val="en-GB"/>
              </w:rPr>
              <w:t>Gold</w:t>
            </w:r>
            <w:r w:rsidRPr="006759DA">
              <w:rPr>
                <w:lang w:val="en-GB"/>
              </w:rPr>
              <w:t xml:space="preserve"> </w:t>
            </w:r>
            <w:r w:rsidRPr="006759DA">
              <w:rPr>
                <w:rFonts w:eastAsia="Calibri"/>
                <w:lang w:val="en-GB"/>
              </w:rPr>
              <w:t>Star</w:t>
            </w:r>
            <w:r w:rsidR="007A3DE5" w:rsidRPr="006759DA">
              <w:rPr>
                <w:rFonts w:eastAsia="Calibri"/>
                <w:lang w:val="en-GB"/>
              </w:rPr>
              <w:t xml:space="preserve"> memberships</w:t>
            </w:r>
          </w:p>
          <w:p w14:paraId="7031FE9C" w14:textId="0C736B77" w:rsidR="00D475FB" w:rsidRPr="006759DA" w:rsidRDefault="00D475FB" w:rsidP="006A0A5E">
            <w:pPr>
              <w:pStyle w:val="ExhibitText"/>
              <w:jc w:val="center"/>
              <w:rPr>
                <w:rFonts w:eastAsia="Calibri"/>
                <w:lang w:val="en-GB"/>
              </w:rPr>
            </w:pPr>
            <w:r w:rsidRPr="006759DA">
              <w:rPr>
                <w:rFonts w:eastAsia="Calibri"/>
                <w:lang w:val="en-GB"/>
              </w:rPr>
              <w:t>7</w:t>
            </w:r>
            <w:r w:rsidRPr="006759DA">
              <w:rPr>
                <w:lang w:val="en-GB"/>
              </w:rPr>
              <w:t>.</w:t>
            </w:r>
            <w:r w:rsidRPr="006759DA">
              <w:rPr>
                <w:rFonts w:eastAsia="Calibri"/>
                <w:lang w:val="en-GB"/>
              </w:rPr>
              <w:t>1</w:t>
            </w:r>
            <w:r w:rsidRPr="006759DA">
              <w:rPr>
                <w:lang w:val="en-GB"/>
              </w:rPr>
              <w:t xml:space="preserve"> </w:t>
            </w:r>
            <w:r w:rsidRPr="006759DA">
              <w:rPr>
                <w:rFonts w:eastAsia="Calibri"/>
                <w:lang w:val="en-GB"/>
              </w:rPr>
              <w:t>million</w:t>
            </w:r>
            <w:r w:rsidRPr="006759DA">
              <w:rPr>
                <w:lang w:val="en-GB"/>
              </w:rPr>
              <w:t xml:space="preserve"> </w:t>
            </w:r>
            <w:r w:rsidRPr="006759DA">
              <w:rPr>
                <w:rFonts w:eastAsia="Calibri"/>
                <w:lang w:val="en-GB"/>
              </w:rPr>
              <w:t>Business</w:t>
            </w:r>
            <w:r w:rsidR="007A3DE5" w:rsidRPr="006759DA">
              <w:rPr>
                <w:rFonts w:eastAsia="Calibri"/>
                <w:lang w:val="en-GB"/>
              </w:rPr>
              <w:t xml:space="preserve"> memberships</w:t>
            </w:r>
          </w:p>
          <w:p w14:paraId="4901AA52" w14:textId="77777777" w:rsidR="00D475FB" w:rsidRPr="006759DA" w:rsidRDefault="00D475FB" w:rsidP="006A0A5E">
            <w:pPr>
              <w:pStyle w:val="ExhibitText"/>
              <w:jc w:val="center"/>
              <w:rPr>
                <w:lang w:val="en-GB"/>
              </w:rPr>
            </w:pPr>
            <w:r w:rsidRPr="006759DA">
              <w:rPr>
                <w:rFonts w:eastAsia="Calibri"/>
                <w:lang w:val="en-GB"/>
              </w:rPr>
              <w:t>3</w:t>
            </w:r>
            <w:r w:rsidRPr="006759DA">
              <w:rPr>
                <w:lang w:val="en-GB"/>
              </w:rPr>
              <w:t>.</w:t>
            </w:r>
            <w:r w:rsidRPr="006759DA">
              <w:rPr>
                <w:rFonts w:eastAsia="Calibri"/>
                <w:lang w:val="en-GB"/>
              </w:rPr>
              <w:t>5</w:t>
            </w:r>
            <w:r w:rsidRPr="006759DA">
              <w:rPr>
                <w:lang w:val="en-GB"/>
              </w:rPr>
              <w:t xml:space="preserve"> </w:t>
            </w:r>
            <w:r w:rsidRPr="006759DA">
              <w:rPr>
                <w:rFonts w:eastAsia="Calibri"/>
                <w:lang w:val="en-GB"/>
              </w:rPr>
              <w:t>million</w:t>
            </w:r>
            <w:r w:rsidRPr="006759DA">
              <w:rPr>
                <w:lang w:val="en-GB"/>
              </w:rPr>
              <w:t xml:space="preserve"> </w:t>
            </w:r>
            <w:r w:rsidRPr="006759DA">
              <w:rPr>
                <w:rFonts w:eastAsia="Calibri"/>
                <w:lang w:val="en-GB"/>
              </w:rPr>
              <w:t>Business</w:t>
            </w:r>
            <w:r w:rsidRPr="006759DA">
              <w:rPr>
                <w:lang w:val="en-GB"/>
              </w:rPr>
              <w:t xml:space="preserve"> </w:t>
            </w:r>
            <w:r w:rsidRPr="006759DA">
              <w:rPr>
                <w:rFonts w:eastAsia="Calibri"/>
                <w:lang w:val="en-GB"/>
              </w:rPr>
              <w:t>add</w:t>
            </w:r>
            <w:r w:rsidRPr="006759DA">
              <w:rPr>
                <w:lang w:val="en-GB"/>
              </w:rPr>
              <w:t>-</w:t>
            </w:r>
            <w:r w:rsidRPr="006759DA">
              <w:rPr>
                <w:rFonts w:eastAsia="Calibri"/>
                <w:lang w:val="en-GB"/>
              </w:rPr>
              <w:t>ons</w:t>
            </w:r>
          </w:p>
        </w:tc>
      </w:tr>
      <w:tr w:rsidR="00236FD1" w:rsidRPr="006759DA" w14:paraId="6504AEBF" w14:textId="77777777" w:rsidTr="00236FD1">
        <w:trPr>
          <w:trHeight w:val="252"/>
        </w:trPr>
        <w:tc>
          <w:tcPr>
            <w:tcW w:w="3483" w:type="dxa"/>
          </w:tcPr>
          <w:p w14:paraId="121DD998" w14:textId="495B3FEB" w:rsidR="00D475FB" w:rsidRPr="006759DA" w:rsidRDefault="00D475FB">
            <w:pPr>
              <w:pStyle w:val="ExhibitText"/>
              <w:rPr>
                <w:lang w:val="en-GB"/>
              </w:rPr>
            </w:pPr>
            <w:r w:rsidRPr="006759DA">
              <w:rPr>
                <w:rFonts w:eastAsia="Calibri"/>
                <w:lang w:val="en-GB"/>
              </w:rPr>
              <w:t>Warehouse</w:t>
            </w:r>
            <w:r w:rsidRPr="006759DA">
              <w:rPr>
                <w:lang w:val="en-GB"/>
              </w:rPr>
              <w:t xml:space="preserve"> </w:t>
            </w:r>
            <w:r w:rsidR="00426962" w:rsidRPr="006759DA">
              <w:rPr>
                <w:rFonts w:eastAsia="Calibri"/>
                <w:lang w:val="en-GB"/>
              </w:rPr>
              <w:t>Size</w:t>
            </w:r>
          </w:p>
        </w:tc>
        <w:tc>
          <w:tcPr>
            <w:tcW w:w="5867" w:type="dxa"/>
            <w:vAlign w:val="bottom"/>
          </w:tcPr>
          <w:p w14:paraId="1E315132" w14:textId="2A892F04" w:rsidR="00D475FB" w:rsidRPr="006759DA" w:rsidRDefault="00D475FB" w:rsidP="006A0A5E">
            <w:pPr>
              <w:pStyle w:val="ExhibitText"/>
              <w:jc w:val="center"/>
              <w:rPr>
                <w:lang w:val="en-GB"/>
              </w:rPr>
            </w:pPr>
            <w:r w:rsidRPr="006759DA">
              <w:rPr>
                <w:rFonts w:eastAsia="Calibri"/>
                <w:lang w:val="en-GB"/>
              </w:rPr>
              <w:t>Average</w:t>
            </w:r>
            <w:r w:rsidRPr="006759DA">
              <w:rPr>
                <w:lang w:val="en-GB"/>
              </w:rPr>
              <w:t xml:space="preserve"> </w:t>
            </w:r>
            <w:r w:rsidRPr="006759DA">
              <w:rPr>
                <w:rFonts w:eastAsia="Calibri"/>
                <w:lang w:val="en-GB"/>
              </w:rPr>
              <w:t>144,000</w:t>
            </w:r>
            <w:r w:rsidRPr="006759DA">
              <w:rPr>
                <w:lang w:val="en-GB"/>
              </w:rPr>
              <w:t xml:space="preserve"> </w:t>
            </w:r>
            <w:r w:rsidRPr="006759DA">
              <w:rPr>
                <w:rFonts w:eastAsia="Calibri"/>
                <w:lang w:val="en-GB"/>
              </w:rPr>
              <w:t>square</w:t>
            </w:r>
            <w:r w:rsidRPr="006759DA">
              <w:rPr>
                <w:lang w:val="en-GB"/>
              </w:rPr>
              <w:t xml:space="preserve"> </w:t>
            </w:r>
            <w:r w:rsidRPr="006759DA">
              <w:rPr>
                <w:rFonts w:eastAsia="Calibri"/>
                <w:lang w:val="en-GB"/>
              </w:rPr>
              <w:t>feet</w:t>
            </w:r>
          </w:p>
        </w:tc>
      </w:tr>
      <w:tr w:rsidR="00236FD1" w:rsidRPr="006759DA" w14:paraId="2177D066" w14:textId="77777777" w:rsidTr="00236FD1">
        <w:trPr>
          <w:trHeight w:val="210"/>
        </w:trPr>
        <w:tc>
          <w:tcPr>
            <w:tcW w:w="3483" w:type="dxa"/>
          </w:tcPr>
          <w:p w14:paraId="7FB0CF71" w14:textId="4CAFFC4E" w:rsidR="00D475FB" w:rsidRPr="006759DA" w:rsidRDefault="00D475FB">
            <w:pPr>
              <w:pStyle w:val="ExhibitText"/>
              <w:rPr>
                <w:lang w:val="en-GB"/>
              </w:rPr>
            </w:pPr>
            <w:r w:rsidRPr="006759DA">
              <w:rPr>
                <w:rFonts w:eastAsia="Calibri"/>
                <w:lang w:val="en-GB"/>
              </w:rPr>
              <w:t>Annual</w:t>
            </w:r>
            <w:r w:rsidRPr="006759DA">
              <w:rPr>
                <w:lang w:val="en-GB"/>
              </w:rPr>
              <w:t xml:space="preserve"> </w:t>
            </w:r>
            <w:r w:rsidR="00426962" w:rsidRPr="006759DA">
              <w:rPr>
                <w:rFonts w:eastAsia="Calibri"/>
                <w:lang w:val="en-GB"/>
              </w:rPr>
              <w:t xml:space="preserve">Revenues </w:t>
            </w:r>
          </w:p>
        </w:tc>
        <w:tc>
          <w:tcPr>
            <w:tcW w:w="5867" w:type="dxa"/>
            <w:vAlign w:val="bottom"/>
          </w:tcPr>
          <w:p w14:paraId="3D131E22" w14:textId="5F3A4A7B" w:rsidR="00D475FB" w:rsidRPr="006759DA" w:rsidRDefault="00D475FB" w:rsidP="006A0A5E">
            <w:pPr>
              <w:pStyle w:val="ExhibitText"/>
              <w:jc w:val="center"/>
              <w:rPr>
                <w:lang w:val="en-GB"/>
              </w:rPr>
            </w:pPr>
            <w:r w:rsidRPr="006759DA">
              <w:rPr>
                <w:rFonts w:eastAsia="Calibri"/>
                <w:lang w:val="en-GB"/>
              </w:rPr>
              <w:t>$113</w:t>
            </w:r>
            <w:r w:rsidRPr="006759DA">
              <w:rPr>
                <w:lang w:val="en-GB"/>
              </w:rPr>
              <w:t>.</w:t>
            </w:r>
            <w:r w:rsidRPr="006759DA">
              <w:rPr>
                <w:rFonts w:eastAsia="Calibri"/>
                <w:lang w:val="en-GB"/>
              </w:rPr>
              <w:t>7</w:t>
            </w:r>
            <w:r w:rsidRPr="006759DA">
              <w:rPr>
                <w:lang w:val="en-GB"/>
              </w:rPr>
              <w:t xml:space="preserve"> </w:t>
            </w:r>
            <w:r w:rsidRPr="006759DA">
              <w:rPr>
                <w:rFonts w:eastAsia="Calibri"/>
                <w:lang w:val="en-GB"/>
              </w:rPr>
              <w:t>billion</w:t>
            </w:r>
          </w:p>
        </w:tc>
      </w:tr>
      <w:tr w:rsidR="00236FD1" w:rsidRPr="006759DA" w14:paraId="748FEB28" w14:textId="77777777" w:rsidTr="00236FD1">
        <w:trPr>
          <w:trHeight w:val="322"/>
        </w:trPr>
        <w:tc>
          <w:tcPr>
            <w:tcW w:w="3483" w:type="dxa"/>
            <w:vAlign w:val="center"/>
          </w:tcPr>
          <w:p w14:paraId="079DC86D" w14:textId="69304FD3" w:rsidR="00D475FB" w:rsidRPr="006759DA" w:rsidRDefault="00D475FB">
            <w:pPr>
              <w:pStyle w:val="ExhibitText"/>
              <w:jc w:val="left"/>
              <w:rPr>
                <w:lang w:val="en-GB"/>
              </w:rPr>
            </w:pPr>
            <w:r w:rsidRPr="006759DA">
              <w:rPr>
                <w:rFonts w:eastAsia="Calibri"/>
                <w:lang w:val="en-GB"/>
              </w:rPr>
              <w:t>Number</w:t>
            </w:r>
            <w:r w:rsidRPr="006759DA">
              <w:rPr>
                <w:lang w:val="en-GB"/>
              </w:rPr>
              <w:t xml:space="preserve"> </w:t>
            </w:r>
            <w:r w:rsidRPr="006759DA">
              <w:rPr>
                <w:rFonts w:eastAsia="Calibri"/>
                <w:lang w:val="en-GB"/>
              </w:rPr>
              <w:t>of</w:t>
            </w:r>
            <w:r w:rsidRPr="006759DA">
              <w:rPr>
                <w:lang w:val="en-GB"/>
              </w:rPr>
              <w:t xml:space="preserve"> </w:t>
            </w:r>
            <w:r w:rsidR="00426962" w:rsidRPr="006759DA">
              <w:rPr>
                <w:rFonts w:eastAsia="Calibri"/>
                <w:lang w:val="en-GB"/>
              </w:rPr>
              <w:t>Employees</w:t>
            </w:r>
            <w:r w:rsidR="00426962" w:rsidRPr="006759DA">
              <w:rPr>
                <w:lang w:val="en-GB"/>
              </w:rPr>
              <w:t xml:space="preserve"> </w:t>
            </w:r>
            <w:r w:rsidRPr="006759DA">
              <w:rPr>
                <w:lang w:val="en-GB"/>
              </w:rPr>
              <w:t>(</w:t>
            </w:r>
            <w:r w:rsidR="00426962" w:rsidRPr="006759DA">
              <w:rPr>
                <w:rFonts w:eastAsia="Calibri"/>
                <w:lang w:val="en-GB"/>
              </w:rPr>
              <w:t>Worldwide</w:t>
            </w:r>
            <w:r w:rsidRPr="006759DA">
              <w:rPr>
                <w:lang w:val="en-GB"/>
              </w:rPr>
              <w:t>)</w:t>
            </w:r>
          </w:p>
        </w:tc>
        <w:tc>
          <w:tcPr>
            <w:tcW w:w="5867" w:type="dxa"/>
            <w:vAlign w:val="center"/>
          </w:tcPr>
          <w:p w14:paraId="4B1EB844" w14:textId="519F9ECF" w:rsidR="00D475FB" w:rsidRPr="006759DA" w:rsidRDefault="00D475FB" w:rsidP="006A0A5E">
            <w:pPr>
              <w:pStyle w:val="ExhibitText"/>
              <w:jc w:val="center"/>
              <w:rPr>
                <w:lang w:val="en-GB"/>
              </w:rPr>
            </w:pPr>
            <w:r w:rsidRPr="006759DA">
              <w:rPr>
                <w:rFonts w:eastAsia="Calibri"/>
                <w:lang w:val="en-GB"/>
              </w:rPr>
              <w:t>205,000</w:t>
            </w:r>
            <w:r w:rsidRPr="006759DA">
              <w:rPr>
                <w:lang w:val="en-GB"/>
              </w:rPr>
              <w:t xml:space="preserve"> </w:t>
            </w:r>
            <w:r w:rsidRPr="006759DA">
              <w:rPr>
                <w:rFonts w:eastAsia="Calibri"/>
                <w:lang w:val="en-GB"/>
              </w:rPr>
              <w:t>full</w:t>
            </w:r>
            <w:r w:rsidR="007A3DE5" w:rsidRPr="006759DA">
              <w:rPr>
                <w:rFonts w:eastAsia="Calibri"/>
                <w:lang w:val="en-GB"/>
              </w:rPr>
              <w:t>-</w:t>
            </w:r>
            <w:r w:rsidRPr="006759DA">
              <w:rPr>
                <w:lang w:val="en-GB"/>
              </w:rPr>
              <w:t xml:space="preserve"> </w:t>
            </w:r>
            <w:r w:rsidRPr="006759DA">
              <w:rPr>
                <w:rFonts w:eastAsia="Calibri"/>
                <w:lang w:val="en-GB"/>
              </w:rPr>
              <w:t>and</w:t>
            </w:r>
            <w:r w:rsidRPr="006759DA">
              <w:rPr>
                <w:lang w:val="en-GB"/>
              </w:rPr>
              <w:t xml:space="preserve"> </w:t>
            </w:r>
            <w:r w:rsidRPr="006759DA">
              <w:rPr>
                <w:rFonts w:eastAsia="Calibri"/>
                <w:lang w:val="en-GB"/>
              </w:rPr>
              <w:t>part</w:t>
            </w:r>
            <w:r w:rsidRPr="006759DA">
              <w:rPr>
                <w:lang w:val="en-GB"/>
              </w:rPr>
              <w:t>-</w:t>
            </w:r>
            <w:r w:rsidRPr="006759DA">
              <w:rPr>
                <w:rFonts w:eastAsia="Calibri"/>
                <w:lang w:val="en-GB"/>
              </w:rPr>
              <w:t>time</w:t>
            </w:r>
            <w:r w:rsidR="007A3DE5" w:rsidRPr="006759DA">
              <w:rPr>
                <w:rFonts w:eastAsia="Calibri"/>
                <w:lang w:val="en-GB"/>
              </w:rPr>
              <w:t xml:space="preserve"> employees</w:t>
            </w:r>
          </w:p>
        </w:tc>
      </w:tr>
      <w:tr w:rsidR="00236FD1" w:rsidRPr="006759DA" w14:paraId="2F242259" w14:textId="77777777" w:rsidTr="00236FD1">
        <w:trPr>
          <w:trHeight w:val="280"/>
        </w:trPr>
        <w:tc>
          <w:tcPr>
            <w:tcW w:w="3483" w:type="dxa"/>
            <w:vAlign w:val="center"/>
          </w:tcPr>
          <w:p w14:paraId="4BA4F580" w14:textId="4CB2C734" w:rsidR="00236FD1" w:rsidRPr="006759DA" w:rsidRDefault="00236FD1">
            <w:pPr>
              <w:pStyle w:val="ExhibitText"/>
              <w:jc w:val="left"/>
              <w:rPr>
                <w:rFonts w:eastAsia="Calibri"/>
                <w:lang w:val="en-GB"/>
              </w:rPr>
            </w:pPr>
            <w:r w:rsidRPr="006759DA">
              <w:rPr>
                <w:rFonts w:eastAsia="Calibri"/>
                <w:lang w:val="en-GB"/>
              </w:rPr>
              <w:t xml:space="preserve">Fiscal </w:t>
            </w:r>
            <w:r w:rsidR="00C02907">
              <w:rPr>
                <w:rFonts w:eastAsia="Calibri"/>
                <w:lang w:val="en-GB"/>
              </w:rPr>
              <w:t>Year-End</w:t>
            </w:r>
          </w:p>
        </w:tc>
        <w:tc>
          <w:tcPr>
            <w:tcW w:w="5867" w:type="dxa"/>
            <w:vAlign w:val="center"/>
          </w:tcPr>
          <w:p w14:paraId="126B0825" w14:textId="31770E50" w:rsidR="00236FD1" w:rsidRPr="006759DA" w:rsidRDefault="00236FD1" w:rsidP="006A0A5E">
            <w:pPr>
              <w:pStyle w:val="ExhibitText"/>
              <w:jc w:val="center"/>
              <w:rPr>
                <w:rFonts w:eastAsia="Calibri"/>
                <w:lang w:val="en-GB"/>
              </w:rPr>
            </w:pPr>
            <w:r w:rsidRPr="006759DA">
              <w:rPr>
                <w:rFonts w:eastAsia="Calibri"/>
                <w:lang w:val="en-GB"/>
              </w:rPr>
              <w:t>August 30, 2015</w:t>
            </w:r>
          </w:p>
        </w:tc>
      </w:tr>
    </w:tbl>
    <w:p w14:paraId="39EF8EFE" w14:textId="77777777" w:rsidR="00236FD1" w:rsidRPr="006759DA" w:rsidRDefault="00236FD1" w:rsidP="008E1C52">
      <w:pPr>
        <w:pStyle w:val="BodyTextMain"/>
        <w:rPr>
          <w:rFonts w:asciiTheme="minorEastAsia" w:hAnsiTheme="minorEastAsia" w:cstheme="minorEastAsia"/>
          <w:lang w:val="en-GB"/>
        </w:rPr>
      </w:pPr>
    </w:p>
    <w:p w14:paraId="7964CCA0" w14:textId="395ACEF6" w:rsidR="00236FD1" w:rsidRPr="006759DA" w:rsidRDefault="00236FD1" w:rsidP="008E4FEB">
      <w:pPr>
        <w:pStyle w:val="Footnote"/>
        <w:rPr>
          <w:lang w:val="en-GB"/>
        </w:rPr>
      </w:pPr>
      <w:r w:rsidRPr="006759DA">
        <w:rPr>
          <w:lang w:val="en-GB"/>
        </w:rPr>
        <w:t xml:space="preserve">Note: </w:t>
      </w:r>
      <w:r w:rsidR="004B49F8" w:rsidRPr="006759DA">
        <w:rPr>
          <w:lang w:val="en-GB"/>
        </w:rPr>
        <w:t>Warehouse numbers were a</w:t>
      </w:r>
      <w:r w:rsidRPr="006759DA">
        <w:rPr>
          <w:lang w:val="en-GB"/>
        </w:rPr>
        <w:t>s of December 31, 2015</w:t>
      </w:r>
      <w:r w:rsidR="004B49F8" w:rsidRPr="006759DA">
        <w:rPr>
          <w:lang w:val="en-GB"/>
        </w:rPr>
        <w:t>.</w:t>
      </w:r>
    </w:p>
    <w:p w14:paraId="5B649C83" w14:textId="2AF81414" w:rsidR="008E1C52" w:rsidRPr="006759DA" w:rsidRDefault="00C23159" w:rsidP="008E4FEB">
      <w:pPr>
        <w:pStyle w:val="Footnote"/>
        <w:rPr>
          <w:lang w:val="en-GB"/>
        </w:rPr>
      </w:pPr>
      <w:r w:rsidRPr="006759DA">
        <w:rPr>
          <w:lang w:val="en-GB"/>
        </w:rPr>
        <w:t xml:space="preserve">Source: </w:t>
      </w:r>
      <w:r w:rsidR="007A3DE5" w:rsidRPr="006759DA">
        <w:rPr>
          <w:lang w:val="en-GB"/>
        </w:rPr>
        <w:t xml:space="preserve">Created by case authors based on data from </w:t>
      </w:r>
      <w:r w:rsidRPr="006759DA">
        <w:rPr>
          <w:lang w:val="en-GB"/>
        </w:rPr>
        <w:t>Costc</w:t>
      </w:r>
      <w:r w:rsidR="0028169A" w:rsidRPr="006759DA">
        <w:rPr>
          <w:lang w:val="en-GB"/>
        </w:rPr>
        <w:t>o Wholesale</w:t>
      </w:r>
      <w:r w:rsidR="006557F8" w:rsidRPr="006759DA">
        <w:rPr>
          <w:lang w:val="en-GB"/>
        </w:rPr>
        <w:t xml:space="preserve"> Corporation</w:t>
      </w:r>
      <w:r w:rsidR="0028169A" w:rsidRPr="006759DA">
        <w:rPr>
          <w:lang w:val="en-GB"/>
        </w:rPr>
        <w:t>,</w:t>
      </w:r>
      <w:r w:rsidR="007A3DE5" w:rsidRPr="006759DA" w:rsidDel="007A3DE5">
        <w:rPr>
          <w:lang w:val="en-GB"/>
        </w:rPr>
        <w:t xml:space="preserve"> </w:t>
      </w:r>
      <w:r w:rsidR="006C4048">
        <w:rPr>
          <w:lang w:val="en-GB"/>
        </w:rPr>
        <w:t>A</w:t>
      </w:r>
      <w:r w:rsidR="0028169A" w:rsidRPr="006759DA">
        <w:rPr>
          <w:lang w:val="en-GB"/>
        </w:rPr>
        <w:t xml:space="preserve">nnual </w:t>
      </w:r>
      <w:r w:rsidR="006C4048">
        <w:rPr>
          <w:lang w:val="en-GB"/>
        </w:rPr>
        <w:t>R</w:t>
      </w:r>
      <w:r w:rsidR="0028169A" w:rsidRPr="006759DA">
        <w:rPr>
          <w:lang w:val="en-GB"/>
        </w:rPr>
        <w:t>eport</w:t>
      </w:r>
      <w:r w:rsidR="006557F8" w:rsidRPr="006759DA">
        <w:rPr>
          <w:lang w:val="en-GB"/>
        </w:rPr>
        <w:t>,</w:t>
      </w:r>
      <w:r w:rsidR="0028169A" w:rsidRPr="006759DA">
        <w:rPr>
          <w:i/>
          <w:lang w:val="en-GB"/>
        </w:rPr>
        <w:t xml:space="preserve"> </w:t>
      </w:r>
      <w:r w:rsidR="0028169A" w:rsidRPr="006759DA">
        <w:rPr>
          <w:lang w:val="en-GB"/>
        </w:rPr>
        <w:t>2015</w:t>
      </w:r>
      <w:r w:rsidR="007A3DE5" w:rsidRPr="006759DA">
        <w:rPr>
          <w:lang w:val="en-GB"/>
        </w:rPr>
        <w:t>, accessed May 2, 2018, http://phx.corporate-ir.net/phoenix.zhtml?c=83830&amp;p=irol-reportsannual.</w:t>
      </w:r>
    </w:p>
    <w:p w14:paraId="3DD52781" w14:textId="77777777" w:rsidR="00C23159" w:rsidRPr="006759DA" w:rsidRDefault="00C23159" w:rsidP="00C23159">
      <w:pPr>
        <w:pStyle w:val="Footnote"/>
        <w:rPr>
          <w:rFonts w:asciiTheme="minorEastAsia" w:hAnsiTheme="minorEastAsia" w:cstheme="minorEastAsia"/>
          <w:lang w:val="en-GB"/>
        </w:rPr>
      </w:pPr>
    </w:p>
    <w:p w14:paraId="35595881" w14:textId="77777777" w:rsidR="00C23159" w:rsidRPr="006759DA" w:rsidRDefault="00C23159">
      <w:pPr>
        <w:spacing w:after="200" w:line="276" w:lineRule="auto"/>
        <w:rPr>
          <w:rFonts w:asciiTheme="minorEastAsia" w:hAnsiTheme="minorEastAsia" w:cstheme="minorEastAsia"/>
          <w:sz w:val="17"/>
          <w:szCs w:val="17"/>
          <w:lang w:val="en-GB"/>
        </w:rPr>
      </w:pPr>
      <w:r w:rsidRPr="006759DA">
        <w:rPr>
          <w:rFonts w:asciiTheme="minorEastAsia" w:hAnsiTheme="minorEastAsia" w:cstheme="minorEastAsia"/>
          <w:lang w:val="en-GB"/>
        </w:rPr>
        <w:br w:type="page"/>
      </w:r>
    </w:p>
    <w:p w14:paraId="3FA52222" w14:textId="77777777" w:rsidR="00C23159" w:rsidRPr="006759DA" w:rsidRDefault="00C23159" w:rsidP="00C23159">
      <w:pPr>
        <w:pStyle w:val="Casehead1"/>
        <w:rPr>
          <w:lang w:val="en-GB"/>
        </w:rPr>
      </w:pPr>
      <w:r w:rsidRPr="006759DA">
        <w:rPr>
          <w:lang w:val="en-GB"/>
        </w:rPr>
        <w:lastRenderedPageBreak/>
        <w:t>Endnotes</w:t>
      </w:r>
    </w:p>
    <w:sectPr w:rsidR="00C23159" w:rsidRPr="006759DA" w:rsidSect="00751E0B">
      <w:headerReference w:type="default" r:id="rId11"/>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0F01D6" w16cid:durableId="20055F47"/>
  <w16cid:commentId w16cid:paraId="4991459B" w16cid:durableId="2007023E"/>
  <w16cid:commentId w16cid:paraId="455303A4" w16cid:durableId="20055F48"/>
  <w16cid:commentId w16cid:paraId="68F36924" w16cid:durableId="200561DB"/>
  <w16cid:commentId w16cid:paraId="65A0BD49" w16cid:durableId="20055F49"/>
  <w16cid:commentId w16cid:paraId="3C15901C" w16cid:durableId="200702B0"/>
  <w16cid:commentId w16cid:paraId="6A0BD49B" w16cid:durableId="20055F4A"/>
  <w16cid:commentId w16cid:paraId="3C986970" w16cid:durableId="200702E7"/>
  <w16cid:commentId w16cid:paraId="51708618" w16cid:durableId="20055F4B"/>
  <w16cid:commentId w16cid:paraId="48F84EEE" w16cid:durableId="200563DC"/>
  <w16cid:commentId w16cid:paraId="1D38A803" w16cid:durableId="20055F4C"/>
  <w16cid:commentId w16cid:paraId="491B3938" w16cid:durableId="20056496"/>
  <w16cid:commentId w16cid:paraId="5BFBABFB" w16cid:durableId="20055F4D"/>
  <w16cid:commentId w16cid:paraId="6A4BFA49" w16cid:durableId="2005652C"/>
  <w16cid:commentId w16cid:paraId="7743D4FB" w16cid:durableId="20055F4F"/>
  <w16cid:commentId w16cid:paraId="4B16CE85" w16cid:durableId="20056AEA"/>
  <w16cid:commentId w16cid:paraId="57C5A0F6" w16cid:durableId="20055F50"/>
  <w16cid:commentId w16cid:paraId="08E9C2AA" w16cid:durableId="20056ADF"/>
  <w16cid:commentId w16cid:paraId="67CA54F7" w16cid:durableId="20055F51"/>
  <w16cid:commentId w16cid:paraId="0AAD9180" w16cid:durableId="20056AFB"/>
  <w16cid:commentId w16cid:paraId="5BCA322B" w16cid:durableId="20055F52"/>
  <w16cid:commentId w16cid:paraId="61681E51" w16cid:durableId="2007031A"/>
  <w16cid:commentId w16cid:paraId="281AADD0" w16cid:durableId="20055F53"/>
  <w16cid:commentId w16cid:paraId="05DFB8E4" w16cid:durableId="20070347"/>
  <w16cid:commentId w16cid:paraId="077CAD56" w16cid:durableId="200E8EED"/>
  <w16cid:commentId w16cid:paraId="39D685CD" w16cid:durableId="20055F55"/>
  <w16cid:commentId w16cid:paraId="7988B797" w16cid:durableId="20070389"/>
  <w16cid:commentId w16cid:paraId="36BC2421" w16cid:durableId="200E901B"/>
  <w16cid:commentId w16cid:paraId="7B5973E6" w16cid:durableId="20055F56"/>
  <w16cid:commentId w16cid:paraId="375AC87A" w16cid:durableId="200703A4"/>
  <w16cid:commentId w16cid:paraId="0E5C32E2" w16cid:durableId="20055F57"/>
  <w16cid:commentId w16cid:paraId="4920CFC6" w16cid:durableId="200703C3"/>
  <w16cid:commentId w16cid:paraId="1F521888" w16cid:durableId="20055F58"/>
  <w16cid:commentId w16cid:paraId="6A129335" w16cid:durableId="2007042C"/>
  <w16cid:commentId w16cid:paraId="147695AE" w16cid:durableId="20055F59"/>
  <w16cid:commentId w16cid:paraId="35F20A5C" w16cid:durableId="2007044D"/>
  <w16cid:commentId w16cid:paraId="67FD3D6A" w16cid:durableId="20055F5B"/>
  <w16cid:commentId w16cid:paraId="7315DB1A" w16cid:durableId="20070484"/>
  <w16cid:commentId w16cid:paraId="7FA4311C" w16cid:durableId="20055F5C"/>
  <w16cid:commentId w16cid:paraId="7354D1D5" w16cid:durableId="200704C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73EA84" w14:textId="77777777" w:rsidR="00AA07E0" w:rsidRDefault="00AA07E0" w:rsidP="00D75295">
      <w:r>
        <w:separator/>
      </w:r>
    </w:p>
  </w:endnote>
  <w:endnote w:type="continuationSeparator" w:id="0">
    <w:p w14:paraId="6957018E" w14:textId="77777777" w:rsidR="00AA07E0" w:rsidRDefault="00AA07E0" w:rsidP="00D75295">
      <w:r>
        <w:continuationSeparator/>
      </w:r>
    </w:p>
  </w:endnote>
  <w:endnote w:id="1">
    <w:p w14:paraId="233F5412" w14:textId="12BCD12A" w:rsidR="00372BEC" w:rsidRPr="003312F9" w:rsidRDefault="00372BEC" w:rsidP="00AA07E0">
      <w:pPr>
        <w:pStyle w:val="Footnote"/>
      </w:pPr>
      <w:r w:rsidRPr="003312F9">
        <w:rPr>
          <w:rStyle w:val="EndnoteReference"/>
        </w:rPr>
        <w:endnoteRef/>
      </w:r>
      <w:r w:rsidRPr="003312F9">
        <w:t xml:space="preserve"> </w:t>
      </w:r>
      <w:r w:rsidRPr="003312F9">
        <w:rPr>
          <w:lang w:val="en-GB"/>
        </w:rPr>
        <w:t xml:space="preserve">This case has been written on the basis of published sources only. Consequently, the interpretation and perspectives presented in this case are not necessarily those of </w:t>
      </w:r>
      <w:r w:rsidRPr="003312F9">
        <w:rPr>
          <w:rFonts w:eastAsiaTheme="minorHAnsi"/>
          <w:lang w:val="en-GB"/>
        </w:rPr>
        <w:t>Costco Wholesale Corporation</w:t>
      </w:r>
      <w:r w:rsidRPr="003312F9">
        <w:rPr>
          <w:lang w:val="en-GB"/>
        </w:rPr>
        <w:t xml:space="preserve"> or any of its employees.</w:t>
      </w:r>
    </w:p>
  </w:endnote>
  <w:endnote w:id="2">
    <w:p w14:paraId="40B18C98" w14:textId="77777777" w:rsidR="00372BEC" w:rsidRPr="003312F9" w:rsidRDefault="00372BEC" w:rsidP="00AA07E0">
      <w:pPr>
        <w:pStyle w:val="Footnote"/>
        <w:rPr>
          <w:lang w:val="en-CA"/>
        </w:rPr>
      </w:pPr>
      <w:r w:rsidRPr="003312F9">
        <w:rPr>
          <w:vertAlign w:val="superscript"/>
        </w:rPr>
        <w:endnoteRef/>
      </w:r>
      <w:r w:rsidRPr="003312F9">
        <w:rPr>
          <w:vertAlign w:val="superscript"/>
        </w:rPr>
        <w:t xml:space="preserve"> </w:t>
      </w:r>
      <w:r w:rsidRPr="003312F9">
        <w:t xml:space="preserve">Deloitte, </w:t>
      </w:r>
      <w:r w:rsidRPr="003312F9">
        <w:rPr>
          <w:i/>
        </w:rPr>
        <w:t xml:space="preserve">Global Powers of Retailing 2015: Embracing Innovation, </w:t>
      </w:r>
      <w:r w:rsidRPr="003312F9">
        <w:t xml:space="preserve">2015, accessed May 2, 2018, www2.deloitte.com/content/dam/Deloitte/global/Documents/Consumer-Business/gx-cb-global-powers-of-retailing.pdf. </w:t>
      </w:r>
    </w:p>
  </w:endnote>
  <w:endnote w:id="3">
    <w:p w14:paraId="70B1A195" w14:textId="46CCEC05" w:rsidR="00372BEC" w:rsidRPr="003312F9" w:rsidRDefault="00372BEC" w:rsidP="00AA07E0">
      <w:pPr>
        <w:pStyle w:val="EndnoteText"/>
        <w:jc w:val="both"/>
        <w:rPr>
          <w:rFonts w:ascii="Arial" w:hAnsi="Arial" w:cs="Arial"/>
          <w:sz w:val="17"/>
          <w:szCs w:val="17"/>
          <w:lang w:val="en-CA"/>
        </w:rPr>
      </w:pPr>
      <w:r w:rsidRPr="003312F9">
        <w:rPr>
          <w:rStyle w:val="EndnoteReference"/>
          <w:rFonts w:ascii="Arial" w:hAnsi="Arial" w:cs="Arial"/>
          <w:sz w:val="17"/>
          <w:szCs w:val="17"/>
        </w:rPr>
        <w:endnoteRef/>
      </w:r>
      <w:r w:rsidRPr="003312F9">
        <w:rPr>
          <w:rFonts w:ascii="Arial" w:hAnsi="Arial" w:cs="Arial"/>
          <w:sz w:val="17"/>
          <w:szCs w:val="17"/>
        </w:rPr>
        <w:t xml:space="preserve"> </w:t>
      </w:r>
      <w:r w:rsidRPr="003312F9">
        <w:rPr>
          <w:rFonts w:ascii="Arial" w:hAnsi="Arial" w:cs="Arial"/>
          <w:sz w:val="17"/>
          <w:szCs w:val="17"/>
          <w:lang w:val="en-CA"/>
        </w:rPr>
        <w:t>All dollar amounts are in USD unless otherwise stated.</w:t>
      </w:r>
    </w:p>
  </w:endnote>
  <w:endnote w:id="4">
    <w:p w14:paraId="40C92335" w14:textId="633B91A8" w:rsidR="00372BEC" w:rsidRPr="003312F9" w:rsidRDefault="00372BEC" w:rsidP="00AA07E0">
      <w:pPr>
        <w:pStyle w:val="Footnote"/>
      </w:pPr>
      <w:r w:rsidRPr="003312F9">
        <w:rPr>
          <w:rStyle w:val="EndnoteReference"/>
        </w:rPr>
        <w:endnoteRef/>
      </w:r>
      <w:r w:rsidRPr="003312F9">
        <w:t xml:space="preserve"> Costco Wholesale Corporation, </w:t>
      </w:r>
      <w:r w:rsidR="006C4048" w:rsidRPr="003312F9">
        <w:t>A</w:t>
      </w:r>
      <w:r w:rsidRPr="003312F9">
        <w:t xml:space="preserve">nnual </w:t>
      </w:r>
      <w:r w:rsidR="006C4048" w:rsidRPr="003312F9">
        <w:t>R</w:t>
      </w:r>
      <w:r w:rsidRPr="003312F9">
        <w:t>eport</w:t>
      </w:r>
      <w:r w:rsidR="006C4048" w:rsidRPr="003312F9">
        <w:t>,</w:t>
      </w:r>
      <w:r w:rsidRPr="003312F9">
        <w:t xml:space="preserve"> 2014, accessed May 2, 2018, http://phx.corporate-ir.net/phoenix.zhtml?c</w:t>
      </w:r>
    </w:p>
    <w:p w14:paraId="69088103" w14:textId="7F58866F" w:rsidR="00372BEC" w:rsidRPr="003312F9" w:rsidRDefault="00372BEC" w:rsidP="00AA07E0">
      <w:pPr>
        <w:pStyle w:val="Footnote"/>
      </w:pPr>
      <w:r w:rsidRPr="003312F9">
        <w:t>=83830&amp;p=irol-reportsannual.</w:t>
      </w:r>
    </w:p>
  </w:endnote>
  <w:endnote w:id="5">
    <w:p w14:paraId="11C78EE9" w14:textId="45F47E32" w:rsidR="00372BEC" w:rsidRPr="003312F9" w:rsidRDefault="00372BEC" w:rsidP="00AA07E0">
      <w:pPr>
        <w:pStyle w:val="EndnoteText"/>
        <w:jc w:val="both"/>
        <w:rPr>
          <w:rFonts w:ascii="Arial" w:hAnsi="Arial" w:cs="Arial"/>
          <w:sz w:val="17"/>
          <w:szCs w:val="17"/>
          <w:lang w:val="en-CA"/>
        </w:rPr>
      </w:pPr>
      <w:r w:rsidRPr="003312F9">
        <w:rPr>
          <w:rStyle w:val="EndnoteReference"/>
          <w:rFonts w:ascii="Arial" w:hAnsi="Arial" w:cs="Arial"/>
          <w:sz w:val="17"/>
          <w:szCs w:val="17"/>
        </w:rPr>
        <w:endnoteRef/>
      </w:r>
      <w:r w:rsidRPr="003312F9">
        <w:rPr>
          <w:rFonts w:ascii="Arial" w:hAnsi="Arial" w:cs="Arial"/>
          <w:sz w:val="17"/>
          <w:szCs w:val="17"/>
        </w:rPr>
        <w:t xml:space="preserve"> </w:t>
      </w:r>
      <w:r w:rsidR="002626AE" w:rsidRPr="003312F9">
        <w:rPr>
          <w:rFonts w:ascii="Arial" w:hAnsi="Arial" w:cs="Arial"/>
          <w:sz w:val="17"/>
          <w:szCs w:val="17"/>
          <w:lang w:val="en-US"/>
        </w:rPr>
        <w:t>“</w:t>
      </w:r>
      <w:r w:rsidRPr="003312F9">
        <w:rPr>
          <w:rFonts w:ascii="Arial" w:hAnsi="Arial" w:cs="Arial"/>
          <w:sz w:val="17"/>
          <w:szCs w:val="17"/>
        </w:rPr>
        <w:t>Costco Wholesale Canada,</w:t>
      </w:r>
      <w:r w:rsidR="002626AE" w:rsidRPr="003312F9">
        <w:rPr>
          <w:rFonts w:ascii="Arial" w:hAnsi="Arial" w:cs="Arial"/>
          <w:sz w:val="17"/>
          <w:szCs w:val="17"/>
          <w:lang w:val="en-US"/>
        </w:rPr>
        <w:t>”</w:t>
      </w:r>
      <w:r w:rsidRPr="003312F9">
        <w:rPr>
          <w:rFonts w:ascii="Arial" w:hAnsi="Arial" w:cs="Arial"/>
          <w:sz w:val="17"/>
          <w:szCs w:val="17"/>
        </w:rPr>
        <w:t xml:space="preserve"> Linkedin, accessed February 10 2019, https://ca.linkedin.com/company/costco-wholesale-canada</w:t>
      </w:r>
      <w:r w:rsidR="002626AE" w:rsidRPr="003312F9">
        <w:rPr>
          <w:rFonts w:ascii="Arial" w:hAnsi="Arial" w:cs="Arial"/>
          <w:sz w:val="17"/>
          <w:szCs w:val="17"/>
          <w:lang w:val="en-US"/>
        </w:rPr>
        <w:t>/about/</w:t>
      </w:r>
      <w:r w:rsidRPr="003312F9">
        <w:rPr>
          <w:rFonts w:ascii="Arial" w:hAnsi="Arial" w:cs="Arial"/>
          <w:sz w:val="17"/>
          <w:szCs w:val="17"/>
        </w:rPr>
        <w:t>.</w:t>
      </w:r>
    </w:p>
  </w:endnote>
  <w:endnote w:id="6">
    <w:p w14:paraId="2F707744" w14:textId="10F9761B" w:rsidR="00372BEC" w:rsidRPr="003312F9" w:rsidRDefault="00372BEC" w:rsidP="00AA07E0">
      <w:pPr>
        <w:pStyle w:val="EndnoteText"/>
        <w:jc w:val="both"/>
        <w:rPr>
          <w:rFonts w:ascii="Arial" w:hAnsi="Arial" w:cs="Arial"/>
          <w:sz w:val="17"/>
          <w:szCs w:val="17"/>
          <w:lang w:val="en-CA"/>
        </w:rPr>
      </w:pPr>
      <w:r w:rsidRPr="003312F9">
        <w:rPr>
          <w:rStyle w:val="EndnoteReference"/>
          <w:rFonts w:ascii="Arial" w:hAnsi="Arial" w:cs="Arial"/>
          <w:sz w:val="17"/>
          <w:szCs w:val="17"/>
        </w:rPr>
        <w:endnoteRef/>
      </w:r>
      <w:r w:rsidRPr="003312F9">
        <w:rPr>
          <w:rFonts w:ascii="Arial" w:hAnsi="Arial" w:cs="Arial"/>
          <w:sz w:val="17"/>
          <w:szCs w:val="17"/>
        </w:rPr>
        <w:t xml:space="preserve"> Greg Johnson, Price Club To Open Store In Canada, Expand In East,” </w:t>
      </w:r>
      <w:r w:rsidRPr="003312F9">
        <w:rPr>
          <w:rFonts w:ascii="Arial" w:hAnsi="Arial" w:cs="Arial"/>
          <w:i/>
          <w:sz w:val="17"/>
          <w:szCs w:val="17"/>
        </w:rPr>
        <w:t>Los Angeles Times</w:t>
      </w:r>
      <w:r w:rsidRPr="003312F9">
        <w:rPr>
          <w:rFonts w:ascii="Arial" w:hAnsi="Arial" w:cs="Arial"/>
          <w:sz w:val="17"/>
          <w:szCs w:val="17"/>
        </w:rPr>
        <w:t>, January 15, 1986, accessed February 10 2019, http://articles.latimes.com/1986-01-15/business/fi-28377_1_open-store.</w:t>
      </w:r>
    </w:p>
  </w:endnote>
  <w:endnote w:id="7">
    <w:p w14:paraId="14421053" w14:textId="4D34A886" w:rsidR="00372BEC" w:rsidRPr="003312F9" w:rsidRDefault="00372BEC" w:rsidP="00AA07E0">
      <w:pPr>
        <w:pStyle w:val="EndnoteText"/>
        <w:jc w:val="both"/>
        <w:rPr>
          <w:rFonts w:ascii="Arial" w:hAnsi="Arial" w:cs="Arial"/>
          <w:sz w:val="17"/>
          <w:szCs w:val="17"/>
          <w:lang w:val="en-CA"/>
        </w:rPr>
      </w:pPr>
      <w:r w:rsidRPr="003312F9">
        <w:rPr>
          <w:rStyle w:val="EndnoteReference"/>
          <w:rFonts w:ascii="Arial" w:hAnsi="Arial" w:cs="Arial"/>
          <w:sz w:val="17"/>
          <w:szCs w:val="17"/>
        </w:rPr>
        <w:endnoteRef/>
      </w:r>
      <w:r w:rsidRPr="003312F9">
        <w:rPr>
          <w:rFonts w:ascii="Arial" w:hAnsi="Arial" w:cs="Arial"/>
          <w:sz w:val="17"/>
          <w:szCs w:val="17"/>
        </w:rPr>
        <w:t xml:space="preserve"> Adam Bryant, “Costco Set To Merge With Price,” </w:t>
      </w:r>
      <w:r w:rsidRPr="003312F9">
        <w:rPr>
          <w:rFonts w:ascii="Arial" w:hAnsi="Arial" w:cs="Arial"/>
          <w:i/>
          <w:sz w:val="17"/>
          <w:szCs w:val="17"/>
        </w:rPr>
        <w:t>The New York Times</w:t>
      </w:r>
      <w:r w:rsidRPr="003312F9">
        <w:rPr>
          <w:rFonts w:ascii="Arial" w:hAnsi="Arial" w:cs="Arial"/>
          <w:sz w:val="17"/>
          <w:szCs w:val="17"/>
        </w:rPr>
        <w:t>, June 17, 1993, accessed February 10 2019, www.nytimes.com/1993/06/17/business/costco-set-to-merge-with-price.html</w:t>
      </w:r>
    </w:p>
  </w:endnote>
  <w:endnote w:id="8">
    <w:p w14:paraId="5F231A01" w14:textId="566E057F" w:rsidR="00372BEC" w:rsidRPr="003312F9" w:rsidRDefault="00372BEC" w:rsidP="00AA07E0">
      <w:pPr>
        <w:pStyle w:val="EndnoteText"/>
        <w:jc w:val="both"/>
        <w:rPr>
          <w:rFonts w:ascii="Arial" w:hAnsi="Arial" w:cs="Arial"/>
          <w:sz w:val="17"/>
          <w:szCs w:val="17"/>
          <w:lang w:val="en-CA"/>
        </w:rPr>
      </w:pPr>
      <w:r w:rsidRPr="003312F9">
        <w:rPr>
          <w:rStyle w:val="EndnoteReference"/>
          <w:rFonts w:ascii="Arial" w:hAnsi="Arial" w:cs="Arial"/>
          <w:sz w:val="17"/>
          <w:szCs w:val="17"/>
        </w:rPr>
        <w:endnoteRef/>
      </w:r>
      <w:r w:rsidRPr="003312F9">
        <w:rPr>
          <w:rFonts w:ascii="Arial" w:hAnsi="Arial" w:cs="Arial"/>
          <w:sz w:val="17"/>
          <w:szCs w:val="17"/>
        </w:rPr>
        <w:t xml:space="preserve"> Costco Wholesale Corporation, Annual Report</w:t>
      </w:r>
      <w:r w:rsidR="006C4048" w:rsidRPr="003312F9">
        <w:rPr>
          <w:rFonts w:ascii="Arial" w:hAnsi="Arial" w:cs="Arial"/>
          <w:sz w:val="17"/>
          <w:szCs w:val="17"/>
          <w:lang w:val="en-US"/>
        </w:rPr>
        <w:t>,</w:t>
      </w:r>
      <w:r w:rsidRPr="003312F9">
        <w:rPr>
          <w:rFonts w:ascii="Arial" w:hAnsi="Arial" w:cs="Arial"/>
          <w:sz w:val="17"/>
          <w:szCs w:val="17"/>
        </w:rPr>
        <w:t xml:space="preserve"> 2015, accessed May 2, 2018, http://phx.corporate-ir.net/phoenix.zhtml?c=83830&amp;p=irol-reportsannual.</w:t>
      </w:r>
    </w:p>
  </w:endnote>
  <w:endnote w:id="9">
    <w:p w14:paraId="6B6770D9" w14:textId="373208C0" w:rsidR="00372BEC" w:rsidRPr="003312F9" w:rsidRDefault="00372BEC" w:rsidP="00AA07E0">
      <w:pPr>
        <w:pStyle w:val="Footnote"/>
      </w:pPr>
      <w:r w:rsidRPr="003312F9">
        <w:rPr>
          <w:rStyle w:val="EndnoteReference"/>
        </w:rPr>
        <w:endnoteRef/>
      </w:r>
      <w:r w:rsidRPr="003312F9">
        <w:t xml:space="preserve"> Brenda Sternquist, “International Expansion of US Retailers,” </w:t>
      </w:r>
      <w:r w:rsidRPr="003312F9">
        <w:rPr>
          <w:i/>
        </w:rPr>
        <w:t>International Journal of Retail &amp; Distribution Management</w:t>
      </w:r>
      <w:r w:rsidRPr="003312F9">
        <w:t xml:space="preserve"> 25, no. 8 (1997): 262–268. </w:t>
      </w:r>
    </w:p>
  </w:endnote>
  <w:endnote w:id="10">
    <w:p w14:paraId="0D5FE795" w14:textId="2ED0618B" w:rsidR="00372BEC" w:rsidRPr="003312F9" w:rsidRDefault="00372BEC" w:rsidP="00AA07E0">
      <w:pPr>
        <w:pStyle w:val="Footnote"/>
      </w:pPr>
      <w:r w:rsidRPr="003312F9">
        <w:rPr>
          <w:rStyle w:val="EndnoteReference"/>
        </w:rPr>
        <w:endnoteRef/>
      </w:r>
      <w:r w:rsidRPr="003312F9">
        <w:t xml:space="preserve"> Government of Canada, “Canada–United States Free Trade Agreement (FTA),” Global Affairs Canada, January 31, 2018, accessed May 2, 2018, www.international.gc.ca/trade-commerce/trade-agreements-accords-commerciaux/agr-acc/united_states-etats_unis/fta-ale/background-contexte.aspx?lang=eng.</w:t>
      </w:r>
    </w:p>
  </w:endnote>
  <w:endnote w:id="11">
    <w:p w14:paraId="3343E485" w14:textId="2146DCBA" w:rsidR="00372BEC" w:rsidRPr="003312F9" w:rsidRDefault="00372BEC" w:rsidP="00AA07E0">
      <w:pPr>
        <w:pStyle w:val="Footnote"/>
      </w:pPr>
      <w:r w:rsidRPr="003312F9">
        <w:rPr>
          <w:rStyle w:val="EndnoteReference"/>
        </w:rPr>
        <w:endnoteRef/>
      </w:r>
      <w:r w:rsidRPr="003312F9">
        <w:t xml:space="preserve"> George K. Criner, Rémy E. Lambert, Yannick Rancourt, and Joel Johnson, “Canadian Food Processors and Retailers: Changes in Concentration and Efficiency since the Canada-U.S. Free Trade Agreement,” </w:t>
      </w:r>
      <w:r w:rsidRPr="003312F9">
        <w:rPr>
          <w:i/>
        </w:rPr>
        <w:t>Journal of Food Distribution Research</w:t>
      </w:r>
      <w:r w:rsidRPr="003312F9">
        <w:t xml:space="preserve"> 38, no. 1 (2007): 36–49.</w:t>
      </w:r>
    </w:p>
  </w:endnote>
  <w:endnote w:id="12">
    <w:p w14:paraId="4D39B421" w14:textId="6413859E" w:rsidR="00372BEC" w:rsidRPr="003312F9" w:rsidRDefault="00372BEC" w:rsidP="00AA07E0">
      <w:pPr>
        <w:pStyle w:val="Footnote"/>
      </w:pPr>
      <w:r w:rsidRPr="003312F9">
        <w:rPr>
          <w:rStyle w:val="EndnoteReference"/>
        </w:rPr>
        <w:endnoteRef/>
      </w:r>
      <w:r w:rsidRPr="003312F9">
        <w:rPr>
          <w:vertAlign w:val="superscript"/>
        </w:rPr>
        <w:t xml:space="preserve"> </w:t>
      </w:r>
      <w:r w:rsidRPr="003312F9">
        <w:t xml:space="preserve">Costco Wholesale Corporation, </w:t>
      </w:r>
      <w:r w:rsidR="006C4048" w:rsidRPr="003312F9">
        <w:t>A</w:t>
      </w:r>
      <w:r w:rsidRPr="003312F9">
        <w:t xml:space="preserve">nnual </w:t>
      </w:r>
      <w:r w:rsidR="006C4048" w:rsidRPr="003312F9">
        <w:t>R</w:t>
      </w:r>
      <w:r w:rsidRPr="003312F9">
        <w:t xml:space="preserve">eport, 2014, op. cit. </w:t>
      </w:r>
    </w:p>
  </w:endnote>
  <w:endnote w:id="13">
    <w:p w14:paraId="6EC7B618" w14:textId="34C3DEF1" w:rsidR="00372BEC" w:rsidRPr="003312F9" w:rsidRDefault="00372BEC" w:rsidP="00AA07E0">
      <w:pPr>
        <w:pStyle w:val="EndnoteText"/>
        <w:jc w:val="both"/>
        <w:rPr>
          <w:rFonts w:ascii="Arial" w:hAnsi="Arial" w:cs="Arial"/>
          <w:sz w:val="17"/>
          <w:szCs w:val="17"/>
          <w:lang w:val="en-CA"/>
        </w:rPr>
      </w:pPr>
      <w:r w:rsidRPr="003312F9">
        <w:rPr>
          <w:rStyle w:val="EndnoteReference"/>
          <w:rFonts w:ascii="Arial" w:hAnsi="Arial" w:cs="Arial"/>
          <w:sz w:val="17"/>
          <w:szCs w:val="17"/>
        </w:rPr>
        <w:endnoteRef/>
      </w:r>
      <w:r w:rsidR="006C4048" w:rsidRPr="003312F9">
        <w:rPr>
          <w:rFonts w:ascii="Arial" w:hAnsi="Arial" w:cs="Arial"/>
          <w:sz w:val="17"/>
          <w:szCs w:val="17"/>
          <w:lang w:val="en-US"/>
        </w:rPr>
        <w:t xml:space="preserve"> </w:t>
      </w:r>
      <w:r w:rsidR="002626AE" w:rsidRPr="003312F9">
        <w:rPr>
          <w:rFonts w:ascii="Arial" w:hAnsi="Arial" w:cs="Arial"/>
          <w:sz w:val="17"/>
          <w:szCs w:val="17"/>
        </w:rPr>
        <w:t xml:space="preserve">“Costco Buys out Partner’s Stake in Mexican </w:t>
      </w:r>
      <w:r w:rsidR="002626AE" w:rsidRPr="003312F9">
        <w:rPr>
          <w:rFonts w:ascii="Arial" w:hAnsi="Arial" w:cs="Arial"/>
          <w:sz w:val="17"/>
          <w:szCs w:val="17"/>
          <w:lang w:val="en-US"/>
        </w:rPr>
        <w:t>D</w:t>
      </w:r>
      <w:r w:rsidR="002626AE" w:rsidRPr="003312F9">
        <w:rPr>
          <w:rFonts w:ascii="Arial" w:hAnsi="Arial" w:cs="Arial"/>
          <w:sz w:val="17"/>
          <w:szCs w:val="17"/>
        </w:rPr>
        <w:t xml:space="preserve">ivision,” </w:t>
      </w:r>
      <w:r w:rsidR="002626AE" w:rsidRPr="003312F9">
        <w:rPr>
          <w:rFonts w:ascii="Arial" w:hAnsi="Arial" w:cs="Arial"/>
          <w:i/>
          <w:sz w:val="17"/>
          <w:szCs w:val="17"/>
        </w:rPr>
        <w:t>Seattle Times</w:t>
      </w:r>
      <w:r w:rsidR="002626AE" w:rsidRPr="003312F9">
        <w:rPr>
          <w:rFonts w:ascii="Arial" w:hAnsi="Arial" w:cs="Arial"/>
          <w:sz w:val="17"/>
          <w:szCs w:val="17"/>
        </w:rPr>
        <w:t>, June 14, 2012, accessed February 2 2019, https://www.seattletimes.com/business/costco-buys-out-partners-stake-in-mexican-division/</w:t>
      </w:r>
      <w:r w:rsidR="002626AE" w:rsidRPr="003312F9">
        <w:rPr>
          <w:rFonts w:ascii="Arial" w:hAnsi="Arial" w:cs="Arial"/>
          <w:sz w:val="17"/>
          <w:szCs w:val="17"/>
          <w:lang w:val="en-US"/>
        </w:rPr>
        <w:t xml:space="preserve">; </w:t>
      </w:r>
      <w:r w:rsidRPr="003312F9">
        <w:rPr>
          <w:rFonts w:ascii="Arial" w:hAnsi="Arial" w:cs="Arial"/>
          <w:sz w:val="17"/>
          <w:szCs w:val="17"/>
        </w:rPr>
        <w:t xml:space="preserve">Costco Wholesale Corporation, </w:t>
      </w:r>
      <w:r w:rsidR="006C4048" w:rsidRPr="003312F9">
        <w:rPr>
          <w:rFonts w:ascii="Arial" w:hAnsi="Arial" w:cs="Arial"/>
          <w:sz w:val="17"/>
          <w:szCs w:val="17"/>
          <w:lang w:val="en-US"/>
        </w:rPr>
        <w:t>A</w:t>
      </w:r>
      <w:r w:rsidRPr="003312F9">
        <w:rPr>
          <w:rFonts w:ascii="Arial" w:hAnsi="Arial" w:cs="Arial"/>
          <w:sz w:val="17"/>
          <w:szCs w:val="17"/>
        </w:rPr>
        <w:t xml:space="preserve">nnual </w:t>
      </w:r>
      <w:r w:rsidR="006C4048" w:rsidRPr="003312F9">
        <w:rPr>
          <w:rFonts w:ascii="Arial" w:hAnsi="Arial" w:cs="Arial"/>
          <w:sz w:val="17"/>
          <w:szCs w:val="17"/>
          <w:lang w:val="en-US"/>
        </w:rPr>
        <w:t>R</w:t>
      </w:r>
      <w:r w:rsidRPr="003312F9">
        <w:rPr>
          <w:rFonts w:ascii="Arial" w:hAnsi="Arial" w:cs="Arial"/>
          <w:sz w:val="17"/>
          <w:szCs w:val="17"/>
        </w:rPr>
        <w:t xml:space="preserve">eport, 2015, </w:t>
      </w:r>
      <w:r w:rsidR="006C4048" w:rsidRPr="003312F9">
        <w:rPr>
          <w:rFonts w:ascii="Arial" w:hAnsi="Arial" w:cs="Arial"/>
          <w:sz w:val="17"/>
          <w:szCs w:val="17"/>
          <w:lang w:val="en-US"/>
        </w:rPr>
        <w:t>op. cit</w:t>
      </w:r>
      <w:r w:rsidRPr="003312F9">
        <w:rPr>
          <w:rFonts w:ascii="Arial" w:hAnsi="Arial" w:cs="Arial"/>
          <w:sz w:val="17"/>
          <w:szCs w:val="17"/>
        </w:rPr>
        <w:t>.</w:t>
      </w:r>
    </w:p>
  </w:endnote>
  <w:endnote w:id="14">
    <w:p w14:paraId="33ED21E7" w14:textId="69E2D210" w:rsidR="00372BEC" w:rsidRPr="003312F9" w:rsidRDefault="00372BEC" w:rsidP="00AA07E0">
      <w:pPr>
        <w:pStyle w:val="Footnote"/>
      </w:pPr>
      <w:r w:rsidRPr="003312F9">
        <w:rPr>
          <w:rStyle w:val="EndnoteReference"/>
        </w:rPr>
        <w:endnoteRef/>
      </w:r>
      <w:r w:rsidRPr="003312F9">
        <w:rPr>
          <w:vertAlign w:val="superscript"/>
        </w:rPr>
        <w:t xml:space="preserve"> </w:t>
      </w:r>
      <w:r w:rsidRPr="003312F9">
        <w:t xml:space="preserve">Beata Javorcik, Wolfgang Keller, and James Tybout, “Openness and Industrial Response in a Wal-Mart World: A Case Study of Mexican Soaps, Detergents and Surfactant,” </w:t>
      </w:r>
      <w:r w:rsidRPr="003312F9">
        <w:rPr>
          <w:i/>
        </w:rPr>
        <w:t>World Economy</w:t>
      </w:r>
      <w:r w:rsidRPr="003312F9">
        <w:t xml:space="preserve"> 31, no.12 (2008): 1558–1580.</w:t>
      </w:r>
    </w:p>
  </w:endnote>
  <w:endnote w:id="15">
    <w:p w14:paraId="1B496967" w14:textId="368E8A79" w:rsidR="00372BEC" w:rsidRPr="003312F9" w:rsidRDefault="00372BEC" w:rsidP="00AA07E0">
      <w:pPr>
        <w:pStyle w:val="Footnote"/>
      </w:pPr>
      <w:r w:rsidRPr="003312F9">
        <w:rPr>
          <w:rStyle w:val="EndnoteReference"/>
        </w:rPr>
        <w:endnoteRef/>
      </w:r>
      <w:r w:rsidRPr="003312F9">
        <w:t xml:space="preserve"> Tim Morris, </w:t>
      </w:r>
      <w:r w:rsidRPr="003312F9">
        <w:rPr>
          <w:i/>
        </w:rPr>
        <w:t>Understanding Costco: Costco Wholesale</w:t>
      </w:r>
      <w:r w:rsidRPr="003312F9">
        <w:t xml:space="preserve"> (Auckland, NZ: Coriolis Research, 2004), accessed May 2, 2018, www.coriolisresearch.com/pdfs/coriolis_understanding_Costco.pdf.</w:t>
      </w:r>
    </w:p>
  </w:endnote>
  <w:endnote w:id="16">
    <w:p w14:paraId="1CD6A8FC" w14:textId="15171237" w:rsidR="00372BEC" w:rsidRPr="003312F9" w:rsidRDefault="00372BEC" w:rsidP="00AA07E0">
      <w:pPr>
        <w:pStyle w:val="Footnote"/>
        <w:rPr>
          <w:lang w:val="en-CA"/>
        </w:rPr>
      </w:pPr>
      <w:r w:rsidRPr="003312F9">
        <w:rPr>
          <w:vertAlign w:val="superscript"/>
        </w:rPr>
        <w:endnoteRef/>
      </w:r>
      <w:r w:rsidRPr="003312F9">
        <w:rPr>
          <w:vertAlign w:val="superscript"/>
        </w:rPr>
        <w:t xml:space="preserve"> </w:t>
      </w:r>
      <w:r w:rsidRPr="003312F9">
        <w:t xml:space="preserve">Chris Kraul, “Price/Costco’s Bullish Run Heads for Tijuana,” </w:t>
      </w:r>
      <w:r w:rsidRPr="003312F9">
        <w:rPr>
          <w:i/>
        </w:rPr>
        <w:t>Los Angeles Times</w:t>
      </w:r>
      <w:r w:rsidRPr="003312F9">
        <w:t>, June 4, 1994, accessed May 2, 2018, http://articles.latimes.com/1994-06-04/business/fi-196_1_sol-price.</w:t>
      </w:r>
    </w:p>
  </w:endnote>
  <w:endnote w:id="17">
    <w:p w14:paraId="7333FD1B" w14:textId="5E922E19" w:rsidR="00372BEC" w:rsidRPr="003312F9" w:rsidRDefault="00372BEC" w:rsidP="00AA07E0">
      <w:pPr>
        <w:pStyle w:val="Footnote"/>
        <w:rPr>
          <w:lang w:val="en-CA"/>
        </w:rPr>
      </w:pPr>
      <w:r w:rsidRPr="003312F9">
        <w:rPr>
          <w:vertAlign w:val="superscript"/>
        </w:rPr>
        <w:endnoteRef/>
      </w:r>
      <w:r w:rsidRPr="003312F9">
        <w:rPr>
          <w:vertAlign w:val="superscript"/>
        </w:rPr>
        <w:t xml:space="preserve"> </w:t>
      </w:r>
      <w:r w:rsidRPr="003312F9">
        <w:t>“Frequently Asked Questions,” Costco Wholesale UK, accessed May 2, 2018, http://warehouses.costco.co.uk/about/faq/.</w:t>
      </w:r>
    </w:p>
  </w:endnote>
  <w:endnote w:id="18">
    <w:p w14:paraId="2C81D970" w14:textId="599CA27F" w:rsidR="00372BEC" w:rsidRPr="003312F9" w:rsidRDefault="00372BEC" w:rsidP="00AA07E0">
      <w:pPr>
        <w:pStyle w:val="Footnote"/>
      </w:pPr>
      <w:r w:rsidRPr="003312F9">
        <w:rPr>
          <w:vertAlign w:val="superscript"/>
        </w:rPr>
        <w:endnoteRef/>
      </w:r>
      <w:r w:rsidRPr="003312F9">
        <w:rPr>
          <w:vertAlign w:val="superscript"/>
        </w:rPr>
        <w:t xml:space="preserve"> </w:t>
      </w:r>
      <w:r w:rsidRPr="003312F9">
        <w:t xml:space="preserve">“Asda Names Its Price,” </w:t>
      </w:r>
      <w:r w:rsidRPr="003312F9">
        <w:rPr>
          <w:i/>
        </w:rPr>
        <w:t>Herald Scotland</w:t>
      </w:r>
      <w:r w:rsidRPr="003312F9">
        <w:t>, October 29, 1993, accessed May 2, 2018, www.heraldscotland.com/news/12712976.Asda_names_its_price/.</w:t>
      </w:r>
    </w:p>
  </w:endnote>
  <w:endnote w:id="19">
    <w:p w14:paraId="0C7F756F" w14:textId="47EDA1C7" w:rsidR="00372BEC" w:rsidRPr="003312F9" w:rsidRDefault="00372BEC" w:rsidP="00AA07E0">
      <w:pPr>
        <w:pStyle w:val="Footnote"/>
        <w:rPr>
          <w:lang w:val="en-CA"/>
        </w:rPr>
      </w:pPr>
      <w:r w:rsidRPr="003312F9">
        <w:rPr>
          <w:vertAlign w:val="superscript"/>
        </w:rPr>
        <w:endnoteRef/>
      </w:r>
      <w:r w:rsidRPr="003312F9">
        <w:t xml:space="preserve"> “Ministers Accused of Favouring Interests of Supermarket Giants,” </w:t>
      </w:r>
      <w:r w:rsidRPr="003312F9">
        <w:rPr>
          <w:i/>
        </w:rPr>
        <w:t>Herald Scotland</w:t>
      </w:r>
      <w:r w:rsidRPr="003312F9">
        <w:t>, August 1,</w:t>
      </w:r>
      <w:r w:rsidRPr="003312F9">
        <w:rPr>
          <w:i/>
        </w:rPr>
        <w:t xml:space="preserve"> </w:t>
      </w:r>
      <w:r w:rsidRPr="003312F9">
        <w:t>1993,</w:t>
      </w:r>
      <w:r w:rsidRPr="003312F9">
        <w:rPr>
          <w:i/>
        </w:rPr>
        <w:t xml:space="preserve"> </w:t>
      </w:r>
      <w:r w:rsidRPr="003312F9">
        <w:t>accessed May 2, 2018, www.heraldscotland.com/news/12724410.Ministers_accused_of_favouring_interests_of_supermarket_giants.</w:t>
      </w:r>
    </w:p>
  </w:endnote>
  <w:endnote w:id="20">
    <w:p w14:paraId="277794C6" w14:textId="41449816" w:rsidR="00372BEC" w:rsidRPr="003312F9" w:rsidRDefault="00372BEC" w:rsidP="00254D35">
      <w:pPr>
        <w:shd w:val="clear" w:color="auto" w:fill="FFFFFF"/>
        <w:jc w:val="both"/>
        <w:rPr>
          <w:rFonts w:ascii="Arial" w:hAnsi="Arial" w:cs="Arial"/>
          <w:sz w:val="17"/>
          <w:szCs w:val="17"/>
        </w:rPr>
      </w:pPr>
      <w:r w:rsidRPr="003312F9">
        <w:rPr>
          <w:rStyle w:val="EndnoteReference"/>
          <w:rFonts w:ascii="Arial" w:hAnsi="Arial" w:cs="Arial"/>
          <w:sz w:val="17"/>
          <w:szCs w:val="17"/>
        </w:rPr>
        <w:endnoteRef/>
      </w:r>
      <w:r w:rsidRPr="003312F9">
        <w:rPr>
          <w:rFonts w:ascii="Arial" w:hAnsi="Arial" w:cs="Arial"/>
          <w:sz w:val="17"/>
          <w:szCs w:val="17"/>
        </w:rPr>
        <w:t xml:space="preserve"> Stephen K. McNees, “The 1990-91 Recession in Historical Perspective,” </w:t>
      </w:r>
      <w:r w:rsidRPr="003312F9">
        <w:rPr>
          <w:rFonts w:ascii="Arial" w:hAnsi="Arial" w:cs="Arial"/>
          <w:i/>
          <w:sz w:val="17"/>
          <w:szCs w:val="17"/>
        </w:rPr>
        <w:t>New England Economic Review</w:t>
      </w:r>
      <w:r w:rsidRPr="003312F9">
        <w:rPr>
          <w:rFonts w:ascii="Arial" w:hAnsi="Arial" w:cs="Arial"/>
          <w:sz w:val="17"/>
          <w:szCs w:val="17"/>
        </w:rPr>
        <w:t xml:space="preserve"> January/February (1992): 1–22, accessed February 10 2019.</w:t>
      </w:r>
    </w:p>
  </w:endnote>
  <w:endnote w:id="21">
    <w:p w14:paraId="680F0D77" w14:textId="7C42DA01" w:rsidR="00372BEC" w:rsidRPr="003312F9" w:rsidRDefault="00372BEC" w:rsidP="00AA07E0">
      <w:pPr>
        <w:pStyle w:val="EndnoteText"/>
        <w:jc w:val="both"/>
        <w:rPr>
          <w:rFonts w:ascii="Arial" w:hAnsi="Arial" w:cs="Arial"/>
          <w:sz w:val="17"/>
          <w:szCs w:val="17"/>
          <w:lang w:val="en-CA"/>
        </w:rPr>
      </w:pPr>
      <w:r w:rsidRPr="003312F9">
        <w:rPr>
          <w:rStyle w:val="EndnoteReference"/>
          <w:rFonts w:ascii="Arial" w:hAnsi="Arial" w:cs="Arial"/>
          <w:sz w:val="17"/>
          <w:szCs w:val="17"/>
        </w:rPr>
        <w:endnoteRef/>
      </w:r>
      <w:r w:rsidRPr="003312F9">
        <w:rPr>
          <w:rFonts w:ascii="Arial" w:hAnsi="Arial" w:cs="Arial"/>
          <w:sz w:val="17"/>
          <w:szCs w:val="17"/>
        </w:rPr>
        <w:t xml:space="preserve"> John A. Howard and Jagdish N. Sheth “</w:t>
      </w:r>
      <w:r w:rsidRPr="003312F9">
        <w:rPr>
          <w:rFonts w:ascii="Arial" w:hAnsi="Arial" w:cs="Arial"/>
          <w:iCs/>
          <w:sz w:val="17"/>
          <w:szCs w:val="17"/>
        </w:rPr>
        <w:t xml:space="preserve">The Theory of Buyer Behavior,” </w:t>
      </w:r>
      <w:r w:rsidRPr="003312F9">
        <w:rPr>
          <w:rFonts w:ascii="Arial" w:hAnsi="Arial" w:cs="Arial"/>
          <w:i/>
          <w:iCs/>
          <w:sz w:val="17"/>
          <w:szCs w:val="17"/>
        </w:rPr>
        <w:t>Journal of the American Statistical Association</w:t>
      </w:r>
      <w:r w:rsidRPr="003312F9">
        <w:rPr>
          <w:rFonts w:ascii="Arial" w:hAnsi="Arial" w:cs="Arial"/>
          <w:iCs/>
          <w:sz w:val="17"/>
          <w:szCs w:val="17"/>
        </w:rPr>
        <w:t>,</w:t>
      </w:r>
      <w:r w:rsidRPr="003312F9">
        <w:rPr>
          <w:rFonts w:ascii="Arial" w:hAnsi="Arial" w:cs="Arial"/>
          <w:sz w:val="17"/>
          <w:szCs w:val="17"/>
        </w:rPr>
        <w:t xml:space="preserve"> January (1969).</w:t>
      </w:r>
    </w:p>
  </w:endnote>
  <w:endnote w:id="22">
    <w:p w14:paraId="712D2BA9" w14:textId="2F4F9859" w:rsidR="00372BEC" w:rsidRPr="003312F9" w:rsidRDefault="00372BEC" w:rsidP="00254D35">
      <w:pPr>
        <w:pStyle w:val="Footnote"/>
        <w:rPr>
          <w:lang w:val="en-CA"/>
        </w:rPr>
      </w:pPr>
      <w:r w:rsidRPr="003312F9">
        <w:rPr>
          <w:rStyle w:val="EndnoteReference"/>
        </w:rPr>
        <w:endnoteRef/>
      </w:r>
      <w:r w:rsidRPr="003312F9">
        <w:t xml:space="preserve"> Alan G. Hallsworth, Ken G. Jones, and Russell </w:t>
      </w:r>
      <w:r w:rsidRPr="003312F9">
        <w:rPr>
          <w:shd w:val="clear" w:color="auto" w:fill="FFFFFF"/>
        </w:rPr>
        <w:t xml:space="preserve">Muncaster, “The Planning Implications of New Retail Format Introductions in Canada and Britain,” </w:t>
      </w:r>
      <w:r w:rsidRPr="003312F9">
        <w:rPr>
          <w:i/>
          <w:shd w:val="clear" w:color="auto" w:fill="FFFFFF"/>
        </w:rPr>
        <w:t>S</w:t>
      </w:r>
      <w:r w:rsidRPr="003312F9">
        <w:rPr>
          <w:i/>
          <w:iCs/>
          <w:shd w:val="clear" w:color="auto" w:fill="FFFFFF"/>
        </w:rPr>
        <w:t>ervice Industries Journal 15</w:t>
      </w:r>
      <w:r w:rsidRPr="003312F9">
        <w:rPr>
          <w:iCs/>
          <w:shd w:val="clear" w:color="auto" w:fill="FFFFFF"/>
        </w:rPr>
        <w:t>, no.</w:t>
      </w:r>
      <w:r w:rsidRPr="003312F9">
        <w:rPr>
          <w:i/>
          <w:iCs/>
          <w:shd w:val="clear" w:color="auto" w:fill="FFFFFF"/>
        </w:rPr>
        <w:t xml:space="preserve"> </w:t>
      </w:r>
      <w:r w:rsidRPr="003312F9">
        <w:rPr>
          <w:shd w:val="clear" w:color="auto" w:fill="FFFFFF"/>
        </w:rPr>
        <w:t>4 (1995): 148–163.</w:t>
      </w:r>
    </w:p>
  </w:endnote>
  <w:endnote w:id="23">
    <w:p w14:paraId="332D2935" w14:textId="77777777" w:rsidR="00372BEC" w:rsidRPr="003312F9" w:rsidRDefault="00372BEC" w:rsidP="00AA07E0">
      <w:pPr>
        <w:pStyle w:val="Footnote"/>
      </w:pPr>
      <w:r w:rsidRPr="003312F9">
        <w:rPr>
          <w:vertAlign w:val="superscript"/>
        </w:rPr>
        <w:endnoteRef/>
      </w:r>
      <w:r w:rsidRPr="003312F9">
        <w:t xml:space="preserve"> “Arrival of Costco Could Change the Face of Retailing in the UK,” </w:t>
      </w:r>
      <w:r w:rsidRPr="003312F9">
        <w:rPr>
          <w:i/>
        </w:rPr>
        <w:t xml:space="preserve">Herald Scotland, </w:t>
      </w:r>
      <w:r w:rsidRPr="003312F9">
        <w:t>October 27, 1993, accessed May 2, 2018,</w:t>
      </w:r>
      <w:r w:rsidRPr="003312F9">
        <w:rPr>
          <w:i/>
        </w:rPr>
        <w:t xml:space="preserve"> </w:t>
      </w:r>
      <w:r w:rsidRPr="003312F9">
        <w:t xml:space="preserve">www.heraldscotland.com/news/12711100.Arrival_of_Costco_could_change_the_face_of_retailing_in_the_UK/. </w:t>
      </w:r>
    </w:p>
  </w:endnote>
  <w:endnote w:id="24">
    <w:p w14:paraId="48DB0269" w14:textId="56E3100E" w:rsidR="00372BEC" w:rsidRPr="003312F9" w:rsidRDefault="00372BEC" w:rsidP="00AA07E0">
      <w:pPr>
        <w:pStyle w:val="EndnoteText"/>
        <w:jc w:val="both"/>
        <w:rPr>
          <w:rFonts w:ascii="Arial" w:hAnsi="Arial" w:cs="Arial"/>
          <w:sz w:val="17"/>
          <w:szCs w:val="17"/>
          <w:lang w:val="en-CA"/>
        </w:rPr>
      </w:pPr>
      <w:r w:rsidRPr="003312F9">
        <w:rPr>
          <w:rStyle w:val="EndnoteReference"/>
          <w:rFonts w:ascii="Arial" w:hAnsi="Arial" w:cs="Arial"/>
          <w:sz w:val="17"/>
          <w:szCs w:val="17"/>
        </w:rPr>
        <w:endnoteRef/>
      </w:r>
      <w:r w:rsidRPr="003312F9">
        <w:rPr>
          <w:rFonts w:ascii="Arial" w:hAnsi="Arial" w:cs="Arial"/>
          <w:sz w:val="17"/>
          <w:szCs w:val="17"/>
        </w:rPr>
        <w:t xml:space="preserve"> Alan G. Hallsworth, </w:t>
      </w:r>
      <w:r w:rsidR="005C3213" w:rsidRPr="003312F9">
        <w:rPr>
          <w:rFonts w:ascii="Arial" w:hAnsi="Arial" w:cs="Arial"/>
          <w:sz w:val="17"/>
          <w:szCs w:val="17"/>
          <w:lang w:val="en-US"/>
        </w:rPr>
        <w:t>et al, op. cit</w:t>
      </w:r>
      <w:r w:rsidRPr="003312F9">
        <w:rPr>
          <w:rFonts w:ascii="Arial" w:hAnsi="Arial" w:cs="Arial"/>
          <w:sz w:val="17"/>
          <w:szCs w:val="17"/>
          <w:lang w:val="en-CA"/>
        </w:rPr>
        <w:t xml:space="preserve">; </w:t>
      </w:r>
      <w:r w:rsidR="002626AE" w:rsidRPr="003312F9">
        <w:rPr>
          <w:rFonts w:ascii="Arial" w:hAnsi="Arial" w:cs="Arial"/>
          <w:sz w:val="17"/>
          <w:szCs w:val="17"/>
        </w:rPr>
        <w:t xml:space="preserve">Tim Morris, </w:t>
      </w:r>
      <w:r w:rsidR="002626AE" w:rsidRPr="003312F9">
        <w:rPr>
          <w:rFonts w:ascii="Arial" w:hAnsi="Arial" w:cs="Arial"/>
          <w:sz w:val="17"/>
          <w:szCs w:val="17"/>
          <w:lang w:val="en-US"/>
        </w:rPr>
        <w:t>op. cit.</w:t>
      </w:r>
    </w:p>
  </w:endnote>
  <w:endnote w:id="25">
    <w:p w14:paraId="20A0166C" w14:textId="4A4B2E7D" w:rsidR="00372BEC" w:rsidRPr="003312F9" w:rsidRDefault="00372BEC" w:rsidP="00AA07E0">
      <w:pPr>
        <w:pStyle w:val="EndnoteText"/>
        <w:jc w:val="both"/>
        <w:rPr>
          <w:rFonts w:ascii="Arial" w:hAnsi="Arial" w:cs="Arial"/>
          <w:sz w:val="17"/>
          <w:szCs w:val="17"/>
          <w:lang w:val="en-US"/>
        </w:rPr>
      </w:pPr>
      <w:r w:rsidRPr="003312F9">
        <w:rPr>
          <w:rStyle w:val="EndnoteReference"/>
          <w:rFonts w:ascii="Arial" w:hAnsi="Arial" w:cs="Arial"/>
          <w:sz w:val="17"/>
          <w:szCs w:val="17"/>
        </w:rPr>
        <w:endnoteRef/>
      </w:r>
      <w:r w:rsidRPr="003312F9">
        <w:rPr>
          <w:rFonts w:ascii="Arial" w:hAnsi="Arial" w:cs="Arial"/>
          <w:sz w:val="17"/>
          <w:szCs w:val="17"/>
        </w:rPr>
        <w:t xml:space="preserve"> Tim Morris, </w:t>
      </w:r>
      <w:r w:rsidR="002626AE" w:rsidRPr="003312F9">
        <w:rPr>
          <w:rFonts w:ascii="Arial" w:hAnsi="Arial" w:cs="Arial"/>
          <w:sz w:val="17"/>
          <w:szCs w:val="17"/>
          <w:lang w:val="en-US"/>
        </w:rPr>
        <w:t>op. cit.</w:t>
      </w:r>
    </w:p>
  </w:endnote>
  <w:endnote w:id="26">
    <w:p w14:paraId="44EF0D71" w14:textId="5FEBBE21" w:rsidR="00372BEC" w:rsidRPr="003312F9" w:rsidRDefault="00372BEC" w:rsidP="00AA07E0">
      <w:pPr>
        <w:pStyle w:val="CommentText"/>
        <w:jc w:val="both"/>
        <w:rPr>
          <w:rFonts w:ascii="Arial" w:hAnsi="Arial" w:cs="Arial"/>
          <w:sz w:val="17"/>
          <w:szCs w:val="17"/>
        </w:rPr>
      </w:pPr>
      <w:r w:rsidRPr="003312F9">
        <w:rPr>
          <w:rStyle w:val="EndnoteReference"/>
          <w:rFonts w:ascii="Arial" w:hAnsi="Arial" w:cs="Arial"/>
          <w:sz w:val="17"/>
          <w:szCs w:val="17"/>
        </w:rPr>
        <w:endnoteRef/>
      </w:r>
      <w:r w:rsidRPr="003312F9">
        <w:rPr>
          <w:rFonts w:ascii="Arial" w:hAnsi="Arial" w:cs="Arial"/>
          <w:sz w:val="17"/>
          <w:szCs w:val="17"/>
        </w:rPr>
        <w:t xml:space="preserve"> “Costco Expands in Korea,” </w:t>
      </w:r>
      <w:r w:rsidRPr="003312F9">
        <w:rPr>
          <w:rFonts w:ascii="Arial" w:hAnsi="Arial" w:cs="Arial"/>
          <w:i/>
          <w:sz w:val="17"/>
          <w:szCs w:val="17"/>
        </w:rPr>
        <w:t>The New York Times,</w:t>
      </w:r>
      <w:r w:rsidRPr="003312F9">
        <w:rPr>
          <w:rFonts w:ascii="Arial" w:hAnsi="Arial" w:cs="Arial"/>
          <w:sz w:val="17"/>
          <w:szCs w:val="17"/>
        </w:rPr>
        <w:t xml:space="preserve"> May 5, 1998, accessed February 2, 2019, www.nytimes.com/1998/05/05/business/costco-expands-in-korea.html.</w:t>
      </w:r>
    </w:p>
  </w:endnote>
  <w:endnote w:id="27">
    <w:p w14:paraId="10B9E0DD" w14:textId="3D74AD12" w:rsidR="00372BEC" w:rsidRPr="003312F9" w:rsidRDefault="00372BEC" w:rsidP="00AA07E0">
      <w:pPr>
        <w:pStyle w:val="EndnoteText"/>
        <w:jc w:val="both"/>
        <w:rPr>
          <w:rFonts w:ascii="Arial" w:hAnsi="Arial" w:cs="Arial"/>
          <w:sz w:val="17"/>
          <w:szCs w:val="17"/>
          <w:lang w:val="en-CA"/>
        </w:rPr>
      </w:pPr>
      <w:r w:rsidRPr="003312F9">
        <w:rPr>
          <w:rStyle w:val="EndnoteReference"/>
          <w:rFonts w:ascii="Arial" w:hAnsi="Arial" w:cs="Arial"/>
          <w:sz w:val="17"/>
          <w:szCs w:val="17"/>
        </w:rPr>
        <w:endnoteRef/>
      </w:r>
      <w:r w:rsidRPr="003312F9">
        <w:rPr>
          <w:rFonts w:ascii="Arial" w:hAnsi="Arial" w:cs="Arial"/>
          <w:sz w:val="17"/>
          <w:szCs w:val="17"/>
        </w:rPr>
        <w:t xml:space="preserve"> </w:t>
      </w:r>
      <w:r w:rsidR="006C4048" w:rsidRPr="003312F9">
        <w:rPr>
          <w:rFonts w:ascii="Arial" w:hAnsi="Arial" w:cs="Arial"/>
          <w:sz w:val="17"/>
          <w:szCs w:val="17"/>
        </w:rPr>
        <w:t xml:space="preserve">Costco Wholesale Corporation, </w:t>
      </w:r>
      <w:r w:rsidR="006C4048" w:rsidRPr="003312F9">
        <w:rPr>
          <w:rFonts w:ascii="Arial" w:hAnsi="Arial" w:cs="Arial"/>
          <w:sz w:val="17"/>
          <w:szCs w:val="17"/>
          <w:lang w:val="en-US"/>
        </w:rPr>
        <w:t>A</w:t>
      </w:r>
      <w:r w:rsidR="006C4048" w:rsidRPr="003312F9">
        <w:rPr>
          <w:rFonts w:ascii="Arial" w:hAnsi="Arial" w:cs="Arial"/>
          <w:sz w:val="17"/>
          <w:szCs w:val="17"/>
        </w:rPr>
        <w:t xml:space="preserve">nnual </w:t>
      </w:r>
      <w:r w:rsidR="006C4048" w:rsidRPr="003312F9">
        <w:rPr>
          <w:rFonts w:ascii="Arial" w:hAnsi="Arial" w:cs="Arial"/>
          <w:sz w:val="17"/>
          <w:szCs w:val="17"/>
          <w:lang w:val="en-US"/>
        </w:rPr>
        <w:t>R</w:t>
      </w:r>
      <w:r w:rsidR="006C4048" w:rsidRPr="003312F9">
        <w:rPr>
          <w:rFonts w:ascii="Arial" w:hAnsi="Arial" w:cs="Arial"/>
          <w:sz w:val="17"/>
          <w:szCs w:val="17"/>
        </w:rPr>
        <w:t xml:space="preserve">eport, 2015, </w:t>
      </w:r>
      <w:r w:rsidR="006C4048" w:rsidRPr="003312F9">
        <w:rPr>
          <w:rFonts w:ascii="Arial" w:hAnsi="Arial" w:cs="Arial"/>
          <w:sz w:val="17"/>
          <w:szCs w:val="17"/>
          <w:lang w:val="en-US"/>
        </w:rPr>
        <w:t>op. cit</w:t>
      </w:r>
      <w:r w:rsidR="006C4048" w:rsidRPr="003312F9">
        <w:rPr>
          <w:rFonts w:ascii="Arial" w:hAnsi="Arial" w:cs="Arial"/>
          <w:sz w:val="17"/>
          <w:szCs w:val="17"/>
        </w:rPr>
        <w:t>.</w:t>
      </w:r>
    </w:p>
  </w:endnote>
  <w:endnote w:id="28">
    <w:p w14:paraId="25F84390" w14:textId="5F706843" w:rsidR="00372BEC" w:rsidRPr="003312F9" w:rsidRDefault="00372BEC" w:rsidP="00AA07E0">
      <w:pPr>
        <w:pStyle w:val="Footnote"/>
      </w:pPr>
      <w:r w:rsidRPr="003312F9">
        <w:rPr>
          <w:vertAlign w:val="superscript"/>
        </w:rPr>
        <w:endnoteRef/>
      </w:r>
      <w:r w:rsidRPr="003312F9">
        <w:t xml:space="preserve"> Organisation for Economic </w:t>
      </w:r>
      <w:r w:rsidR="00F02DE6" w:rsidRPr="003312F9">
        <w:t xml:space="preserve">Co-Operation and </w:t>
      </w:r>
      <w:r w:rsidRPr="003312F9">
        <w:t xml:space="preserve">Development, </w:t>
      </w:r>
      <w:r w:rsidRPr="003312F9">
        <w:rPr>
          <w:i/>
        </w:rPr>
        <w:t>Five Family Facts</w:t>
      </w:r>
      <w:r w:rsidRPr="003312F9">
        <w:t>, accessed May 2, 2018, www.oecd.org/els/family/47710686.pdf.</w:t>
      </w:r>
    </w:p>
  </w:endnote>
  <w:endnote w:id="29">
    <w:p w14:paraId="4044A695" w14:textId="11DE1F52" w:rsidR="00372BEC" w:rsidRPr="003312F9" w:rsidRDefault="00372BEC" w:rsidP="00AA07E0">
      <w:pPr>
        <w:pStyle w:val="Footnote"/>
      </w:pPr>
      <w:r w:rsidRPr="003312F9">
        <w:rPr>
          <w:rStyle w:val="EndnoteReference"/>
        </w:rPr>
        <w:endnoteRef/>
      </w:r>
      <w:r w:rsidRPr="003312F9">
        <w:t xml:space="preserve"> “Price-Costco Plans Warehouse in Seoul, South Korea, Next Year,” </w:t>
      </w:r>
      <w:r w:rsidRPr="003312F9">
        <w:rPr>
          <w:i/>
        </w:rPr>
        <w:t>Seattle Times</w:t>
      </w:r>
      <w:r w:rsidRPr="003312F9">
        <w:t>, November 15, 1993, accessed May 2, 2018, http://community.seattletimes.nwsource.com/archive/?date=19931115&amp;slug=1731933.</w:t>
      </w:r>
    </w:p>
  </w:endnote>
  <w:endnote w:id="30">
    <w:p w14:paraId="24B7869C" w14:textId="2984E4A7" w:rsidR="00372BEC" w:rsidRPr="003312F9" w:rsidRDefault="00372BEC" w:rsidP="00AA07E0">
      <w:pPr>
        <w:pStyle w:val="Footnote"/>
      </w:pPr>
      <w:r w:rsidRPr="003312F9">
        <w:rPr>
          <w:rStyle w:val="EndnoteReference"/>
        </w:rPr>
        <w:endnoteRef/>
      </w:r>
      <w:r w:rsidRPr="003312F9">
        <w:t xml:space="preserve"> Caroline Fairchild, “Portraits of the 500: The Busiest Costco in the World,” </w:t>
      </w:r>
      <w:r w:rsidRPr="003312F9">
        <w:rPr>
          <w:i/>
        </w:rPr>
        <w:t>Fortune</w:t>
      </w:r>
      <w:r w:rsidRPr="003312F9">
        <w:t>, June 6, 2014, accessed May 2, 2018, http://fortune.com/2014/06/06/fortune-500-portraits-costco/.</w:t>
      </w:r>
    </w:p>
  </w:endnote>
  <w:endnote w:id="31">
    <w:p w14:paraId="2FB3D867" w14:textId="0FD34B36" w:rsidR="00372BEC" w:rsidRPr="003312F9" w:rsidRDefault="00372BEC" w:rsidP="00AA07E0">
      <w:pPr>
        <w:pStyle w:val="Footnote"/>
        <w:rPr>
          <w:spacing w:val="-4"/>
        </w:rPr>
      </w:pPr>
      <w:r w:rsidRPr="003312F9">
        <w:rPr>
          <w:rStyle w:val="EndnoteReference"/>
          <w:spacing w:val="-4"/>
        </w:rPr>
        <w:endnoteRef/>
      </w:r>
      <w:r w:rsidRPr="003312F9">
        <w:rPr>
          <w:spacing w:val="-4"/>
          <w:vertAlign w:val="superscript"/>
        </w:rPr>
        <w:t xml:space="preserve"> </w:t>
      </w:r>
      <w:r w:rsidRPr="003312F9">
        <w:rPr>
          <w:spacing w:val="-4"/>
        </w:rPr>
        <w:t xml:space="preserve">Youngjun Cho, Jaewon Choi, and Jon Weber, </w:t>
      </w:r>
      <w:r w:rsidRPr="003312F9">
        <w:rPr>
          <w:i/>
          <w:spacing w:val="-4"/>
        </w:rPr>
        <w:t>Spotlight on South Korea: Understanding the South Korean Consumer</w:t>
      </w:r>
      <w:r w:rsidRPr="003312F9">
        <w:rPr>
          <w:spacing w:val="-4"/>
        </w:rPr>
        <w:t xml:space="preserve"> (London, UK: LEK Consulting, 2013), accessed May 2, 2018, www.lek.com/sites/default/files/1113_SKoreaSpotlight_WEB_121613.pdf. </w:t>
      </w:r>
    </w:p>
  </w:endnote>
  <w:endnote w:id="32">
    <w:p w14:paraId="7D8CF64F" w14:textId="3DFAB051" w:rsidR="00372BEC" w:rsidRPr="003312F9" w:rsidRDefault="00372BEC" w:rsidP="00AA07E0">
      <w:pPr>
        <w:pStyle w:val="Footnote"/>
      </w:pPr>
      <w:r w:rsidRPr="003312F9">
        <w:rPr>
          <w:rStyle w:val="EndnoteReference"/>
        </w:rPr>
        <w:endnoteRef/>
      </w:r>
      <w:r w:rsidRPr="003312F9">
        <w:t xml:space="preserve"> J</w:t>
      </w:r>
      <w:r w:rsidR="00F02DE6" w:rsidRPr="003312F9">
        <w:t>ong Il</w:t>
      </w:r>
      <w:r w:rsidRPr="003312F9">
        <w:t xml:space="preserve"> Kim and J</w:t>
      </w:r>
      <w:r w:rsidR="00F02DE6" w:rsidRPr="003312F9">
        <w:t>une Dong</w:t>
      </w:r>
      <w:r w:rsidRPr="003312F9">
        <w:t xml:space="preserve"> Kim, </w:t>
      </w:r>
      <w:r w:rsidRPr="003312F9">
        <w:rPr>
          <w:i/>
        </w:rPr>
        <w:t>Liberalization of Trade in Services and Productivity Growth in Korea</w:t>
      </w:r>
      <w:r w:rsidRPr="003312F9">
        <w:t xml:space="preserve"> (Sejong, South Korea: Korea Institute for International Economic Policy, 2000).</w:t>
      </w:r>
    </w:p>
  </w:endnote>
  <w:endnote w:id="33">
    <w:p w14:paraId="52F0CBE8" w14:textId="1F602C18" w:rsidR="00372BEC" w:rsidRPr="003312F9" w:rsidRDefault="00372BEC" w:rsidP="00AA07E0">
      <w:pPr>
        <w:pStyle w:val="Footnote"/>
        <w:rPr>
          <w:lang w:val="en-CA"/>
        </w:rPr>
      </w:pPr>
      <w:r w:rsidRPr="003312F9">
        <w:rPr>
          <w:vertAlign w:val="superscript"/>
        </w:rPr>
        <w:endnoteRef/>
      </w:r>
      <w:r w:rsidRPr="003312F9">
        <w:t xml:space="preserve"> Joyce Lee, “Tesco’s South Korean Crown Jewel Flawed by New Regulations,” Reuters, April 14, 2013, accessed May 3, 2018, http://uk.reuters.com/article/2013/04/14/uk-korea-tesco-idUKBRE93D0CJ20130414.</w:t>
      </w:r>
    </w:p>
  </w:endnote>
  <w:endnote w:id="34">
    <w:p w14:paraId="6F0B838E" w14:textId="6E41DA20" w:rsidR="00372BEC" w:rsidRPr="003312F9" w:rsidRDefault="00372BEC" w:rsidP="00AA07E0">
      <w:pPr>
        <w:pStyle w:val="EndnoteText"/>
        <w:jc w:val="both"/>
        <w:rPr>
          <w:rFonts w:ascii="Arial" w:hAnsi="Arial" w:cs="Arial"/>
          <w:sz w:val="17"/>
          <w:szCs w:val="17"/>
          <w:lang w:val="en-CA"/>
        </w:rPr>
      </w:pPr>
      <w:r w:rsidRPr="003312F9">
        <w:rPr>
          <w:rStyle w:val="EndnoteReference"/>
          <w:rFonts w:ascii="Arial" w:hAnsi="Arial" w:cs="Arial"/>
          <w:sz w:val="17"/>
          <w:szCs w:val="17"/>
        </w:rPr>
        <w:endnoteRef/>
      </w:r>
      <w:r w:rsidRPr="003312F9">
        <w:rPr>
          <w:rFonts w:ascii="Arial" w:hAnsi="Arial" w:cs="Arial"/>
          <w:sz w:val="17"/>
          <w:szCs w:val="17"/>
        </w:rPr>
        <w:t xml:space="preserve"> Don Shapiro, “Costco’s Taiwan Success Story,” September 20, 2018, accessed February 2, 2018,  https://topics.amcham.com.tw/2018/09/costcos-taiwan-success-story/</w:t>
      </w:r>
    </w:p>
  </w:endnote>
  <w:endnote w:id="35">
    <w:p w14:paraId="09ED640F" w14:textId="6390F225" w:rsidR="00372BEC" w:rsidRPr="003312F9" w:rsidRDefault="00372BEC" w:rsidP="003D5DA3">
      <w:pPr>
        <w:pStyle w:val="Footnote"/>
      </w:pPr>
      <w:r w:rsidRPr="003312F9">
        <w:rPr>
          <w:rStyle w:val="EndnoteReference"/>
        </w:rPr>
        <w:endnoteRef/>
      </w:r>
      <w:r w:rsidRPr="003312F9">
        <w:t xml:space="preserve"> </w:t>
      </w:r>
      <w:r w:rsidR="006C4048" w:rsidRPr="003312F9">
        <w:t xml:space="preserve"> Costco Wholesale Corporation, Annual Report, 2015, op. cit.</w:t>
      </w:r>
    </w:p>
  </w:endnote>
  <w:endnote w:id="36">
    <w:p w14:paraId="7ACB528D" w14:textId="038EC3F9" w:rsidR="00372BEC" w:rsidRPr="003312F9" w:rsidRDefault="00372BEC" w:rsidP="00AA07E0">
      <w:pPr>
        <w:pStyle w:val="Footnote"/>
      </w:pPr>
      <w:r w:rsidRPr="003312F9">
        <w:rPr>
          <w:vertAlign w:val="superscript"/>
        </w:rPr>
        <w:endnoteRef/>
      </w:r>
      <w:r w:rsidRPr="003312F9">
        <w:t xml:space="preserve"> Andria Cheng, “Costco Cracks Taiwan Market,” </w:t>
      </w:r>
      <w:r w:rsidRPr="003312F9">
        <w:rPr>
          <w:i/>
        </w:rPr>
        <w:t>Wall Street Journal,</w:t>
      </w:r>
      <w:r w:rsidRPr="003312F9">
        <w:t xml:space="preserve"> April 1, 2010, accessed May 2, 2018, www.wsj.com/articles/SB10001424052702303395904575157910930303400?cb=logged0.5037452876567841.</w:t>
      </w:r>
    </w:p>
  </w:endnote>
  <w:endnote w:id="37">
    <w:p w14:paraId="3B993AB5" w14:textId="13CDA90E" w:rsidR="00372BEC" w:rsidRPr="003312F9" w:rsidRDefault="00372BEC" w:rsidP="00AA07E0">
      <w:pPr>
        <w:pStyle w:val="Footnote"/>
        <w:rPr>
          <w:lang w:val="en-CA"/>
        </w:rPr>
      </w:pPr>
      <w:r w:rsidRPr="003312F9">
        <w:rPr>
          <w:vertAlign w:val="superscript"/>
        </w:rPr>
        <w:endnoteRef/>
      </w:r>
      <w:r w:rsidRPr="003312F9">
        <w:t xml:space="preserve"> </w:t>
      </w:r>
      <w:r w:rsidR="00F02DE6" w:rsidRPr="003312F9">
        <w:t>YunLung</w:t>
      </w:r>
      <w:r w:rsidRPr="003312F9">
        <w:t xml:space="preserve"> Yeh, “The Global Expansion of Transnational Retailers</w:t>
      </w:r>
      <w:r w:rsidR="00F02DE6" w:rsidRPr="003312F9">
        <w:t>: A Case Study of: The Localization Strategy of Costco In Taiwan”</w:t>
      </w:r>
      <w:r w:rsidRPr="003312F9">
        <w:t>” (master’s thesis, University of North Texas, 2010).</w:t>
      </w:r>
    </w:p>
  </w:endnote>
  <w:endnote w:id="38">
    <w:p w14:paraId="15E298DF" w14:textId="2568AB10" w:rsidR="00372BEC" w:rsidRPr="003312F9" w:rsidRDefault="00372BEC" w:rsidP="00AA07E0">
      <w:pPr>
        <w:pStyle w:val="Footnote"/>
        <w:rPr>
          <w:spacing w:val="-4"/>
          <w:lang w:val="en-CA"/>
        </w:rPr>
      </w:pPr>
      <w:r w:rsidRPr="003312F9">
        <w:rPr>
          <w:spacing w:val="-4"/>
          <w:vertAlign w:val="superscript"/>
        </w:rPr>
        <w:endnoteRef/>
      </w:r>
      <w:r w:rsidRPr="003312F9">
        <w:rPr>
          <w:spacing w:val="-4"/>
          <w:vertAlign w:val="superscript"/>
        </w:rPr>
        <w:t xml:space="preserve"> </w:t>
      </w:r>
      <w:r w:rsidRPr="003312F9">
        <w:rPr>
          <w:spacing w:val="-4"/>
        </w:rPr>
        <w:t>World Trade Organization, “WTO Successfully Concludes Negotiations on Entry of the Separate Customs Territory of Taiwan, Penghu, Kinmen and Matsu,” news release, September 18, 2001, accessed May 3, 2018, www.wto.org/english/news_e/pres01_e/pr244_e.htm; Government of Canada, Grocery Retail Trends in Taiwan, November 2013,</w:t>
      </w:r>
      <w:r w:rsidRPr="003312F9">
        <w:rPr>
          <w:i/>
          <w:spacing w:val="-4"/>
        </w:rPr>
        <w:t xml:space="preserve"> </w:t>
      </w:r>
      <w:r w:rsidRPr="003312F9">
        <w:rPr>
          <w:spacing w:val="-4"/>
        </w:rPr>
        <w:t>Agriculture and Agri-Food Canada, Global Analysis Division,</w:t>
      </w:r>
      <w:r w:rsidRPr="003312F9">
        <w:rPr>
          <w:i/>
          <w:spacing w:val="-4"/>
        </w:rPr>
        <w:t xml:space="preserve"> </w:t>
      </w:r>
      <w:r w:rsidRPr="003312F9">
        <w:rPr>
          <w:spacing w:val="-4"/>
        </w:rPr>
        <w:t>accessed May 3, 2018, www.agr.gc.ca/eng/industry-markets-and-trade/international-agri-food-market-intelligence/asia/market-intelligence/grocery-retail-trends-in-taiwan/?id=1410083148713.</w:t>
      </w:r>
    </w:p>
  </w:endnote>
  <w:endnote w:id="39">
    <w:p w14:paraId="040BCE0F" w14:textId="41AB101E" w:rsidR="00372BEC" w:rsidRPr="003312F9" w:rsidRDefault="00372BEC" w:rsidP="00AA07E0">
      <w:pPr>
        <w:pStyle w:val="CommentText"/>
        <w:jc w:val="both"/>
        <w:rPr>
          <w:rFonts w:ascii="Arial" w:hAnsi="Arial" w:cs="Arial"/>
          <w:sz w:val="17"/>
          <w:szCs w:val="17"/>
        </w:rPr>
      </w:pPr>
      <w:r w:rsidRPr="003312F9">
        <w:rPr>
          <w:rStyle w:val="EndnoteReference"/>
          <w:rFonts w:ascii="Arial" w:hAnsi="Arial" w:cs="Arial"/>
          <w:sz w:val="17"/>
          <w:szCs w:val="17"/>
        </w:rPr>
        <w:endnoteRef/>
      </w:r>
      <w:r w:rsidRPr="003312F9">
        <w:rPr>
          <w:rFonts w:ascii="Arial" w:hAnsi="Arial" w:cs="Arial"/>
          <w:sz w:val="17"/>
          <w:szCs w:val="17"/>
        </w:rPr>
        <w:t xml:space="preserve"> Steve Shen, “Makro Taiwan Closes Six Outlets in Taiwan,” CENS, February 13, 2003, accessed February 2, 2019, www.cens.com/cens/html/en/news/news_inner_17386.html</w:t>
      </w:r>
    </w:p>
  </w:endnote>
  <w:endnote w:id="40">
    <w:p w14:paraId="0844D0B9" w14:textId="527940ED" w:rsidR="00372BEC" w:rsidRPr="003312F9" w:rsidRDefault="00372BEC" w:rsidP="00AA07E0">
      <w:pPr>
        <w:pStyle w:val="CommentText"/>
        <w:jc w:val="both"/>
        <w:rPr>
          <w:rFonts w:ascii="Arial" w:hAnsi="Arial" w:cs="Arial"/>
          <w:sz w:val="17"/>
          <w:szCs w:val="17"/>
        </w:rPr>
      </w:pPr>
      <w:r w:rsidRPr="003312F9">
        <w:rPr>
          <w:rStyle w:val="EndnoteReference"/>
          <w:rFonts w:ascii="Arial" w:hAnsi="Arial" w:cs="Arial"/>
          <w:sz w:val="17"/>
          <w:szCs w:val="17"/>
        </w:rPr>
        <w:endnoteRef/>
      </w:r>
      <w:r w:rsidRPr="003312F9">
        <w:rPr>
          <w:rFonts w:ascii="Arial" w:hAnsi="Arial" w:cs="Arial"/>
          <w:sz w:val="17"/>
          <w:szCs w:val="17"/>
        </w:rPr>
        <w:t xml:space="preserve"> Mark Tran, “Tesco To Pull Out of Taiwan,” The Guardian, September 30, 2005, accessed February 2, 2019, www.theguardian.com/business/2005/sep/30/supermarkets.tesco</w:t>
      </w:r>
    </w:p>
  </w:endnote>
  <w:endnote w:id="41">
    <w:p w14:paraId="38F129BF" w14:textId="4F24D12B" w:rsidR="00372BEC" w:rsidRPr="003312F9" w:rsidRDefault="00372BEC" w:rsidP="004847EB">
      <w:pPr>
        <w:pStyle w:val="Footnote"/>
      </w:pPr>
      <w:r w:rsidRPr="003312F9">
        <w:rPr>
          <w:rStyle w:val="EndnoteReference"/>
        </w:rPr>
        <w:endnoteRef/>
      </w:r>
      <w:r w:rsidRPr="003312F9">
        <w:t xml:space="preserve"> </w:t>
      </w:r>
      <w:r w:rsidR="004847EB" w:rsidRPr="003312F9">
        <w:t>Andria Cheng, op. cit.</w:t>
      </w:r>
    </w:p>
  </w:endnote>
  <w:endnote w:id="42">
    <w:p w14:paraId="36A65D5E" w14:textId="2C98ECD2" w:rsidR="00372BEC" w:rsidRPr="003312F9" w:rsidRDefault="00372BEC" w:rsidP="00AA07E0">
      <w:pPr>
        <w:pStyle w:val="Footnote"/>
        <w:rPr>
          <w:lang w:val="en-CA"/>
        </w:rPr>
      </w:pPr>
      <w:r w:rsidRPr="003312F9">
        <w:rPr>
          <w:vertAlign w:val="superscript"/>
        </w:rPr>
        <w:endnoteRef/>
      </w:r>
      <w:r w:rsidRPr="003312F9">
        <w:t xml:space="preserve"> </w:t>
      </w:r>
      <w:r w:rsidR="004847EB" w:rsidRPr="003312F9">
        <w:t>Ibid.</w:t>
      </w:r>
      <w:r w:rsidRPr="003312F9">
        <w:t xml:space="preserve"> </w:t>
      </w:r>
    </w:p>
  </w:endnote>
  <w:endnote w:id="43">
    <w:p w14:paraId="406A9E7B" w14:textId="01C1F1BC" w:rsidR="00372BEC" w:rsidRPr="003312F9" w:rsidRDefault="00372BEC" w:rsidP="00AA07E0">
      <w:pPr>
        <w:pStyle w:val="EndnoteText"/>
        <w:jc w:val="both"/>
        <w:rPr>
          <w:lang w:val="en-US"/>
        </w:rPr>
      </w:pPr>
      <w:r w:rsidRPr="003312F9">
        <w:rPr>
          <w:rStyle w:val="EndnoteReference"/>
          <w:rFonts w:ascii="Arial" w:hAnsi="Arial" w:cs="Arial"/>
          <w:sz w:val="17"/>
          <w:szCs w:val="17"/>
        </w:rPr>
        <w:endnoteRef/>
      </w:r>
      <w:r w:rsidRPr="003312F9">
        <w:rPr>
          <w:rFonts w:ascii="Arial" w:hAnsi="Arial" w:cs="Arial"/>
          <w:sz w:val="17"/>
          <w:szCs w:val="17"/>
        </w:rPr>
        <w:t xml:space="preserve"> Chris Betros, “ Costco Reshapes Wholesale Industry,” Japan Today, February 21, 2011, accessed February 2, 2019, https://japantoday.com/category/features/executive-impact/costco-reshapes-wholesale-industry</w:t>
      </w:r>
      <w:r w:rsidR="004847EB" w:rsidRPr="003312F9">
        <w:rPr>
          <w:rFonts w:ascii="Arial" w:hAnsi="Arial" w:cs="Arial"/>
          <w:sz w:val="17"/>
          <w:szCs w:val="17"/>
          <w:lang w:val="en-US"/>
        </w:rPr>
        <w:t>.</w:t>
      </w:r>
    </w:p>
  </w:endnote>
  <w:endnote w:id="44">
    <w:p w14:paraId="6875B73E" w14:textId="3B2DEB08" w:rsidR="00372BEC" w:rsidRPr="003312F9" w:rsidRDefault="00372BEC" w:rsidP="00AA07E0">
      <w:pPr>
        <w:pStyle w:val="EndnoteText"/>
        <w:jc w:val="both"/>
        <w:rPr>
          <w:rFonts w:ascii="Arial" w:hAnsi="Arial" w:cs="Arial"/>
          <w:sz w:val="17"/>
          <w:szCs w:val="17"/>
          <w:lang w:val="en-CA"/>
        </w:rPr>
      </w:pPr>
      <w:r w:rsidRPr="003312F9">
        <w:rPr>
          <w:rStyle w:val="EndnoteReference"/>
          <w:rFonts w:ascii="Arial" w:hAnsi="Arial" w:cs="Arial"/>
          <w:sz w:val="17"/>
          <w:szCs w:val="17"/>
        </w:rPr>
        <w:endnoteRef/>
      </w:r>
      <w:r w:rsidRPr="003312F9">
        <w:rPr>
          <w:rFonts w:ascii="Arial" w:hAnsi="Arial" w:cs="Arial"/>
          <w:sz w:val="17"/>
          <w:szCs w:val="17"/>
        </w:rPr>
        <w:t xml:space="preserve"> </w:t>
      </w:r>
      <w:r w:rsidR="006C4048" w:rsidRPr="003312F9">
        <w:rPr>
          <w:rFonts w:ascii="Arial" w:hAnsi="Arial" w:cs="Arial"/>
          <w:sz w:val="17"/>
          <w:szCs w:val="17"/>
        </w:rPr>
        <w:t xml:space="preserve">Costco Wholesale Corporation, </w:t>
      </w:r>
      <w:r w:rsidR="006C4048" w:rsidRPr="003312F9">
        <w:rPr>
          <w:rFonts w:ascii="Arial" w:hAnsi="Arial" w:cs="Arial"/>
          <w:sz w:val="17"/>
          <w:szCs w:val="17"/>
          <w:lang w:val="en-US"/>
        </w:rPr>
        <w:t>A</w:t>
      </w:r>
      <w:r w:rsidR="006C4048" w:rsidRPr="003312F9">
        <w:rPr>
          <w:rFonts w:ascii="Arial" w:hAnsi="Arial" w:cs="Arial"/>
          <w:sz w:val="17"/>
          <w:szCs w:val="17"/>
        </w:rPr>
        <w:t xml:space="preserve">nnual </w:t>
      </w:r>
      <w:r w:rsidR="006C4048" w:rsidRPr="003312F9">
        <w:rPr>
          <w:rFonts w:ascii="Arial" w:hAnsi="Arial" w:cs="Arial"/>
          <w:sz w:val="17"/>
          <w:szCs w:val="17"/>
          <w:lang w:val="en-US"/>
        </w:rPr>
        <w:t>R</w:t>
      </w:r>
      <w:r w:rsidR="006C4048" w:rsidRPr="003312F9">
        <w:rPr>
          <w:rFonts w:ascii="Arial" w:hAnsi="Arial" w:cs="Arial"/>
          <w:sz w:val="17"/>
          <w:szCs w:val="17"/>
        </w:rPr>
        <w:t xml:space="preserve">eport, 2015, </w:t>
      </w:r>
      <w:r w:rsidR="006C4048" w:rsidRPr="003312F9">
        <w:rPr>
          <w:rFonts w:ascii="Arial" w:hAnsi="Arial" w:cs="Arial"/>
          <w:sz w:val="17"/>
          <w:szCs w:val="17"/>
          <w:lang w:val="en-US"/>
        </w:rPr>
        <w:t>op. cit</w:t>
      </w:r>
      <w:r w:rsidR="006C4048" w:rsidRPr="003312F9">
        <w:rPr>
          <w:rFonts w:ascii="Arial" w:hAnsi="Arial" w:cs="Arial"/>
          <w:sz w:val="17"/>
          <w:szCs w:val="17"/>
        </w:rPr>
        <w:t>.</w:t>
      </w:r>
    </w:p>
  </w:endnote>
  <w:endnote w:id="45">
    <w:p w14:paraId="2758A2D9" w14:textId="3B77384A" w:rsidR="00372BEC" w:rsidRPr="003312F9" w:rsidRDefault="00372BEC" w:rsidP="00AA07E0">
      <w:pPr>
        <w:pStyle w:val="Footnote"/>
        <w:rPr>
          <w:lang w:val="en-GB"/>
        </w:rPr>
      </w:pPr>
      <w:r w:rsidRPr="003312F9">
        <w:rPr>
          <w:rStyle w:val="EndnoteReference"/>
          <w:sz w:val="16"/>
          <w:szCs w:val="16"/>
        </w:rPr>
        <w:endnoteRef/>
      </w:r>
      <w:r w:rsidRPr="003312F9">
        <w:t xml:space="preserve"> Yukio </w:t>
      </w:r>
      <w:r w:rsidRPr="003312F9">
        <w:rPr>
          <w:lang w:val="en-GB"/>
        </w:rPr>
        <w:t xml:space="preserve">Noguchi and James M. Poterba, “Introduction,” in </w:t>
      </w:r>
      <w:r w:rsidRPr="003312F9">
        <w:rPr>
          <w:i/>
          <w:lang w:val="en-GB"/>
        </w:rPr>
        <w:t>Housing Markets in the U.S. and Japan</w:t>
      </w:r>
      <w:r w:rsidRPr="003312F9">
        <w:rPr>
          <w:lang w:val="en-GB"/>
        </w:rPr>
        <w:t>, ed. Yukio Noguchi and James M. Poterba (Chicago: University of Chicago Press, 2010), 1–10.</w:t>
      </w:r>
    </w:p>
  </w:endnote>
  <w:endnote w:id="46">
    <w:p w14:paraId="0E1FFD99" w14:textId="7FC99549" w:rsidR="00372BEC" w:rsidRPr="003312F9" w:rsidRDefault="00372BEC" w:rsidP="00AA07E0">
      <w:pPr>
        <w:pStyle w:val="EndnoteText"/>
        <w:jc w:val="both"/>
        <w:rPr>
          <w:rFonts w:ascii="Arial" w:hAnsi="Arial" w:cs="Arial"/>
          <w:sz w:val="17"/>
          <w:szCs w:val="17"/>
          <w:lang w:val="en-US"/>
        </w:rPr>
      </w:pPr>
      <w:r w:rsidRPr="003312F9">
        <w:rPr>
          <w:rStyle w:val="EndnoteReference"/>
          <w:rFonts w:ascii="Arial" w:hAnsi="Arial" w:cs="Arial"/>
          <w:sz w:val="17"/>
          <w:szCs w:val="17"/>
        </w:rPr>
        <w:endnoteRef/>
      </w:r>
      <w:r w:rsidRPr="003312F9">
        <w:rPr>
          <w:rFonts w:ascii="Arial" w:hAnsi="Arial" w:cs="Arial"/>
          <w:sz w:val="17"/>
          <w:szCs w:val="17"/>
        </w:rPr>
        <w:t xml:space="preserve"> </w:t>
      </w:r>
      <w:r w:rsidR="004847EB" w:rsidRPr="003312F9">
        <w:rPr>
          <w:rFonts w:ascii="Arial" w:hAnsi="Arial" w:cs="Arial"/>
          <w:sz w:val="17"/>
          <w:szCs w:val="17"/>
          <w:lang w:val="en-US"/>
        </w:rPr>
        <w:t xml:space="preserve">Hirotaka </w:t>
      </w:r>
      <w:r w:rsidRPr="003312F9">
        <w:rPr>
          <w:rFonts w:ascii="Arial" w:hAnsi="Arial" w:cs="Arial"/>
          <w:sz w:val="17"/>
          <w:szCs w:val="17"/>
        </w:rPr>
        <w:t xml:space="preserve">Yamakawa, Carrefour </w:t>
      </w:r>
      <w:r w:rsidR="004847EB" w:rsidRPr="003312F9">
        <w:rPr>
          <w:rFonts w:ascii="Arial" w:hAnsi="Arial" w:cs="Arial"/>
          <w:sz w:val="17"/>
          <w:szCs w:val="17"/>
          <w:lang w:val="en-US"/>
        </w:rPr>
        <w:t>P</w:t>
      </w:r>
      <w:r w:rsidRPr="003312F9">
        <w:rPr>
          <w:rFonts w:ascii="Arial" w:hAnsi="Arial" w:cs="Arial"/>
          <w:sz w:val="17"/>
          <w:szCs w:val="17"/>
        </w:rPr>
        <w:t xml:space="preserve">ulls </w:t>
      </w:r>
      <w:r w:rsidR="004847EB" w:rsidRPr="003312F9">
        <w:rPr>
          <w:rFonts w:ascii="Arial" w:hAnsi="Arial" w:cs="Arial"/>
          <w:sz w:val="17"/>
          <w:szCs w:val="17"/>
          <w:lang w:val="en-US"/>
        </w:rPr>
        <w:t>O</w:t>
      </w:r>
      <w:r w:rsidRPr="003312F9">
        <w:rPr>
          <w:rFonts w:ascii="Arial" w:hAnsi="Arial" w:cs="Arial"/>
          <w:sz w:val="17"/>
          <w:szCs w:val="17"/>
        </w:rPr>
        <w:t xml:space="preserve">ut, Wal-Mart </w:t>
      </w:r>
      <w:r w:rsidR="004847EB" w:rsidRPr="003312F9">
        <w:rPr>
          <w:rFonts w:ascii="Arial" w:hAnsi="Arial" w:cs="Arial"/>
          <w:sz w:val="17"/>
          <w:szCs w:val="17"/>
          <w:lang w:val="en-US"/>
        </w:rPr>
        <w:t>S</w:t>
      </w:r>
      <w:r w:rsidRPr="003312F9">
        <w:rPr>
          <w:rFonts w:ascii="Arial" w:hAnsi="Arial" w:cs="Arial"/>
          <w:sz w:val="17"/>
          <w:szCs w:val="17"/>
        </w:rPr>
        <w:t xml:space="preserve">truggles: Low </w:t>
      </w:r>
      <w:r w:rsidR="004847EB" w:rsidRPr="003312F9">
        <w:rPr>
          <w:rFonts w:ascii="Arial" w:hAnsi="Arial" w:cs="Arial"/>
          <w:sz w:val="17"/>
          <w:szCs w:val="17"/>
          <w:lang w:val="en-US"/>
        </w:rPr>
        <w:t>P</w:t>
      </w:r>
      <w:r w:rsidRPr="003312F9">
        <w:rPr>
          <w:rFonts w:ascii="Arial" w:hAnsi="Arial" w:cs="Arial"/>
          <w:sz w:val="17"/>
          <w:szCs w:val="17"/>
        </w:rPr>
        <w:t xml:space="preserve">rice </w:t>
      </w:r>
      <w:r w:rsidR="004847EB" w:rsidRPr="003312F9">
        <w:rPr>
          <w:rFonts w:ascii="Arial" w:hAnsi="Arial" w:cs="Arial"/>
          <w:sz w:val="17"/>
          <w:szCs w:val="17"/>
          <w:lang w:val="en-US"/>
        </w:rPr>
        <w:t>S</w:t>
      </w:r>
      <w:r w:rsidRPr="003312F9">
        <w:rPr>
          <w:rFonts w:ascii="Arial" w:hAnsi="Arial" w:cs="Arial"/>
          <w:sz w:val="17"/>
          <w:szCs w:val="17"/>
        </w:rPr>
        <w:t xml:space="preserve">trategy </w:t>
      </w:r>
      <w:r w:rsidR="004847EB" w:rsidRPr="003312F9">
        <w:rPr>
          <w:rFonts w:ascii="Arial" w:hAnsi="Arial" w:cs="Arial"/>
          <w:sz w:val="17"/>
          <w:szCs w:val="17"/>
          <w:lang w:val="en-US"/>
        </w:rPr>
        <w:t>U</w:t>
      </w:r>
      <w:r w:rsidRPr="003312F9">
        <w:rPr>
          <w:rFonts w:ascii="Arial" w:hAnsi="Arial" w:cs="Arial"/>
          <w:sz w:val="17"/>
          <w:szCs w:val="17"/>
        </w:rPr>
        <w:t xml:space="preserve">nsuccessful, </w:t>
      </w:r>
      <w:r w:rsidR="004847EB" w:rsidRPr="003312F9">
        <w:rPr>
          <w:rFonts w:ascii="Arial" w:hAnsi="Arial" w:cs="Arial"/>
          <w:sz w:val="17"/>
          <w:szCs w:val="17"/>
          <w:lang w:val="en-US"/>
        </w:rPr>
        <w:t>D</w:t>
      </w:r>
      <w:r w:rsidRPr="003312F9">
        <w:rPr>
          <w:rFonts w:ascii="Arial" w:hAnsi="Arial" w:cs="Arial"/>
          <w:sz w:val="17"/>
          <w:szCs w:val="17"/>
        </w:rPr>
        <w:t xml:space="preserve">istribution </w:t>
      </w:r>
      <w:r w:rsidR="004847EB" w:rsidRPr="003312F9">
        <w:rPr>
          <w:rFonts w:ascii="Arial" w:hAnsi="Arial" w:cs="Arial"/>
          <w:sz w:val="17"/>
          <w:szCs w:val="17"/>
          <w:lang w:val="en-US"/>
        </w:rPr>
        <w:t>H</w:t>
      </w:r>
      <w:r w:rsidRPr="003312F9">
        <w:rPr>
          <w:rFonts w:ascii="Arial" w:hAnsi="Arial" w:cs="Arial"/>
          <w:sz w:val="17"/>
          <w:szCs w:val="17"/>
        </w:rPr>
        <w:t>urdles</w:t>
      </w:r>
      <w:r w:rsidR="004847EB" w:rsidRPr="003312F9">
        <w:rPr>
          <w:rFonts w:ascii="Arial" w:hAnsi="Arial" w:cs="Arial"/>
          <w:sz w:val="17"/>
          <w:szCs w:val="17"/>
          <w:lang w:val="en-US"/>
        </w:rPr>
        <w:t>,</w:t>
      </w:r>
      <w:r w:rsidRPr="003312F9">
        <w:rPr>
          <w:rFonts w:ascii="Arial" w:hAnsi="Arial" w:cs="Arial"/>
          <w:sz w:val="17"/>
          <w:szCs w:val="17"/>
        </w:rPr>
        <w:t xml:space="preserve"> IIST World Forum</w:t>
      </w:r>
      <w:r w:rsidR="004847EB" w:rsidRPr="003312F9">
        <w:rPr>
          <w:rFonts w:ascii="Arial" w:hAnsi="Arial" w:cs="Arial"/>
          <w:sz w:val="17"/>
          <w:szCs w:val="17"/>
          <w:lang w:val="en-US"/>
        </w:rPr>
        <w:t>,</w:t>
      </w:r>
      <w:r w:rsidRPr="003312F9">
        <w:rPr>
          <w:rFonts w:ascii="Arial" w:hAnsi="Arial" w:cs="Arial"/>
          <w:sz w:val="17"/>
          <w:szCs w:val="17"/>
        </w:rPr>
        <w:t xml:space="preserve"> </w:t>
      </w:r>
      <w:r w:rsidR="004847EB" w:rsidRPr="003312F9">
        <w:rPr>
          <w:rFonts w:ascii="Arial" w:hAnsi="Arial" w:cs="Arial"/>
          <w:sz w:val="17"/>
          <w:szCs w:val="17"/>
          <w:lang w:val="en-US"/>
        </w:rPr>
        <w:t xml:space="preserve">accessed </w:t>
      </w:r>
      <w:r w:rsidRPr="003312F9">
        <w:rPr>
          <w:rFonts w:ascii="Arial" w:hAnsi="Arial" w:cs="Arial"/>
          <w:sz w:val="17"/>
          <w:szCs w:val="17"/>
        </w:rPr>
        <w:t>July 6, 2013, www.iist.or.jp/wf/magazine/0342/0342_E.html</w:t>
      </w:r>
      <w:r w:rsidR="004847EB" w:rsidRPr="003312F9">
        <w:rPr>
          <w:rFonts w:ascii="Arial" w:hAnsi="Arial" w:cs="Arial"/>
          <w:sz w:val="17"/>
          <w:szCs w:val="17"/>
          <w:lang w:val="en-US"/>
        </w:rPr>
        <w:t>.</w:t>
      </w:r>
    </w:p>
  </w:endnote>
  <w:endnote w:id="47">
    <w:p w14:paraId="5669CF1D" w14:textId="79B953F1" w:rsidR="00372BEC" w:rsidRPr="003312F9" w:rsidRDefault="00372BEC" w:rsidP="00AA07E0">
      <w:pPr>
        <w:pStyle w:val="EndnoteText"/>
        <w:jc w:val="both"/>
        <w:rPr>
          <w:rFonts w:ascii="Arial" w:hAnsi="Arial" w:cs="Arial"/>
          <w:spacing w:val="-4"/>
          <w:sz w:val="17"/>
          <w:szCs w:val="17"/>
          <w:lang w:val="en-US"/>
        </w:rPr>
      </w:pPr>
      <w:r w:rsidRPr="003312F9">
        <w:rPr>
          <w:rStyle w:val="EndnoteReference"/>
          <w:rFonts w:ascii="Arial" w:hAnsi="Arial" w:cs="Arial"/>
          <w:spacing w:val="-4"/>
          <w:sz w:val="17"/>
          <w:szCs w:val="17"/>
        </w:rPr>
        <w:endnoteRef/>
      </w:r>
      <w:r w:rsidRPr="003312F9">
        <w:rPr>
          <w:rFonts w:ascii="Arial" w:hAnsi="Arial" w:cs="Arial"/>
          <w:spacing w:val="-4"/>
          <w:sz w:val="17"/>
          <w:szCs w:val="17"/>
        </w:rPr>
        <w:t xml:space="preserve"> Akemi Nakamura, “Foreign Retailers Relying on Adaptability to Survive</w:t>
      </w:r>
      <w:r w:rsidR="004847EB" w:rsidRPr="003312F9">
        <w:rPr>
          <w:rFonts w:ascii="Arial" w:hAnsi="Arial" w:cs="Arial"/>
          <w:spacing w:val="-4"/>
          <w:sz w:val="17"/>
          <w:szCs w:val="17"/>
          <w:lang w:val="en-US"/>
        </w:rPr>
        <w:t>,</w:t>
      </w:r>
      <w:r w:rsidRPr="003312F9">
        <w:rPr>
          <w:rFonts w:ascii="Arial" w:hAnsi="Arial" w:cs="Arial"/>
          <w:spacing w:val="-4"/>
          <w:sz w:val="17"/>
          <w:szCs w:val="17"/>
        </w:rPr>
        <w:t xml:space="preserve">” </w:t>
      </w:r>
      <w:r w:rsidRPr="003312F9">
        <w:rPr>
          <w:rFonts w:ascii="Arial" w:hAnsi="Arial" w:cs="Arial"/>
          <w:i/>
          <w:spacing w:val="-4"/>
          <w:sz w:val="17"/>
          <w:szCs w:val="17"/>
        </w:rPr>
        <w:t>Japan Times</w:t>
      </w:r>
      <w:r w:rsidRPr="003312F9">
        <w:rPr>
          <w:rFonts w:ascii="Arial" w:hAnsi="Arial" w:cs="Arial"/>
          <w:spacing w:val="-4"/>
          <w:sz w:val="17"/>
          <w:szCs w:val="17"/>
        </w:rPr>
        <w:t>, December 19, 2001, accessed February 2, 2019, www.japantimes.co.jp/news/2001/12/19/national/foreign-retailers-relying-on-adaptability-to-survive/#.XFeu2lxKiUk</w:t>
      </w:r>
      <w:r w:rsidR="000878A1" w:rsidRPr="003312F9">
        <w:rPr>
          <w:rFonts w:ascii="Arial" w:hAnsi="Arial" w:cs="Arial"/>
          <w:spacing w:val="-4"/>
          <w:sz w:val="17"/>
          <w:szCs w:val="17"/>
          <w:lang w:val="en-US"/>
        </w:rPr>
        <w:t>.</w:t>
      </w:r>
    </w:p>
  </w:endnote>
  <w:endnote w:id="48">
    <w:p w14:paraId="7CFCFF34" w14:textId="4939A464" w:rsidR="00372BEC" w:rsidRPr="003312F9" w:rsidRDefault="00372BEC" w:rsidP="00AA07E0">
      <w:pPr>
        <w:pStyle w:val="EndnoteText"/>
        <w:jc w:val="both"/>
        <w:rPr>
          <w:rFonts w:ascii="Arial" w:hAnsi="Arial" w:cs="Arial"/>
          <w:sz w:val="17"/>
          <w:szCs w:val="17"/>
          <w:lang w:val="en-US"/>
        </w:rPr>
      </w:pPr>
      <w:r w:rsidRPr="003312F9">
        <w:rPr>
          <w:rStyle w:val="EndnoteReference"/>
          <w:rFonts w:ascii="Arial" w:hAnsi="Arial" w:cs="Arial"/>
          <w:sz w:val="17"/>
          <w:szCs w:val="17"/>
        </w:rPr>
        <w:endnoteRef/>
      </w:r>
      <w:r w:rsidRPr="003312F9">
        <w:rPr>
          <w:rFonts w:ascii="Arial" w:hAnsi="Arial" w:cs="Arial"/>
          <w:sz w:val="17"/>
          <w:szCs w:val="17"/>
        </w:rPr>
        <w:t xml:space="preserve"> Chris Betros, </w:t>
      </w:r>
      <w:r w:rsidR="004847EB" w:rsidRPr="003312F9">
        <w:rPr>
          <w:rFonts w:ascii="Arial" w:hAnsi="Arial" w:cs="Arial"/>
          <w:sz w:val="17"/>
          <w:szCs w:val="17"/>
          <w:lang w:val="en-US"/>
        </w:rPr>
        <w:t>op. cit.</w:t>
      </w:r>
    </w:p>
  </w:endnote>
  <w:endnote w:id="49">
    <w:p w14:paraId="0E6C29C4" w14:textId="5CFF7205" w:rsidR="00372BEC" w:rsidRPr="003312F9" w:rsidRDefault="00372BEC" w:rsidP="00AA07E0">
      <w:pPr>
        <w:pStyle w:val="Footnote"/>
      </w:pPr>
      <w:r w:rsidRPr="003312F9">
        <w:rPr>
          <w:vertAlign w:val="superscript"/>
        </w:rPr>
        <w:endnoteRef/>
      </w:r>
      <w:r w:rsidRPr="003312F9">
        <w:t xml:space="preserve"> </w:t>
      </w:r>
      <w:r w:rsidR="000878A1" w:rsidRPr="003312F9">
        <w:t>“</w:t>
      </w:r>
      <w:r w:rsidRPr="003312F9">
        <w:t>Costco Brings Its Business Model to Japan,</w:t>
      </w:r>
      <w:r w:rsidR="000878A1" w:rsidRPr="003312F9">
        <w:t>”</w:t>
      </w:r>
      <w:r w:rsidRPr="003312F9">
        <w:t xml:space="preserve"> </w:t>
      </w:r>
      <w:r w:rsidR="000878A1" w:rsidRPr="003312F9">
        <w:t xml:space="preserve">Japan External Trade Organization, </w:t>
      </w:r>
      <w:r w:rsidRPr="003312F9">
        <w:t>2003, accessed May 2, 2018,</w:t>
      </w:r>
      <w:r w:rsidRPr="003312F9">
        <w:rPr>
          <w:i/>
        </w:rPr>
        <w:t xml:space="preserve"> </w:t>
      </w:r>
      <w:r w:rsidRPr="003312F9">
        <w:t>www.jetro.go.jp/en/invest/success_stories/interview/pdf/a25_Costco.pdf.</w:t>
      </w:r>
    </w:p>
  </w:endnote>
  <w:endnote w:id="50">
    <w:p w14:paraId="5645D142" w14:textId="77777777" w:rsidR="000878A1" w:rsidRPr="003312F9" w:rsidRDefault="000878A1" w:rsidP="000878A1">
      <w:pPr>
        <w:pStyle w:val="Footnote"/>
      </w:pPr>
      <w:r w:rsidRPr="003312F9">
        <w:rPr>
          <w:vertAlign w:val="superscript"/>
        </w:rPr>
        <w:endnoteRef/>
      </w:r>
      <w:r w:rsidRPr="003312F9">
        <w:t xml:space="preserve"> Economist Intelligence Unit, </w:t>
      </w:r>
      <w:r w:rsidRPr="003312F9">
        <w:rPr>
          <w:i/>
        </w:rPr>
        <w:t>SMEs in Japan: A New Growth Driver?</w:t>
      </w:r>
      <w:r w:rsidRPr="003312F9">
        <w:t>, 2010, accessed May 2, 2018, http://viewswire.eiu.com/report_dl.asp?mode=fi&amp;fi=1227698307.PDF.</w:t>
      </w:r>
    </w:p>
  </w:endnote>
  <w:endnote w:id="51">
    <w:p w14:paraId="129C2CA4" w14:textId="17DAB05C" w:rsidR="00372BEC" w:rsidRPr="003312F9" w:rsidRDefault="00372BEC" w:rsidP="00AA07E0">
      <w:pPr>
        <w:pStyle w:val="EndnoteText"/>
        <w:jc w:val="both"/>
        <w:rPr>
          <w:rFonts w:ascii="Arial" w:hAnsi="Arial" w:cs="Arial"/>
          <w:sz w:val="17"/>
          <w:szCs w:val="17"/>
          <w:lang w:val="en-CA"/>
        </w:rPr>
      </w:pPr>
      <w:r w:rsidRPr="003312F9">
        <w:rPr>
          <w:rStyle w:val="EndnoteReference"/>
          <w:rFonts w:ascii="Arial" w:hAnsi="Arial" w:cs="Arial"/>
          <w:sz w:val="17"/>
          <w:szCs w:val="17"/>
        </w:rPr>
        <w:endnoteRef/>
      </w:r>
      <w:r w:rsidRPr="003312F9">
        <w:rPr>
          <w:rFonts w:ascii="Arial" w:hAnsi="Arial" w:cs="Arial"/>
          <w:sz w:val="17"/>
          <w:szCs w:val="17"/>
        </w:rPr>
        <w:t xml:space="preserve"> </w:t>
      </w:r>
      <w:r w:rsidR="006C4048" w:rsidRPr="003312F9">
        <w:rPr>
          <w:rFonts w:ascii="Arial" w:hAnsi="Arial" w:cs="Arial"/>
          <w:sz w:val="17"/>
          <w:szCs w:val="17"/>
        </w:rPr>
        <w:t xml:space="preserve">Costco Wholesale Corporation, </w:t>
      </w:r>
      <w:r w:rsidR="006C4048" w:rsidRPr="003312F9">
        <w:rPr>
          <w:rFonts w:ascii="Arial" w:hAnsi="Arial" w:cs="Arial"/>
          <w:sz w:val="17"/>
          <w:szCs w:val="17"/>
          <w:lang w:val="en-US"/>
        </w:rPr>
        <w:t>A</w:t>
      </w:r>
      <w:r w:rsidR="006C4048" w:rsidRPr="003312F9">
        <w:rPr>
          <w:rFonts w:ascii="Arial" w:hAnsi="Arial" w:cs="Arial"/>
          <w:sz w:val="17"/>
          <w:szCs w:val="17"/>
        </w:rPr>
        <w:t xml:space="preserve">nnual </w:t>
      </w:r>
      <w:r w:rsidR="006C4048" w:rsidRPr="003312F9">
        <w:rPr>
          <w:rFonts w:ascii="Arial" w:hAnsi="Arial" w:cs="Arial"/>
          <w:sz w:val="17"/>
          <w:szCs w:val="17"/>
          <w:lang w:val="en-US"/>
        </w:rPr>
        <w:t>R</w:t>
      </w:r>
      <w:r w:rsidR="006C4048" w:rsidRPr="003312F9">
        <w:rPr>
          <w:rFonts w:ascii="Arial" w:hAnsi="Arial" w:cs="Arial"/>
          <w:sz w:val="17"/>
          <w:szCs w:val="17"/>
        </w:rPr>
        <w:t xml:space="preserve">eport, 2015, </w:t>
      </w:r>
      <w:r w:rsidR="006C4048" w:rsidRPr="003312F9">
        <w:rPr>
          <w:rFonts w:ascii="Arial" w:hAnsi="Arial" w:cs="Arial"/>
          <w:sz w:val="17"/>
          <w:szCs w:val="17"/>
          <w:lang w:val="en-US"/>
        </w:rPr>
        <w:t>op. cit</w:t>
      </w:r>
      <w:r w:rsidR="006C4048" w:rsidRPr="003312F9">
        <w:rPr>
          <w:rFonts w:ascii="Arial" w:hAnsi="Arial" w:cs="Arial"/>
          <w:sz w:val="17"/>
          <w:szCs w:val="17"/>
        </w:rPr>
        <w:t>.</w:t>
      </w:r>
    </w:p>
  </w:endnote>
  <w:endnote w:id="52">
    <w:p w14:paraId="1A9799BB" w14:textId="690FDE8D" w:rsidR="00372BEC" w:rsidRPr="003312F9" w:rsidRDefault="00372BEC" w:rsidP="00AA07E0">
      <w:pPr>
        <w:pStyle w:val="Footnote"/>
        <w:rPr>
          <w:lang w:val="en-CA"/>
        </w:rPr>
      </w:pPr>
      <w:r w:rsidRPr="003312F9">
        <w:rPr>
          <w:vertAlign w:val="superscript"/>
        </w:rPr>
        <w:endnoteRef/>
      </w:r>
      <w:r w:rsidRPr="003312F9">
        <w:t xml:space="preserve"> “Frequently Asked Questions,” Costco Wholesale</w:t>
      </w:r>
      <w:r w:rsidR="005C3213" w:rsidRPr="003312F9">
        <w:t xml:space="preserve"> Australia</w:t>
      </w:r>
      <w:r w:rsidRPr="003312F9">
        <w:t>, accessed May 2, 2018, http://costco.com.au/Common/Faq.shtml.</w:t>
      </w:r>
    </w:p>
  </w:endnote>
  <w:endnote w:id="53">
    <w:p w14:paraId="44F15C32" w14:textId="3913EEA5" w:rsidR="00372BEC" w:rsidRPr="003312F9" w:rsidRDefault="00372BEC" w:rsidP="00AA07E0">
      <w:pPr>
        <w:pStyle w:val="Footnote"/>
      </w:pPr>
      <w:r w:rsidRPr="003312F9">
        <w:rPr>
          <w:vertAlign w:val="superscript"/>
        </w:rPr>
        <w:endnoteRef/>
      </w:r>
      <w:r w:rsidRPr="003312F9">
        <w:rPr>
          <w:vertAlign w:val="superscript"/>
        </w:rPr>
        <w:t xml:space="preserve"> </w:t>
      </w:r>
      <w:r w:rsidRPr="003312F9">
        <w:t xml:space="preserve">Lindy Crothers, </w:t>
      </w:r>
      <w:r w:rsidRPr="003312F9">
        <w:rPr>
          <w:i/>
        </w:rPr>
        <w:t>Australia: Retail Foods: Retail Food Sector Report 2012</w:t>
      </w:r>
      <w:r w:rsidRPr="003312F9">
        <w:t xml:space="preserve"> (Washington, DC: USDA Foreign Agricultural Service, 2012</w:t>
      </w:r>
      <w:r w:rsidR="000878A1" w:rsidRPr="003312F9">
        <w:t>).</w:t>
      </w:r>
    </w:p>
  </w:endnote>
  <w:endnote w:id="54">
    <w:p w14:paraId="6E21BE32" w14:textId="5F6F7400" w:rsidR="00372BEC" w:rsidRPr="003312F9" w:rsidRDefault="00372BEC" w:rsidP="00AA07E0">
      <w:pPr>
        <w:pStyle w:val="Footnote"/>
      </w:pPr>
      <w:r w:rsidRPr="003312F9">
        <w:rPr>
          <w:vertAlign w:val="superscript"/>
        </w:rPr>
        <w:endnoteRef/>
      </w:r>
      <w:r w:rsidRPr="003312F9">
        <w:t xml:space="preserve"> Madeleine Heffernan, “Costco Posts 2014 Loss, Draws More Cash from US Parent,”</w:t>
      </w:r>
      <w:r w:rsidRPr="003312F9">
        <w:rPr>
          <w:i/>
        </w:rPr>
        <w:t xml:space="preserve"> Sydney Morning Herald, </w:t>
      </w:r>
      <w:r w:rsidRPr="003312F9">
        <w:t>December 31, 2015, accessed May 2, 2018, www.smh.com.au/business/retail/costco-posts-2014-loss-draws-more-cash-from-us-parent-20141231-12g1s2.html.</w:t>
      </w:r>
    </w:p>
  </w:endnote>
  <w:endnote w:id="55">
    <w:p w14:paraId="1F8A710A" w14:textId="07378C7B" w:rsidR="00372BEC" w:rsidRPr="003312F9" w:rsidRDefault="00372BEC" w:rsidP="00AA07E0">
      <w:pPr>
        <w:pStyle w:val="Footnote"/>
        <w:rPr>
          <w:lang w:val="en-CA"/>
        </w:rPr>
      </w:pPr>
      <w:r w:rsidRPr="003312F9">
        <w:rPr>
          <w:vertAlign w:val="superscript"/>
        </w:rPr>
        <w:endnoteRef/>
      </w:r>
      <w:r w:rsidRPr="003312F9">
        <w:t xml:space="preserve"> Sue Mitchell, “Costco’s Australian Expansion Hits Existing Stores,” </w:t>
      </w:r>
      <w:r w:rsidRPr="003312F9">
        <w:rPr>
          <w:i/>
        </w:rPr>
        <w:t>Sydney Morning Herald</w:t>
      </w:r>
      <w:r w:rsidRPr="003312F9">
        <w:t>, October 10, 2014, accessed May 2, 2018, www.smh.com.au/business/retail/costcos-australian-expansion-hits-existing-stores-20141009-113x5w.html.</w:t>
      </w:r>
    </w:p>
  </w:endnote>
  <w:endnote w:id="56">
    <w:p w14:paraId="1D1F3D44" w14:textId="170443E5" w:rsidR="00372BEC" w:rsidRPr="003312F9" w:rsidRDefault="00372BEC" w:rsidP="00AA07E0">
      <w:pPr>
        <w:pStyle w:val="Footnote"/>
        <w:rPr>
          <w:lang w:val="en-CA"/>
        </w:rPr>
      </w:pPr>
      <w:r w:rsidRPr="003312F9">
        <w:rPr>
          <w:vertAlign w:val="superscript"/>
        </w:rPr>
        <w:endnoteRef/>
      </w:r>
      <w:r w:rsidRPr="003312F9">
        <w:t xml:space="preserve"> Stella Marie Minahan, Patricia Huddleston, and Constanza Bianchi, “Costco and the Aussie Shopper: A Case Study of the Market Entry of an International Retailer,” </w:t>
      </w:r>
      <w:r w:rsidRPr="003312F9">
        <w:rPr>
          <w:i/>
        </w:rPr>
        <w:t xml:space="preserve">The International Review of Retail, Distribution &amp; Consumer Research </w:t>
      </w:r>
      <w:r w:rsidRPr="003312F9">
        <w:t>22, no. 5 (2015): 507–527.</w:t>
      </w:r>
    </w:p>
  </w:endnote>
  <w:endnote w:id="57">
    <w:p w14:paraId="4D0E7935" w14:textId="0DBC890B" w:rsidR="00372BEC" w:rsidRPr="003312F9" w:rsidRDefault="00372BEC" w:rsidP="00AA07E0">
      <w:pPr>
        <w:pStyle w:val="EndnoteText"/>
        <w:jc w:val="both"/>
        <w:rPr>
          <w:rFonts w:ascii="Arial" w:hAnsi="Arial" w:cs="Arial"/>
          <w:sz w:val="17"/>
          <w:szCs w:val="17"/>
        </w:rPr>
      </w:pPr>
      <w:r w:rsidRPr="003312F9">
        <w:rPr>
          <w:rStyle w:val="EndnoteReference"/>
          <w:rFonts w:ascii="Arial" w:hAnsi="Arial" w:cs="Arial"/>
          <w:sz w:val="17"/>
          <w:szCs w:val="17"/>
        </w:rPr>
        <w:endnoteRef/>
      </w:r>
      <w:r w:rsidRPr="003312F9">
        <w:rPr>
          <w:rFonts w:ascii="Arial" w:hAnsi="Arial" w:cs="Arial"/>
          <w:sz w:val="17"/>
          <w:szCs w:val="17"/>
        </w:rPr>
        <w:t xml:space="preserve"> “Costco Opens its Second Spanish Store in Madrid,” Invest In Spain, October 2, 2015, accessed February 2, 2019, www.investinspain.org/invest/en/press-room/Business/news/NEW2015506089_EN_US.html?orderBy=xfwm_cnt_Fecha1&amp;</w:t>
      </w:r>
    </w:p>
    <w:p w14:paraId="5EF65373" w14:textId="4521DFCB" w:rsidR="00372BEC" w:rsidRPr="003312F9" w:rsidRDefault="00372BEC" w:rsidP="00AA07E0">
      <w:pPr>
        <w:pStyle w:val="EndnoteText"/>
        <w:jc w:val="both"/>
        <w:rPr>
          <w:rFonts w:ascii="Arial" w:hAnsi="Arial" w:cs="Arial"/>
          <w:sz w:val="17"/>
          <w:szCs w:val="17"/>
          <w:lang w:val="en-CA"/>
        </w:rPr>
      </w:pPr>
      <w:r w:rsidRPr="003312F9">
        <w:rPr>
          <w:rFonts w:ascii="Arial" w:hAnsi="Arial" w:cs="Arial"/>
          <w:sz w:val="17"/>
          <w:szCs w:val="17"/>
        </w:rPr>
        <w:t>orderType=desc.</w:t>
      </w:r>
    </w:p>
  </w:endnote>
  <w:endnote w:id="58">
    <w:p w14:paraId="1848ACE1" w14:textId="0D05D77F" w:rsidR="00372BEC" w:rsidRPr="003312F9" w:rsidRDefault="00372BEC" w:rsidP="00AA07E0">
      <w:pPr>
        <w:pStyle w:val="EndnoteText"/>
        <w:jc w:val="both"/>
        <w:rPr>
          <w:rFonts w:ascii="Arial" w:hAnsi="Arial" w:cs="Arial"/>
          <w:sz w:val="17"/>
          <w:szCs w:val="17"/>
          <w:lang w:val="en-CA"/>
        </w:rPr>
      </w:pPr>
      <w:r w:rsidRPr="003312F9">
        <w:rPr>
          <w:rStyle w:val="EndnoteReference"/>
          <w:rFonts w:ascii="Arial" w:hAnsi="Arial" w:cs="Arial"/>
          <w:sz w:val="17"/>
          <w:szCs w:val="17"/>
        </w:rPr>
        <w:endnoteRef/>
      </w:r>
      <w:r w:rsidRPr="003312F9">
        <w:rPr>
          <w:rFonts w:ascii="Arial" w:hAnsi="Arial" w:cs="Arial"/>
          <w:sz w:val="17"/>
          <w:szCs w:val="17"/>
        </w:rPr>
        <w:t xml:space="preserve"> Antonio Jesus Mora Caballero, “US Wholesaler Costco Opens First Spanish Megastore in Seville,” May 15 2014, accessed February 2 2019, https://elpais.com/elpais/2014/05/14/inenglish/1400083526_880193.html.</w:t>
      </w:r>
    </w:p>
  </w:endnote>
  <w:endnote w:id="59">
    <w:p w14:paraId="380D20EA" w14:textId="09872C06" w:rsidR="00372BEC" w:rsidRPr="003312F9" w:rsidRDefault="00372BEC" w:rsidP="00AA07E0">
      <w:pPr>
        <w:pStyle w:val="EndnoteText"/>
        <w:jc w:val="both"/>
        <w:rPr>
          <w:rFonts w:ascii="Arial" w:hAnsi="Arial" w:cs="Arial"/>
          <w:sz w:val="17"/>
          <w:szCs w:val="17"/>
          <w:lang w:val="en-CA"/>
        </w:rPr>
      </w:pPr>
      <w:r w:rsidRPr="003312F9">
        <w:rPr>
          <w:rStyle w:val="EndnoteReference"/>
          <w:rFonts w:ascii="Arial" w:hAnsi="Arial" w:cs="Arial"/>
          <w:sz w:val="17"/>
          <w:szCs w:val="17"/>
        </w:rPr>
        <w:endnoteRef/>
      </w:r>
      <w:r w:rsidRPr="003312F9">
        <w:rPr>
          <w:rFonts w:ascii="Arial" w:hAnsi="Arial" w:cs="Arial"/>
          <w:sz w:val="17"/>
          <w:szCs w:val="17"/>
        </w:rPr>
        <w:t xml:space="preserve"> Angel Gonzalez, “Costco Kicks off European Drive in Spain,” May 10 2014, accessed February 2 2019, www.seattletimes.com/business/costco-kicks-off-european-drive-in-spain/.</w:t>
      </w:r>
    </w:p>
  </w:endnote>
  <w:endnote w:id="60">
    <w:p w14:paraId="6605E07A" w14:textId="0AF47C02" w:rsidR="00372BEC" w:rsidRPr="003312F9" w:rsidRDefault="00372BEC" w:rsidP="00AA07E0">
      <w:pPr>
        <w:pStyle w:val="EndnoteText"/>
        <w:jc w:val="both"/>
        <w:rPr>
          <w:rFonts w:ascii="Arial" w:hAnsi="Arial" w:cs="Arial"/>
          <w:sz w:val="17"/>
          <w:szCs w:val="17"/>
          <w:lang w:val="en-CA"/>
        </w:rPr>
      </w:pPr>
      <w:r w:rsidRPr="003312F9">
        <w:rPr>
          <w:rStyle w:val="EndnoteReference"/>
          <w:rFonts w:ascii="Arial" w:hAnsi="Arial" w:cs="Arial"/>
          <w:sz w:val="17"/>
          <w:szCs w:val="17"/>
        </w:rPr>
        <w:endnoteRef/>
      </w:r>
      <w:r w:rsidRPr="003312F9">
        <w:rPr>
          <w:rFonts w:ascii="Arial" w:hAnsi="Arial" w:cs="Arial"/>
          <w:sz w:val="17"/>
          <w:szCs w:val="17"/>
        </w:rPr>
        <w:t xml:space="preserve"> Ibid.</w:t>
      </w:r>
    </w:p>
  </w:endnote>
  <w:endnote w:id="61">
    <w:p w14:paraId="7B9F7470" w14:textId="6DA7B772" w:rsidR="00372BEC" w:rsidRPr="003312F9" w:rsidRDefault="00372BEC" w:rsidP="00AA07E0">
      <w:pPr>
        <w:pStyle w:val="Footnote"/>
      </w:pPr>
      <w:r w:rsidRPr="003312F9">
        <w:rPr>
          <w:vertAlign w:val="superscript"/>
        </w:rPr>
        <w:endnoteRef/>
      </w:r>
      <w:r w:rsidRPr="003312F9">
        <w:t xml:space="preserve"> David Román, “Spain’s Unemployment Rate at Lowest Level Since 2011,” </w:t>
      </w:r>
      <w:r w:rsidRPr="003312F9">
        <w:rPr>
          <w:i/>
        </w:rPr>
        <w:t>Wall Street Journal</w:t>
      </w:r>
      <w:r w:rsidRPr="003312F9">
        <w:t>, July 23, 2015, accessed May 2, 2018, www.wsj.com/articles/spains-unemployment-rate-at-lowest-level-since-2011-1437649879.</w:t>
      </w:r>
    </w:p>
  </w:endnote>
  <w:endnote w:id="62">
    <w:p w14:paraId="5E150B33" w14:textId="234E4D80" w:rsidR="00372BEC" w:rsidRPr="003312F9" w:rsidRDefault="00372BEC" w:rsidP="00AA07E0">
      <w:pPr>
        <w:pStyle w:val="Footnote"/>
        <w:rPr>
          <w:spacing w:val="-2"/>
        </w:rPr>
      </w:pPr>
      <w:r w:rsidRPr="003312F9">
        <w:rPr>
          <w:spacing w:val="-2"/>
          <w:vertAlign w:val="superscript"/>
        </w:rPr>
        <w:endnoteRef/>
      </w:r>
      <w:r w:rsidRPr="003312F9">
        <w:rPr>
          <w:spacing w:val="-2"/>
          <w:vertAlign w:val="superscript"/>
        </w:rPr>
        <w:t xml:space="preserve"> </w:t>
      </w:r>
      <w:r w:rsidRPr="003312F9">
        <w:rPr>
          <w:spacing w:val="-2"/>
        </w:rPr>
        <w:t>United Nations Population Division, Department of Economic and Social Affairs, “World Population 2017</w:t>
      </w:r>
      <w:r w:rsidR="00543CAF" w:rsidRPr="003312F9">
        <w:rPr>
          <w:spacing w:val="-2"/>
        </w:rPr>
        <w:t>,”</w:t>
      </w:r>
      <w:r w:rsidRPr="003312F9">
        <w:rPr>
          <w:spacing w:val="-2"/>
        </w:rPr>
        <w:t xml:space="preserve"> June 2017</w:t>
      </w:r>
      <w:r w:rsidR="00543CAF" w:rsidRPr="003312F9">
        <w:rPr>
          <w:spacing w:val="-2"/>
        </w:rPr>
        <w:t>, accessed February 20, 2019, https://population.un.org/wpp/Publications/Files/WPP2017_Wallchart.pdf</w:t>
      </w:r>
      <w:r w:rsidRPr="003312F9">
        <w:rPr>
          <w:spacing w:val="-2"/>
        </w:rPr>
        <w:t xml:space="preserve">. </w:t>
      </w:r>
    </w:p>
  </w:endnote>
  <w:endnote w:id="63">
    <w:p w14:paraId="417164FB" w14:textId="3CD3B87F" w:rsidR="00372BEC" w:rsidRPr="003312F9" w:rsidRDefault="00372BEC" w:rsidP="00AA07E0">
      <w:pPr>
        <w:pStyle w:val="Footnote"/>
      </w:pPr>
      <w:r w:rsidRPr="003312F9">
        <w:rPr>
          <w:vertAlign w:val="superscript"/>
        </w:rPr>
        <w:endnoteRef/>
      </w:r>
      <w:r w:rsidRPr="003312F9">
        <w:t xml:space="preserve"> “Fertility Rate, Total (Births per Woman),” The Word Bank, accessed July 11, 2018, https://data.worldbank.org/indicator/SP.DYN.TFRT.IN?locations=ES-US. </w:t>
      </w:r>
    </w:p>
  </w:endnote>
  <w:endnote w:id="64">
    <w:p w14:paraId="363BD284" w14:textId="2F84B281" w:rsidR="00372BEC" w:rsidRPr="003312F9" w:rsidRDefault="00372BEC" w:rsidP="00AA07E0">
      <w:pPr>
        <w:pStyle w:val="Footnote"/>
      </w:pPr>
      <w:r w:rsidRPr="003312F9">
        <w:rPr>
          <w:vertAlign w:val="superscript"/>
        </w:rPr>
        <w:endnoteRef/>
      </w:r>
      <w:r w:rsidRPr="003312F9">
        <w:t xml:space="preserve"> Government of Canada, </w:t>
      </w:r>
      <w:r w:rsidRPr="003312F9">
        <w:rPr>
          <w:i/>
        </w:rPr>
        <w:t>The Spanish Consumer: Behaviour, Attitudes and Perception toward Food Products,</w:t>
      </w:r>
      <w:r w:rsidRPr="003312F9">
        <w:t xml:space="preserve"> Agriculture and Agri-food Canada,</w:t>
      </w:r>
      <w:r w:rsidRPr="003312F9">
        <w:rPr>
          <w:i/>
        </w:rPr>
        <w:t xml:space="preserve"> </w:t>
      </w:r>
      <w:r w:rsidRPr="003312F9">
        <w:t>2012, accessed May 2, 2018, http://publications.gc.ca/collections/collection_2012/agr/A74-2-2012-13-eng.pdf</w:t>
      </w:r>
      <w:r w:rsidR="00543CAF" w:rsidRPr="003312F9">
        <w:t>.</w:t>
      </w:r>
    </w:p>
  </w:endnote>
  <w:endnote w:id="65">
    <w:p w14:paraId="3AA5BFA7" w14:textId="565519AE" w:rsidR="00372BEC" w:rsidRPr="003312F9" w:rsidRDefault="00372BEC" w:rsidP="00AA07E0">
      <w:pPr>
        <w:pStyle w:val="Footnote"/>
      </w:pPr>
      <w:r w:rsidRPr="003312F9">
        <w:rPr>
          <w:rStyle w:val="EndnoteReference"/>
        </w:rPr>
        <w:endnoteRef/>
      </w:r>
      <w:r w:rsidRPr="003312F9">
        <w:t xml:space="preserve"> Phalguni Soni, “An Investor’s Guide to Costco Wholesale: A Growing Retailer,” Market Realist, January 19, 2016, accessed May 2, 2018, http://marketrealist.com/2016/01/costcos-membership-loyalty-rise/.</w:t>
      </w:r>
    </w:p>
  </w:endnote>
  <w:endnote w:id="66">
    <w:p w14:paraId="03B636FF" w14:textId="52A01979" w:rsidR="00372BEC" w:rsidRPr="003312F9" w:rsidRDefault="00372BEC" w:rsidP="00AA07E0">
      <w:pPr>
        <w:pStyle w:val="Footnote"/>
      </w:pPr>
      <w:r w:rsidRPr="003312F9">
        <w:rPr>
          <w:rStyle w:val="EndnoteReference"/>
        </w:rPr>
        <w:endnoteRef/>
      </w:r>
      <w:r w:rsidRPr="003312F9">
        <w:t xml:space="preserve"> Demitrios Kalogeropoulos, “Why Membership Fees Are So Important to Costco Wholesale Corporation,” The Motley Fool, June 10, 2016, accessed May 2, 2018, www.fool.com/investing/general/2015/06/10/why-membership-fees-are-so-important-to-costco-who.aspx. </w:t>
      </w:r>
    </w:p>
  </w:endnote>
  <w:endnote w:id="67">
    <w:p w14:paraId="00689980" w14:textId="62FE2806" w:rsidR="00372BEC" w:rsidRPr="003312F9" w:rsidRDefault="00372BEC" w:rsidP="00AA07E0">
      <w:pPr>
        <w:pStyle w:val="Footnote"/>
        <w:rPr>
          <w:spacing w:val="-4"/>
        </w:rPr>
      </w:pPr>
      <w:r w:rsidRPr="003312F9">
        <w:rPr>
          <w:rStyle w:val="EndnoteReference"/>
          <w:spacing w:val="-4"/>
        </w:rPr>
        <w:endnoteRef/>
      </w:r>
      <w:r w:rsidRPr="003312F9">
        <w:rPr>
          <w:spacing w:val="-4"/>
          <w:vertAlign w:val="superscript"/>
        </w:rPr>
        <w:t xml:space="preserve"> </w:t>
      </w:r>
      <w:r w:rsidRPr="003312F9">
        <w:rPr>
          <w:spacing w:val="-4"/>
        </w:rPr>
        <w:t xml:space="preserve">Alex Evans and Jamil Satchu, “Why Costco and Other Warehouse Club Retailers Matter,” </w:t>
      </w:r>
      <w:r w:rsidRPr="003312F9">
        <w:rPr>
          <w:i/>
          <w:spacing w:val="-4"/>
        </w:rPr>
        <w:t>LEK Executive Insights</w:t>
      </w:r>
      <w:r w:rsidRPr="003312F9">
        <w:rPr>
          <w:spacing w:val="-4"/>
        </w:rPr>
        <w:t xml:space="preserve"> 12, no. 5 (2010).</w:t>
      </w:r>
    </w:p>
  </w:endnote>
  <w:endnote w:id="68">
    <w:p w14:paraId="47D57434" w14:textId="78424B95" w:rsidR="00372BEC" w:rsidRPr="003312F9" w:rsidRDefault="00372BEC" w:rsidP="00AA07E0">
      <w:pPr>
        <w:pStyle w:val="Footnote"/>
      </w:pPr>
      <w:r w:rsidRPr="003312F9">
        <w:rPr>
          <w:rStyle w:val="EndnoteReference"/>
        </w:rPr>
        <w:endnoteRef/>
      </w:r>
      <w:r w:rsidRPr="003312F9">
        <w:t xml:space="preserve"> Vanessa Page, “Costco’s Business Model Is Smarter than You Think,” Investopedia, accessed May 2, 2018, www.investopedia.com/articles/investing/070715/costcos-business-model-smarter-you-think.asp. </w:t>
      </w:r>
    </w:p>
  </w:endnote>
  <w:endnote w:id="69">
    <w:p w14:paraId="088D433C" w14:textId="77777777" w:rsidR="00372BEC" w:rsidRPr="003312F9" w:rsidRDefault="00372BEC" w:rsidP="009316A7">
      <w:pPr>
        <w:pStyle w:val="EndnoteText"/>
        <w:jc w:val="both"/>
        <w:rPr>
          <w:rFonts w:ascii="Arial" w:hAnsi="Arial" w:cs="Arial"/>
          <w:spacing w:val="-4"/>
          <w:sz w:val="17"/>
          <w:szCs w:val="17"/>
          <w:lang w:val="en-CA"/>
        </w:rPr>
      </w:pPr>
      <w:r w:rsidRPr="003312F9">
        <w:rPr>
          <w:rStyle w:val="EndnoteReference"/>
          <w:rFonts w:ascii="Arial" w:hAnsi="Arial" w:cs="Arial"/>
          <w:spacing w:val="-4"/>
          <w:sz w:val="17"/>
          <w:szCs w:val="17"/>
        </w:rPr>
        <w:endnoteRef/>
      </w:r>
      <w:r w:rsidRPr="003312F9">
        <w:rPr>
          <w:rFonts w:ascii="Arial" w:hAnsi="Arial" w:cs="Arial"/>
          <w:spacing w:val="-4"/>
          <w:sz w:val="17"/>
          <w:szCs w:val="17"/>
        </w:rPr>
        <w:t xml:space="preserve"> Melissa Locker, “Google Express Lets You Shop at Costco Without a Membership,” </w:t>
      </w:r>
      <w:r w:rsidRPr="003312F9">
        <w:rPr>
          <w:rFonts w:ascii="Arial" w:hAnsi="Arial" w:cs="Arial"/>
          <w:i/>
          <w:spacing w:val="-4"/>
          <w:sz w:val="17"/>
          <w:szCs w:val="17"/>
        </w:rPr>
        <w:t>Fast Company</w:t>
      </w:r>
      <w:r w:rsidRPr="003312F9">
        <w:rPr>
          <w:rFonts w:ascii="Arial" w:hAnsi="Arial" w:cs="Arial"/>
          <w:spacing w:val="-4"/>
          <w:sz w:val="17"/>
          <w:szCs w:val="17"/>
        </w:rPr>
        <w:t>, November 20 2017, accessed February 2 2019, www.fastcompany.com/40498543/google-express-lets-you-shop-at-costco-without-a-membership.</w:t>
      </w:r>
    </w:p>
  </w:endnote>
  <w:endnote w:id="70">
    <w:p w14:paraId="0F7CD2AE" w14:textId="53DB48DD" w:rsidR="00372BEC" w:rsidRPr="003312F9" w:rsidRDefault="00372BEC" w:rsidP="00AA07E0">
      <w:pPr>
        <w:pStyle w:val="Footnote"/>
      </w:pPr>
      <w:r w:rsidRPr="003312F9">
        <w:rPr>
          <w:rStyle w:val="EndnoteReference"/>
        </w:rPr>
        <w:endnoteRef/>
      </w:r>
      <w:r w:rsidRPr="003312F9">
        <w:t xml:space="preserve"> </w:t>
      </w:r>
      <w:r w:rsidR="00F02DE6" w:rsidRPr="003312F9">
        <w:t xml:space="preserve">YunLung </w:t>
      </w:r>
      <w:r w:rsidRPr="003312F9">
        <w:t xml:space="preserve">Yeh, op. cit. </w:t>
      </w:r>
    </w:p>
  </w:endnote>
  <w:endnote w:id="71">
    <w:p w14:paraId="527A2E26" w14:textId="509E203C" w:rsidR="00372BEC" w:rsidRPr="003312F9" w:rsidRDefault="00372BEC" w:rsidP="00AA07E0">
      <w:pPr>
        <w:pStyle w:val="Footnote"/>
      </w:pPr>
      <w:r w:rsidRPr="003312F9">
        <w:rPr>
          <w:rStyle w:val="EndnoteReference"/>
        </w:rPr>
        <w:endnoteRef/>
      </w:r>
      <w:r w:rsidRPr="003312F9">
        <w:t xml:space="preserve"> Megan McArdle, “Why Walmart Will Never Pay like Costco,” </w:t>
      </w:r>
      <w:r w:rsidRPr="003312F9">
        <w:rPr>
          <w:i/>
        </w:rPr>
        <w:t>Bloomberg</w:t>
      </w:r>
      <w:r w:rsidRPr="003312F9">
        <w:t xml:space="preserve">, August 27, 2013, accessed May 2, 2018, www.bloombergview.com/articles/2013-08-27/why-walmart-will-never-pay-like-costco. </w:t>
      </w:r>
    </w:p>
  </w:endnote>
  <w:endnote w:id="72">
    <w:p w14:paraId="34495128" w14:textId="1AB40F28" w:rsidR="00372BEC" w:rsidRPr="003312F9" w:rsidRDefault="00372BEC" w:rsidP="00AA07E0">
      <w:pPr>
        <w:pStyle w:val="Footnote"/>
      </w:pPr>
      <w:r w:rsidRPr="003312F9">
        <w:rPr>
          <w:rStyle w:val="EndnoteReference"/>
        </w:rPr>
        <w:endnoteRef/>
      </w:r>
      <w:r w:rsidRPr="003312F9">
        <w:t xml:space="preserve"> Steve Banker, “Transaction Costs, Supply Chain Management, and the New Economy,” Logistics Viewpoints, June 27, 2011, accessed May 2, 2018, https://logisticsviewpoints.com/2011/06/27/transaction-costs-supply-chain-management-and-the-new-economy/.</w:t>
      </w:r>
    </w:p>
  </w:endnote>
  <w:endnote w:id="73">
    <w:p w14:paraId="7BBB2DD7" w14:textId="4F20EA9D" w:rsidR="00372BEC" w:rsidRPr="003312F9" w:rsidRDefault="00372BEC" w:rsidP="00AA07E0">
      <w:pPr>
        <w:pStyle w:val="Footnote"/>
      </w:pPr>
      <w:r w:rsidRPr="003312F9">
        <w:rPr>
          <w:rStyle w:val="EndnoteReference"/>
        </w:rPr>
        <w:endnoteRef/>
      </w:r>
      <w:r w:rsidRPr="003312F9">
        <w:t xml:space="preserve"> “Costco Wholesale Corp,” Morningstar, accessed May 2, 2018, http://financials.morningstar.com/ratios/r.html?t=COST.</w:t>
      </w:r>
    </w:p>
  </w:endnote>
  <w:endnote w:id="74">
    <w:p w14:paraId="0E108E5B" w14:textId="4778B564" w:rsidR="00372BEC" w:rsidRPr="003312F9" w:rsidRDefault="00372BEC" w:rsidP="00AA07E0">
      <w:pPr>
        <w:pStyle w:val="EndnoteText"/>
        <w:jc w:val="both"/>
        <w:rPr>
          <w:rFonts w:ascii="Arial" w:hAnsi="Arial" w:cs="Arial"/>
          <w:sz w:val="17"/>
          <w:szCs w:val="17"/>
          <w:lang w:val="en-CA"/>
        </w:rPr>
      </w:pPr>
      <w:r w:rsidRPr="003312F9">
        <w:rPr>
          <w:rStyle w:val="EndnoteReference"/>
          <w:rFonts w:ascii="Arial" w:hAnsi="Arial" w:cs="Arial"/>
          <w:sz w:val="17"/>
          <w:szCs w:val="17"/>
        </w:rPr>
        <w:endnoteRef/>
      </w:r>
      <w:r w:rsidRPr="003312F9">
        <w:rPr>
          <w:rFonts w:ascii="Arial" w:hAnsi="Arial" w:cs="Arial"/>
          <w:sz w:val="17"/>
          <w:szCs w:val="17"/>
        </w:rPr>
        <w:t xml:space="preserve"> Jordan Wathen, “What Costco's Inventory Turnover Says About Its Moat,” The Motley Fool, accessed February 13, 2019, www.fool.com/investing/2016/08/22/what-costcos-inventory-turnover-says-about-its-moa.aspx.</w:t>
      </w:r>
    </w:p>
  </w:endnote>
  <w:endnote w:id="75">
    <w:p w14:paraId="56DA87CA" w14:textId="764BB64D" w:rsidR="00372BEC" w:rsidRPr="003312F9" w:rsidRDefault="00372BEC" w:rsidP="00AA07E0">
      <w:pPr>
        <w:pStyle w:val="Footnote"/>
      </w:pPr>
      <w:r w:rsidRPr="003312F9">
        <w:rPr>
          <w:rStyle w:val="EndnoteReference"/>
        </w:rPr>
        <w:endnoteRef/>
      </w:r>
      <w:r w:rsidRPr="003312F9">
        <w:rPr>
          <w:vertAlign w:val="superscript"/>
        </w:rPr>
        <w:t xml:space="preserve"> </w:t>
      </w:r>
      <w:r w:rsidR="006C4048" w:rsidRPr="003312F9">
        <w:t>Costco Wholesale Corporation, Annual Report, 2015, op. cit.</w:t>
      </w:r>
    </w:p>
  </w:endnote>
  <w:endnote w:id="76">
    <w:p w14:paraId="189845CC" w14:textId="514D5B65" w:rsidR="00372BEC" w:rsidRPr="003312F9" w:rsidRDefault="00372BEC" w:rsidP="00AA07E0">
      <w:pPr>
        <w:pStyle w:val="Footnote"/>
      </w:pPr>
      <w:r w:rsidRPr="003312F9">
        <w:rPr>
          <w:rStyle w:val="EndnoteReference"/>
        </w:rPr>
        <w:endnoteRef/>
      </w:r>
      <w:r w:rsidRPr="003312F9">
        <w:t xml:space="preserve"> Michael Beyman, “No-Frills Retail Revolution Leads to Costco Wholesale Shopping Craze,” CNBC, April 25, 2012, accessed May 2, 2018, www.cnbc.com/id/47177291.</w:t>
      </w:r>
    </w:p>
  </w:endnote>
  <w:endnote w:id="77">
    <w:p w14:paraId="699CA27F" w14:textId="053FEA2A" w:rsidR="00372BEC" w:rsidRPr="003312F9" w:rsidRDefault="00372BEC" w:rsidP="009316A7">
      <w:pPr>
        <w:pStyle w:val="CommentText"/>
        <w:jc w:val="both"/>
        <w:rPr>
          <w:rFonts w:ascii="Arial" w:hAnsi="Arial" w:cs="Arial"/>
          <w:sz w:val="17"/>
          <w:szCs w:val="17"/>
        </w:rPr>
      </w:pPr>
      <w:r w:rsidRPr="003312F9">
        <w:rPr>
          <w:rStyle w:val="EndnoteReference"/>
          <w:rFonts w:ascii="Arial" w:hAnsi="Arial" w:cs="Arial"/>
          <w:sz w:val="17"/>
          <w:szCs w:val="17"/>
        </w:rPr>
        <w:endnoteRef/>
      </w:r>
      <w:r w:rsidRPr="003312F9">
        <w:rPr>
          <w:rFonts w:ascii="Arial" w:hAnsi="Arial" w:cs="Arial"/>
          <w:sz w:val="17"/>
          <w:szCs w:val="17"/>
        </w:rPr>
        <w:t xml:space="preserve"> “Daylighting Initiative,” Pacific Gas and Electric Company, accessed February 10 2019, http://bristolite.com/interfaces/media/Daylighting%20at%20Costco.pdf.</w:t>
      </w:r>
    </w:p>
  </w:endnote>
  <w:endnote w:id="78">
    <w:p w14:paraId="60617650" w14:textId="2BDA7B87" w:rsidR="00372BEC" w:rsidRPr="003312F9" w:rsidRDefault="00372BEC" w:rsidP="009316A7">
      <w:pPr>
        <w:pStyle w:val="CommentText"/>
        <w:jc w:val="both"/>
        <w:rPr>
          <w:rFonts w:ascii="Arial" w:hAnsi="Arial" w:cs="Arial"/>
          <w:spacing w:val="-2"/>
          <w:sz w:val="17"/>
          <w:szCs w:val="17"/>
        </w:rPr>
      </w:pPr>
      <w:r w:rsidRPr="003312F9">
        <w:rPr>
          <w:rStyle w:val="EndnoteReference"/>
          <w:rFonts w:ascii="Arial" w:hAnsi="Arial" w:cs="Arial"/>
          <w:spacing w:val="-2"/>
          <w:sz w:val="17"/>
          <w:szCs w:val="17"/>
        </w:rPr>
        <w:endnoteRef/>
      </w:r>
      <w:r w:rsidRPr="003312F9">
        <w:rPr>
          <w:rFonts w:ascii="Arial" w:hAnsi="Arial" w:cs="Arial"/>
          <w:spacing w:val="-2"/>
          <w:sz w:val="17"/>
          <w:szCs w:val="17"/>
        </w:rPr>
        <w:t xml:space="preserve"> Marc Wulfraat, “The Secret To Costco’s Success Lies In Supply Chain Efficiency,” Canadian Grocer, May 13, 2014, accessed February 10 2019, www.canadiangrocer.com/blog/the-secret-to-costcos-success-lies-in-supply-chain-efficiency-40691.</w:t>
      </w:r>
    </w:p>
  </w:endnote>
  <w:endnote w:id="79">
    <w:p w14:paraId="5385B0FE" w14:textId="5E0F1A49" w:rsidR="00372BEC" w:rsidRPr="003312F9" w:rsidRDefault="00372BEC" w:rsidP="00AA07E0">
      <w:pPr>
        <w:pStyle w:val="EndnoteText"/>
        <w:jc w:val="both"/>
        <w:rPr>
          <w:rFonts w:ascii="Arial" w:hAnsi="Arial" w:cs="Arial"/>
          <w:sz w:val="17"/>
          <w:szCs w:val="17"/>
          <w:lang w:val="en-CA"/>
        </w:rPr>
      </w:pPr>
      <w:r w:rsidRPr="003312F9">
        <w:rPr>
          <w:rStyle w:val="EndnoteReference"/>
          <w:rFonts w:ascii="Arial" w:hAnsi="Arial" w:cs="Arial"/>
          <w:sz w:val="17"/>
          <w:szCs w:val="17"/>
        </w:rPr>
        <w:endnoteRef/>
      </w:r>
      <w:r w:rsidRPr="003312F9">
        <w:rPr>
          <w:rFonts w:ascii="Arial" w:hAnsi="Arial" w:cs="Arial"/>
          <w:sz w:val="17"/>
          <w:szCs w:val="17"/>
        </w:rPr>
        <w:t xml:space="preserve"> Daniel Kissinger, “Costco’s Operations Management, 10 Decisions, Productivity,” Panmore Institute, February 6 2017, accessed February 10 2019, http://panmore.com/costco-wholesale-operations-management-10-decisions-areas-productivity.</w:t>
      </w:r>
    </w:p>
  </w:endnote>
  <w:endnote w:id="80">
    <w:p w14:paraId="26FDDF35" w14:textId="77350B9C" w:rsidR="00372BEC" w:rsidRPr="003312F9" w:rsidRDefault="00372BEC" w:rsidP="009316A7">
      <w:pPr>
        <w:pStyle w:val="CommentText"/>
        <w:jc w:val="both"/>
        <w:rPr>
          <w:rFonts w:ascii="Arial" w:hAnsi="Arial" w:cs="Arial"/>
          <w:sz w:val="17"/>
          <w:szCs w:val="17"/>
        </w:rPr>
      </w:pPr>
      <w:r w:rsidRPr="003312F9">
        <w:rPr>
          <w:rStyle w:val="EndnoteReference"/>
          <w:rFonts w:ascii="Arial" w:hAnsi="Arial" w:cs="Arial"/>
          <w:sz w:val="17"/>
          <w:szCs w:val="17"/>
        </w:rPr>
        <w:endnoteRef/>
      </w:r>
      <w:r w:rsidRPr="003312F9">
        <w:rPr>
          <w:rFonts w:ascii="Arial" w:hAnsi="Arial" w:cs="Arial"/>
          <w:sz w:val="17"/>
          <w:szCs w:val="17"/>
        </w:rPr>
        <w:t xml:space="preserve"> Brian W</w:t>
      </w:r>
      <w:r w:rsidR="00E56010" w:rsidRPr="003312F9">
        <w:rPr>
          <w:rFonts w:ascii="Arial" w:hAnsi="Arial" w:cs="Arial"/>
          <w:sz w:val="17"/>
          <w:szCs w:val="17"/>
        </w:rPr>
        <w:t>o</w:t>
      </w:r>
      <w:r w:rsidRPr="003312F9">
        <w:rPr>
          <w:rFonts w:ascii="Arial" w:hAnsi="Arial" w:cs="Arial"/>
          <w:sz w:val="17"/>
          <w:szCs w:val="17"/>
        </w:rPr>
        <w:t>olf, “What Makes Costco So Successful?” Brian</w:t>
      </w:r>
      <w:r w:rsidR="00E56010" w:rsidRPr="003312F9">
        <w:rPr>
          <w:rFonts w:ascii="Arial" w:hAnsi="Arial" w:cs="Arial"/>
          <w:sz w:val="17"/>
          <w:szCs w:val="17"/>
        </w:rPr>
        <w:t>w</w:t>
      </w:r>
      <w:r w:rsidRPr="003312F9">
        <w:rPr>
          <w:rFonts w:ascii="Arial" w:hAnsi="Arial" w:cs="Arial"/>
          <w:sz w:val="17"/>
          <w:szCs w:val="17"/>
        </w:rPr>
        <w:t>o</w:t>
      </w:r>
      <w:r w:rsidR="00E56010" w:rsidRPr="003312F9">
        <w:rPr>
          <w:rFonts w:ascii="Arial" w:hAnsi="Arial" w:cs="Arial"/>
          <w:sz w:val="17"/>
          <w:szCs w:val="17"/>
        </w:rPr>
        <w:t>o</w:t>
      </w:r>
      <w:r w:rsidRPr="003312F9">
        <w:rPr>
          <w:rFonts w:ascii="Arial" w:hAnsi="Arial" w:cs="Arial"/>
          <w:sz w:val="17"/>
          <w:szCs w:val="17"/>
        </w:rPr>
        <w:t>lf.Com, April 7, 2015, accessed February 10 2019, www.brianwoolf.com/index?id=49&amp;action=bw_article_read.</w:t>
      </w:r>
    </w:p>
  </w:endnote>
  <w:endnote w:id="81">
    <w:p w14:paraId="7BE9D8D8" w14:textId="322010B3" w:rsidR="00372BEC" w:rsidRPr="003312F9" w:rsidRDefault="00372BEC" w:rsidP="00AA07E0">
      <w:pPr>
        <w:pStyle w:val="EndnoteText"/>
        <w:jc w:val="both"/>
        <w:rPr>
          <w:rFonts w:ascii="Arial" w:hAnsi="Arial" w:cs="Arial"/>
          <w:sz w:val="17"/>
          <w:szCs w:val="17"/>
          <w:lang w:val="en-CA"/>
        </w:rPr>
      </w:pPr>
      <w:r w:rsidRPr="003312F9">
        <w:rPr>
          <w:rStyle w:val="EndnoteReference"/>
          <w:rFonts w:ascii="Arial" w:hAnsi="Arial" w:cs="Arial"/>
          <w:sz w:val="17"/>
          <w:szCs w:val="17"/>
        </w:rPr>
        <w:endnoteRef/>
      </w:r>
      <w:r w:rsidRPr="003312F9">
        <w:rPr>
          <w:rFonts w:ascii="Arial" w:hAnsi="Arial" w:cs="Arial"/>
          <w:sz w:val="17"/>
          <w:szCs w:val="17"/>
        </w:rPr>
        <w:t xml:space="preserve"> Andrew Farrell, “No Consumer Pull Back at Costco,” </w:t>
      </w:r>
      <w:r w:rsidRPr="003312F9">
        <w:rPr>
          <w:rFonts w:ascii="Arial" w:hAnsi="Arial" w:cs="Arial"/>
          <w:i/>
          <w:sz w:val="17"/>
          <w:szCs w:val="17"/>
        </w:rPr>
        <w:t>Forbes</w:t>
      </w:r>
      <w:r w:rsidRPr="003312F9">
        <w:rPr>
          <w:rFonts w:ascii="Arial" w:hAnsi="Arial" w:cs="Arial"/>
          <w:sz w:val="17"/>
          <w:szCs w:val="17"/>
        </w:rPr>
        <w:t>, October 10, 2007, accessed February 10 2019, www.forbes.com/2007/10/10/costco-fed-update-markets-equity-cx_af_1010markets21.html#5ee9d5fa567b</w:t>
      </w:r>
      <w:r w:rsidRPr="003312F9">
        <w:rPr>
          <w:rFonts w:ascii="Arial" w:hAnsi="Arial" w:cs="Arial"/>
          <w:sz w:val="17"/>
          <w:szCs w:val="17"/>
          <w:lang w:val="en-CA"/>
        </w:rPr>
        <w:t>.</w:t>
      </w:r>
    </w:p>
  </w:endnote>
  <w:endnote w:id="82">
    <w:p w14:paraId="77672DD1" w14:textId="0CCAEC1B" w:rsidR="00372BEC" w:rsidRPr="003312F9" w:rsidRDefault="00372BEC" w:rsidP="009316A7">
      <w:pPr>
        <w:pStyle w:val="CommentText"/>
        <w:jc w:val="both"/>
        <w:rPr>
          <w:rFonts w:ascii="Arial" w:hAnsi="Arial" w:cs="Arial"/>
          <w:sz w:val="17"/>
          <w:szCs w:val="17"/>
        </w:rPr>
      </w:pPr>
      <w:r w:rsidRPr="003312F9">
        <w:rPr>
          <w:rStyle w:val="EndnoteReference"/>
          <w:rFonts w:ascii="Arial" w:hAnsi="Arial" w:cs="Arial"/>
          <w:sz w:val="17"/>
          <w:szCs w:val="17"/>
        </w:rPr>
        <w:endnoteRef/>
      </w:r>
      <w:r w:rsidRPr="003312F9">
        <w:rPr>
          <w:rFonts w:ascii="Arial" w:hAnsi="Arial" w:cs="Arial"/>
          <w:sz w:val="17"/>
          <w:szCs w:val="17"/>
        </w:rPr>
        <w:t xml:space="preserve"> Kate Taylor, “Costco Offers Some of The Best Deals in The Retail Industry-Here Are Seven Ways The Store Keeps Prices Dirt Cheap,” </w:t>
      </w:r>
      <w:r w:rsidRPr="003312F9">
        <w:rPr>
          <w:rFonts w:ascii="Arial" w:hAnsi="Arial" w:cs="Arial"/>
          <w:i/>
          <w:sz w:val="17"/>
          <w:szCs w:val="17"/>
        </w:rPr>
        <w:t>Business Insider</w:t>
      </w:r>
      <w:r w:rsidRPr="003312F9">
        <w:rPr>
          <w:rFonts w:ascii="Arial" w:hAnsi="Arial" w:cs="Arial"/>
          <w:sz w:val="17"/>
          <w:szCs w:val="17"/>
        </w:rPr>
        <w:t>, April 12 2018, accessed February 10 2019, www.businessinsider.com/costco-membership-deals-low-prices-2018-4.</w:t>
      </w:r>
    </w:p>
  </w:endnote>
  <w:endnote w:id="83">
    <w:p w14:paraId="0DE6BB95" w14:textId="558450AE" w:rsidR="00372BEC" w:rsidRPr="003312F9" w:rsidRDefault="00372BEC" w:rsidP="00AA07E0">
      <w:pPr>
        <w:pStyle w:val="EndnoteText"/>
        <w:jc w:val="both"/>
        <w:rPr>
          <w:rFonts w:ascii="Arial" w:hAnsi="Arial" w:cs="Arial"/>
          <w:sz w:val="17"/>
          <w:szCs w:val="17"/>
          <w:lang w:val="en-US"/>
        </w:rPr>
      </w:pPr>
      <w:r w:rsidRPr="003312F9">
        <w:rPr>
          <w:rStyle w:val="EndnoteReference"/>
          <w:rFonts w:ascii="Arial" w:hAnsi="Arial" w:cs="Arial"/>
          <w:sz w:val="17"/>
          <w:szCs w:val="17"/>
        </w:rPr>
        <w:endnoteRef/>
      </w:r>
      <w:r w:rsidRPr="003312F9">
        <w:rPr>
          <w:rFonts w:ascii="Arial" w:hAnsi="Arial" w:cs="Arial"/>
          <w:sz w:val="17"/>
          <w:szCs w:val="17"/>
        </w:rPr>
        <w:t xml:space="preserve"> “Retailing In Taiwan</w:t>
      </w:r>
      <w:r w:rsidR="00E56010" w:rsidRPr="003312F9">
        <w:rPr>
          <w:rFonts w:ascii="Arial" w:hAnsi="Arial" w:cs="Arial"/>
          <w:sz w:val="17"/>
          <w:szCs w:val="17"/>
          <w:lang w:val="en-US"/>
        </w:rPr>
        <w:t>,</w:t>
      </w:r>
      <w:r w:rsidRPr="003312F9">
        <w:rPr>
          <w:rFonts w:ascii="Arial" w:hAnsi="Arial" w:cs="Arial"/>
          <w:sz w:val="17"/>
          <w:szCs w:val="17"/>
        </w:rPr>
        <w:t xml:space="preserve">” January 2019, </w:t>
      </w:r>
      <w:r w:rsidR="00E56010" w:rsidRPr="003312F9">
        <w:rPr>
          <w:rFonts w:ascii="Arial" w:hAnsi="Arial" w:cs="Arial"/>
          <w:sz w:val="17"/>
          <w:szCs w:val="17"/>
        </w:rPr>
        <w:t>Euromonitor International</w:t>
      </w:r>
      <w:r w:rsidR="00E56010" w:rsidRPr="003312F9">
        <w:rPr>
          <w:rFonts w:ascii="Arial" w:hAnsi="Arial" w:cs="Arial"/>
          <w:sz w:val="17"/>
          <w:szCs w:val="17"/>
          <w:lang w:val="en-US"/>
        </w:rPr>
        <w:t xml:space="preserve">. </w:t>
      </w:r>
    </w:p>
  </w:endnote>
  <w:endnote w:id="84">
    <w:p w14:paraId="32EB7E01" w14:textId="42A0CA65" w:rsidR="00372BEC" w:rsidRPr="003312F9" w:rsidRDefault="00372BEC" w:rsidP="00372BEC">
      <w:pPr>
        <w:pStyle w:val="CommentText"/>
        <w:jc w:val="both"/>
        <w:rPr>
          <w:rFonts w:ascii="Arial" w:hAnsi="Arial" w:cs="Arial"/>
          <w:sz w:val="17"/>
          <w:szCs w:val="17"/>
        </w:rPr>
      </w:pPr>
      <w:r w:rsidRPr="003312F9">
        <w:rPr>
          <w:rStyle w:val="EndnoteReference"/>
          <w:rFonts w:ascii="Arial" w:hAnsi="Arial" w:cs="Arial"/>
          <w:sz w:val="17"/>
          <w:szCs w:val="17"/>
        </w:rPr>
        <w:endnoteRef/>
      </w:r>
      <w:r w:rsidRPr="003312F9">
        <w:rPr>
          <w:rFonts w:ascii="Arial" w:hAnsi="Arial" w:cs="Arial"/>
          <w:sz w:val="17"/>
          <w:szCs w:val="17"/>
        </w:rPr>
        <w:t xml:space="preserve"> YunLung Yeh, </w:t>
      </w:r>
      <w:r w:rsidR="00F02DE6" w:rsidRPr="003312F9">
        <w:rPr>
          <w:rFonts w:ascii="Arial" w:hAnsi="Arial" w:cs="Arial"/>
          <w:sz w:val="17"/>
          <w:szCs w:val="17"/>
        </w:rPr>
        <w:t>op. cit.</w:t>
      </w:r>
    </w:p>
  </w:endnote>
  <w:endnote w:id="85">
    <w:p w14:paraId="68D0E154" w14:textId="0E62243F" w:rsidR="00372BEC" w:rsidRPr="003312F9" w:rsidRDefault="00372BEC" w:rsidP="00AA07E0">
      <w:pPr>
        <w:pStyle w:val="Footnote"/>
      </w:pPr>
      <w:r w:rsidRPr="003312F9">
        <w:rPr>
          <w:rStyle w:val="EndnoteReference"/>
        </w:rPr>
        <w:endnoteRef/>
      </w:r>
      <w:r w:rsidRPr="003312F9">
        <w:t xml:space="preserve"> Wayne F. Cascio, “The High Cost of Low Wages,” </w:t>
      </w:r>
      <w:r w:rsidRPr="003312F9">
        <w:rPr>
          <w:i/>
        </w:rPr>
        <w:t>Harvard Business Review</w:t>
      </w:r>
      <w:r w:rsidRPr="003312F9">
        <w:t>, December 2006. Available from Ivey Publishing, product no. F0612D.</w:t>
      </w:r>
    </w:p>
  </w:endnote>
  <w:endnote w:id="86">
    <w:p w14:paraId="0113FB0A" w14:textId="5B113785" w:rsidR="00372BEC" w:rsidRPr="003312F9" w:rsidRDefault="00372BEC" w:rsidP="00AA07E0">
      <w:pPr>
        <w:pStyle w:val="EndnoteText"/>
        <w:jc w:val="both"/>
        <w:rPr>
          <w:rFonts w:ascii="Arial" w:hAnsi="Arial" w:cs="Arial"/>
          <w:sz w:val="17"/>
          <w:szCs w:val="17"/>
          <w:lang w:val="en-US"/>
        </w:rPr>
      </w:pPr>
      <w:r w:rsidRPr="003312F9">
        <w:rPr>
          <w:rStyle w:val="EndnoteReference"/>
          <w:rFonts w:ascii="Arial" w:hAnsi="Arial" w:cs="Arial"/>
          <w:sz w:val="17"/>
          <w:szCs w:val="17"/>
        </w:rPr>
        <w:endnoteRef/>
      </w:r>
      <w:r w:rsidRPr="003312F9">
        <w:rPr>
          <w:rFonts w:ascii="Arial" w:hAnsi="Arial" w:cs="Arial"/>
          <w:sz w:val="17"/>
          <w:szCs w:val="17"/>
        </w:rPr>
        <w:t xml:space="preserve"> Gary Yukl, </w:t>
      </w:r>
      <w:r w:rsidRPr="003312F9">
        <w:rPr>
          <w:rFonts w:ascii="Arial" w:hAnsi="Arial" w:cs="Arial"/>
          <w:i/>
          <w:sz w:val="17"/>
          <w:szCs w:val="17"/>
        </w:rPr>
        <w:t>Leadership in Organizations</w:t>
      </w:r>
      <w:r w:rsidR="00E56010" w:rsidRPr="003312F9">
        <w:rPr>
          <w:rFonts w:ascii="Arial" w:hAnsi="Arial" w:cs="Arial"/>
          <w:i/>
          <w:sz w:val="17"/>
          <w:szCs w:val="17"/>
          <w:lang w:val="en-US"/>
        </w:rPr>
        <w:t>,</w:t>
      </w:r>
      <w:r w:rsidRPr="003312F9">
        <w:rPr>
          <w:rFonts w:ascii="Arial" w:hAnsi="Arial" w:cs="Arial"/>
          <w:sz w:val="17"/>
          <w:szCs w:val="17"/>
        </w:rPr>
        <w:t xml:space="preserve"> 8</w:t>
      </w:r>
      <w:r w:rsidRPr="003312F9">
        <w:rPr>
          <w:rFonts w:ascii="Arial" w:hAnsi="Arial" w:cs="Arial"/>
          <w:sz w:val="17"/>
          <w:szCs w:val="17"/>
          <w:vertAlign w:val="superscript"/>
        </w:rPr>
        <w:t>th</w:t>
      </w:r>
      <w:r w:rsidRPr="003312F9">
        <w:rPr>
          <w:rFonts w:ascii="Arial" w:hAnsi="Arial" w:cs="Arial"/>
          <w:sz w:val="17"/>
          <w:szCs w:val="17"/>
        </w:rPr>
        <w:t xml:space="preserve"> Edition, </w:t>
      </w:r>
      <w:r w:rsidR="00E56010" w:rsidRPr="003312F9">
        <w:rPr>
          <w:rFonts w:ascii="Arial" w:hAnsi="Arial" w:cs="Arial"/>
          <w:sz w:val="17"/>
          <w:szCs w:val="17"/>
          <w:lang w:val="en-US"/>
        </w:rPr>
        <w:t xml:space="preserve">(Noida, Uttar Pradesh, India: </w:t>
      </w:r>
      <w:r w:rsidRPr="003312F9">
        <w:rPr>
          <w:rFonts w:ascii="Arial" w:hAnsi="Arial" w:cs="Arial"/>
          <w:sz w:val="17"/>
          <w:szCs w:val="17"/>
        </w:rPr>
        <w:t>Pearson</w:t>
      </w:r>
      <w:r w:rsidR="00E56010" w:rsidRPr="003312F9">
        <w:rPr>
          <w:rFonts w:ascii="Arial" w:hAnsi="Arial" w:cs="Arial"/>
          <w:sz w:val="17"/>
          <w:szCs w:val="17"/>
          <w:lang w:val="en-US"/>
        </w:rPr>
        <w:t xml:space="preserve"> India</w:t>
      </w:r>
      <w:r w:rsidRPr="003312F9">
        <w:rPr>
          <w:rFonts w:ascii="Arial" w:hAnsi="Arial" w:cs="Arial"/>
          <w:sz w:val="17"/>
          <w:szCs w:val="17"/>
        </w:rPr>
        <w:t xml:space="preserve">, </w:t>
      </w:r>
      <w:r w:rsidR="00E56010" w:rsidRPr="003312F9">
        <w:rPr>
          <w:rFonts w:ascii="Arial" w:hAnsi="Arial" w:cs="Arial"/>
          <w:sz w:val="17"/>
          <w:szCs w:val="17"/>
          <w:lang w:val="en-US"/>
        </w:rPr>
        <w:t>2013).</w:t>
      </w:r>
    </w:p>
  </w:endnote>
  <w:endnote w:id="87">
    <w:p w14:paraId="30614E06" w14:textId="7D4C2EA8" w:rsidR="00372BEC" w:rsidRPr="003312F9" w:rsidRDefault="00372BEC" w:rsidP="00AA07E0">
      <w:pPr>
        <w:pStyle w:val="Footnote"/>
        <w:rPr>
          <w:lang w:val="en-CA"/>
        </w:rPr>
      </w:pPr>
      <w:r w:rsidRPr="003312F9">
        <w:rPr>
          <w:vertAlign w:val="superscript"/>
        </w:rPr>
        <w:endnoteRef/>
      </w:r>
      <w:r w:rsidRPr="003312F9">
        <w:rPr>
          <w:vertAlign w:val="superscript"/>
        </w:rPr>
        <w:t xml:space="preserve"> </w:t>
      </w:r>
      <w:r w:rsidRPr="003312F9">
        <w:t>Carrefour</w:t>
      </w:r>
      <w:r w:rsidR="00E56010" w:rsidRPr="003312F9">
        <w:t xml:space="preserve"> Group</w:t>
      </w:r>
      <w:r w:rsidRPr="003312F9">
        <w:t xml:space="preserve">, </w:t>
      </w:r>
      <w:r w:rsidRPr="003312F9">
        <w:rPr>
          <w:i/>
        </w:rPr>
        <w:t>Doing Our Job Well: 2014 Annual Activity and Responsible Commitment Report</w:t>
      </w:r>
      <w:r w:rsidRPr="003312F9">
        <w:t>, 2014, accessed May 2, 2018, www.carrefour.com/sites/default/files/RA_2014_EN.pdf.</w:t>
      </w:r>
    </w:p>
  </w:endnote>
  <w:endnote w:id="88">
    <w:p w14:paraId="328C1F57" w14:textId="08112CC1" w:rsidR="00372BEC" w:rsidRPr="003312F9" w:rsidRDefault="00372BEC" w:rsidP="00AA07E0">
      <w:pPr>
        <w:pStyle w:val="EndnoteText"/>
        <w:jc w:val="both"/>
        <w:rPr>
          <w:rFonts w:ascii="Arial" w:hAnsi="Arial" w:cs="Arial"/>
          <w:sz w:val="17"/>
          <w:szCs w:val="17"/>
          <w:lang w:val="en-US"/>
        </w:rPr>
      </w:pPr>
      <w:r w:rsidRPr="003312F9">
        <w:rPr>
          <w:rStyle w:val="EndnoteReference"/>
          <w:rFonts w:ascii="Arial" w:hAnsi="Arial" w:cs="Arial"/>
          <w:sz w:val="17"/>
          <w:szCs w:val="17"/>
        </w:rPr>
        <w:endnoteRef/>
      </w:r>
      <w:r w:rsidRPr="003312F9">
        <w:rPr>
          <w:rFonts w:ascii="Arial" w:hAnsi="Arial" w:cs="Arial"/>
          <w:sz w:val="17"/>
          <w:szCs w:val="17"/>
        </w:rPr>
        <w:t xml:space="preserve"> </w:t>
      </w:r>
      <w:r w:rsidR="00E56010" w:rsidRPr="003312F9">
        <w:rPr>
          <w:rFonts w:ascii="Arial" w:hAnsi="Arial" w:cs="Arial"/>
          <w:sz w:val="17"/>
          <w:szCs w:val="17"/>
          <w:lang w:val="en-US"/>
        </w:rPr>
        <w:t>“Is Japan Still an Important Retail Market (in Asia)?”</w:t>
      </w:r>
      <w:r w:rsidRPr="003312F9">
        <w:rPr>
          <w:rFonts w:ascii="Arial" w:hAnsi="Arial" w:cs="Arial"/>
          <w:sz w:val="17"/>
          <w:szCs w:val="17"/>
        </w:rPr>
        <w:t>Japan Retail News</w:t>
      </w:r>
      <w:r w:rsidR="003312F9" w:rsidRPr="003312F9">
        <w:rPr>
          <w:rFonts w:ascii="Arial" w:hAnsi="Arial" w:cs="Arial"/>
          <w:sz w:val="17"/>
          <w:szCs w:val="17"/>
          <w:lang w:val="en-US"/>
        </w:rPr>
        <w:t>,</w:t>
      </w:r>
      <w:r w:rsidRPr="003312F9">
        <w:rPr>
          <w:rFonts w:ascii="Arial" w:hAnsi="Arial" w:cs="Arial"/>
          <w:sz w:val="17"/>
          <w:szCs w:val="17"/>
        </w:rPr>
        <w:t xml:space="preserve"> </w:t>
      </w:r>
      <w:r w:rsidR="003312F9" w:rsidRPr="003312F9">
        <w:rPr>
          <w:rFonts w:ascii="Arial" w:hAnsi="Arial" w:cs="Arial"/>
          <w:sz w:val="17"/>
          <w:szCs w:val="17"/>
          <w:lang w:val="en-US"/>
        </w:rPr>
        <w:t>a</w:t>
      </w:r>
      <w:r w:rsidRPr="003312F9">
        <w:rPr>
          <w:rFonts w:ascii="Arial" w:hAnsi="Arial" w:cs="Arial"/>
          <w:sz w:val="17"/>
          <w:szCs w:val="17"/>
        </w:rPr>
        <w:t>ccessed August 20, 2014</w:t>
      </w:r>
      <w:r w:rsidR="003312F9" w:rsidRPr="003312F9">
        <w:rPr>
          <w:rFonts w:ascii="Arial" w:hAnsi="Arial" w:cs="Arial"/>
          <w:sz w:val="17"/>
          <w:szCs w:val="17"/>
          <w:lang w:val="en-US"/>
        </w:rPr>
        <w:t>,</w:t>
      </w:r>
      <w:r w:rsidRPr="003312F9">
        <w:rPr>
          <w:rFonts w:ascii="Arial" w:hAnsi="Arial" w:cs="Arial"/>
          <w:sz w:val="17"/>
          <w:szCs w:val="17"/>
        </w:rPr>
        <w:t xml:space="preserve"> www.japanretailnews.com/japans-retail-market.html</w:t>
      </w:r>
      <w:r w:rsidR="00E56010" w:rsidRPr="003312F9">
        <w:rPr>
          <w:rFonts w:ascii="Arial" w:hAnsi="Arial" w:cs="Arial"/>
          <w:sz w:val="17"/>
          <w:szCs w:val="17"/>
          <w:lang w:val="en-US"/>
        </w:rPr>
        <w:t>.</w:t>
      </w:r>
    </w:p>
  </w:endnote>
  <w:endnote w:id="89">
    <w:p w14:paraId="428FA1D4" w14:textId="76AF9E6F" w:rsidR="00372BEC" w:rsidRPr="003312F9" w:rsidRDefault="00372BEC" w:rsidP="00372BEC">
      <w:pPr>
        <w:pStyle w:val="CommentText"/>
        <w:jc w:val="both"/>
        <w:rPr>
          <w:rFonts w:ascii="Arial" w:hAnsi="Arial" w:cs="Arial"/>
          <w:sz w:val="17"/>
          <w:szCs w:val="17"/>
        </w:rPr>
      </w:pPr>
      <w:r w:rsidRPr="003312F9">
        <w:rPr>
          <w:rStyle w:val="EndnoteReference"/>
          <w:rFonts w:ascii="Arial" w:hAnsi="Arial" w:cs="Arial"/>
          <w:sz w:val="17"/>
          <w:szCs w:val="17"/>
        </w:rPr>
        <w:endnoteRef/>
      </w:r>
      <w:r w:rsidRPr="003312F9">
        <w:rPr>
          <w:rFonts w:ascii="Arial" w:hAnsi="Arial" w:cs="Arial"/>
          <w:sz w:val="17"/>
          <w:szCs w:val="17"/>
        </w:rPr>
        <w:t xml:space="preserve"> Song Jung-a, “Costco </w:t>
      </w:r>
      <w:r w:rsidR="003312F9" w:rsidRPr="003312F9">
        <w:rPr>
          <w:rFonts w:ascii="Arial" w:hAnsi="Arial" w:cs="Arial"/>
          <w:sz w:val="17"/>
          <w:szCs w:val="17"/>
        </w:rPr>
        <w:t>V</w:t>
      </w:r>
      <w:r w:rsidRPr="003312F9">
        <w:rPr>
          <w:rFonts w:ascii="Arial" w:hAnsi="Arial" w:cs="Arial"/>
          <w:sz w:val="17"/>
          <w:szCs w:val="17"/>
        </w:rPr>
        <w:t xml:space="preserve">s. Seoul: When Sunday Comes…”, </w:t>
      </w:r>
      <w:r w:rsidRPr="003312F9">
        <w:rPr>
          <w:rFonts w:ascii="Arial" w:hAnsi="Arial" w:cs="Arial"/>
          <w:i/>
          <w:sz w:val="17"/>
          <w:szCs w:val="17"/>
        </w:rPr>
        <w:t>Financial Times</w:t>
      </w:r>
      <w:r w:rsidRPr="003312F9">
        <w:rPr>
          <w:rFonts w:ascii="Arial" w:hAnsi="Arial" w:cs="Arial"/>
          <w:sz w:val="17"/>
          <w:szCs w:val="17"/>
        </w:rPr>
        <w:t>, October 5, 2012, accessed February 10 2019, www.ft.com/content/64a3fbde-b810-3819-ba7c-96d6cf743ffe</w:t>
      </w:r>
      <w:r w:rsidR="003312F9" w:rsidRPr="003312F9">
        <w:rPr>
          <w:rFonts w:ascii="Arial" w:hAnsi="Arial" w:cs="Arial"/>
          <w:sz w:val="17"/>
          <w:szCs w:val="17"/>
        </w:rPr>
        <w:t>.</w:t>
      </w:r>
    </w:p>
  </w:endnote>
  <w:endnote w:id="90">
    <w:p w14:paraId="4411D672" w14:textId="056D9FED" w:rsidR="00372BEC" w:rsidRPr="003312F9" w:rsidRDefault="00372BEC" w:rsidP="00372BEC">
      <w:pPr>
        <w:pStyle w:val="Footnote"/>
        <w:rPr>
          <w:lang w:val="en-CA"/>
        </w:rPr>
      </w:pPr>
      <w:r w:rsidRPr="003312F9">
        <w:rPr>
          <w:rStyle w:val="EndnoteReference"/>
        </w:rPr>
        <w:endnoteRef/>
      </w:r>
      <w:r w:rsidRPr="003312F9">
        <w:t xml:space="preserve"> </w:t>
      </w:r>
      <w:r w:rsidR="003312F9" w:rsidRPr="003312F9">
        <w:t>“</w:t>
      </w:r>
      <w:r w:rsidRPr="003312F9">
        <w:t>Global Retail Expansion: An Unstoppable Force: The 2015 Global Retail Development Index,</w:t>
      </w:r>
      <w:r w:rsidR="003312F9" w:rsidRPr="003312F9">
        <w:t>”</w:t>
      </w:r>
      <w:r w:rsidRPr="003312F9">
        <w:t xml:space="preserve"> </w:t>
      </w:r>
      <w:r w:rsidR="003312F9" w:rsidRPr="003312F9">
        <w:t xml:space="preserve">AT Kearney, </w:t>
      </w:r>
      <w:r w:rsidRPr="003312F9">
        <w:t>June 2015, accessed May 3, 2018, www.atkearney.ca/consumer-products-retail/global-retail-development-index/2015.</w:t>
      </w:r>
    </w:p>
  </w:endnote>
  <w:endnote w:id="91">
    <w:p w14:paraId="1FFB1559" w14:textId="2F2E9327" w:rsidR="00372BEC" w:rsidRPr="003312F9" w:rsidRDefault="00372BEC" w:rsidP="00AA07E0">
      <w:pPr>
        <w:pStyle w:val="Footnote"/>
      </w:pPr>
      <w:r w:rsidRPr="003312F9">
        <w:rPr>
          <w:vertAlign w:val="superscript"/>
        </w:rPr>
        <w:endnoteRef/>
      </w:r>
      <w:r w:rsidRPr="003312F9">
        <w:t xml:space="preserve"> Deloitte, </w:t>
      </w:r>
      <w:r w:rsidRPr="003312F9">
        <w:rPr>
          <w:i/>
        </w:rPr>
        <w:t>Omnichannel Retail: A Deloitte Point of View</w:t>
      </w:r>
      <w:r w:rsidRPr="003312F9">
        <w:t>, 2015, accessed May 2, 2018, www2.deloitte.com/content/dam/Deloitte/se/Documents/technology/Omni-channel-2015.pdf.</w:t>
      </w:r>
    </w:p>
  </w:endnote>
  <w:endnote w:id="92">
    <w:p w14:paraId="7E6EB0A6" w14:textId="720435CF" w:rsidR="00372BEC" w:rsidRPr="003312F9" w:rsidRDefault="00372BEC" w:rsidP="00AA07E0">
      <w:pPr>
        <w:pStyle w:val="Footnote"/>
        <w:rPr>
          <w:u w:val="single"/>
        </w:rPr>
      </w:pPr>
      <w:r w:rsidRPr="003312F9">
        <w:rPr>
          <w:vertAlign w:val="superscript"/>
        </w:rPr>
        <w:endnoteRef/>
      </w:r>
      <w:r w:rsidRPr="003312F9">
        <w:rPr>
          <w:vertAlign w:val="superscript"/>
        </w:rPr>
        <w:t xml:space="preserve"> </w:t>
      </w:r>
      <w:r w:rsidRPr="003312F9">
        <w:t xml:space="preserve">Heeyoung Hwang, Paul Mclnerney, and Jun Shin, </w:t>
      </w:r>
      <w:r w:rsidRPr="003312F9">
        <w:rPr>
          <w:i/>
        </w:rPr>
        <w:t>Learning from South Korea’s Mobile Retailing Boom</w:t>
      </w:r>
      <w:r w:rsidRPr="003312F9">
        <w:t>, McKinsey &amp; Company, May 2015, accessed May 2, 2018, www.mckinsey.com/industries/retail/our-insights/learning-from-south-koreas-mobile-retailing-boom.</w:t>
      </w:r>
    </w:p>
  </w:endnote>
  <w:endnote w:id="93">
    <w:p w14:paraId="17EC2C90" w14:textId="4516B64F" w:rsidR="00372BEC" w:rsidRPr="003312F9" w:rsidRDefault="00372BEC" w:rsidP="00AA07E0">
      <w:pPr>
        <w:pStyle w:val="EndnoteText"/>
        <w:jc w:val="both"/>
        <w:rPr>
          <w:rFonts w:ascii="Arial" w:hAnsi="Arial" w:cs="Arial"/>
          <w:sz w:val="17"/>
          <w:szCs w:val="17"/>
          <w:lang w:val="en-US"/>
        </w:rPr>
      </w:pPr>
      <w:r w:rsidRPr="003312F9">
        <w:rPr>
          <w:rStyle w:val="EndnoteReference"/>
          <w:rFonts w:ascii="Arial" w:hAnsi="Arial" w:cs="Arial"/>
          <w:sz w:val="17"/>
          <w:szCs w:val="17"/>
        </w:rPr>
        <w:endnoteRef/>
      </w:r>
      <w:r w:rsidRPr="003312F9">
        <w:rPr>
          <w:rFonts w:ascii="Arial" w:hAnsi="Arial" w:cs="Arial"/>
          <w:sz w:val="17"/>
          <w:szCs w:val="17"/>
        </w:rPr>
        <w:t xml:space="preserve"> Lauren Debter, “The World’s Largest Retailers 2017: Amazon and Alibaba Are Closing In on Wal-Mart”, </w:t>
      </w:r>
      <w:r w:rsidRPr="003312F9">
        <w:rPr>
          <w:rFonts w:ascii="Arial" w:hAnsi="Arial" w:cs="Arial"/>
          <w:i/>
          <w:sz w:val="17"/>
          <w:szCs w:val="17"/>
        </w:rPr>
        <w:t>Forbes</w:t>
      </w:r>
      <w:r w:rsidRPr="003312F9">
        <w:rPr>
          <w:rFonts w:ascii="Arial" w:hAnsi="Arial" w:cs="Arial"/>
          <w:sz w:val="17"/>
          <w:szCs w:val="17"/>
        </w:rPr>
        <w:t>, May 24, 2017, accessed February 10 2019, www.forbes.com/sites/laurengensler/2017/05/24/the-worlds-largest-retailers-2017-walmart-cvs-amazon/#3a86335720b5</w:t>
      </w:r>
      <w:r w:rsidR="003312F9" w:rsidRPr="003312F9">
        <w:rPr>
          <w:rFonts w:ascii="Arial" w:hAnsi="Arial" w:cs="Arial"/>
          <w:sz w:val="17"/>
          <w:szCs w:val="17"/>
          <w:lang w:val="en-US"/>
        </w:rPr>
        <w:t>.</w:t>
      </w:r>
    </w:p>
  </w:endnote>
  <w:endnote w:id="94">
    <w:p w14:paraId="71A85210" w14:textId="66BA0605" w:rsidR="00372BEC" w:rsidRPr="003312F9" w:rsidRDefault="00372BEC" w:rsidP="00AC6F8B">
      <w:pPr>
        <w:pStyle w:val="Footnote"/>
        <w:rPr>
          <w:lang w:val="en-CA"/>
        </w:rPr>
      </w:pPr>
      <w:r w:rsidRPr="003312F9">
        <w:rPr>
          <w:rStyle w:val="EndnoteReference"/>
        </w:rPr>
        <w:endnoteRef/>
      </w:r>
      <w:r w:rsidRPr="003312F9">
        <w:t xml:space="preserve"> </w:t>
      </w:r>
      <w:r w:rsidR="00AC6F8B" w:rsidRPr="003312F9">
        <w:t xml:space="preserve">Deloitte, </w:t>
      </w:r>
      <w:r w:rsidR="00AC6F8B" w:rsidRPr="003312F9">
        <w:rPr>
          <w:i/>
        </w:rPr>
        <w:t xml:space="preserve">Global Powers of Retailing 2015: Embracing Innovation, </w:t>
      </w:r>
      <w:r w:rsidR="006C4048" w:rsidRPr="003312F9">
        <w:t>op. cit.</w:t>
      </w:r>
    </w:p>
  </w:endnote>
  <w:endnote w:id="95">
    <w:p w14:paraId="0E2C6B3D" w14:textId="4F10138B" w:rsidR="00372BEC" w:rsidRPr="003312F9" w:rsidRDefault="00372BEC" w:rsidP="00AA07E0">
      <w:pPr>
        <w:pStyle w:val="EndnoteText"/>
        <w:jc w:val="both"/>
        <w:rPr>
          <w:rFonts w:ascii="Arial" w:hAnsi="Arial" w:cs="Arial"/>
          <w:sz w:val="17"/>
          <w:szCs w:val="17"/>
          <w:lang w:val="en-US"/>
        </w:rPr>
      </w:pPr>
      <w:r w:rsidRPr="003312F9">
        <w:rPr>
          <w:rStyle w:val="EndnoteReference"/>
          <w:rFonts w:ascii="Arial" w:hAnsi="Arial" w:cs="Arial"/>
          <w:sz w:val="17"/>
          <w:szCs w:val="17"/>
        </w:rPr>
        <w:endnoteRef/>
      </w:r>
      <w:r w:rsidRPr="003312F9">
        <w:rPr>
          <w:rFonts w:ascii="Arial" w:hAnsi="Arial" w:cs="Arial"/>
          <w:sz w:val="17"/>
          <w:szCs w:val="17"/>
        </w:rPr>
        <w:t xml:space="preserve"> Ragnhildur Sigurdardottir, “Iceland Shoppers Warm Up To Costco, Other Discounters”, </w:t>
      </w:r>
      <w:r w:rsidRPr="003312F9">
        <w:rPr>
          <w:rFonts w:ascii="Arial" w:hAnsi="Arial" w:cs="Arial"/>
          <w:i/>
          <w:sz w:val="17"/>
          <w:szCs w:val="17"/>
        </w:rPr>
        <w:t>The Seattle Times</w:t>
      </w:r>
      <w:r w:rsidRPr="003312F9">
        <w:rPr>
          <w:rFonts w:ascii="Arial" w:hAnsi="Arial" w:cs="Arial"/>
          <w:sz w:val="17"/>
          <w:szCs w:val="17"/>
        </w:rPr>
        <w:t>, August 18 2017, accessed February 10 2019, www.seattletimes.com/business/retail/iceland-shoppers-warm-up-to-costco-other-discounters/</w:t>
      </w:r>
      <w:r w:rsidR="00543CAF" w:rsidRPr="003312F9">
        <w:rPr>
          <w:rFonts w:ascii="Arial" w:hAnsi="Arial" w:cs="Arial"/>
          <w:sz w:val="17"/>
          <w:szCs w:val="17"/>
          <w:lang w:val="en-US"/>
        </w:rPr>
        <w:t>.</w:t>
      </w:r>
    </w:p>
  </w:endnote>
  <w:endnote w:id="96">
    <w:p w14:paraId="1803BBA1" w14:textId="26E54841" w:rsidR="00372BEC" w:rsidRPr="003312F9" w:rsidRDefault="00372BEC" w:rsidP="00AA07E0">
      <w:pPr>
        <w:pStyle w:val="EndnoteText"/>
        <w:jc w:val="both"/>
        <w:rPr>
          <w:rFonts w:ascii="Arial" w:hAnsi="Arial" w:cs="Arial"/>
          <w:sz w:val="17"/>
          <w:szCs w:val="17"/>
          <w:lang w:val="en-US"/>
        </w:rPr>
      </w:pPr>
      <w:r w:rsidRPr="003312F9">
        <w:rPr>
          <w:rStyle w:val="EndnoteReference"/>
          <w:rFonts w:ascii="Arial" w:hAnsi="Arial" w:cs="Arial"/>
          <w:sz w:val="17"/>
          <w:szCs w:val="17"/>
        </w:rPr>
        <w:endnoteRef/>
      </w:r>
      <w:r w:rsidRPr="003312F9">
        <w:rPr>
          <w:rFonts w:ascii="Arial" w:hAnsi="Arial" w:cs="Arial"/>
          <w:sz w:val="17"/>
          <w:szCs w:val="17"/>
        </w:rPr>
        <w:t xml:space="preserve"> Guan Jian, </w:t>
      </w:r>
      <w:r w:rsidR="003312F9" w:rsidRPr="003312F9">
        <w:rPr>
          <w:rFonts w:ascii="Arial" w:hAnsi="Arial" w:cs="Arial"/>
          <w:sz w:val="17"/>
          <w:szCs w:val="17"/>
          <w:lang w:val="en-US"/>
        </w:rPr>
        <w:t>“</w:t>
      </w:r>
      <w:r w:rsidRPr="003312F9">
        <w:rPr>
          <w:rFonts w:ascii="Arial" w:hAnsi="Arial" w:cs="Arial"/>
          <w:sz w:val="17"/>
          <w:szCs w:val="17"/>
        </w:rPr>
        <w:t>[Exclusive] Costco To Open Brick- and- Mortar Store in Shanghai,</w:t>
      </w:r>
      <w:r w:rsidR="003312F9" w:rsidRPr="003312F9">
        <w:rPr>
          <w:rFonts w:ascii="Arial" w:hAnsi="Arial" w:cs="Arial"/>
          <w:sz w:val="17"/>
          <w:szCs w:val="17"/>
          <w:lang w:val="en-US"/>
        </w:rPr>
        <w:t>”</w:t>
      </w:r>
      <w:r w:rsidRPr="003312F9">
        <w:rPr>
          <w:rFonts w:ascii="Arial" w:hAnsi="Arial" w:cs="Arial"/>
          <w:sz w:val="17"/>
          <w:szCs w:val="17"/>
        </w:rPr>
        <w:t xml:space="preserve"> Yicai, September 8 2017, accessed February 10 2019, www.yicaiglobal.com/news/exclusive-costco-open-brick-and-mortar-store-shanghai</w:t>
      </w:r>
      <w:r w:rsidR="003312F9" w:rsidRPr="003312F9">
        <w:rPr>
          <w:rFonts w:ascii="Arial" w:hAnsi="Arial" w:cs="Arial"/>
          <w:sz w:val="17"/>
          <w:szCs w:val="17"/>
          <w:lang w:val="en-US"/>
        </w:rPr>
        <w:t>.</w:t>
      </w:r>
    </w:p>
  </w:endnote>
  <w:endnote w:id="97">
    <w:p w14:paraId="542F0E4B" w14:textId="35B90D2D" w:rsidR="00372BEC" w:rsidRPr="003312F9" w:rsidRDefault="00372BEC" w:rsidP="00AA07E0">
      <w:pPr>
        <w:pStyle w:val="EndnoteText"/>
        <w:jc w:val="both"/>
        <w:rPr>
          <w:rFonts w:ascii="Arial" w:hAnsi="Arial" w:cs="Arial"/>
          <w:sz w:val="17"/>
          <w:szCs w:val="17"/>
          <w:lang w:val="en-US"/>
        </w:rPr>
      </w:pPr>
      <w:r w:rsidRPr="003312F9">
        <w:rPr>
          <w:rStyle w:val="EndnoteReference"/>
          <w:rFonts w:ascii="Arial" w:hAnsi="Arial" w:cs="Arial"/>
          <w:sz w:val="17"/>
          <w:szCs w:val="17"/>
        </w:rPr>
        <w:endnoteRef/>
      </w:r>
      <w:r w:rsidRPr="003312F9">
        <w:rPr>
          <w:rFonts w:ascii="Arial" w:hAnsi="Arial" w:cs="Arial"/>
          <w:sz w:val="17"/>
          <w:szCs w:val="17"/>
        </w:rPr>
        <w:t xml:space="preserve"> Preiti Sharma Shahane</w:t>
      </w:r>
      <w:r w:rsidR="003312F9" w:rsidRPr="003312F9">
        <w:rPr>
          <w:rFonts w:ascii="Arial" w:hAnsi="Arial" w:cs="Arial"/>
          <w:sz w:val="17"/>
          <w:szCs w:val="17"/>
          <w:lang w:val="en-US"/>
        </w:rPr>
        <w:t xml:space="preserve"> and</w:t>
      </w:r>
      <w:r w:rsidRPr="003312F9">
        <w:rPr>
          <w:rFonts w:ascii="Arial" w:hAnsi="Arial" w:cs="Arial"/>
          <w:sz w:val="17"/>
          <w:szCs w:val="17"/>
        </w:rPr>
        <w:t xml:space="preserve"> Boby Kurian, “India Could Be Costco’s Next Asian Stop</w:t>
      </w:r>
      <w:r w:rsidR="003312F9" w:rsidRPr="003312F9">
        <w:rPr>
          <w:rFonts w:ascii="Arial" w:hAnsi="Arial" w:cs="Arial"/>
          <w:sz w:val="17"/>
          <w:szCs w:val="17"/>
          <w:lang w:val="en-US"/>
        </w:rPr>
        <w:t>,</w:t>
      </w:r>
      <w:r w:rsidRPr="003312F9">
        <w:rPr>
          <w:rFonts w:ascii="Arial" w:hAnsi="Arial" w:cs="Arial"/>
          <w:sz w:val="17"/>
          <w:szCs w:val="17"/>
        </w:rPr>
        <w:t xml:space="preserve">” </w:t>
      </w:r>
      <w:r w:rsidRPr="003312F9">
        <w:rPr>
          <w:rFonts w:ascii="Arial" w:hAnsi="Arial" w:cs="Arial"/>
          <w:i/>
          <w:sz w:val="17"/>
          <w:szCs w:val="17"/>
        </w:rPr>
        <w:t>The Economic Times</w:t>
      </w:r>
      <w:r w:rsidRPr="003312F9">
        <w:rPr>
          <w:rFonts w:ascii="Arial" w:hAnsi="Arial" w:cs="Arial"/>
          <w:sz w:val="17"/>
          <w:szCs w:val="17"/>
        </w:rPr>
        <w:t>, January 15 2007, accessed February 10 2019, https://economictimes.indiatimes.com/industry/services/retail/india-could-be-costcos-next-asian-stop/articleshow/1188086.cms</w:t>
      </w:r>
      <w:r w:rsidR="003312F9" w:rsidRPr="003312F9">
        <w:rPr>
          <w:rFonts w:ascii="Arial" w:hAnsi="Arial" w:cs="Arial"/>
          <w:sz w:val="17"/>
          <w:szCs w:val="17"/>
          <w:lang w:val="en-U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751AA7" w14:textId="77777777" w:rsidR="00AA07E0" w:rsidRDefault="00AA07E0" w:rsidP="00D75295">
      <w:r>
        <w:separator/>
      </w:r>
    </w:p>
  </w:footnote>
  <w:footnote w:type="continuationSeparator" w:id="0">
    <w:p w14:paraId="58BF53FF" w14:textId="77777777" w:rsidR="00AA07E0" w:rsidRDefault="00AA07E0"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3ED53" w14:textId="171FC3E3" w:rsidR="00AA07E0" w:rsidRPr="00C92CC4" w:rsidRDefault="00AA07E0"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57815">
      <w:rPr>
        <w:rFonts w:ascii="Arial" w:hAnsi="Arial"/>
        <w:b/>
        <w:noProof/>
      </w:rPr>
      <w:t>8</w:t>
    </w:r>
    <w:r>
      <w:rPr>
        <w:rFonts w:ascii="Arial" w:hAnsi="Arial"/>
        <w:b/>
      </w:rPr>
      <w:fldChar w:fldCharType="end"/>
    </w:r>
    <w:r>
      <w:rPr>
        <w:rFonts w:ascii="Arial" w:hAnsi="Arial"/>
        <w:b/>
      </w:rPr>
      <w:tab/>
      <w:t>9B19M007</w:t>
    </w:r>
  </w:p>
  <w:p w14:paraId="7CB45B45" w14:textId="77777777" w:rsidR="00AA07E0" w:rsidRDefault="00AA07E0" w:rsidP="00D13667">
    <w:pPr>
      <w:pStyle w:val="Header"/>
      <w:tabs>
        <w:tab w:val="clear" w:pos="4680"/>
      </w:tabs>
      <w:rPr>
        <w:sz w:val="18"/>
        <w:szCs w:val="18"/>
      </w:rPr>
    </w:pPr>
  </w:p>
  <w:p w14:paraId="2E1E6944" w14:textId="77777777" w:rsidR="00AA07E0" w:rsidRPr="00C92CC4" w:rsidRDefault="00AA07E0"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D716FBA4"/>
    <w:name w:val="WWNum1"/>
    <w:lvl w:ilvl="0">
      <w:start w:val="1"/>
      <w:numFmt w:val="decimal"/>
      <w:lvlText w:val="%1."/>
      <w:lvlJc w:val="left"/>
      <w:pPr>
        <w:tabs>
          <w:tab w:val="num" w:pos="-294"/>
        </w:tabs>
        <w:ind w:left="426" w:hanging="360"/>
      </w:pPr>
      <w:rPr>
        <w:b w:val="0"/>
      </w:rPr>
    </w:lvl>
    <w:lvl w:ilvl="1">
      <w:start w:val="1"/>
      <w:numFmt w:val="lowerLetter"/>
      <w:lvlText w:val="%2."/>
      <w:lvlJc w:val="left"/>
      <w:pPr>
        <w:tabs>
          <w:tab w:val="num" w:pos="-294"/>
        </w:tabs>
        <w:ind w:left="1146" w:hanging="360"/>
      </w:pPr>
    </w:lvl>
    <w:lvl w:ilvl="2">
      <w:start w:val="1"/>
      <w:numFmt w:val="lowerRoman"/>
      <w:lvlText w:val="%2.%3."/>
      <w:lvlJc w:val="right"/>
      <w:pPr>
        <w:tabs>
          <w:tab w:val="num" w:pos="-294"/>
        </w:tabs>
        <w:ind w:left="1866" w:hanging="180"/>
      </w:pPr>
    </w:lvl>
    <w:lvl w:ilvl="3">
      <w:start w:val="1"/>
      <w:numFmt w:val="decimal"/>
      <w:lvlText w:val="%2.%3.%4."/>
      <w:lvlJc w:val="left"/>
      <w:pPr>
        <w:tabs>
          <w:tab w:val="num" w:pos="-294"/>
        </w:tabs>
        <w:ind w:left="2586" w:hanging="360"/>
      </w:pPr>
    </w:lvl>
    <w:lvl w:ilvl="4">
      <w:start w:val="1"/>
      <w:numFmt w:val="lowerLetter"/>
      <w:lvlText w:val="%2.%3.%4.%5."/>
      <w:lvlJc w:val="left"/>
      <w:pPr>
        <w:tabs>
          <w:tab w:val="num" w:pos="-294"/>
        </w:tabs>
        <w:ind w:left="3306" w:hanging="360"/>
      </w:pPr>
    </w:lvl>
    <w:lvl w:ilvl="5">
      <w:start w:val="1"/>
      <w:numFmt w:val="lowerRoman"/>
      <w:lvlText w:val="%2.%3.%4.%5.%6."/>
      <w:lvlJc w:val="right"/>
      <w:pPr>
        <w:tabs>
          <w:tab w:val="num" w:pos="-294"/>
        </w:tabs>
        <w:ind w:left="4026" w:hanging="180"/>
      </w:pPr>
    </w:lvl>
    <w:lvl w:ilvl="6">
      <w:start w:val="1"/>
      <w:numFmt w:val="decimal"/>
      <w:lvlText w:val="%2.%3.%4.%5.%6.%7."/>
      <w:lvlJc w:val="left"/>
      <w:pPr>
        <w:tabs>
          <w:tab w:val="num" w:pos="-294"/>
        </w:tabs>
        <w:ind w:left="4746" w:hanging="360"/>
      </w:pPr>
    </w:lvl>
    <w:lvl w:ilvl="7">
      <w:start w:val="1"/>
      <w:numFmt w:val="lowerLetter"/>
      <w:lvlText w:val="%2.%3.%4.%5.%6.%7.%8."/>
      <w:lvlJc w:val="left"/>
      <w:pPr>
        <w:tabs>
          <w:tab w:val="num" w:pos="-294"/>
        </w:tabs>
        <w:ind w:left="5466" w:hanging="360"/>
      </w:pPr>
    </w:lvl>
    <w:lvl w:ilvl="8">
      <w:start w:val="1"/>
      <w:numFmt w:val="lowerRoman"/>
      <w:lvlText w:val="%2.%3.%4.%5.%6.%7.%8.%9."/>
      <w:lvlJc w:val="right"/>
      <w:pPr>
        <w:tabs>
          <w:tab w:val="num" w:pos="-294"/>
        </w:tabs>
        <w:ind w:left="6186" w:hanging="180"/>
      </w:pPr>
    </w:lvl>
  </w:abstractNum>
  <w:abstractNum w:abstractNumId="1" w15:restartNumberingAfterBreak="0">
    <w:nsid w:val="00000003"/>
    <w:multiLevelType w:val="multilevel"/>
    <w:tmpl w:val="342A92E2"/>
    <w:name w:val="WWNum2"/>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 w15:restartNumberingAfterBreak="0">
    <w:nsid w:val="00000007"/>
    <w:multiLevelType w:val="multilevel"/>
    <w:tmpl w:val="00000007"/>
    <w:name w:val="WWNum9"/>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2.%3.%4."/>
      <w:lvlJc w:val="left"/>
      <w:pPr>
        <w:tabs>
          <w:tab w:val="num" w:pos="0"/>
        </w:tabs>
        <w:ind w:left="3240" w:hanging="360"/>
      </w:pPr>
    </w:lvl>
    <w:lvl w:ilvl="4">
      <w:start w:val="1"/>
      <w:numFmt w:val="lowerLetter"/>
      <w:lvlText w:val="%2.%3.%4.%5."/>
      <w:lvlJc w:val="left"/>
      <w:pPr>
        <w:tabs>
          <w:tab w:val="num" w:pos="0"/>
        </w:tabs>
        <w:ind w:left="3960" w:hanging="360"/>
      </w:pPr>
    </w:lvl>
    <w:lvl w:ilvl="5">
      <w:start w:val="1"/>
      <w:numFmt w:val="lowerRoman"/>
      <w:lvlText w:val="%2.%3.%4.%5.%6."/>
      <w:lvlJc w:val="right"/>
      <w:pPr>
        <w:tabs>
          <w:tab w:val="num" w:pos="0"/>
        </w:tabs>
        <w:ind w:left="4680" w:hanging="180"/>
      </w:pPr>
    </w:lvl>
    <w:lvl w:ilvl="6">
      <w:start w:val="1"/>
      <w:numFmt w:val="decimal"/>
      <w:lvlText w:val="%2.%3.%4.%5.%6.%7."/>
      <w:lvlJc w:val="left"/>
      <w:pPr>
        <w:tabs>
          <w:tab w:val="num" w:pos="0"/>
        </w:tabs>
        <w:ind w:left="5400" w:hanging="360"/>
      </w:pPr>
    </w:lvl>
    <w:lvl w:ilvl="7">
      <w:start w:val="1"/>
      <w:numFmt w:val="lowerLetter"/>
      <w:lvlText w:val="%2.%3.%4.%5.%6.%7.%8."/>
      <w:lvlJc w:val="left"/>
      <w:pPr>
        <w:tabs>
          <w:tab w:val="num" w:pos="0"/>
        </w:tabs>
        <w:ind w:left="6120" w:hanging="360"/>
      </w:pPr>
    </w:lvl>
    <w:lvl w:ilvl="8">
      <w:start w:val="1"/>
      <w:numFmt w:val="lowerRoman"/>
      <w:lvlText w:val="%2.%3.%4.%5.%6.%7.%8.%9."/>
      <w:lvlJc w:val="right"/>
      <w:pPr>
        <w:tabs>
          <w:tab w:val="num" w:pos="0"/>
        </w:tabs>
        <w:ind w:left="6840" w:hanging="180"/>
      </w:pPr>
    </w:lvl>
  </w:abstractNum>
  <w:abstractNum w:abstractNumId="3" w15:restartNumberingAfterBreak="0">
    <w:nsid w:val="004B5F3E"/>
    <w:multiLevelType w:val="hybridMultilevel"/>
    <w:tmpl w:val="C4A223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4"/>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WysDQ3MDc3sDQwN7NU0lEKTi0uzszPAykwrAUADmKQ3ywAAAA="/>
  </w:docVars>
  <w:rsids>
    <w:rsidRoot w:val="008A4DC4"/>
    <w:rsid w:val="0000085A"/>
    <w:rsid w:val="00000D8E"/>
    <w:rsid w:val="00001CCB"/>
    <w:rsid w:val="000111FE"/>
    <w:rsid w:val="00012707"/>
    <w:rsid w:val="00013203"/>
    <w:rsid w:val="00013360"/>
    <w:rsid w:val="00015C87"/>
    <w:rsid w:val="00016759"/>
    <w:rsid w:val="000216CE"/>
    <w:rsid w:val="00024ED4"/>
    <w:rsid w:val="00025DC7"/>
    <w:rsid w:val="000313C2"/>
    <w:rsid w:val="00033EFB"/>
    <w:rsid w:val="00035F09"/>
    <w:rsid w:val="000413D1"/>
    <w:rsid w:val="0004289D"/>
    <w:rsid w:val="00044ECC"/>
    <w:rsid w:val="00051A23"/>
    <w:rsid w:val="000531D3"/>
    <w:rsid w:val="0005599F"/>
    <w:rsid w:val="0005646B"/>
    <w:rsid w:val="00063377"/>
    <w:rsid w:val="00063D83"/>
    <w:rsid w:val="0008102D"/>
    <w:rsid w:val="000878A1"/>
    <w:rsid w:val="00087B14"/>
    <w:rsid w:val="00094C0E"/>
    <w:rsid w:val="000B18DF"/>
    <w:rsid w:val="000C272F"/>
    <w:rsid w:val="000C3651"/>
    <w:rsid w:val="000D089B"/>
    <w:rsid w:val="000D1B52"/>
    <w:rsid w:val="000D5FFB"/>
    <w:rsid w:val="000D62A1"/>
    <w:rsid w:val="000D7091"/>
    <w:rsid w:val="000E2A8C"/>
    <w:rsid w:val="000E6884"/>
    <w:rsid w:val="000F0C22"/>
    <w:rsid w:val="000F3F9D"/>
    <w:rsid w:val="000F6B09"/>
    <w:rsid w:val="000F6FDC"/>
    <w:rsid w:val="00102F42"/>
    <w:rsid w:val="00104567"/>
    <w:rsid w:val="00104916"/>
    <w:rsid w:val="00104AA7"/>
    <w:rsid w:val="00110A3B"/>
    <w:rsid w:val="001146C9"/>
    <w:rsid w:val="001209A0"/>
    <w:rsid w:val="00121337"/>
    <w:rsid w:val="001245FB"/>
    <w:rsid w:val="0012521A"/>
    <w:rsid w:val="00126299"/>
    <w:rsid w:val="0012732D"/>
    <w:rsid w:val="00134B8D"/>
    <w:rsid w:val="001430D3"/>
    <w:rsid w:val="00143F25"/>
    <w:rsid w:val="001505DB"/>
    <w:rsid w:val="00151974"/>
    <w:rsid w:val="00152682"/>
    <w:rsid w:val="00154FC9"/>
    <w:rsid w:val="001576D7"/>
    <w:rsid w:val="00164B00"/>
    <w:rsid w:val="00170C1E"/>
    <w:rsid w:val="00174385"/>
    <w:rsid w:val="00183014"/>
    <w:rsid w:val="00184C15"/>
    <w:rsid w:val="00190096"/>
    <w:rsid w:val="0019187E"/>
    <w:rsid w:val="0019241A"/>
    <w:rsid w:val="001A133D"/>
    <w:rsid w:val="001A22D1"/>
    <w:rsid w:val="001A4CDA"/>
    <w:rsid w:val="001A752D"/>
    <w:rsid w:val="001A757E"/>
    <w:rsid w:val="001B30D8"/>
    <w:rsid w:val="001B43A8"/>
    <w:rsid w:val="001B5032"/>
    <w:rsid w:val="001C6BDA"/>
    <w:rsid w:val="001C7777"/>
    <w:rsid w:val="001D506F"/>
    <w:rsid w:val="001E25D6"/>
    <w:rsid w:val="001E2629"/>
    <w:rsid w:val="001E364F"/>
    <w:rsid w:val="001F1881"/>
    <w:rsid w:val="001F4222"/>
    <w:rsid w:val="001F60E8"/>
    <w:rsid w:val="00200F85"/>
    <w:rsid w:val="00201301"/>
    <w:rsid w:val="00203AA1"/>
    <w:rsid w:val="00204FF0"/>
    <w:rsid w:val="002050D0"/>
    <w:rsid w:val="00213E98"/>
    <w:rsid w:val="00215CE0"/>
    <w:rsid w:val="0022272A"/>
    <w:rsid w:val="0022367B"/>
    <w:rsid w:val="0023081A"/>
    <w:rsid w:val="002352F5"/>
    <w:rsid w:val="0023532C"/>
    <w:rsid w:val="00236FD1"/>
    <w:rsid w:val="0023728A"/>
    <w:rsid w:val="002403B8"/>
    <w:rsid w:val="00241FFE"/>
    <w:rsid w:val="0024484F"/>
    <w:rsid w:val="00244B13"/>
    <w:rsid w:val="00254D35"/>
    <w:rsid w:val="00257C08"/>
    <w:rsid w:val="002626AE"/>
    <w:rsid w:val="00262DF9"/>
    <w:rsid w:val="00276B64"/>
    <w:rsid w:val="0028169A"/>
    <w:rsid w:val="002A1CFB"/>
    <w:rsid w:val="002A6B05"/>
    <w:rsid w:val="002B3BF8"/>
    <w:rsid w:val="002B3E16"/>
    <w:rsid w:val="002C35AC"/>
    <w:rsid w:val="002C63A1"/>
    <w:rsid w:val="002D1A13"/>
    <w:rsid w:val="002E0C9A"/>
    <w:rsid w:val="002E1A64"/>
    <w:rsid w:val="002E1AE8"/>
    <w:rsid w:val="002E2056"/>
    <w:rsid w:val="002F460C"/>
    <w:rsid w:val="002F48D6"/>
    <w:rsid w:val="002F64E0"/>
    <w:rsid w:val="00313AC0"/>
    <w:rsid w:val="00317391"/>
    <w:rsid w:val="00326216"/>
    <w:rsid w:val="003312F9"/>
    <w:rsid w:val="00336580"/>
    <w:rsid w:val="00336C0F"/>
    <w:rsid w:val="00347B03"/>
    <w:rsid w:val="003501D1"/>
    <w:rsid w:val="0035372F"/>
    <w:rsid w:val="00354899"/>
    <w:rsid w:val="00355FD6"/>
    <w:rsid w:val="00355FF4"/>
    <w:rsid w:val="00356CCF"/>
    <w:rsid w:val="00363899"/>
    <w:rsid w:val="00364A5C"/>
    <w:rsid w:val="00372BEC"/>
    <w:rsid w:val="00373FB1"/>
    <w:rsid w:val="0037500C"/>
    <w:rsid w:val="00380443"/>
    <w:rsid w:val="00387E86"/>
    <w:rsid w:val="00391E21"/>
    <w:rsid w:val="0039284D"/>
    <w:rsid w:val="00394B34"/>
    <w:rsid w:val="0039525B"/>
    <w:rsid w:val="00396191"/>
    <w:rsid w:val="00396C76"/>
    <w:rsid w:val="00396EB7"/>
    <w:rsid w:val="00397B72"/>
    <w:rsid w:val="003A2C5B"/>
    <w:rsid w:val="003B30D8"/>
    <w:rsid w:val="003B7CED"/>
    <w:rsid w:val="003B7EF2"/>
    <w:rsid w:val="003C3FA4"/>
    <w:rsid w:val="003D0BA1"/>
    <w:rsid w:val="003D437E"/>
    <w:rsid w:val="003D5DA3"/>
    <w:rsid w:val="003D5E8F"/>
    <w:rsid w:val="003D7103"/>
    <w:rsid w:val="003E1342"/>
    <w:rsid w:val="003E37CE"/>
    <w:rsid w:val="003E3A87"/>
    <w:rsid w:val="003E431F"/>
    <w:rsid w:val="003E57D3"/>
    <w:rsid w:val="003F2B0C"/>
    <w:rsid w:val="004105B2"/>
    <w:rsid w:val="004107A4"/>
    <w:rsid w:val="00412900"/>
    <w:rsid w:val="004221E4"/>
    <w:rsid w:val="00426962"/>
    <w:rsid w:val="004273F8"/>
    <w:rsid w:val="00430786"/>
    <w:rsid w:val="00430DCD"/>
    <w:rsid w:val="004355A3"/>
    <w:rsid w:val="004366D6"/>
    <w:rsid w:val="00436B25"/>
    <w:rsid w:val="0043701C"/>
    <w:rsid w:val="004422A0"/>
    <w:rsid w:val="00442FFB"/>
    <w:rsid w:val="00446546"/>
    <w:rsid w:val="00452769"/>
    <w:rsid w:val="004544D1"/>
    <w:rsid w:val="00454E31"/>
    <w:rsid w:val="00456B9A"/>
    <w:rsid w:val="004614F6"/>
    <w:rsid w:val="00462E42"/>
    <w:rsid w:val="00465348"/>
    <w:rsid w:val="00466892"/>
    <w:rsid w:val="004761E5"/>
    <w:rsid w:val="00476D7E"/>
    <w:rsid w:val="004817F4"/>
    <w:rsid w:val="004847EB"/>
    <w:rsid w:val="00490637"/>
    <w:rsid w:val="00495787"/>
    <w:rsid w:val="00497B64"/>
    <w:rsid w:val="004A0D6C"/>
    <w:rsid w:val="004A2FFD"/>
    <w:rsid w:val="004B1CCB"/>
    <w:rsid w:val="004B49F8"/>
    <w:rsid w:val="004B5B13"/>
    <w:rsid w:val="004B632F"/>
    <w:rsid w:val="004B6E70"/>
    <w:rsid w:val="004C26F7"/>
    <w:rsid w:val="004C4DD7"/>
    <w:rsid w:val="004C502E"/>
    <w:rsid w:val="004C6DB9"/>
    <w:rsid w:val="004D002F"/>
    <w:rsid w:val="004D3FB1"/>
    <w:rsid w:val="004D6F21"/>
    <w:rsid w:val="004D73A5"/>
    <w:rsid w:val="004E09FF"/>
    <w:rsid w:val="005059AA"/>
    <w:rsid w:val="00505C26"/>
    <w:rsid w:val="005067BC"/>
    <w:rsid w:val="00513378"/>
    <w:rsid w:val="00514B6E"/>
    <w:rsid w:val="005160F1"/>
    <w:rsid w:val="00522EAA"/>
    <w:rsid w:val="0052380B"/>
    <w:rsid w:val="005238C1"/>
    <w:rsid w:val="00523F46"/>
    <w:rsid w:val="00524F2F"/>
    <w:rsid w:val="00527611"/>
    <w:rsid w:val="00527E5C"/>
    <w:rsid w:val="00532CF5"/>
    <w:rsid w:val="00535175"/>
    <w:rsid w:val="00536645"/>
    <w:rsid w:val="00543CAF"/>
    <w:rsid w:val="005528CB"/>
    <w:rsid w:val="00556344"/>
    <w:rsid w:val="00566771"/>
    <w:rsid w:val="00581E2E"/>
    <w:rsid w:val="00582E6D"/>
    <w:rsid w:val="00584F15"/>
    <w:rsid w:val="00593E1B"/>
    <w:rsid w:val="0059514B"/>
    <w:rsid w:val="005965C6"/>
    <w:rsid w:val="005977DE"/>
    <w:rsid w:val="005A0585"/>
    <w:rsid w:val="005A1B0F"/>
    <w:rsid w:val="005A3985"/>
    <w:rsid w:val="005A54BB"/>
    <w:rsid w:val="005A6646"/>
    <w:rsid w:val="005B700E"/>
    <w:rsid w:val="005B7915"/>
    <w:rsid w:val="005C231A"/>
    <w:rsid w:val="005C3213"/>
    <w:rsid w:val="005C58C7"/>
    <w:rsid w:val="00605494"/>
    <w:rsid w:val="006163F7"/>
    <w:rsid w:val="00622208"/>
    <w:rsid w:val="00623354"/>
    <w:rsid w:val="00623A8D"/>
    <w:rsid w:val="00627C63"/>
    <w:rsid w:val="0063350B"/>
    <w:rsid w:val="0063401F"/>
    <w:rsid w:val="00636D67"/>
    <w:rsid w:val="0063773F"/>
    <w:rsid w:val="00643331"/>
    <w:rsid w:val="00645FED"/>
    <w:rsid w:val="00652606"/>
    <w:rsid w:val="00652E0E"/>
    <w:rsid w:val="00653FFA"/>
    <w:rsid w:val="0065494C"/>
    <w:rsid w:val="006557F8"/>
    <w:rsid w:val="00657815"/>
    <w:rsid w:val="006666A2"/>
    <w:rsid w:val="006759DA"/>
    <w:rsid w:val="00682757"/>
    <w:rsid w:val="006857E9"/>
    <w:rsid w:val="00694243"/>
    <w:rsid w:val="006946EE"/>
    <w:rsid w:val="006A0A5E"/>
    <w:rsid w:val="006A58A9"/>
    <w:rsid w:val="006A606D"/>
    <w:rsid w:val="006B3127"/>
    <w:rsid w:val="006C0371"/>
    <w:rsid w:val="006C08B6"/>
    <w:rsid w:val="006C0B1A"/>
    <w:rsid w:val="006C4048"/>
    <w:rsid w:val="006C6065"/>
    <w:rsid w:val="006C7F9F"/>
    <w:rsid w:val="006D2E5E"/>
    <w:rsid w:val="006D3014"/>
    <w:rsid w:val="006D704F"/>
    <w:rsid w:val="006D7107"/>
    <w:rsid w:val="006E162B"/>
    <w:rsid w:val="006E2F6D"/>
    <w:rsid w:val="006E58F6"/>
    <w:rsid w:val="006E77E1"/>
    <w:rsid w:val="006F131D"/>
    <w:rsid w:val="006F23F7"/>
    <w:rsid w:val="006F3D17"/>
    <w:rsid w:val="00700078"/>
    <w:rsid w:val="00700594"/>
    <w:rsid w:val="007008A9"/>
    <w:rsid w:val="00711642"/>
    <w:rsid w:val="00715A98"/>
    <w:rsid w:val="00717AF0"/>
    <w:rsid w:val="0072264A"/>
    <w:rsid w:val="00733044"/>
    <w:rsid w:val="00737B58"/>
    <w:rsid w:val="00743A6A"/>
    <w:rsid w:val="00746A09"/>
    <w:rsid w:val="007507C6"/>
    <w:rsid w:val="00751689"/>
    <w:rsid w:val="00751E0B"/>
    <w:rsid w:val="00752BCD"/>
    <w:rsid w:val="007602FA"/>
    <w:rsid w:val="00762FE0"/>
    <w:rsid w:val="00766DA1"/>
    <w:rsid w:val="007704DF"/>
    <w:rsid w:val="007711B1"/>
    <w:rsid w:val="00776355"/>
    <w:rsid w:val="00780D94"/>
    <w:rsid w:val="007843CE"/>
    <w:rsid w:val="00785C45"/>
    <w:rsid w:val="00785F50"/>
    <w:rsid w:val="007866A6"/>
    <w:rsid w:val="00797CDC"/>
    <w:rsid w:val="007A130D"/>
    <w:rsid w:val="007A3DE5"/>
    <w:rsid w:val="007B158D"/>
    <w:rsid w:val="007B72E9"/>
    <w:rsid w:val="007D1A2D"/>
    <w:rsid w:val="007D276F"/>
    <w:rsid w:val="007D327E"/>
    <w:rsid w:val="007D344B"/>
    <w:rsid w:val="007D4102"/>
    <w:rsid w:val="007D66F6"/>
    <w:rsid w:val="007D7A04"/>
    <w:rsid w:val="007E27C5"/>
    <w:rsid w:val="007E4342"/>
    <w:rsid w:val="007F1045"/>
    <w:rsid w:val="007F43B7"/>
    <w:rsid w:val="007F43C0"/>
    <w:rsid w:val="007F56AE"/>
    <w:rsid w:val="007F68B9"/>
    <w:rsid w:val="00805042"/>
    <w:rsid w:val="00807186"/>
    <w:rsid w:val="00814217"/>
    <w:rsid w:val="00814D55"/>
    <w:rsid w:val="008172FA"/>
    <w:rsid w:val="00821FFC"/>
    <w:rsid w:val="008233FD"/>
    <w:rsid w:val="0082718B"/>
    <w:rsid w:val="008271CA"/>
    <w:rsid w:val="008328DC"/>
    <w:rsid w:val="008370F1"/>
    <w:rsid w:val="00840126"/>
    <w:rsid w:val="00841DE7"/>
    <w:rsid w:val="008467D5"/>
    <w:rsid w:val="00851757"/>
    <w:rsid w:val="0085255E"/>
    <w:rsid w:val="00861A33"/>
    <w:rsid w:val="008620C5"/>
    <w:rsid w:val="00863F91"/>
    <w:rsid w:val="00864898"/>
    <w:rsid w:val="00865CF2"/>
    <w:rsid w:val="0087638A"/>
    <w:rsid w:val="008838CE"/>
    <w:rsid w:val="00895E09"/>
    <w:rsid w:val="008A001B"/>
    <w:rsid w:val="008A21E1"/>
    <w:rsid w:val="008A4DC4"/>
    <w:rsid w:val="008A5E67"/>
    <w:rsid w:val="008B438C"/>
    <w:rsid w:val="008B4461"/>
    <w:rsid w:val="008B7F2F"/>
    <w:rsid w:val="008C4E25"/>
    <w:rsid w:val="008D06CA"/>
    <w:rsid w:val="008D3A46"/>
    <w:rsid w:val="008D728F"/>
    <w:rsid w:val="008E12C7"/>
    <w:rsid w:val="008E1C52"/>
    <w:rsid w:val="008E4FEB"/>
    <w:rsid w:val="008F0F75"/>
    <w:rsid w:val="008F17A0"/>
    <w:rsid w:val="00902CDC"/>
    <w:rsid w:val="009067A4"/>
    <w:rsid w:val="00913A31"/>
    <w:rsid w:val="009175E4"/>
    <w:rsid w:val="009200C9"/>
    <w:rsid w:val="00922CA6"/>
    <w:rsid w:val="00924CBD"/>
    <w:rsid w:val="00930885"/>
    <w:rsid w:val="009316A7"/>
    <w:rsid w:val="00933D68"/>
    <w:rsid w:val="009340DB"/>
    <w:rsid w:val="00934188"/>
    <w:rsid w:val="00936470"/>
    <w:rsid w:val="0094618C"/>
    <w:rsid w:val="00946CCB"/>
    <w:rsid w:val="00951984"/>
    <w:rsid w:val="0095684B"/>
    <w:rsid w:val="009679B3"/>
    <w:rsid w:val="009706DC"/>
    <w:rsid w:val="00972498"/>
    <w:rsid w:val="00973B67"/>
    <w:rsid w:val="009741B0"/>
    <w:rsid w:val="0097481F"/>
    <w:rsid w:val="00974CC6"/>
    <w:rsid w:val="00975D2E"/>
    <w:rsid w:val="00976AD4"/>
    <w:rsid w:val="009829FE"/>
    <w:rsid w:val="00982FF3"/>
    <w:rsid w:val="00995547"/>
    <w:rsid w:val="009975DC"/>
    <w:rsid w:val="009A312F"/>
    <w:rsid w:val="009A31F9"/>
    <w:rsid w:val="009A39CC"/>
    <w:rsid w:val="009A5348"/>
    <w:rsid w:val="009A6AA4"/>
    <w:rsid w:val="009B0AB7"/>
    <w:rsid w:val="009B75BB"/>
    <w:rsid w:val="009C0AF8"/>
    <w:rsid w:val="009C1666"/>
    <w:rsid w:val="009C76D5"/>
    <w:rsid w:val="009C7B1A"/>
    <w:rsid w:val="009F3811"/>
    <w:rsid w:val="009F7643"/>
    <w:rsid w:val="009F7AA4"/>
    <w:rsid w:val="00A10AD7"/>
    <w:rsid w:val="00A1150F"/>
    <w:rsid w:val="00A1745D"/>
    <w:rsid w:val="00A26997"/>
    <w:rsid w:val="00A354E1"/>
    <w:rsid w:val="00A46363"/>
    <w:rsid w:val="00A464E4"/>
    <w:rsid w:val="00A509C3"/>
    <w:rsid w:val="00A559DB"/>
    <w:rsid w:val="00A569EA"/>
    <w:rsid w:val="00A66ABE"/>
    <w:rsid w:val="00A95378"/>
    <w:rsid w:val="00AA07E0"/>
    <w:rsid w:val="00AC024F"/>
    <w:rsid w:val="00AC1410"/>
    <w:rsid w:val="00AC3238"/>
    <w:rsid w:val="00AC3458"/>
    <w:rsid w:val="00AC535D"/>
    <w:rsid w:val="00AC6F8B"/>
    <w:rsid w:val="00AD5778"/>
    <w:rsid w:val="00AF13A3"/>
    <w:rsid w:val="00AF35FC"/>
    <w:rsid w:val="00AF5556"/>
    <w:rsid w:val="00AF5A1F"/>
    <w:rsid w:val="00B03639"/>
    <w:rsid w:val="00B0652A"/>
    <w:rsid w:val="00B15990"/>
    <w:rsid w:val="00B2064F"/>
    <w:rsid w:val="00B214A5"/>
    <w:rsid w:val="00B300D7"/>
    <w:rsid w:val="00B310F7"/>
    <w:rsid w:val="00B352BA"/>
    <w:rsid w:val="00B40937"/>
    <w:rsid w:val="00B423EF"/>
    <w:rsid w:val="00B453DE"/>
    <w:rsid w:val="00B5425C"/>
    <w:rsid w:val="00B72597"/>
    <w:rsid w:val="00B7444B"/>
    <w:rsid w:val="00B75DE3"/>
    <w:rsid w:val="00B80347"/>
    <w:rsid w:val="00B80E30"/>
    <w:rsid w:val="00B8602A"/>
    <w:rsid w:val="00B901F9"/>
    <w:rsid w:val="00B91A5C"/>
    <w:rsid w:val="00BA028E"/>
    <w:rsid w:val="00BA426D"/>
    <w:rsid w:val="00BB69A9"/>
    <w:rsid w:val="00BB6BD8"/>
    <w:rsid w:val="00BB7877"/>
    <w:rsid w:val="00BC2838"/>
    <w:rsid w:val="00BD25B5"/>
    <w:rsid w:val="00BD6EFB"/>
    <w:rsid w:val="00BE654A"/>
    <w:rsid w:val="00BE7292"/>
    <w:rsid w:val="00C0008B"/>
    <w:rsid w:val="00C02907"/>
    <w:rsid w:val="00C1584D"/>
    <w:rsid w:val="00C15BE2"/>
    <w:rsid w:val="00C163BF"/>
    <w:rsid w:val="00C164EE"/>
    <w:rsid w:val="00C1740A"/>
    <w:rsid w:val="00C23159"/>
    <w:rsid w:val="00C27FCE"/>
    <w:rsid w:val="00C3447F"/>
    <w:rsid w:val="00C4634B"/>
    <w:rsid w:val="00C60459"/>
    <w:rsid w:val="00C6108E"/>
    <w:rsid w:val="00C62F89"/>
    <w:rsid w:val="00C67102"/>
    <w:rsid w:val="00C70A5A"/>
    <w:rsid w:val="00C70D64"/>
    <w:rsid w:val="00C7407B"/>
    <w:rsid w:val="00C740B1"/>
    <w:rsid w:val="00C81491"/>
    <w:rsid w:val="00C81676"/>
    <w:rsid w:val="00C850BC"/>
    <w:rsid w:val="00C85C5D"/>
    <w:rsid w:val="00C8634E"/>
    <w:rsid w:val="00C907E1"/>
    <w:rsid w:val="00C92CC4"/>
    <w:rsid w:val="00CA0AFB"/>
    <w:rsid w:val="00CA1F82"/>
    <w:rsid w:val="00CA2C62"/>
    <w:rsid w:val="00CA2CE1"/>
    <w:rsid w:val="00CA3976"/>
    <w:rsid w:val="00CA50E3"/>
    <w:rsid w:val="00CA5863"/>
    <w:rsid w:val="00CA6C51"/>
    <w:rsid w:val="00CA710D"/>
    <w:rsid w:val="00CA757B"/>
    <w:rsid w:val="00CB0239"/>
    <w:rsid w:val="00CB160F"/>
    <w:rsid w:val="00CB5015"/>
    <w:rsid w:val="00CB5226"/>
    <w:rsid w:val="00CC1787"/>
    <w:rsid w:val="00CC182C"/>
    <w:rsid w:val="00CD0824"/>
    <w:rsid w:val="00CD2908"/>
    <w:rsid w:val="00CD37ED"/>
    <w:rsid w:val="00CF004A"/>
    <w:rsid w:val="00CF2EE4"/>
    <w:rsid w:val="00CF3191"/>
    <w:rsid w:val="00CF654B"/>
    <w:rsid w:val="00D01140"/>
    <w:rsid w:val="00D03A82"/>
    <w:rsid w:val="00D12C93"/>
    <w:rsid w:val="00D13667"/>
    <w:rsid w:val="00D15344"/>
    <w:rsid w:val="00D23F57"/>
    <w:rsid w:val="00D25B6D"/>
    <w:rsid w:val="00D31BEC"/>
    <w:rsid w:val="00D339CC"/>
    <w:rsid w:val="00D34EF5"/>
    <w:rsid w:val="00D352F6"/>
    <w:rsid w:val="00D475FB"/>
    <w:rsid w:val="00D55D95"/>
    <w:rsid w:val="00D56754"/>
    <w:rsid w:val="00D63150"/>
    <w:rsid w:val="00D636BA"/>
    <w:rsid w:val="00D63D6C"/>
    <w:rsid w:val="00D64A32"/>
    <w:rsid w:val="00D64EFC"/>
    <w:rsid w:val="00D65E6B"/>
    <w:rsid w:val="00D736C3"/>
    <w:rsid w:val="00D73A60"/>
    <w:rsid w:val="00D7448B"/>
    <w:rsid w:val="00D75295"/>
    <w:rsid w:val="00D76CE9"/>
    <w:rsid w:val="00D81812"/>
    <w:rsid w:val="00D963EB"/>
    <w:rsid w:val="00D97F12"/>
    <w:rsid w:val="00DA2CB7"/>
    <w:rsid w:val="00DA6095"/>
    <w:rsid w:val="00DA6D18"/>
    <w:rsid w:val="00DA7302"/>
    <w:rsid w:val="00DB0613"/>
    <w:rsid w:val="00DB0FB8"/>
    <w:rsid w:val="00DB42E7"/>
    <w:rsid w:val="00DB61BB"/>
    <w:rsid w:val="00DB6364"/>
    <w:rsid w:val="00DC25A9"/>
    <w:rsid w:val="00DC3389"/>
    <w:rsid w:val="00DC58DE"/>
    <w:rsid w:val="00DD6DE5"/>
    <w:rsid w:val="00DE01A6"/>
    <w:rsid w:val="00DE0DD8"/>
    <w:rsid w:val="00DE7A98"/>
    <w:rsid w:val="00DF32C2"/>
    <w:rsid w:val="00E02B25"/>
    <w:rsid w:val="00E05690"/>
    <w:rsid w:val="00E13BA7"/>
    <w:rsid w:val="00E20FEC"/>
    <w:rsid w:val="00E30557"/>
    <w:rsid w:val="00E471A7"/>
    <w:rsid w:val="00E50638"/>
    <w:rsid w:val="00E56010"/>
    <w:rsid w:val="00E607CE"/>
    <w:rsid w:val="00E635AC"/>
    <w:rsid w:val="00E635CF"/>
    <w:rsid w:val="00E6675F"/>
    <w:rsid w:val="00E7364E"/>
    <w:rsid w:val="00E82812"/>
    <w:rsid w:val="00E86F8F"/>
    <w:rsid w:val="00E90644"/>
    <w:rsid w:val="00E93553"/>
    <w:rsid w:val="00E95184"/>
    <w:rsid w:val="00E97F71"/>
    <w:rsid w:val="00EA4CCC"/>
    <w:rsid w:val="00EB4BF2"/>
    <w:rsid w:val="00EB52FE"/>
    <w:rsid w:val="00EC4E74"/>
    <w:rsid w:val="00EC6E0A"/>
    <w:rsid w:val="00EC7E8C"/>
    <w:rsid w:val="00ED4E18"/>
    <w:rsid w:val="00ED675D"/>
    <w:rsid w:val="00EE1F37"/>
    <w:rsid w:val="00EE292D"/>
    <w:rsid w:val="00EE2B72"/>
    <w:rsid w:val="00EF23A4"/>
    <w:rsid w:val="00EF67FE"/>
    <w:rsid w:val="00EF7C86"/>
    <w:rsid w:val="00F0159C"/>
    <w:rsid w:val="00F02DE6"/>
    <w:rsid w:val="00F03F3E"/>
    <w:rsid w:val="00F104EF"/>
    <w:rsid w:val="00F105B7"/>
    <w:rsid w:val="00F13220"/>
    <w:rsid w:val="00F17A21"/>
    <w:rsid w:val="00F31569"/>
    <w:rsid w:val="00F37B27"/>
    <w:rsid w:val="00F41E4B"/>
    <w:rsid w:val="00F46556"/>
    <w:rsid w:val="00F46728"/>
    <w:rsid w:val="00F47671"/>
    <w:rsid w:val="00F50E91"/>
    <w:rsid w:val="00F51F7B"/>
    <w:rsid w:val="00F53DB7"/>
    <w:rsid w:val="00F57D29"/>
    <w:rsid w:val="00F605DE"/>
    <w:rsid w:val="00F81A97"/>
    <w:rsid w:val="00F8286C"/>
    <w:rsid w:val="00F84FFE"/>
    <w:rsid w:val="00F96201"/>
    <w:rsid w:val="00FA6D89"/>
    <w:rsid w:val="00FA7563"/>
    <w:rsid w:val="00FB725C"/>
    <w:rsid w:val="00FB72BC"/>
    <w:rsid w:val="00FC248E"/>
    <w:rsid w:val="00FC326E"/>
    <w:rsid w:val="00FC4509"/>
    <w:rsid w:val="00FC6118"/>
    <w:rsid w:val="00FD05EF"/>
    <w:rsid w:val="00FD0B18"/>
    <w:rsid w:val="00FD2817"/>
    <w:rsid w:val="00FD2FAD"/>
    <w:rsid w:val="00FE5D33"/>
    <w:rsid w:val="00FE67C2"/>
    <w:rsid w:val="00FE6A46"/>
    <w:rsid w:val="00FE714F"/>
    <w:rsid w:val="00FF5F8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089C2CE"/>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uiPriority w:val="99"/>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PlainTable21">
    <w:name w:val="Plain Table 21"/>
    <w:basedOn w:val="TableNormal"/>
    <w:uiPriority w:val="42"/>
    <w:rsid w:val="008E1C52"/>
    <w:pPr>
      <w:spacing w:after="0" w:line="240" w:lineRule="auto"/>
    </w:pPr>
    <w:rPr>
      <w:rFonts w:eastAsiaTheme="minorEastAsia"/>
      <w:lang w:val="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1">
    <w:name w:val="p1"/>
    <w:basedOn w:val="Normal"/>
    <w:rsid w:val="008E1C52"/>
    <w:rPr>
      <w:rFonts w:ascii="Helvetica" w:eastAsia="Malgun Gothic" w:hAnsi="Helvetica"/>
      <w:sz w:val="14"/>
      <w:szCs w:val="14"/>
    </w:rPr>
  </w:style>
  <w:style w:type="table" w:styleId="GridTable4-Accent3">
    <w:name w:val="Grid Table 4 Accent 3"/>
    <w:basedOn w:val="TableNormal"/>
    <w:uiPriority w:val="49"/>
    <w:rsid w:val="008E1C52"/>
    <w:pPr>
      <w:spacing w:after="0" w:line="240" w:lineRule="auto"/>
    </w:pPr>
    <w:rPr>
      <w:rFonts w:eastAsiaTheme="minorEastAsia"/>
      <w:lang w:val="en-IN"/>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UnresolvedMention1">
    <w:name w:val="Unresolved Mention1"/>
    <w:basedOn w:val="DefaultParagraphFont"/>
    <w:uiPriority w:val="99"/>
    <w:semiHidden/>
    <w:unhideWhenUsed/>
    <w:rsid w:val="00645FED"/>
    <w:rPr>
      <w:color w:val="808080"/>
      <w:shd w:val="clear" w:color="auto" w:fill="E6E6E6"/>
    </w:rPr>
  </w:style>
  <w:style w:type="character" w:styleId="HTMLCite">
    <w:name w:val="HTML Cite"/>
    <w:basedOn w:val="DefaultParagraphFont"/>
    <w:uiPriority w:val="99"/>
    <w:semiHidden/>
    <w:unhideWhenUsed/>
    <w:rsid w:val="00514B6E"/>
    <w:rPr>
      <w:i/>
      <w:iCs/>
    </w:rPr>
  </w:style>
  <w:style w:type="character" w:customStyle="1" w:styleId="UnresolvedMention">
    <w:name w:val="Unresolved Mention"/>
    <w:basedOn w:val="DefaultParagraphFont"/>
    <w:uiPriority w:val="99"/>
    <w:semiHidden/>
    <w:unhideWhenUsed/>
    <w:rsid w:val="00E66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75995">
      <w:bodyDiv w:val="1"/>
      <w:marLeft w:val="0"/>
      <w:marRight w:val="0"/>
      <w:marTop w:val="0"/>
      <w:marBottom w:val="0"/>
      <w:divBdr>
        <w:top w:val="none" w:sz="0" w:space="0" w:color="auto"/>
        <w:left w:val="none" w:sz="0" w:space="0" w:color="auto"/>
        <w:bottom w:val="none" w:sz="0" w:space="0" w:color="auto"/>
        <w:right w:val="none" w:sz="0" w:space="0" w:color="auto"/>
      </w:divBdr>
    </w:div>
    <w:div w:id="149097123">
      <w:bodyDiv w:val="1"/>
      <w:marLeft w:val="0"/>
      <w:marRight w:val="0"/>
      <w:marTop w:val="0"/>
      <w:marBottom w:val="0"/>
      <w:divBdr>
        <w:top w:val="none" w:sz="0" w:space="0" w:color="auto"/>
        <w:left w:val="none" w:sz="0" w:space="0" w:color="auto"/>
        <w:bottom w:val="none" w:sz="0" w:space="0" w:color="auto"/>
        <w:right w:val="none" w:sz="0" w:space="0" w:color="auto"/>
      </w:divBdr>
    </w:div>
    <w:div w:id="151144224">
      <w:bodyDiv w:val="1"/>
      <w:marLeft w:val="0"/>
      <w:marRight w:val="0"/>
      <w:marTop w:val="0"/>
      <w:marBottom w:val="0"/>
      <w:divBdr>
        <w:top w:val="none" w:sz="0" w:space="0" w:color="auto"/>
        <w:left w:val="none" w:sz="0" w:space="0" w:color="auto"/>
        <w:bottom w:val="none" w:sz="0" w:space="0" w:color="auto"/>
        <w:right w:val="none" w:sz="0" w:space="0" w:color="auto"/>
      </w:divBdr>
    </w:div>
    <w:div w:id="238640423">
      <w:bodyDiv w:val="1"/>
      <w:marLeft w:val="0"/>
      <w:marRight w:val="0"/>
      <w:marTop w:val="0"/>
      <w:marBottom w:val="0"/>
      <w:divBdr>
        <w:top w:val="none" w:sz="0" w:space="0" w:color="auto"/>
        <w:left w:val="none" w:sz="0" w:space="0" w:color="auto"/>
        <w:bottom w:val="none" w:sz="0" w:space="0" w:color="auto"/>
        <w:right w:val="none" w:sz="0" w:space="0" w:color="auto"/>
      </w:divBdr>
    </w:div>
    <w:div w:id="251865140">
      <w:bodyDiv w:val="1"/>
      <w:marLeft w:val="0"/>
      <w:marRight w:val="0"/>
      <w:marTop w:val="0"/>
      <w:marBottom w:val="0"/>
      <w:divBdr>
        <w:top w:val="none" w:sz="0" w:space="0" w:color="auto"/>
        <w:left w:val="none" w:sz="0" w:space="0" w:color="auto"/>
        <w:bottom w:val="none" w:sz="0" w:space="0" w:color="auto"/>
        <w:right w:val="none" w:sz="0" w:space="0" w:color="auto"/>
      </w:divBdr>
    </w:div>
    <w:div w:id="294917843">
      <w:bodyDiv w:val="1"/>
      <w:marLeft w:val="0"/>
      <w:marRight w:val="0"/>
      <w:marTop w:val="0"/>
      <w:marBottom w:val="0"/>
      <w:divBdr>
        <w:top w:val="none" w:sz="0" w:space="0" w:color="auto"/>
        <w:left w:val="none" w:sz="0" w:space="0" w:color="auto"/>
        <w:bottom w:val="none" w:sz="0" w:space="0" w:color="auto"/>
        <w:right w:val="none" w:sz="0" w:space="0" w:color="auto"/>
      </w:divBdr>
    </w:div>
    <w:div w:id="468280339">
      <w:bodyDiv w:val="1"/>
      <w:marLeft w:val="0"/>
      <w:marRight w:val="0"/>
      <w:marTop w:val="0"/>
      <w:marBottom w:val="0"/>
      <w:divBdr>
        <w:top w:val="none" w:sz="0" w:space="0" w:color="auto"/>
        <w:left w:val="none" w:sz="0" w:space="0" w:color="auto"/>
        <w:bottom w:val="none" w:sz="0" w:space="0" w:color="auto"/>
        <w:right w:val="none" w:sz="0" w:space="0" w:color="auto"/>
      </w:divBdr>
    </w:div>
    <w:div w:id="471336898">
      <w:bodyDiv w:val="1"/>
      <w:marLeft w:val="0"/>
      <w:marRight w:val="0"/>
      <w:marTop w:val="0"/>
      <w:marBottom w:val="0"/>
      <w:divBdr>
        <w:top w:val="none" w:sz="0" w:space="0" w:color="auto"/>
        <w:left w:val="none" w:sz="0" w:space="0" w:color="auto"/>
        <w:bottom w:val="none" w:sz="0" w:space="0" w:color="auto"/>
        <w:right w:val="none" w:sz="0" w:space="0" w:color="auto"/>
      </w:divBdr>
    </w:div>
    <w:div w:id="819149896">
      <w:bodyDiv w:val="1"/>
      <w:marLeft w:val="0"/>
      <w:marRight w:val="0"/>
      <w:marTop w:val="0"/>
      <w:marBottom w:val="0"/>
      <w:divBdr>
        <w:top w:val="none" w:sz="0" w:space="0" w:color="auto"/>
        <w:left w:val="none" w:sz="0" w:space="0" w:color="auto"/>
        <w:bottom w:val="none" w:sz="0" w:space="0" w:color="auto"/>
        <w:right w:val="none" w:sz="0" w:space="0" w:color="auto"/>
      </w:divBdr>
    </w:div>
    <w:div w:id="1151944857">
      <w:bodyDiv w:val="1"/>
      <w:marLeft w:val="0"/>
      <w:marRight w:val="0"/>
      <w:marTop w:val="0"/>
      <w:marBottom w:val="0"/>
      <w:divBdr>
        <w:top w:val="none" w:sz="0" w:space="0" w:color="auto"/>
        <w:left w:val="none" w:sz="0" w:space="0" w:color="auto"/>
        <w:bottom w:val="none" w:sz="0" w:space="0" w:color="auto"/>
        <w:right w:val="none" w:sz="0" w:space="0" w:color="auto"/>
      </w:divBdr>
    </w:div>
    <w:div w:id="1499805718">
      <w:bodyDiv w:val="1"/>
      <w:marLeft w:val="0"/>
      <w:marRight w:val="0"/>
      <w:marTop w:val="0"/>
      <w:marBottom w:val="0"/>
      <w:divBdr>
        <w:top w:val="none" w:sz="0" w:space="0" w:color="auto"/>
        <w:left w:val="none" w:sz="0" w:space="0" w:color="auto"/>
        <w:bottom w:val="none" w:sz="0" w:space="0" w:color="auto"/>
        <w:right w:val="none" w:sz="0" w:space="0" w:color="auto"/>
      </w:divBdr>
    </w:div>
    <w:div w:id="1576747342">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56760845">
      <w:bodyDiv w:val="1"/>
      <w:marLeft w:val="0"/>
      <w:marRight w:val="0"/>
      <w:marTop w:val="0"/>
      <w:marBottom w:val="0"/>
      <w:divBdr>
        <w:top w:val="none" w:sz="0" w:space="0" w:color="auto"/>
        <w:left w:val="none" w:sz="0" w:space="0" w:color="auto"/>
        <w:bottom w:val="none" w:sz="0" w:space="0" w:color="auto"/>
        <w:right w:val="none" w:sz="0" w:space="0" w:color="auto"/>
      </w:divBdr>
    </w:div>
    <w:div w:id="1839037000">
      <w:bodyDiv w:val="1"/>
      <w:marLeft w:val="0"/>
      <w:marRight w:val="0"/>
      <w:marTop w:val="0"/>
      <w:marBottom w:val="0"/>
      <w:divBdr>
        <w:top w:val="none" w:sz="0" w:space="0" w:color="auto"/>
        <w:left w:val="none" w:sz="0" w:space="0" w:color="auto"/>
        <w:bottom w:val="none" w:sz="0" w:space="0" w:color="auto"/>
        <w:right w:val="none" w:sz="0" w:space="0" w:color="auto"/>
      </w:divBdr>
    </w:div>
    <w:div w:id="1945651886">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09854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microsoft.com/office/2016/09/relationships/commentsIds" Target="commentsIds.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embeddings/oleObject2.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2941235922880701"/>
          <c:y val="4.65254714447823E-2"/>
          <c:w val="0.75261439195100599"/>
          <c:h val="0.60358543145069832"/>
        </c:manualLayout>
      </c:layout>
      <c:barChart>
        <c:barDir val="col"/>
        <c:grouping val="clustered"/>
        <c:varyColors val="0"/>
        <c:ser>
          <c:idx val="0"/>
          <c:order val="0"/>
          <c:tx>
            <c:strRef>
              <c:f>Sheet1!$A$9</c:f>
              <c:strCache>
                <c:ptCount val="1"/>
                <c:pt idx="0">
                  <c:v>Operating income- Total</c:v>
                </c:pt>
              </c:strCache>
            </c:strRef>
          </c:tx>
          <c:spPr>
            <a:solidFill>
              <a:schemeClr val="dk1">
                <a:tint val="88500"/>
              </a:schemeClr>
            </a:solidFill>
            <a:ln>
              <a:noFill/>
            </a:ln>
            <a:effectLst/>
          </c:spPr>
          <c:invertIfNegative val="0"/>
          <c:cat>
            <c:numRef>
              <c:f>Sheet1!$B$8:$T$8</c:f>
              <c:numCache>
                <c:formatCode>General</c:formatCode>
                <c:ptCount val="19"/>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numCache>
            </c:numRef>
          </c:cat>
          <c:val>
            <c:numRef>
              <c:f>Sheet1!$B$9:$T$9</c:f>
              <c:numCache>
                <c:formatCode>General</c:formatCode>
                <c:ptCount val="19"/>
                <c:pt idx="0">
                  <c:v>0.49</c:v>
                </c:pt>
                <c:pt idx="1">
                  <c:v>0.57999999999999996</c:v>
                </c:pt>
                <c:pt idx="2">
                  <c:v>0.78700000000000003</c:v>
                </c:pt>
                <c:pt idx="3">
                  <c:v>0.86</c:v>
                </c:pt>
                <c:pt idx="4">
                  <c:v>1.036999999999999</c:v>
                </c:pt>
                <c:pt idx="5">
                  <c:v>0.99199999999999999</c:v>
                </c:pt>
                <c:pt idx="6">
                  <c:v>1.131999999999999</c:v>
                </c:pt>
                <c:pt idx="7">
                  <c:v>1.157</c:v>
                </c:pt>
                <c:pt idx="8">
                  <c:v>1.385999999999999</c:v>
                </c:pt>
                <c:pt idx="9">
                  <c:v>1.474</c:v>
                </c:pt>
                <c:pt idx="10">
                  <c:v>1.625999999999999</c:v>
                </c:pt>
                <c:pt idx="11">
                  <c:v>1.609</c:v>
                </c:pt>
                <c:pt idx="12">
                  <c:v>1.9690000000000001</c:v>
                </c:pt>
                <c:pt idx="13">
                  <c:v>1.776999999999999</c:v>
                </c:pt>
                <c:pt idx="14">
                  <c:v>2.077</c:v>
                </c:pt>
                <c:pt idx="15">
                  <c:v>2.4389999999999992</c:v>
                </c:pt>
                <c:pt idx="16">
                  <c:v>2.7589999999999999</c:v>
                </c:pt>
                <c:pt idx="17">
                  <c:v>3.0529999999999982</c:v>
                </c:pt>
                <c:pt idx="18">
                  <c:v>3.22</c:v>
                </c:pt>
              </c:numCache>
            </c:numRef>
          </c:val>
          <c:extLst>
            <c:ext xmlns:c16="http://schemas.microsoft.com/office/drawing/2014/chart" uri="{C3380CC4-5D6E-409C-BE32-E72D297353CC}">
              <c16:uniqueId val="{00000000-2203-4C58-A144-4492150EB500}"/>
            </c:ext>
          </c:extLst>
        </c:ser>
        <c:ser>
          <c:idx val="1"/>
          <c:order val="1"/>
          <c:tx>
            <c:strRef>
              <c:f>Sheet1!$A$10</c:f>
              <c:strCache>
                <c:ptCount val="1"/>
                <c:pt idx="0">
                  <c:v>Operating income- Int'l operations</c:v>
                </c:pt>
              </c:strCache>
            </c:strRef>
          </c:tx>
          <c:spPr>
            <a:solidFill>
              <a:schemeClr val="dk1">
                <a:tint val="55000"/>
              </a:schemeClr>
            </a:solidFill>
            <a:ln>
              <a:noFill/>
            </a:ln>
            <a:effectLst/>
          </c:spPr>
          <c:invertIfNegative val="0"/>
          <c:cat>
            <c:numRef>
              <c:f>Sheet1!$B$8:$T$8</c:f>
              <c:numCache>
                <c:formatCode>General</c:formatCode>
                <c:ptCount val="19"/>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numCache>
            </c:numRef>
          </c:cat>
          <c:val>
            <c:numRef>
              <c:f>Sheet1!$B$10:$T$10</c:f>
              <c:numCache>
                <c:formatCode>General</c:formatCode>
                <c:ptCount val="19"/>
                <c:pt idx="0">
                  <c:v>7.1999999999999995E-2</c:v>
                </c:pt>
                <c:pt idx="1">
                  <c:v>0.121</c:v>
                </c:pt>
                <c:pt idx="2">
                  <c:v>0.13900000000000001</c:v>
                </c:pt>
                <c:pt idx="3">
                  <c:v>0.13700000000000001</c:v>
                </c:pt>
                <c:pt idx="4">
                  <c:v>0.188</c:v>
                </c:pt>
                <c:pt idx="5">
                  <c:v>0.17799999999999999</c:v>
                </c:pt>
                <c:pt idx="6">
                  <c:v>0.20300000000000001</c:v>
                </c:pt>
                <c:pt idx="7">
                  <c:v>0.22900000000000001</c:v>
                </c:pt>
                <c:pt idx="8">
                  <c:v>0.26500000000000001</c:v>
                </c:pt>
                <c:pt idx="9">
                  <c:v>0.30599999999999999</c:v>
                </c:pt>
                <c:pt idx="10">
                  <c:v>0.38</c:v>
                </c:pt>
                <c:pt idx="11">
                  <c:v>0.39200000000000002</c:v>
                </c:pt>
                <c:pt idx="12">
                  <c:v>0.57600000000000096</c:v>
                </c:pt>
                <c:pt idx="13">
                  <c:v>0.504</c:v>
                </c:pt>
                <c:pt idx="14">
                  <c:v>0.76700000000000101</c:v>
                </c:pt>
                <c:pt idx="15">
                  <c:v>1.044</c:v>
                </c:pt>
                <c:pt idx="16">
                  <c:v>1.127</c:v>
                </c:pt>
                <c:pt idx="17">
                  <c:v>1.242999999999999</c:v>
                </c:pt>
                <c:pt idx="18">
                  <c:v>1.34</c:v>
                </c:pt>
              </c:numCache>
            </c:numRef>
          </c:val>
          <c:extLst>
            <c:ext xmlns:c16="http://schemas.microsoft.com/office/drawing/2014/chart" uri="{C3380CC4-5D6E-409C-BE32-E72D297353CC}">
              <c16:uniqueId val="{00000001-2203-4C58-A144-4492150EB500}"/>
            </c:ext>
          </c:extLst>
        </c:ser>
        <c:dLbls>
          <c:showLegendKey val="0"/>
          <c:showVal val="0"/>
          <c:showCatName val="0"/>
          <c:showSerName val="0"/>
          <c:showPercent val="0"/>
          <c:showBubbleSize val="0"/>
        </c:dLbls>
        <c:gapWidth val="300"/>
        <c:axId val="208758728"/>
        <c:axId val="208763208"/>
      </c:barChart>
      <c:lineChart>
        <c:grouping val="standard"/>
        <c:varyColors val="0"/>
        <c:ser>
          <c:idx val="2"/>
          <c:order val="2"/>
          <c:tx>
            <c:strRef>
              <c:f>Sheet1!$A$11</c:f>
              <c:strCache>
                <c:ptCount val="1"/>
                <c:pt idx="0">
                  <c:v>No of Warehouses- Total</c:v>
                </c:pt>
              </c:strCache>
            </c:strRef>
          </c:tx>
          <c:spPr>
            <a:ln w="28575" cap="rnd">
              <a:solidFill>
                <a:schemeClr val="dk1">
                  <a:tint val="75000"/>
                </a:schemeClr>
              </a:solidFill>
              <a:round/>
            </a:ln>
            <a:effectLst/>
          </c:spPr>
          <c:marker>
            <c:symbol val="none"/>
          </c:marker>
          <c:cat>
            <c:numRef>
              <c:f>Sheet1!$B$8:$T$8</c:f>
              <c:numCache>
                <c:formatCode>General</c:formatCode>
                <c:ptCount val="19"/>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numCache>
            </c:numRef>
          </c:cat>
          <c:val>
            <c:numRef>
              <c:f>Sheet1!$B$11:$T$11</c:f>
              <c:numCache>
                <c:formatCode>General</c:formatCode>
                <c:ptCount val="19"/>
                <c:pt idx="0">
                  <c:v>252</c:v>
                </c:pt>
                <c:pt idx="1">
                  <c:v>261</c:v>
                </c:pt>
                <c:pt idx="2">
                  <c:v>278</c:v>
                </c:pt>
                <c:pt idx="3">
                  <c:v>292</c:v>
                </c:pt>
                <c:pt idx="4">
                  <c:v>313</c:v>
                </c:pt>
                <c:pt idx="5">
                  <c:v>345</c:v>
                </c:pt>
                <c:pt idx="6">
                  <c:v>374</c:v>
                </c:pt>
                <c:pt idx="7">
                  <c:v>397</c:v>
                </c:pt>
                <c:pt idx="8">
                  <c:v>417</c:v>
                </c:pt>
                <c:pt idx="9">
                  <c:v>433</c:v>
                </c:pt>
                <c:pt idx="10">
                  <c:v>458</c:v>
                </c:pt>
                <c:pt idx="11">
                  <c:v>488</c:v>
                </c:pt>
                <c:pt idx="12">
                  <c:v>512</c:v>
                </c:pt>
                <c:pt idx="13">
                  <c:v>527</c:v>
                </c:pt>
                <c:pt idx="14">
                  <c:v>540</c:v>
                </c:pt>
                <c:pt idx="15">
                  <c:v>592</c:v>
                </c:pt>
                <c:pt idx="16">
                  <c:v>608</c:v>
                </c:pt>
                <c:pt idx="17">
                  <c:v>634</c:v>
                </c:pt>
                <c:pt idx="18">
                  <c:v>663</c:v>
                </c:pt>
              </c:numCache>
            </c:numRef>
          </c:val>
          <c:smooth val="0"/>
          <c:extLst>
            <c:ext xmlns:c16="http://schemas.microsoft.com/office/drawing/2014/chart" uri="{C3380CC4-5D6E-409C-BE32-E72D297353CC}">
              <c16:uniqueId val="{00000002-2203-4C58-A144-4492150EB500}"/>
            </c:ext>
          </c:extLst>
        </c:ser>
        <c:ser>
          <c:idx val="3"/>
          <c:order val="3"/>
          <c:tx>
            <c:strRef>
              <c:f>Sheet1!$A$12</c:f>
              <c:strCache>
                <c:ptCount val="1"/>
                <c:pt idx="0">
                  <c:v>No of Warehouses- Int'l</c:v>
                </c:pt>
              </c:strCache>
            </c:strRef>
          </c:tx>
          <c:spPr>
            <a:ln w="28575" cap="rnd">
              <a:solidFill>
                <a:schemeClr val="dk1">
                  <a:tint val="98500"/>
                </a:schemeClr>
              </a:solidFill>
              <a:round/>
            </a:ln>
            <a:effectLst/>
          </c:spPr>
          <c:marker>
            <c:symbol val="none"/>
          </c:marker>
          <c:cat>
            <c:numRef>
              <c:f>Sheet1!$B$8:$T$8</c:f>
              <c:numCache>
                <c:formatCode>General</c:formatCode>
                <c:ptCount val="19"/>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numCache>
            </c:numRef>
          </c:cat>
          <c:val>
            <c:numRef>
              <c:f>Sheet1!$B$12:$T$12</c:f>
              <c:numCache>
                <c:formatCode>General</c:formatCode>
                <c:ptCount val="19"/>
                <c:pt idx="0">
                  <c:v>60</c:v>
                </c:pt>
                <c:pt idx="1">
                  <c:v>61</c:v>
                </c:pt>
                <c:pt idx="2">
                  <c:v>67</c:v>
                </c:pt>
                <c:pt idx="3">
                  <c:v>71</c:v>
                </c:pt>
                <c:pt idx="4">
                  <c:v>76</c:v>
                </c:pt>
                <c:pt idx="5">
                  <c:v>81</c:v>
                </c:pt>
                <c:pt idx="6">
                  <c:v>84</c:v>
                </c:pt>
                <c:pt idx="7">
                  <c:v>88</c:v>
                </c:pt>
                <c:pt idx="8">
                  <c:v>90</c:v>
                </c:pt>
                <c:pt idx="9">
                  <c:v>95</c:v>
                </c:pt>
                <c:pt idx="10">
                  <c:v>100</c:v>
                </c:pt>
                <c:pt idx="11">
                  <c:v>105</c:v>
                </c:pt>
                <c:pt idx="12">
                  <c:v>114</c:v>
                </c:pt>
                <c:pt idx="13">
                  <c:v>121</c:v>
                </c:pt>
                <c:pt idx="14">
                  <c:v>124</c:v>
                </c:pt>
                <c:pt idx="15">
                  <c:v>163</c:v>
                </c:pt>
                <c:pt idx="16">
                  <c:v>169</c:v>
                </c:pt>
                <c:pt idx="17">
                  <c:v>183</c:v>
                </c:pt>
                <c:pt idx="18">
                  <c:v>195</c:v>
                </c:pt>
              </c:numCache>
            </c:numRef>
          </c:val>
          <c:smooth val="0"/>
          <c:extLst>
            <c:ext xmlns:c16="http://schemas.microsoft.com/office/drawing/2014/chart" uri="{C3380CC4-5D6E-409C-BE32-E72D297353CC}">
              <c16:uniqueId val="{00000003-2203-4C58-A144-4492150EB500}"/>
            </c:ext>
          </c:extLst>
        </c:ser>
        <c:dLbls>
          <c:showLegendKey val="0"/>
          <c:showVal val="0"/>
          <c:showCatName val="0"/>
          <c:showSerName val="0"/>
          <c:showPercent val="0"/>
          <c:showBubbleSize val="0"/>
        </c:dLbls>
        <c:marker val="1"/>
        <c:smooth val="0"/>
        <c:axId val="208773192"/>
        <c:axId val="208768712"/>
      </c:lineChart>
      <c:catAx>
        <c:axId val="208758728"/>
        <c:scaling>
          <c:orientation val="minMax"/>
        </c:scaling>
        <c:delete val="0"/>
        <c:axPos val="b"/>
        <c:title>
          <c:tx>
            <c:rich>
              <a:bodyPr rot="0" spcFirstLastPara="1" vertOverflow="ellipsis" vert="horz" wrap="square" anchor="ctr" anchorCtr="1"/>
              <a:lstStyle/>
              <a:p>
                <a:pPr>
                  <a:defRPr lang="ko-KR" sz="1000" b="0" i="0" u="none" strike="noStrike" kern="1200" baseline="0">
                    <a:solidFill>
                      <a:schemeClr val="tx1">
                        <a:lumMod val="65000"/>
                        <a:lumOff val="35000"/>
                      </a:schemeClr>
                    </a:solidFill>
                    <a:latin typeface="+mn-lt"/>
                    <a:ea typeface="+mn-ea"/>
                    <a:cs typeface="+mn-cs"/>
                  </a:defRPr>
                </a:pPr>
                <a:r>
                  <a:rPr lang="en-IN"/>
                  <a:t>Year</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ko-KR" sz="900" b="0" i="0" u="none" strike="noStrike" kern="1200" baseline="0">
                <a:solidFill>
                  <a:schemeClr val="tx1">
                    <a:lumMod val="65000"/>
                    <a:lumOff val="35000"/>
                  </a:schemeClr>
                </a:solidFill>
                <a:latin typeface="+mn-lt"/>
                <a:ea typeface="+mn-ea"/>
                <a:cs typeface="+mn-cs"/>
              </a:defRPr>
            </a:pPr>
            <a:endParaRPr lang="en-US"/>
          </a:p>
        </c:txPr>
        <c:crossAx val="208763208"/>
        <c:crosses val="autoZero"/>
        <c:auto val="1"/>
        <c:lblAlgn val="ctr"/>
        <c:lblOffset val="100"/>
        <c:tickLblSkip val="3"/>
        <c:noMultiLvlLbl val="0"/>
      </c:catAx>
      <c:valAx>
        <c:axId val="208763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ko-KR" sz="1000" b="0" i="0" u="none" strike="noStrike" kern="1200" baseline="0">
                    <a:solidFill>
                      <a:schemeClr val="tx1">
                        <a:lumMod val="65000"/>
                        <a:lumOff val="35000"/>
                      </a:schemeClr>
                    </a:solidFill>
                    <a:latin typeface="+mn-lt"/>
                    <a:ea typeface="+mn-ea"/>
                    <a:cs typeface="+mn-cs"/>
                  </a:defRPr>
                </a:pPr>
                <a:r>
                  <a:rPr lang="en-IN"/>
                  <a:t>Costco Operating Income (USD</a:t>
                </a:r>
                <a:r>
                  <a:rPr lang="en-IN" baseline="0"/>
                  <a:t> Billion</a:t>
                </a:r>
                <a:r>
                  <a:rPr lang="en-IN"/>
                  <a:t>)</a:t>
                </a:r>
              </a:p>
            </c:rich>
          </c:tx>
          <c:layout>
            <c:manualLayout>
              <c:xMode val="edge"/>
              <c:yMode val="edge"/>
              <c:x val="3.8838218611765292E-2"/>
              <c:y val="1.3603577330611454E-2"/>
            </c:manualLayout>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ko-KR" sz="900" b="0" i="0" u="none" strike="noStrike" kern="1200" baseline="0">
                <a:solidFill>
                  <a:schemeClr val="tx1">
                    <a:lumMod val="65000"/>
                    <a:lumOff val="35000"/>
                  </a:schemeClr>
                </a:solidFill>
                <a:latin typeface="+mn-lt"/>
                <a:ea typeface="+mn-ea"/>
                <a:cs typeface="+mn-cs"/>
              </a:defRPr>
            </a:pPr>
            <a:endParaRPr lang="en-US"/>
          </a:p>
        </c:txPr>
        <c:crossAx val="208758728"/>
        <c:crosses val="autoZero"/>
        <c:crossBetween val="between"/>
      </c:valAx>
      <c:valAx>
        <c:axId val="208768712"/>
        <c:scaling>
          <c:orientation val="minMax"/>
        </c:scaling>
        <c:delete val="0"/>
        <c:axPos val="r"/>
        <c:title>
          <c:tx>
            <c:rich>
              <a:bodyPr rot="-5400000" spcFirstLastPara="1" vertOverflow="ellipsis" vert="horz" wrap="square" anchor="ctr" anchorCtr="1"/>
              <a:lstStyle/>
              <a:p>
                <a:pPr>
                  <a:defRPr lang="ko-KR" sz="1000" b="0" i="0" u="none" strike="noStrike" kern="1200" baseline="0">
                    <a:solidFill>
                      <a:schemeClr val="tx1">
                        <a:lumMod val="65000"/>
                        <a:lumOff val="35000"/>
                      </a:schemeClr>
                    </a:solidFill>
                    <a:latin typeface="+mn-lt"/>
                    <a:ea typeface="+mn-ea"/>
                    <a:cs typeface="+mn-cs"/>
                  </a:defRPr>
                </a:pPr>
                <a:r>
                  <a:rPr lang="en-IN"/>
                  <a:t>Costco Number of Warehouses</a:t>
                </a:r>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ko-KR" sz="900" b="0" i="0" u="none" strike="noStrike" kern="1200" baseline="0">
                <a:solidFill>
                  <a:schemeClr val="tx1">
                    <a:lumMod val="65000"/>
                    <a:lumOff val="35000"/>
                  </a:schemeClr>
                </a:solidFill>
                <a:latin typeface="+mn-lt"/>
                <a:ea typeface="+mn-ea"/>
                <a:cs typeface="+mn-cs"/>
              </a:defRPr>
            </a:pPr>
            <a:endParaRPr lang="en-US"/>
          </a:p>
        </c:txPr>
        <c:crossAx val="208773192"/>
        <c:crosses val="max"/>
        <c:crossBetween val="between"/>
      </c:valAx>
      <c:catAx>
        <c:axId val="208773192"/>
        <c:scaling>
          <c:orientation val="minMax"/>
        </c:scaling>
        <c:delete val="1"/>
        <c:axPos val="b"/>
        <c:numFmt formatCode="General" sourceLinked="1"/>
        <c:majorTickMark val="out"/>
        <c:minorTickMark val="none"/>
        <c:tickLblPos val="nextTo"/>
        <c:crossAx val="208768712"/>
        <c:crosses val="autoZero"/>
        <c:auto val="1"/>
        <c:lblAlgn val="ctr"/>
        <c:lblOffset val="100"/>
        <c:noMultiLvlLbl val="0"/>
      </c:cat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0618116267968146"/>
          <c:y val="6.1884669479606191E-2"/>
          <c:w val="0.86974354732250725"/>
          <c:h val="0.58774444333698794"/>
        </c:manualLayout>
      </c:layout>
      <c:barChart>
        <c:barDir val="col"/>
        <c:grouping val="clustered"/>
        <c:varyColors val="0"/>
        <c:ser>
          <c:idx val="0"/>
          <c:order val="0"/>
          <c:tx>
            <c:strRef>
              <c:f>Sheet1!$A$3</c:f>
              <c:strCache>
                <c:ptCount val="1"/>
                <c:pt idx="0">
                  <c:v>Revenue- Total</c:v>
                </c:pt>
              </c:strCache>
            </c:strRef>
          </c:tx>
          <c:spPr>
            <a:solidFill>
              <a:schemeClr val="dk1">
                <a:tint val="88500"/>
              </a:schemeClr>
            </a:solidFill>
            <a:ln>
              <a:noFill/>
            </a:ln>
            <a:effectLst/>
          </c:spPr>
          <c:invertIfNegative val="0"/>
          <c:cat>
            <c:numRef>
              <c:f>Sheet1!$B$2:$T$2</c:f>
              <c:numCache>
                <c:formatCode>General</c:formatCode>
                <c:ptCount val="19"/>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numCache>
            </c:numRef>
          </c:cat>
          <c:val>
            <c:numRef>
              <c:f>Sheet1!$B$3:$T$3</c:f>
              <c:numCache>
                <c:formatCode>General</c:formatCode>
                <c:ptCount val="19"/>
                <c:pt idx="0">
                  <c:v>19.600000000000001</c:v>
                </c:pt>
                <c:pt idx="1">
                  <c:v>21.9</c:v>
                </c:pt>
                <c:pt idx="2">
                  <c:v>24.3</c:v>
                </c:pt>
                <c:pt idx="3">
                  <c:v>27.5</c:v>
                </c:pt>
                <c:pt idx="4">
                  <c:v>32.200000000000003</c:v>
                </c:pt>
                <c:pt idx="5">
                  <c:v>34.799999999999997</c:v>
                </c:pt>
                <c:pt idx="6">
                  <c:v>38.799999999999997</c:v>
                </c:pt>
                <c:pt idx="7">
                  <c:v>43</c:v>
                </c:pt>
                <c:pt idx="8">
                  <c:v>48.1</c:v>
                </c:pt>
                <c:pt idx="9">
                  <c:v>52.9</c:v>
                </c:pt>
                <c:pt idx="10">
                  <c:v>60.2</c:v>
                </c:pt>
                <c:pt idx="11">
                  <c:v>64.400000000000006</c:v>
                </c:pt>
                <c:pt idx="12">
                  <c:v>72.5</c:v>
                </c:pt>
                <c:pt idx="13">
                  <c:v>71.400000000000006</c:v>
                </c:pt>
                <c:pt idx="14">
                  <c:v>77.900000000000006</c:v>
                </c:pt>
                <c:pt idx="15">
                  <c:v>88.9</c:v>
                </c:pt>
                <c:pt idx="16">
                  <c:v>99.1</c:v>
                </c:pt>
                <c:pt idx="17">
                  <c:v>105.2</c:v>
                </c:pt>
                <c:pt idx="18">
                  <c:v>112.6</c:v>
                </c:pt>
              </c:numCache>
            </c:numRef>
          </c:val>
          <c:extLst>
            <c:ext xmlns:c16="http://schemas.microsoft.com/office/drawing/2014/chart" uri="{C3380CC4-5D6E-409C-BE32-E72D297353CC}">
              <c16:uniqueId val="{00000000-8438-46F1-973A-2CEEFD0E806F}"/>
            </c:ext>
          </c:extLst>
        </c:ser>
        <c:ser>
          <c:idx val="1"/>
          <c:order val="1"/>
          <c:tx>
            <c:strRef>
              <c:f>Sheet1!$A$4</c:f>
              <c:strCache>
                <c:ptCount val="1"/>
                <c:pt idx="0">
                  <c:v>Revenue- Int'l operations</c:v>
                </c:pt>
              </c:strCache>
            </c:strRef>
          </c:tx>
          <c:spPr>
            <a:solidFill>
              <a:schemeClr val="dk1">
                <a:tint val="55000"/>
              </a:schemeClr>
            </a:solidFill>
            <a:ln>
              <a:noFill/>
            </a:ln>
            <a:effectLst/>
          </c:spPr>
          <c:invertIfNegative val="0"/>
          <c:cat>
            <c:numRef>
              <c:f>Sheet1!$B$2:$T$2</c:f>
              <c:numCache>
                <c:formatCode>General</c:formatCode>
                <c:ptCount val="19"/>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numCache>
            </c:numRef>
          </c:cat>
          <c:val>
            <c:numRef>
              <c:f>Sheet1!$B$4:$T$4</c:f>
              <c:numCache>
                <c:formatCode>General</c:formatCode>
                <c:ptCount val="19"/>
                <c:pt idx="0">
                  <c:v>3.9</c:v>
                </c:pt>
                <c:pt idx="1">
                  <c:v>4.3</c:v>
                </c:pt>
                <c:pt idx="2">
                  <c:v>4.5999999999999996</c:v>
                </c:pt>
                <c:pt idx="3">
                  <c:v>5.0999999999999996</c:v>
                </c:pt>
                <c:pt idx="4">
                  <c:v>6</c:v>
                </c:pt>
                <c:pt idx="5">
                  <c:v>6.2</c:v>
                </c:pt>
                <c:pt idx="6">
                  <c:v>6.5</c:v>
                </c:pt>
                <c:pt idx="7">
                  <c:v>7.9</c:v>
                </c:pt>
                <c:pt idx="8">
                  <c:v>8.7000000000000011</c:v>
                </c:pt>
                <c:pt idx="9">
                  <c:v>9.8000000000000007</c:v>
                </c:pt>
                <c:pt idx="10">
                  <c:v>11.7</c:v>
                </c:pt>
                <c:pt idx="11">
                  <c:v>12.9</c:v>
                </c:pt>
                <c:pt idx="12">
                  <c:v>15.6</c:v>
                </c:pt>
                <c:pt idx="13">
                  <c:v>14.9</c:v>
                </c:pt>
                <c:pt idx="14">
                  <c:v>18.3</c:v>
                </c:pt>
                <c:pt idx="15">
                  <c:v>24</c:v>
                </c:pt>
                <c:pt idx="16">
                  <c:v>27.3</c:v>
                </c:pt>
                <c:pt idx="17">
                  <c:v>29.7</c:v>
                </c:pt>
                <c:pt idx="18">
                  <c:v>32.1</c:v>
                </c:pt>
              </c:numCache>
            </c:numRef>
          </c:val>
          <c:extLst>
            <c:ext xmlns:c16="http://schemas.microsoft.com/office/drawing/2014/chart" uri="{C3380CC4-5D6E-409C-BE32-E72D297353CC}">
              <c16:uniqueId val="{00000001-8438-46F1-973A-2CEEFD0E806F}"/>
            </c:ext>
          </c:extLst>
        </c:ser>
        <c:dLbls>
          <c:showLegendKey val="0"/>
          <c:showVal val="0"/>
          <c:showCatName val="0"/>
          <c:showSerName val="0"/>
          <c:showPercent val="0"/>
          <c:showBubbleSize val="0"/>
        </c:dLbls>
        <c:gapWidth val="219"/>
        <c:overlap val="-27"/>
        <c:axId val="170464968"/>
        <c:axId val="170466376"/>
      </c:barChart>
      <c:catAx>
        <c:axId val="170464968"/>
        <c:scaling>
          <c:orientation val="minMax"/>
        </c:scaling>
        <c:delete val="0"/>
        <c:axPos val="b"/>
        <c:title>
          <c:tx>
            <c:rich>
              <a:bodyPr rot="0" spcFirstLastPara="1" vertOverflow="ellipsis" vert="horz" wrap="square" anchor="ctr" anchorCtr="1"/>
              <a:lstStyle/>
              <a:p>
                <a:pPr>
                  <a:defRPr lang="ko-KR" sz="1000" b="0" i="0" u="none" strike="noStrike" kern="1200" baseline="0">
                    <a:solidFill>
                      <a:schemeClr val="tx1">
                        <a:lumMod val="65000"/>
                        <a:lumOff val="35000"/>
                      </a:schemeClr>
                    </a:solidFill>
                    <a:latin typeface="+mn-lt"/>
                    <a:ea typeface="+mn-ea"/>
                    <a:cs typeface="+mn-cs"/>
                  </a:defRPr>
                </a:pPr>
                <a:r>
                  <a:rPr lang="en-IN"/>
                  <a:t>Year</a:t>
                </a:r>
              </a:p>
            </c:rich>
          </c:tx>
          <c:layout>
            <c:manualLayout>
              <c:xMode val="edge"/>
              <c:yMode val="edge"/>
              <c:x val="0.51465214911169588"/>
              <c:y val="0.7463844867492829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ko-KR" sz="900" b="0" i="0" u="none" strike="noStrike" kern="1200" baseline="0">
                <a:solidFill>
                  <a:schemeClr val="tx1">
                    <a:lumMod val="65000"/>
                    <a:lumOff val="35000"/>
                  </a:schemeClr>
                </a:solidFill>
                <a:latin typeface="+mn-lt"/>
                <a:ea typeface="+mn-ea"/>
                <a:cs typeface="+mn-cs"/>
              </a:defRPr>
            </a:pPr>
            <a:endParaRPr lang="en-US"/>
          </a:p>
        </c:txPr>
        <c:crossAx val="170466376"/>
        <c:crosses val="autoZero"/>
        <c:auto val="1"/>
        <c:lblAlgn val="ctr"/>
        <c:lblOffset val="100"/>
        <c:tickLblSkip val="3"/>
        <c:noMultiLvlLbl val="0"/>
      </c:catAx>
      <c:valAx>
        <c:axId val="170466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ko-KR" sz="1000" b="0" i="0" u="none" strike="noStrike" kern="1200" baseline="0">
                    <a:solidFill>
                      <a:schemeClr val="tx1">
                        <a:lumMod val="65000"/>
                        <a:lumOff val="35000"/>
                      </a:schemeClr>
                    </a:solidFill>
                    <a:latin typeface="+mn-lt"/>
                    <a:ea typeface="+mn-ea"/>
                    <a:cs typeface="+mn-cs"/>
                  </a:defRPr>
                </a:pPr>
                <a:r>
                  <a:rPr lang="en-IN" sz="900"/>
                  <a:t>Costco</a:t>
                </a:r>
                <a:r>
                  <a:rPr lang="en-IN" sz="900" baseline="0"/>
                  <a:t> Sales Revenue (USD Billion)</a:t>
                </a:r>
                <a:endParaRPr lang="en-IN" sz="900"/>
              </a:p>
            </c:rich>
          </c:tx>
          <c:layout>
            <c:manualLayout>
              <c:xMode val="edge"/>
              <c:yMode val="edge"/>
              <c:x val="2.4075289997811337E-2"/>
              <c:y val="1.0866612333604999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ko-KR" sz="900" b="0" i="0" u="none" strike="noStrike" kern="1200" baseline="0">
                <a:solidFill>
                  <a:schemeClr val="tx1">
                    <a:lumMod val="65000"/>
                    <a:lumOff val="35000"/>
                  </a:schemeClr>
                </a:solidFill>
                <a:latin typeface="+mn-lt"/>
                <a:ea typeface="+mn-ea"/>
                <a:cs typeface="+mn-cs"/>
              </a:defRPr>
            </a:pPr>
            <a:endParaRPr lang="en-US"/>
          </a:p>
        </c:txPr>
        <c:crossAx val="17046496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0.06715</cdr:x>
      <cdr:y>0.80556</cdr:y>
    </cdr:from>
    <cdr:to>
      <cdr:x>0.99647</cdr:x>
      <cdr:y>0.99074</cdr:y>
    </cdr:to>
    <cdr:grpSp>
      <cdr:nvGrpSpPr>
        <cdr:cNvPr id="14" name="Group 13"/>
        <cdr:cNvGrpSpPr/>
      </cdr:nvGrpSpPr>
      <cdr:grpSpPr>
        <a:xfrm xmlns:a="http://schemas.openxmlformats.org/drawingml/2006/main">
          <a:off x="361951" y="2486024"/>
          <a:ext cx="5009514" cy="571501"/>
          <a:chOff x="381001" y="2505074"/>
          <a:chExt cx="5009514" cy="571501"/>
        </a:xfrm>
      </cdr:grpSpPr>
      <cdr:grpSp>
        <cdr:nvGrpSpPr>
          <cdr:cNvPr id="5" name="Group 4"/>
          <cdr:cNvGrpSpPr/>
        </cdr:nvGrpSpPr>
        <cdr:grpSpPr>
          <a:xfrm xmlns:a="http://schemas.openxmlformats.org/drawingml/2006/main">
            <a:off x="381001" y="2505074"/>
            <a:ext cx="2857500" cy="561975"/>
            <a:chOff x="381001" y="2505074"/>
            <a:chExt cx="2857500" cy="561975"/>
          </a:xfrm>
        </cdr:grpSpPr>
        <cdr:sp macro="" textlink="">
          <cdr:nvSpPr>
            <cdr:cNvPr id="2" name="Rectangle 1"/>
            <cdr:cNvSpPr/>
          </cdr:nvSpPr>
          <cdr:spPr>
            <a:xfrm xmlns:a="http://schemas.openxmlformats.org/drawingml/2006/main">
              <a:off x="381001" y="2505074"/>
              <a:ext cx="2857500" cy="561975"/>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en-US" sz="900">
                  <a:solidFill>
                    <a:schemeClr val="tx1"/>
                  </a:solidFill>
                </a:rPr>
                <a:t>       Operating</a:t>
              </a:r>
              <a:r>
                <a:rPr lang="en-US" sz="900" baseline="0">
                  <a:solidFill>
                    <a:schemeClr val="tx1"/>
                  </a:solidFill>
                </a:rPr>
                <a:t> Income - Total </a:t>
              </a:r>
            </a:p>
            <a:p xmlns:a="http://schemas.openxmlformats.org/drawingml/2006/main">
              <a:r>
                <a:rPr lang="en-US" sz="900" baseline="0">
                  <a:solidFill>
                    <a:schemeClr val="tx1"/>
                  </a:solidFill>
                </a:rPr>
                <a:t>       Operating Income - </a:t>
              </a:r>
              <a:r>
                <a:rPr lang="en-US" sz="800" baseline="0">
                  <a:solidFill>
                    <a:schemeClr val="tx1"/>
                  </a:solidFill>
                </a:rPr>
                <a:t>International Operations</a:t>
              </a:r>
              <a:endParaRPr lang="en-US" sz="800">
                <a:solidFill>
                  <a:schemeClr val="tx1"/>
                </a:solidFill>
              </a:endParaRPr>
            </a:p>
          </cdr:txBody>
        </cdr:sp>
        <cdr:sp macro="" textlink="">
          <cdr:nvSpPr>
            <cdr:cNvPr id="3" name="Rectangle 2"/>
            <cdr:cNvSpPr/>
          </cdr:nvSpPr>
          <cdr:spPr>
            <a:xfrm xmlns:a="http://schemas.openxmlformats.org/drawingml/2006/main">
              <a:off x="400050" y="2590801"/>
              <a:ext cx="209550" cy="57149"/>
            </a:xfrm>
            <a:prstGeom xmlns:a="http://schemas.openxmlformats.org/drawingml/2006/main" prst="rect">
              <a:avLst/>
            </a:prstGeom>
            <a:solidFill xmlns:a="http://schemas.openxmlformats.org/drawingml/2006/main">
              <a:schemeClr val="tx1">
                <a:lumMod val="65000"/>
                <a:lumOff val="35000"/>
              </a:scheme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sp macro="" textlink="">
          <cdr:nvSpPr>
            <cdr:cNvPr id="4" name="Rectangle 3"/>
            <cdr:cNvSpPr/>
          </cdr:nvSpPr>
          <cdr:spPr>
            <a:xfrm xmlns:a="http://schemas.openxmlformats.org/drawingml/2006/main">
              <a:off x="393700" y="2727326"/>
              <a:ext cx="206375" cy="63499"/>
            </a:xfrm>
            <a:prstGeom xmlns:a="http://schemas.openxmlformats.org/drawingml/2006/main" prst="rect">
              <a:avLst/>
            </a:prstGeom>
            <a:solidFill xmlns:a="http://schemas.openxmlformats.org/drawingml/2006/main">
              <a:schemeClr val="bg1">
                <a:lumMod val="65000"/>
              </a:schemeClr>
            </a:solidFill>
            <a:ln xmlns:a="http://schemas.openxmlformats.org/drawingml/2006/main" w="3175">
              <a:solidFill>
                <a:schemeClr val="bg1">
                  <a:lumMod val="65000"/>
                </a:schemeClr>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grpSp>
      <cdr:grpSp>
        <cdr:nvGrpSpPr>
          <cdr:cNvPr id="13" name="Group 12"/>
          <cdr:cNvGrpSpPr/>
        </cdr:nvGrpSpPr>
        <cdr:grpSpPr>
          <a:xfrm xmlns:a="http://schemas.openxmlformats.org/drawingml/2006/main">
            <a:off x="2533015" y="2514600"/>
            <a:ext cx="2857500" cy="561975"/>
            <a:chOff x="2374901" y="2352675"/>
            <a:chExt cx="2857500" cy="561975"/>
          </a:xfrm>
        </cdr:grpSpPr>
        <cdr:grpSp>
          <cdr:nvGrpSpPr>
            <cdr:cNvPr id="6" name="Group 5"/>
            <cdr:cNvGrpSpPr/>
          </cdr:nvGrpSpPr>
          <cdr:grpSpPr>
            <a:xfrm xmlns:a="http://schemas.openxmlformats.org/drawingml/2006/main">
              <a:off x="2374901" y="2352675"/>
              <a:ext cx="2857500" cy="561975"/>
              <a:chOff x="381001" y="2505074"/>
              <a:chExt cx="2857500" cy="561975"/>
            </a:xfrm>
          </cdr:grpSpPr>
          <cdr:sp macro="" textlink="">
            <cdr:nvSpPr>
              <cdr:cNvPr id="7" name="Rectangle 6"/>
              <cdr:cNvSpPr/>
            </cdr:nvSpPr>
            <cdr:spPr>
              <a:xfrm xmlns:a="http://schemas.openxmlformats.org/drawingml/2006/main">
                <a:off x="381001" y="2505074"/>
                <a:ext cx="2857500" cy="561975"/>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r>
                  <a:rPr lang="en-US" sz="900" baseline="0">
                    <a:solidFill>
                      <a:schemeClr val="tx1"/>
                    </a:solidFill>
                  </a:rPr>
                  <a:t>                 Number of Warehouses - </a:t>
                </a:r>
                <a:r>
                  <a:rPr lang="en-US" sz="800" baseline="0">
                    <a:solidFill>
                      <a:schemeClr val="tx1"/>
                    </a:solidFill>
                  </a:rPr>
                  <a:t>International Operations</a:t>
                </a:r>
              </a:p>
              <a:p xmlns:a="http://schemas.openxmlformats.org/drawingml/2006/main">
                <a:r>
                  <a:rPr lang="en-US" sz="900">
                    <a:solidFill>
                      <a:schemeClr val="tx1"/>
                    </a:solidFill>
                  </a:rPr>
                  <a:t>              </a:t>
                </a:r>
                <a:r>
                  <a:rPr lang="en-US" sz="900" baseline="0">
                    <a:solidFill>
                      <a:schemeClr val="tx1"/>
                    </a:solidFill>
                  </a:rPr>
                  <a:t>   Number of Warehouses - Total </a:t>
                </a:r>
                <a:endParaRPr lang="en-US" sz="900">
                  <a:solidFill>
                    <a:schemeClr val="tx1"/>
                  </a:solidFill>
                </a:endParaRPr>
              </a:p>
            </cdr:txBody>
          </cdr:sp>
        </cdr:grpSp>
        <cdr:cxnSp macro="">
          <cdr:nvCxnSpPr>
            <cdr:cNvPr id="11" name="Straight Connector 10"/>
            <cdr:cNvCxnSpPr/>
          </cdr:nvCxnSpPr>
          <cdr:spPr>
            <a:xfrm xmlns:a="http://schemas.openxmlformats.org/drawingml/2006/main">
              <a:off x="2647950" y="2457450"/>
              <a:ext cx="190500" cy="0"/>
            </a:xfrm>
            <a:prstGeom xmlns:a="http://schemas.openxmlformats.org/drawingml/2006/main" prst="line">
              <a:avLst/>
            </a:prstGeom>
            <a:ln xmlns:a="http://schemas.openxmlformats.org/drawingml/2006/main" w="28575">
              <a:solidFill>
                <a:schemeClr val="tx1">
                  <a:lumMod val="75000"/>
                  <a:lumOff val="2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2" name="Straight Connector 11"/>
            <cdr:cNvCxnSpPr/>
          </cdr:nvCxnSpPr>
          <cdr:spPr>
            <a:xfrm xmlns:a="http://schemas.openxmlformats.org/drawingml/2006/main">
              <a:off x="2651125" y="2613025"/>
              <a:ext cx="190500" cy="0"/>
            </a:xfrm>
            <a:prstGeom xmlns:a="http://schemas.openxmlformats.org/drawingml/2006/main" prst="line">
              <a:avLst/>
            </a:prstGeom>
            <a:ln xmlns:a="http://schemas.openxmlformats.org/drawingml/2006/main" w="28575">
              <a:solidFill>
                <a:schemeClr val="bg1">
                  <a:lumMod val="6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grpSp>
    </cdr:grpSp>
  </cdr:relSizeAnchor>
</c:userShapes>
</file>

<file path=word/drawings/drawing2.xml><?xml version="1.0" encoding="utf-8"?>
<c:userShapes xmlns:c="http://schemas.openxmlformats.org/drawingml/2006/chart">
  <cdr:relSizeAnchor xmlns:cdr="http://schemas.openxmlformats.org/drawingml/2006/chartDrawing">
    <cdr:from>
      <cdr:x>0.21591</cdr:x>
      <cdr:y>0.83553</cdr:y>
    </cdr:from>
    <cdr:to>
      <cdr:x>0.89462</cdr:x>
      <cdr:y>0.9789</cdr:y>
    </cdr:to>
    <cdr:grpSp>
      <cdr:nvGrpSpPr>
        <cdr:cNvPr id="8" name="Group 7"/>
        <cdr:cNvGrpSpPr/>
      </cdr:nvGrpSpPr>
      <cdr:grpSpPr>
        <a:xfrm xmlns:a="http://schemas.openxmlformats.org/drawingml/2006/main">
          <a:off x="1252857" y="1886137"/>
          <a:ext cx="3938268" cy="323664"/>
          <a:chOff x="422275" y="1714687"/>
          <a:chExt cx="5206999" cy="323664"/>
        </a:xfrm>
      </cdr:grpSpPr>
      <cdr:sp macro="" textlink="">
        <cdr:nvSpPr>
          <cdr:cNvPr id="5" name="Rectangle 4"/>
          <cdr:cNvSpPr/>
        </cdr:nvSpPr>
        <cdr:spPr>
          <a:xfrm xmlns:a="http://schemas.openxmlformats.org/drawingml/2006/main">
            <a:off x="422275" y="1714687"/>
            <a:ext cx="5206999" cy="323664"/>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r>
              <a:rPr lang="en-US" sz="900">
                <a:solidFill>
                  <a:schemeClr val="tx1"/>
                </a:solidFill>
              </a:rPr>
              <a:t>       Revenue - International Operations</a:t>
            </a:r>
            <a:r>
              <a:rPr lang="en-US" sz="800" baseline="0">
                <a:solidFill>
                  <a:schemeClr val="tx1"/>
                </a:solidFill>
              </a:rPr>
              <a:t>                  </a:t>
            </a:r>
            <a:r>
              <a:rPr lang="en-US" sz="1000" baseline="0">
                <a:solidFill>
                  <a:schemeClr val="tx1"/>
                </a:solidFill>
              </a:rPr>
              <a:t>Revenue - Total</a:t>
            </a:r>
            <a:endParaRPr lang="en-US" sz="900" baseline="0">
              <a:solidFill>
                <a:schemeClr val="tx1"/>
              </a:solidFill>
            </a:endParaRPr>
          </a:p>
        </cdr:txBody>
      </cdr:sp>
      <cdr:sp macro="" textlink="">
        <cdr:nvSpPr>
          <cdr:cNvPr id="6" name="Rectangle 5"/>
          <cdr:cNvSpPr/>
        </cdr:nvSpPr>
        <cdr:spPr>
          <a:xfrm xmlns:a="http://schemas.openxmlformats.org/drawingml/2006/main">
            <a:off x="3314470" y="1806677"/>
            <a:ext cx="88900" cy="69911"/>
          </a:xfrm>
          <a:prstGeom xmlns:a="http://schemas.openxmlformats.org/drawingml/2006/main" prst="rect">
            <a:avLst/>
          </a:prstGeom>
          <a:solidFill xmlns:a="http://schemas.openxmlformats.org/drawingml/2006/main">
            <a:schemeClr val="tx1">
              <a:lumMod val="65000"/>
              <a:lumOff val="35000"/>
            </a:scheme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sp macro="" textlink="">
        <cdr:nvSpPr>
          <cdr:cNvPr id="7" name="Rectangle 6"/>
          <cdr:cNvSpPr/>
        </cdr:nvSpPr>
        <cdr:spPr>
          <a:xfrm xmlns:a="http://schemas.openxmlformats.org/drawingml/2006/main">
            <a:off x="574498" y="1800544"/>
            <a:ext cx="63227" cy="66356"/>
          </a:xfrm>
          <a:prstGeom xmlns:a="http://schemas.openxmlformats.org/drawingml/2006/main" prst="rect">
            <a:avLst/>
          </a:prstGeom>
          <a:solidFill xmlns:a="http://schemas.openxmlformats.org/drawingml/2006/main">
            <a:schemeClr val="bg1">
              <a:lumMod val="65000"/>
            </a:schemeClr>
          </a:solidFill>
          <a:ln xmlns:a="http://schemas.openxmlformats.org/drawingml/2006/main" w="3175">
            <a:solidFill>
              <a:schemeClr val="bg1">
                <a:lumMod val="65000"/>
              </a:schemeClr>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grp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4B8A47-561E-465F-8210-558BA6B26268}">
  <we:reference id="wa104043061"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1CE4D-F727-4A5C-B17B-5683A8B6A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5270</Words>
  <Characters>30039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Shareef, Huma</cp:lastModifiedBy>
  <cp:revision>2</cp:revision>
  <cp:lastPrinted>2015-03-04T20:34:00Z</cp:lastPrinted>
  <dcterms:created xsi:type="dcterms:W3CDTF">2019-09-03T13:56:00Z</dcterms:created>
  <dcterms:modified xsi:type="dcterms:W3CDTF">2019-09-03T13:56:00Z</dcterms:modified>
</cp:coreProperties>
</file>