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969B43" w14:textId="4404121D" w:rsidR="00ED5338" w:rsidRPr="00870B30" w:rsidRDefault="001D1E52" w:rsidP="008467D5">
      <w:pPr>
        <w:pBdr>
          <w:bottom w:val="single" w:sz="18" w:space="1" w:color="auto"/>
        </w:pBdr>
        <w:tabs>
          <w:tab w:val="left" w:pos="-1440"/>
          <w:tab w:val="left" w:pos="-720"/>
          <w:tab w:val="left" w:pos="1"/>
        </w:tabs>
        <w:jc w:val="both"/>
        <w:rPr>
          <w:rFonts w:ascii="Arial" w:hAnsi="Arial"/>
          <w:b/>
          <w:sz w:val="24"/>
        </w:rPr>
      </w:pPr>
      <w:r w:rsidRPr="001D1E52">
        <w:rPr>
          <w:rFonts w:ascii="Arial" w:hAnsi="Arial"/>
          <w:b/>
          <w:noProof/>
          <w:sz w:val="24"/>
          <w:lang w:val="en-CA" w:eastAsia="en-CA"/>
        </w:rPr>
        <w:drawing>
          <wp:inline distT="0" distB="0" distL="0" distR="0" wp14:anchorId="1EFC736C" wp14:editId="55E4C26F">
            <wp:extent cx="2613804" cy="5512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1DF7E4E0" w14:textId="519C1F11" w:rsidR="00D75295" w:rsidRPr="00870B30" w:rsidRDefault="001D1E52" w:rsidP="00F105B7">
      <w:pPr>
        <w:pStyle w:val="ProductNumber"/>
      </w:pPr>
      <w:r>
        <w:t>9B19M026</w:t>
      </w:r>
    </w:p>
    <w:p w14:paraId="4A142045" w14:textId="77777777" w:rsidR="00D75295" w:rsidRPr="00870B30" w:rsidRDefault="00D75295" w:rsidP="00D75295">
      <w:pPr>
        <w:jc w:val="right"/>
        <w:rPr>
          <w:rFonts w:ascii="Arial" w:hAnsi="Arial"/>
          <w:b/>
          <w:sz w:val="28"/>
          <w:szCs w:val="28"/>
        </w:rPr>
      </w:pPr>
    </w:p>
    <w:p w14:paraId="0126C811" w14:textId="77777777" w:rsidR="00013360" w:rsidRPr="00870B30" w:rsidRDefault="00013360" w:rsidP="00D75295">
      <w:pPr>
        <w:jc w:val="right"/>
        <w:rPr>
          <w:rFonts w:ascii="Arial" w:hAnsi="Arial"/>
          <w:b/>
          <w:sz w:val="28"/>
          <w:szCs w:val="28"/>
        </w:rPr>
      </w:pPr>
    </w:p>
    <w:p w14:paraId="47D5F537" w14:textId="798D7098" w:rsidR="00870B30" w:rsidRPr="00870B30" w:rsidRDefault="000C5631" w:rsidP="00013360">
      <w:pPr>
        <w:pStyle w:val="CaseTitle"/>
        <w:spacing w:after="0" w:line="240" w:lineRule="auto"/>
        <w:rPr>
          <w:sz w:val="20"/>
          <w:szCs w:val="20"/>
        </w:rPr>
      </w:pPr>
      <w:r w:rsidRPr="00870B30">
        <w:rPr>
          <w:rFonts w:eastAsia="Times New Roman"/>
          <w:szCs w:val="20"/>
        </w:rPr>
        <w:t>Synergy Pharmaceuticals: Scaling Up with a Licence or Going It Alone?</w:t>
      </w:r>
      <w:r w:rsidR="00870B30" w:rsidRPr="00870B30">
        <w:rPr>
          <w:rStyle w:val="FootnoteReference"/>
        </w:rPr>
        <w:footnoteReference w:id="1"/>
      </w:r>
    </w:p>
    <w:p w14:paraId="762D0BEE" w14:textId="77777777" w:rsidR="00870B30" w:rsidRPr="00870B30" w:rsidRDefault="00870B30" w:rsidP="00013360">
      <w:pPr>
        <w:pStyle w:val="CaseTitle"/>
        <w:spacing w:after="0" w:line="240" w:lineRule="auto"/>
        <w:rPr>
          <w:sz w:val="20"/>
          <w:szCs w:val="20"/>
        </w:rPr>
      </w:pPr>
    </w:p>
    <w:p w14:paraId="392FA3AB" w14:textId="77777777" w:rsidR="00870B30" w:rsidRPr="00870B30" w:rsidRDefault="00870B30" w:rsidP="00013360">
      <w:pPr>
        <w:pStyle w:val="CaseTitle"/>
        <w:spacing w:after="0" w:line="240" w:lineRule="auto"/>
        <w:rPr>
          <w:sz w:val="20"/>
          <w:szCs w:val="20"/>
        </w:rPr>
      </w:pPr>
    </w:p>
    <w:p w14:paraId="73A6BAD9" w14:textId="4875CC76" w:rsidR="00870B30" w:rsidRPr="00870B30" w:rsidRDefault="00870B30" w:rsidP="00627C63">
      <w:pPr>
        <w:pStyle w:val="StyleCopyrightStatementAfter0ptBottomSinglesolidline1"/>
      </w:pPr>
      <w:r w:rsidRPr="00870B30">
        <w:t>William Andrews</w:t>
      </w:r>
      <w:r w:rsidRPr="00870B30">
        <w:rPr>
          <w:color w:val="auto"/>
        </w:rPr>
        <w:t xml:space="preserve"> wrote this case s</w:t>
      </w:r>
      <w:r w:rsidRPr="00870B30">
        <w:t>olely to provide material for class discussion. The author does not intend to illustrate either effective or ineffective handling of a managerial situation. The author may have disguised certain names and other identifying information to protect confidentiality.</w:t>
      </w:r>
    </w:p>
    <w:p w14:paraId="5E5B0DF7" w14:textId="77777777" w:rsidR="00870B30" w:rsidRDefault="00870B30" w:rsidP="00751E0B">
      <w:pPr>
        <w:pStyle w:val="StyleCopyrightStatementAfter0ptBottomSinglesolidline1"/>
      </w:pPr>
    </w:p>
    <w:p w14:paraId="3DDFCBB0" w14:textId="77777777" w:rsidR="001D1E52" w:rsidRDefault="001D1E52" w:rsidP="001D1E52">
      <w:pPr>
        <w:pStyle w:val="StyleStyleCopyrightStatementAfter0ptBottomSinglesolid"/>
        <w:rPr>
          <w:rFonts w:cs="Arial"/>
          <w:color w:val="FFFFFF" w:themeColor="background1"/>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0E309390" w14:textId="77777777" w:rsidR="001D1E52" w:rsidRDefault="001D1E52" w:rsidP="001D1E52">
      <w:pPr>
        <w:pStyle w:val="StyleStyleCopyrightStatementAfter0ptBottomSinglesolid"/>
        <w:rPr>
          <w:rFonts w:cs="Arial"/>
          <w:color w:val="FFFFFF" w:themeColor="background1"/>
          <w:szCs w:val="16"/>
        </w:rPr>
      </w:pPr>
    </w:p>
    <w:p w14:paraId="6D1A4B52" w14:textId="4A1721DF" w:rsidR="00870B30" w:rsidRPr="00870B30" w:rsidRDefault="001D1E52" w:rsidP="00751E0B">
      <w:pPr>
        <w:pStyle w:val="StyleStyleCopyrightStatementAfter0ptBottomSinglesolid"/>
        <w:rPr>
          <w:rFonts w:cs="Arial"/>
          <w:color w:val="FFFFFF" w:themeColor="background1"/>
          <w:szCs w:val="16"/>
        </w:rPr>
      </w:pPr>
      <w:r>
        <w:rPr>
          <w:rFonts w:cs="Arial"/>
          <w:iCs w:val="0"/>
          <w:color w:val="auto"/>
          <w:szCs w:val="16"/>
        </w:rPr>
        <w:t>Copyright © 2019</w:t>
      </w:r>
      <w:r w:rsidRPr="00A323B0">
        <w:rPr>
          <w:rFonts w:cs="Arial"/>
          <w:iCs w:val="0"/>
          <w:color w:val="auto"/>
          <w:szCs w:val="16"/>
        </w:rPr>
        <w:t xml:space="preserve">, </w:t>
      </w:r>
      <w:r w:rsidRPr="00A323B0">
        <w:rPr>
          <w:rFonts w:cs="Arial"/>
          <w:iCs w:val="0"/>
          <w:color w:val="auto"/>
          <w:szCs w:val="16"/>
          <w:lang w:val="en-CA"/>
        </w:rPr>
        <w:t>Ivey Business School Foundation</w:t>
      </w:r>
      <w:r w:rsidR="00870B30" w:rsidRPr="00870B30">
        <w:rPr>
          <w:rFonts w:cs="Arial"/>
          <w:szCs w:val="16"/>
        </w:rPr>
        <w:tab/>
      </w:r>
      <w:r w:rsidR="00870B30" w:rsidRPr="00870B30">
        <w:t>Version: 2019-0</w:t>
      </w:r>
      <w:r w:rsidR="00ED5338">
        <w:t>4</w:t>
      </w:r>
      <w:r w:rsidR="00870B30" w:rsidRPr="00870B30">
        <w:t>-</w:t>
      </w:r>
      <w:r w:rsidR="00EE4DC2">
        <w:t>18</w:t>
      </w:r>
    </w:p>
    <w:p w14:paraId="24C87CA1" w14:textId="77777777" w:rsidR="00870B30" w:rsidRPr="00870B30" w:rsidRDefault="00870B30" w:rsidP="00751E0B">
      <w:pPr>
        <w:pStyle w:val="StyleCopyrightStatementAfter0ptBottomSinglesolidline1"/>
        <w:rPr>
          <w:rFonts w:ascii="Times New Roman" w:hAnsi="Times New Roman"/>
          <w:szCs w:val="16"/>
        </w:rPr>
      </w:pPr>
    </w:p>
    <w:p w14:paraId="3A61FF6F" w14:textId="77777777" w:rsidR="00870B30" w:rsidRPr="00870B30" w:rsidRDefault="00870B30" w:rsidP="004B632F">
      <w:pPr>
        <w:pStyle w:val="StyleCopyrightStatementAfter0ptBottomSinglesolidline1"/>
        <w:rPr>
          <w:rFonts w:ascii="Times New Roman" w:hAnsi="Times New Roman"/>
          <w:szCs w:val="16"/>
        </w:rPr>
      </w:pPr>
    </w:p>
    <w:p w14:paraId="5C912216" w14:textId="353015AC" w:rsidR="00870B30" w:rsidRPr="00870B30" w:rsidRDefault="00870B30" w:rsidP="00E46216">
      <w:pPr>
        <w:pStyle w:val="BodyTextMain"/>
      </w:pPr>
      <w:r w:rsidRPr="00870B30">
        <w:t>In January 2017, after more than a decade of scientific research, regulatory engagement, and commercial development, Synergy Pharmaceuticals Inc. (Synergy) received marketing approval from the U.S. Food and Drug Administration (FDA) for the company’s first drug. The approved drug, Trulance, targeted more than 33 million adults in the United States suffering from chronic idiopathic constipation (CIC). This was followed in January 2018 by the drug’s approval for treatment of irritable bowel syndrome with constipation (</w:t>
      </w:r>
      <w:r w:rsidR="00EE4DC2">
        <w:t>IBS-C), which was estimated to a</w:t>
      </w:r>
      <w:r w:rsidRPr="00870B30">
        <w:t>ffect 4–5 per cent of the U.S. population.</w:t>
      </w:r>
      <w:r w:rsidRPr="00870B30">
        <w:rPr>
          <w:rStyle w:val="FootnoteReference"/>
        </w:rPr>
        <w:footnoteReference w:id="2"/>
      </w:r>
      <w:r w:rsidRPr="00870B30">
        <w:t xml:space="preserve"> Trulance was positioned to capture a significant share of the market that, at the time, had only two approved competitors: Linzess, developed and marketed by Ironwood Pharmaceuticals Inc. and Forest Laboratories, and Amitiza, developed by Sucampo Pharmaceuticals Inc. Significantly, Synergy’s Trulance had shown a more favourable safety profile, primarily related to the absence of certain side effects common to Linzess,</w:t>
      </w:r>
      <w:r w:rsidRPr="00870B30">
        <w:rPr>
          <w:rStyle w:val="FootnoteReference"/>
        </w:rPr>
        <w:footnoteReference w:id="3"/>
      </w:r>
      <w:r w:rsidRPr="00870B30">
        <w:t xml:space="preserve"> but Linzess had a five-year head start</w:t>
      </w:r>
      <w:r w:rsidRPr="00870B30">
        <w:rPr>
          <w:rStyle w:val="FootnoteReference"/>
        </w:rPr>
        <w:footnoteReference w:id="4"/>
      </w:r>
      <w:r w:rsidRPr="00870B30">
        <w:t xml:space="preserve"> in the market and was already generating over US$700 million in annual product sales.</w:t>
      </w:r>
      <w:r w:rsidRPr="00870B30">
        <w:rPr>
          <w:rStyle w:val="FootnoteReference"/>
        </w:rPr>
        <w:footnoteReference w:id="5"/>
      </w:r>
      <w:r w:rsidRPr="00870B30">
        <w:t xml:space="preserve"> Amitiza had 201</w:t>
      </w:r>
      <w:r w:rsidR="00DB4EBA">
        <w:t xml:space="preserve">7 </w:t>
      </w:r>
      <w:r w:rsidRPr="00870B30">
        <w:t>sales of about US$2</w:t>
      </w:r>
      <w:r w:rsidR="00DB4EBA">
        <w:t>5</w:t>
      </w:r>
      <w:r w:rsidRPr="00870B30">
        <w:t>0 million.</w:t>
      </w:r>
      <w:r w:rsidR="0035108E">
        <w:rPr>
          <w:rStyle w:val="FootnoteReference"/>
        </w:rPr>
        <w:footnoteReference w:id="6"/>
      </w:r>
    </w:p>
    <w:p w14:paraId="4C74F497" w14:textId="77777777" w:rsidR="00870B30" w:rsidRPr="00870B30" w:rsidRDefault="00870B30" w:rsidP="00E46216">
      <w:pPr>
        <w:pStyle w:val="BodyTextMain"/>
      </w:pPr>
    </w:p>
    <w:p w14:paraId="08D73754" w14:textId="7342CC3C" w:rsidR="00870B30" w:rsidRPr="00870B30" w:rsidRDefault="00870B30" w:rsidP="00E46216">
      <w:pPr>
        <w:pStyle w:val="BodyTextMain"/>
      </w:pPr>
      <w:r w:rsidRPr="00870B30">
        <w:t xml:space="preserve">The immediate question for Synergy was how to scale up the organization from a research and development organization to a sales and marketing powerhouse. The company had virtually no sales or marketing </w:t>
      </w:r>
      <w:r w:rsidRPr="00870B30">
        <w:lastRenderedPageBreak/>
        <w:t xml:space="preserve">capability in house. Typically, small drug development companies like Synergy would partner with a large “Big Pharma” company during the regulatory review process; it was a common method for financing the expensive drug approval process. The arrangement typically meant that the small drug company effectively outsourced its sales and marketing function with a licensing deal. </w:t>
      </w:r>
    </w:p>
    <w:p w14:paraId="14F271BD" w14:textId="77777777" w:rsidR="00870B30" w:rsidRPr="00870B30" w:rsidRDefault="00870B30" w:rsidP="00E46216">
      <w:pPr>
        <w:pStyle w:val="BodyTextMain"/>
      </w:pPr>
    </w:p>
    <w:p w14:paraId="06D82897" w14:textId="64A21C18" w:rsidR="00870B30" w:rsidRPr="00870B30" w:rsidRDefault="00870B30" w:rsidP="00E46216">
      <w:pPr>
        <w:pStyle w:val="BodyTextMain"/>
      </w:pPr>
      <w:r w:rsidRPr="00870B30">
        <w:t>Building out and training a sales force was an expensive, risky, and slow proposition, but Synergy had not had to partner during the development and approval stages; therefore, it still retained 100 per cent of the sales revenue. Gary Jacob, a co-founder and the former chief executive officer (CEO), affirmed the company’s decision not to partner with Big Pharma in a press release: “I am confident that we truly have the right team with the right strategic vision and the right launch plan to successfully bring Trulance into this large but underserved market.”</w:t>
      </w:r>
      <w:r w:rsidRPr="00870B30">
        <w:rPr>
          <w:rStyle w:val="FootnoteReference"/>
        </w:rPr>
        <w:footnoteReference w:id="7"/>
      </w:r>
      <w:r w:rsidRPr="00870B30">
        <w:t xml:space="preserve"> However, in September 2018, with the company heavily indebted and the stock price mired below $2, many wondered if Synergy had made the right decision and whether it should continue its “go-it-alone” strategy for developing the lucrative North American market. It would be up to the new CEO, Troy Hamilton, to review the alternatives. </w:t>
      </w:r>
    </w:p>
    <w:p w14:paraId="2D99DF54" w14:textId="77777777" w:rsidR="00870B30" w:rsidRPr="00870B30" w:rsidRDefault="00870B30" w:rsidP="00E46216">
      <w:pPr>
        <w:pStyle w:val="BodyTextMain"/>
      </w:pPr>
    </w:p>
    <w:p w14:paraId="6B9A1DFA" w14:textId="77777777" w:rsidR="00870B30" w:rsidRPr="00870B30" w:rsidRDefault="00870B30" w:rsidP="00E46216">
      <w:pPr>
        <w:pStyle w:val="BodyTextMain"/>
      </w:pPr>
    </w:p>
    <w:p w14:paraId="02B8D83E" w14:textId="77777777" w:rsidR="00870B30" w:rsidRPr="00870B30" w:rsidRDefault="00870B30" w:rsidP="00990B69">
      <w:pPr>
        <w:pStyle w:val="Casehead1"/>
      </w:pPr>
      <w:r w:rsidRPr="00870B30">
        <w:t>THE DRUG DEVELOPMENT INDUSTRY</w:t>
      </w:r>
    </w:p>
    <w:p w14:paraId="084C7961" w14:textId="77777777" w:rsidR="00870B30" w:rsidRPr="00870B30" w:rsidRDefault="00870B30" w:rsidP="00E46216">
      <w:pPr>
        <w:pStyle w:val="BodyTextMain"/>
      </w:pPr>
    </w:p>
    <w:p w14:paraId="78D920D9" w14:textId="3A1CC020" w:rsidR="00870B30" w:rsidRPr="00870B30" w:rsidRDefault="00870B30" w:rsidP="00E46216">
      <w:pPr>
        <w:pStyle w:val="BodyTextMain"/>
        <w:rPr>
          <w:spacing w:val="-2"/>
          <w:kern w:val="22"/>
        </w:rPr>
      </w:pPr>
      <w:r w:rsidRPr="00870B30">
        <w:rPr>
          <w:spacing w:val="-2"/>
          <w:kern w:val="22"/>
        </w:rPr>
        <w:t>Developing a new therapeutic drug and guiding it through the laborious process of regulatory approval was extremely expensive and time consuming—and consequently risky for early investors. Formal pre-clinical research had to be approved by the FDA before human trials could begin. Three separate trial phases followed—each potentially involving multiple human trials, and each with a larger sample size than in the previous phase. Recent research had estimated the average out-of-pocket cost of an FDA-approved drug for market to be about $1.44 billion, excluding the opportunity cost to the investor, who would typically have to wait more than eight years from proof of concept to approval. Moreover, the technical risk was high, with only about 12 per cent of drugs that entered testing eventually receiving approval.</w:t>
      </w:r>
      <w:r w:rsidRPr="00870B30">
        <w:rPr>
          <w:rStyle w:val="FootnoteReference"/>
          <w:spacing w:val="-2"/>
          <w:kern w:val="22"/>
        </w:rPr>
        <w:footnoteReference w:id="8"/>
      </w:r>
      <w:r w:rsidRPr="00870B30">
        <w:rPr>
          <w:spacing w:val="-2"/>
          <w:kern w:val="22"/>
        </w:rPr>
        <w:t xml:space="preserve"> Until the FDA approved a drug, drug development companies would have nothing to sell, so it was typical for these companies to not have complete management teams until approval seemed forthcoming within a year or so. </w:t>
      </w:r>
    </w:p>
    <w:p w14:paraId="3CCE1A44" w14:textId="77777777" w:rsidR="00870B30" w:rsidRPr="00870B30" w:rsidRDefault="00870B30" w:rsidP="00E46216">
      <w:pPr>
        <w:pStyle w:val="BodyTextMain"/>
      </w:pPr>
    </w:p>
    <w:p w14:paraId="49D266AA" w14:textId="7E05674E" w:rsidR="00870B30" w:rsidRPr="00870B30" w:rsidRDefault="00870B30" w:rsidP="00E46216">
      <w:pPr>
        <w:pStyle w:val="BodyTextMain"/>
      </w:pPr>
      <w:r w:rsidRPr="00870B30">
        <w:t xml:space="preserve">These industry dynamics made financing challenging for the drug development companies. Compared to software or typical manufactured products, drugs could generally not be altered during the development process without having to start the process all over again. Moreover, generally speaking, only those potential consumers who were in the officially registered FDA trial had access to the drug prior to approval, so a beta launch to test the product or the market was not possible. Moreover, </w:t>
      </w:r>
      <w:r w:rsidRPr="00870B30">
        <w:rPr>
          <w:rFonts w:eastAsia="Arial"/>
        </w:rPr>
        <w:t xml:space="preserve">to bring the drug to market, manufacturing, packaging, and supply chain quality control all required the FDA’s approval. </w:t>
      </w:r>
    </w:p>
    <w:p w14:paraId="27B957EF" w14:textId="77777777" w:rsidR="00870B30" w:rsidRPr="00870B30" w:rsidRDefault="00870B30" w:rsidP="00E46216">
      <w:pPr>
        <w:pStyle w:val="BodyTextMain"/>
        <w:rPr>
          <w:rFonts w:eastAsia="Arial"/>
        </w:rPr>
      </w:pPr>
    </w:p>
    <w:p w14:paraId="0C6F2CF1" w14:textId="30590FA0" w:rsidR="00870B30" w:rsidRPr="00870B30" w:rsidRDefault="00870B30" w:rsidP="00E46216">
      <w:pPr>
        <w:pStyle w:val="BodyTextMain"/>
        <w:rPr>
          <w:rFonts w:eastAsia="Arial"/>
        </w:rPr>
      </w:pPr>
      <w:r w:rsidRPr="00870B30">
        <w:rPr>
          <w:rFonts w:eastAsia="Arial"/>
        </w:rPr>
        <w:t xml:space="preserve">To finance the arduous process of drug development, small companies usually cobbled together a patchwork of financing that included equity partnerships, research grants, initial public offerings (IPOs), and licensing agreements. It was not typical for venture capitalists to invest in drug development companies unless the companies were in the latter stages of the approval process. </w:t>
      </w:r>
    </w:p>
    <w:p w14:paraId="201BC71C" w14:textId="77777777" w:rsidR="00870B30" w:rsidRPr="00870B30" w:rsidRDefault="00870B30" w:rsidP="00E46216">
      <w:pPr>
        <w:pStyle w:val="BodyTextMain"/>
        <w:rPr>
          <w:rFonts w:eastAsia="Arial"/>
        </w:rPr>
      </w:pPr>
    </w:p>
    <w:p w14:paraId="66BD471A" w14:textId="555A499C" w:rsidR="00870B30" w:rsidRPr="00870B30" w:rsidRDefault="00870B30" w:rsidP="00E46216">
      <w:pPr>
        <w:pStyle w:val="BodyTextMain"/>
        <w:rPr>
          <w:rFonts w:eastAsia="Arial"/>
        </w:rPr>
      </w:pPr>
      <w:r w:rsidRPr="00870B30">
        <w:rPr>
          <w:rFonts w:eastAsia="Arial"/>
        </w:rPr>
        <w:t xml:space="preserve">It was not particularly difficult to get research funding or grants to get through the less expensive proof-of-concept phase. However, the very expensive FDA approval process started immediately thereafter, requiring many hundreds of millions of dollars and many years before the company would have a product </w:t>
      </w:r>
      <w:r w:rsidRPr="00870B30">
        <w:rPr>
          <w:rFonts w:eastAsia="Arial"/>
        </w:rPr>
        <w:lastRenderedPageBreak/>
        <w:t xml:space="preserve">to sell. Nascent companies would struggle to finance the early stages of FDA trials, but the process would become easier if they entered the final third phase of trials (Phase 3 trials) successfully. </w:t>
      </w:r>
    </w:p>
    <w:p w14:paraId="4F71CE77" w14:textId="77777777" w:rsidR="00870B30" w:rsidRPr="00870B30" w:rsidRDefault="00870B30" w:rsidP="00E46216">
      <w:pPr>
        <w:pStyle w:val="BodyTextMain"/>
        <w:rPr>
          <w:rFonts w:eastAsia="Arial"/>
        </w:rPr>
      </w:pPr>
    </w:p>
    <w:p w14:paraId="110CB58B" w14:textId="7B828CB0" w:rsidR="00870B30" w:rsidRPr="00870B30" w:rsidRDefault="00870B30">
      <w:pPr>
        <w:pStyle w:val="BodyTextMain"/>
        <w:rPr>
          <w:rFonts w:eastAsia="Arial"/>
        </w:rPr>
      </w:pPr>
      <w:r w:rsidRPr="00870B30">
        <w:rPr>
          <w:rFonts w:eastAsia="Arial"/>
        </w:rPr>
        <w:t>The risky phase, when the funding required was significantly greater than the funding available, was referred to in the industry as the “valley of death” (see Exhibit 1).</w:t>
      </w:r>
      <w:r w:rsidRPr="00870B30">
        <w:rPr>
          <w:rStyle w:val="FootnoteReference"/>
          <w:rFonts w:eastAsia="Arial"/>
        </w:rPr>
        <w:footnoteReference w:id="9"/>
      </w:r>
      <w:r w:rsidRPr="00870B30">
        <w:rPr>
          <w:rFonts w:eastAsia="Arial"/>
        </w:rPr>
        <w:t xml:space="preserve"> To bridge this valley of death, a drug development company would often seek a marketing partner in the early stages of FDA trials. The typical arrangement was a licensing agreement, which required the Big Pharma marketing partner, the licensee, to fund or partially fund the FDA trials with the promise that, in return, the licensee would have exclusive marketing rights once the product was approved. This arrangement served two purposes for the drug development company (the licensor): it helped bridge the valley of death, and it ensured the company of sales and marketing capabilities once the drug had FDA approval. The licensor would receive an up-front payment from the licensee recognizing the expense that had already gone into developing the drug. In addition, the licensor would typically receive royalties based on eventual product sales. </w:t>
      </w:r>
    </w:p>
    <w:p w14:paraId="40FF5EE1" w14:textId="77777777" w:rsidR="00870B30" w:rsidRPr="00870B30" w:rsidRDefault="00870B30" w:rsidP="00E46216">
      <w:pPr>
        <w:pStyle w:val="BodyTextMain"/>
        <w:rPr>
          <w:rFonts w:eastAsia="Arial"/>
        </w:rPr>
      </w:pPr>
    </w:p>
    <w:p w14:paraId="4BDD42E0" w14:textId="1ADF3640" w:rsidR="00870B30" w:rsidRPr="00870B30" w:rsidRDefault="00870B30" w:rsidP="00E46216">
      <w:pPr>
        <w:pStyle w:val="BodyTextMain"/>
        <w:rPr>
          <w:rFonts w:eastAsia="Arial"/>
          <w:spacing w:val="-4"/>
          <w:kern w:val="22"/>
        </w:rPr>
      </w:pPr>
      <w:r w:rsidRPr="00870B30">
        <w:rPr>
          <w:rFonts w:eastAsia="Arial"/>
          <w:spacing w:val="-4"/>
          <w:kern w:val="22"/>
        </w:rPr>
        <w:t>It was highly unusual for a drug development company to endure the expensive approval process without partnering away much of its future revenue. If the company retained the rights to all of its revenue through the development process, the company usually arrived at approval with a depleted balance sheet and without resources for launching the expensive marketing and sales campaign that would then be required. Consequently, it was expected that a company would partner once the approval was in hand, if it had not partnered already. Partnering at this late stage was usually rewarded by a licensing agreement that included a larger up-front payment and higher royalties on sales since approval risk was no longer a concern to the licensee.</w:t>
      </w:r>
      <w:r w:rsidRPr="00870B30">
        <w:rPr>
          <w:rStyle w:val="FootnoteReference"/>
          <w:rFonts w:eastAsia="Arial"/>
          <w:spacing w:val="-4"/>
          <w:kern w:val="22"/>
        </w:rPr>
        <w:footnoteReference w:id="10"/>
      </w:r>
      <w:r w:rsidRPr="00870B30" w:rsidDel="008D4F8B">
        <w:rPr>
          <w:rFonts w:eastAsia="Arial"/>
          <w:spacing w:val="-4"/>
          <w:kern w:val="22"/>
        </w:rPr>
        <w:t xml:space="preserve"> </w:t>
      </w:r>
    </w:p>
    <w:p w14:paraId="127D0293" w14:textId="77777777" w:rsidR="00870B30" w:rsidRPr="00870B30" w:rsidRDefault="00870B30" w:rsidP="00E46216">
      <w:pPr>
        <w:pStyle w:val="BodyTextMain"/>
        <w:rPr>
          <w:rFonts w:eastAsia="Arial"/>
          <w:spacing w:val="-4"/>
          <w:kern w:val="22"/>
        </w:rPr>
      </w:pPr>
    </w:p>
    <w:p w14:paraId="60D87387" w14:textId="77777777" w:rsidR="00870B30" w:rsidRPr="00870B30" w:rsidRDefault="00870B30" w:rsidP="00E46216">
      <w:pPr>
        <w:pStyle w:val="BodyTextMain"/>
        <w:rPr>
          <w:rFonts w:eastAsia="Arial"/>
          <w:spacing w:val="-4"/>
          <w:kern w:val="22"/>
        </w:rPr>
      </w:pPr>
    </w:p>
    <w:p w14:paraId="3048B3CD" w14:textId="77777777" w:rsidR="00870B30" w:rsidRPr="00870B30" w:rsidRDefault="00870B30" w:rsidP="00990B69">
      <w:pPr>
        <w:pStyle w:val="Casehead1"/>
      </w:pPr>
      <w:r w:rsidRPr="00870B30">
        <w:t>THE MARKET FOR TRULANCE</w:t>
      </w:r>
    </w:p>
    <w:p w14:paraId="70269687" w14:textId="77777777" w:rsidR="00870B30" w:rsidRPr="00870B30" w:rsidRDefault="00870B30" w:rsidP="00E46216">
      <w:pPr>
        <w:pStyle w:val="BodyTextMain"/>
      </w:pPr>
    </w:p>
    <w:p w14:paraId="1369AC8C" w14:textId="0DC87F1E" w:rsidR="00870B30" w:rsidRPr="00870B30" w:rsidRDefault="00870B30" w:rsidP="00E46216">
      <w:pPr>
        <w:pStyle w:val="BodyTextMain"/>
      </w:pPr>
      <w:r w:rsidRPr="00870B30">
        <w:t>The CIC drug market was estimated at about $1.9 billion in 2017 and was expected to reach about $2.9 billion by 2025, indicating a compound annual growth rate of about 6.4 per cent.</w:t>
      </w:r>
      <w:r w:rsidRPr="00870B30">
        <w:rPr>
          <w:rStyle w:val="FootnoteReference"/>
        </w:rPr>
        <w:footnoteReference w:id="11"/>
      </w:r>
      <w:r w:rsidRPr="00870B30">
        <w:t xml:space="preserve"> Growing awareness and increasing incidence and prevalence of CIC were the major factors driving the CIC drug market worldwide. Although almost two-thirds of these sales were over-the-counter drugs since constipation was not considered a disease but a condition, prescription medicines were expected to grow at a 7.7 per cent annualized rate. In addition, the IBS market was anticipated to grow at a 9.9 per cent rate, to about $1.5 billion by 2023.</w:t>
      </w:r>
      <w:r w:rsidRPr="00870B30">
        <w:rPr>
          <w:rStyle w:val="FootnoteReference"/>
        </w:rPr>
        <w:footnoteReference w:id="12"/>
      </w:r>
      <w:r w:rsidRPr="00870B30">
        <w:t xml:space="preserve"> Trulance had been approved for both CIC and IBS.</w:t>
      </w:r>
    </w:p>
    <w:p w14:paraId="580D3D84" w14:textId="77777777" w:rsidR="00870B30" w:rsidRPr="00870B30" w:rsidRDefault="00870B30" w:rsidP="00E46216">
      <w:pPr>
        <w:pStyle w:val="BodyTextMain"/>
      </w:pPr>
    </w:p>
    <w:p w14:paraId="0EFDD5CF" w14:textId="77777777" w:rsidR="00870B30" w:rsidRPr="00870B30" w:rsidRDefault="00870B30" w:rsidP="00E46216">
      <w:pPr>
        <w:pStyle w:val="BodyTextMain"/>
      </w:pPr>
    </w:p>
    <w:p w14:paraId="3B002C68" w14:textId="77777777" w:rsidR="00870B30" w:rsidRPr="00870B30" w:rsidRDefault="00870B30" w:rsidP="00990B69">
      <w:pPr>
        <w:pStyle w:val="Casehead1"/>
      </w:pPr>
      <w:r w:rsidRPr="00870B30">
        <w:t>THE SLIDE</w:t>
      </w:r>
    </w:p>
    <w:p w14:paraId="10B47331" w14:textId="77777777" w:rsidR="00870B30" w:rsidRPr="00870B30" w:rsidRDefault="00870B30" w:rsidP="00E46216">
      <w:pPr>
        <w:pStyle w:val="BodyTextMain"/>
      </w:pPr>
    </w:p>
    <w:p w14:paraId="75B3D75E" w14:textId="74B729A9" w:rsidR="00870B30" w:rsidRPr="00870B30" w:rsidRDefault="00870B30" w:rsidP="00E46216">
      <w:pPr>
        <w:pStyle w:val="BodyTextMain"/>
      </w:pPr>
      <w:r w:rsidRPr="00870B30">
        <w:t xml:space="preserve">Synergy’s stock had traded around $7 at the time the FDA approved Trulance in mid-January 2017 (see Exhibit 2). As the investor community waited over the next couple of weeks for an announcement of a major marketing partner, Synergy announced a secondary stock offering on January 31, arousing suspicions that the company might have other plans. The offering added 20 million new shares to Synergy’s base of </w:t>
      </w:r>
      <w:r w:rsidRPr="00870B30">
        <w:lastRenderedPageBreak/>
        <w:t>190 million shares at a price of $6.15 each to fund “commercialization activities related to Trulance” and for other purposes.</w:t>
      </w:r>
      <w:r w:rsidRPr="00870B30">
        <w:rPr>
          <w:rStyle w:val="FootnoteReference"/>
        </w:rPr>
        <w:footnoteReference w:id="13"/>
      </w:r>
      <w:r w:rsidRPr="00870B30">
        <w:t xml:space="preserve"> This secondary offering accelerated the decline of Synergy’s stock—an outcome that would dilute the earnings per share for current shareholders.</w:t>
      </w:r>
    </w:p>
    <w:p w14:paraId="0F5A36AD" w14:textId="77777777" w:rsidR="00870B30" w:rsidRPr="00870B30" w:rsidRDefault="00870B30" w:rsidP="00E46216">
      <w:pPr>
        <w:pStyle w:val="BodyTextMain"/>
      </w:pPr>
    </w:p>
    <w:p w14:paraId="0B2929F1" w14:textId="0DFF9E2A" w:rsidR="00870B30" w:rsidRPr="00870B30" w:rsidRDefault="00870B30" w:rsidP="00E46216">
      <w:pPr>
        <w:pStyle w:val="BodyTextMain"/>
      </w:pPr>
      <w:r w:rsidRPr="00870B30">
        <w:t>On September 1, 2017, the company announced that it had secured a $300 million debt financing agreement, available in four tranches. The first tranche, $100 million, would be available immediately, with the balance subject to meeting certain performance criteria.</w:t>
      </w:r>
      <w:r w:rsidRPr="00870B30">
        <w:rPr>
          <w:rStyle w:val="FootnoteReference"/>
        </w:rPr>
        <w:footnoteReference w:id="14"/>
      </w:r>
      <w:r w:rsidRPr="00870B30">
        <w:t xml:space="preserve"> </w:t>
      </w:r>
    </w:p>
    <w:p w14:paraId="772CAA4F" w14:textId="77777777" w:rsidR="00870B30" w:rsidRPr="00870B30" w:rsidRDefault="00870B30" w:rsidP="00E46216">
      <w:pPr>
        <w:pStyle w:val="BodyTextMain"/>
      </w:pPr>
    </w:p>
    <w:p w14:paraId="317E1068" w14:textId="05200D2A" w:rsidR="00870B30" w:rsidRPr="00870B30" w:rsidRDefault="00870B30" w:rsidP="00E46216">
      <w:pPr>
        <w:pStyle w:val="BodyTextMain"/>
      </w:pPr>
      <w:r w:rsidRPr="00870B30">
        <w:t>By November 2017, another stock offering was announced, further diluting the owners’ shares of the company by adding 22 million shares. The offering was priced at $2.58 per share, re-confirming the market’s doubts regarding Synergy’s go-to-market strategy.</w:t>
      </w:r>
      <w:r w:rsidRPr="00870B30">
        <w:rPr>
          <w:rStyle w:val="FootnoteReference"/>
        </w:rPr>
        <w:footnoteReference w:id="15"/>
      </w:r>
      <w:r w:rsidRPr="00870B30">
        <w:t xml:space="preserve"> </w:t>
      </w:r>
    </w:p>
    <w:p w14:paraId="08A120C0" w14:textId="77777777" w:rsidR="00870B30" w:rsidRPr="00870B30" w:rsidRDefault="00870B30" w:rsidP="00E46216">
      <w:pPr>
        <w:pStyle w:val="BodyTextMain"/>
      </w:pPr>
    </w:p>
    <w:p w14:paraId="12F03257" w14:textId="729A4924" w:rsidR="00870B30" w:rsidRPr="00870B30" w:rsidRDefault="00870B30" w:rsidP="00E46216">
      <w:pPr>
        <w:pStyle w:val="BodyTextMain"/>
      </w:pPr>
      <w:r w:rsidRPr="00870B30">
        <w:t>On December 17, 2017, the company announced that Troy Hamilton, Synergy’s chief commercial officer (CCO), would take over as CEO from Jacobs, who would remain with Synergy as board chair. Hamilton seemed to reiterate Synergy’s posture toward developing an internal sales force by announcing that he would “continue to refine our business plan and focus on achieving cost efficiencies.”</w:t>
      </w:r>
      <w:r w:rsidR="004A6323">
        <w:rPr>
          <w:rStyle w:val="FootnoteReference"/>
        </w:rPr>
        <w:footnoteReference w:id="16"/>
      </w:r>
    </w:p>
    <w:p w14:paraId="23C7DC85" w14:textId="77777777" w:rsidR="00870B30" w:rsidRPr="00870B30" w:rsidRDefault="00870B30" w:rsidP="00E46216">
      <w:pPr>
        <w:pStyle w:val="BodyTextMain"/>
      </w:pPr>
    </w:p>
    <w:p w14:paraId="45639489" w14:textId="1BA440D9" w:rsidR="00870B30" w:rsidRPr="00870B30" w:rsidRDefault="00870B30" w:rsidP="00E46216">
      <w:pPr>
        <w:pStyle w:val="BodyTextMain"/>
      </w:pPr>
      <w:r w:rsidRPr="00870B30">
        <w:t>By this time, festering frustration occasioned by shareholder dilution and increased by the debt load caused by the go-it-alone strategy spilled onto Internet chat rooms, where posters made comments such as, “Jacob stepping down just means that</w:t>
      </w:r>
      <w:r w:rsidR="00931A9C">
        <w:t xml:space="preserve"> -</w:t>
      </w:r>
      <w:r w:rsidRPr="00870B30">
        <w:t xml:space="preserve"> there’s nothing left to steal. Hamilton taking over as CEO just means that no one else wants the job of burying this corpse,” and “I hope to get rewarded on this stock if I live long enough, but right now I wished I would never have bought it.” Another poster commented, “Troy Hamilton makes over a million dollars a year from this company. How much has this company made you?”</w:t>
      </w:r>
      <w:r w:rsidRPr="00870B30">
        <w:rPr>
          <w:rStyle w:val="FootnoteReference"/>
        </w:rPr>
        <w:footnoteReference w:id="17"/>
      </w:r>
    </w:p>
    <w:p w14:paraId="18462AC8" w14:textId="77777777" w:rsidR="00870B30" w:rsidRPr="00870B30" w:rsidRDefault="00870B30" w:rsidP="00E46216">
      <w:pPr>
        <w:pStyle w:val="BodyTextMain"/>
      </w:pPr>
    </w:p>
    <w:p w14:paraId="23350586" w14:textId="1AB49DDC" w:rsidR="00870B30" w:rsidRPr="00870B30" w:rsidRDefault="00870B30" w:rsidP="00E46216">
      <w:pPr>
        <w:pStyle w:val="BodyTextMain"/>
      </w:pPr>
      <w:r w:rsidRPr="00870B30">
        <w:t>In the spring and summer of 2018, Synergy signed marketing license agreements with Canada and China, which spent less than 1 per cent and 10 per cent respectively of the global purchases of medicines. The Canadian license brought in $5 million plus undisclosed royalties based on sales, regulatory, and commercial milestones. The Chinese license included an up-front fee of $12 million, plus additional fees of up to $56 million based on certain regulatory and commercial milestones. In addition, Synergy would receive an undisclosed royalty based on product sales. The U.S. market, with a 33 per cent global share of pharmaceutical consumption, remained unlicensed.</w:t>
      </w:r>
      <w:r w:rsidRPr="00870B30">
        <w:rPr>
          <w:rStyle w:val="FootnoteReference"/>
        </w:rPr>
        <w:footnoteReference w:id="18"/>
      </w:r>
    </w:p>
    <w:p w14:paraId="5B981BB0" w14:textId="3834778B" w:rsidR="00870B30" w:rsidRPr="00870B30" w:rsidRDefault="00870B30" w:rsidP="00E46216">
      <w:pPr>
        <w:pStyle w:val="BodyTextMain"/>
      </w:pPr>
      <w:r w:rsidRPr="00870B30">
        <w:lastRenderedPageBreak/>
        <w:t>In anticipation of Synergy’s annual shareholder meeting in June 2018, activist shareholders united through online investor blogs like Seeking Alpha and Yahoo! to defeat a board recommendation at the annual meeting that would have authorized additional shares for management stock option grants. Such an occurrence was rare but captured the palpable frustration of the shareholders.</w:t>
      </w:r>
      <w:r w:rsidRPr="00870B30">
        <w:rPr>
          <w:rStyle w:val="FootnoteReference"/>
        </w:rPr>
        <w:footnoteReference w:id="19"/>
      </w:r>
    </w:p>
    <w:p w14:paraId="756B1C2E" w14:textId="77777777" w:rsidR="00870B30" w:rsidRPr="00870B30" w:rsidRDefault="00870B30" w:rsidP="00E46216">
      <w:pPr>
        <w:pStyle w:val="BodyTextMain"/>
      </w:pPr>
    </w:p>
    <w:p w14:paraId="19E102E4" w14:textId="6AE30BD9" w:rsidR="00870B30" w:rsidRPr="00870B30" w:rsidRDefault="00870B30" w:rsidP="00E46216">
      <w:pPr>
        <w:pStyle w:val="BodyTextMain"/>
      </w:pPr>
      <w:r w:rsidRPr="00870B30">
        <w:t>Synergy had spent $88.1 million on sales and marketing expenses in fiscal year 2017 to launch Trulance,</w:t>
      </w:r>
      <w:r w:rsidRPr="00870B30">
        <w:rPr>
          <w:rStyle w:val="FootnoteReference"/>
        </w:rPr>
        <w:footnoteReference w:id="20"/>
      </w:r>
      <w:r w:rsidRPr="00870B30">
        <w:t xml:space="preserve"> and this expenditure was likely to increase in subsequent years under the company’s current go-it-alone strategy. With a new CEO at the helm, and with Trulance sales beginning to accelerate (see Exhibit 3), should Synergy stay the course to become a full-fledged pharmaceutical company, or should it now seek a U.S. partner and stick to its research and development competency—perhaps using the terms </w:t>
      </w:r>
      <w:r w:rsidR="009B773A">
        <w:t xml:space="preserve">of </w:t>
      </w:r>
      <w:r w:rsidRPr="00870B30">
        <w:t>other pharmaceutical license deals (see Exhibit 4) as guidance? The company’s balance sheet showed some troubling trends (see Exhibit 5), and the reasons for partnering were compelling (see Exhibit 6), but doing so would mean resigning the dream of being a stand-alone pharmaceutical company. Developing two financial models—one assuming Synergy continued to go it alone and one assuming it secured a partner—seemed like a good place to start</w:t>
      </w:r>
      <w:r w:rsidR="000F7114">
        <w:t xml:space="preserve"> (see </w:t>
      </w:r>
      <w:r w:rsidR="00F16E96">
        <w:t>E</w:t>
      </w:r>
      <w:r w:rsidR="000F7114">
        <w:t>xhibit 7)</w:t>
      </w:r>
      <w:r w:rsidRPr="00870B30">
        <w:t>.</w:t>
      </w:r>
    </w:p>
    <w:p w14:paraId="0590A902" w14:textId="77777777" w:rsidR="00870B30" w:rsidRPr="00870B30" w:rsidRDefault="00870B30" w:rsidP="00E46216">
      <w:pPr>
        <w:pStyle w:val="BodyTextMain"/>
      </w:pPr>
    </w:p>
    <w:p w14:paraId="19B05D6A" w14:textId="0A29ABA5" w:rsidR="00870B30" w:rsidRPr="00870B30" w:rsidRDefault="00870B30" w:rsidP="00E46216">
      <w:pPr>
        <w:pStyle w:val="BodyTextMain"/>
      </w:pPr>
      <w:r w:rsidRPr="00870B30">
        <w:rPr>
          <w:noProof/>
          <w:lang w:val="en-CA" w:eastAsia="en-CA"/>
        </w:rPr>
        <mc:AlternateContent>
          <mc:Choice Requires="wps">
            <w:drawing>
              <wp:anchor distT="45720" distB="45720" distL="114300" distR="114300" simplePos="0" relativeHeight="251667456" behindDoc="0" locked="0" layoutInCell="1" allowOverlap="1" wp14:anchorId="6173FD5A" wp14:editId="4A630E3C">
                <wp:simplePos x="0" y="0"/>
                <wp:positionH relativeFrom="margin">
                  <wp:posOffset>1866062</wp:posOffset>
                </wp:positionH>
                <wp:positionV relativeFrom="paragraph">
                  <wp:posOffset>71983</wp:posOffset>
                </wp:positionV>
                <wp:extent cx="2331720" cy="1404620"/>
                <wp:effectExtent l="0" t="0" r="1143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1720" cy="1404620"/>
                        </a:xfrm>
                        <a:prstGeom prst="rect">
                          <a:avLst/>
                        </a:prstGeom>
                        <a:solidFill>
                          <a:srgbClr val="FFFFFF"/>
                        </a:solidFill>
                        <a:ln w="9525">
                          <a:solidFill>
                            <a:srgbClr val="000000"/>
                          </a:solidFill>
                          <a:miter lim="800000"/>
                          <a:headEnd/>
                          <a:tailEnd/>
                        </a:ln>
                      </wps:spPr>
                      <wps:txbx>
                        <w:txbxContent>
                          <w:p w14:paraId="6A519640" w14:textId="588412F5" w:rsidR="004A6323" w:rsidRDefault="004A6323" w:rsidP="00E651AC">
                            <w:pPr>
                              <w:pStyle w:val="Footnote"/>
                              <w:jc w:val="center"/>
                            </w:pPr>
                            <w:r>
                              <w:t>Thanks go to Chris Noyes and Mark West for their assistance with gathering case data.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173FD5A" id="_x0000_t202" coordsize="21600,21600" o:spt="202" path="m,l,21600r21600,l21600,xe">
                <v:stroke joinstyle="miter"/>
                <v:path gradientshapeok="t" o:connecttype="rect"/>
              </v:shapetype>
              <v:shape id="Text Box 2" o:spid="_x0000_s1026" type="#_x0000_t202" style="position:absolute;left:0;text-align:left;margin-left:146.95pt;margin-top:5.65pt;width:183.6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">
                <v:textbox style="mso-fit-shape-to-text:t">
                  <w:txbxContent>
                    <w:p w14:paraId="6A519640" w14:textId="588412F5" w:rsidR="004A6323" w:rsidRDefault="004A6323" w:rsidP="00E651AC">
                      <w:pPr>
                        <w:pStyle w:val="Footnote"/>
                        <w:jc w:val="center"/>
                      </w:pPr>
                      <w:r>
                        <w:t>Thanks go to Chris Noyes and Mark West for their assistance with gathering case data.</w:t>
                      </w:r>
                    </w:p>
                  </w:txbxContent>
                </v:textbox>
                <w10:wrap type="square" anchorx="margin"/>
              </v:shape>
            </w:pict>
          </mc:Fallback>
        </mc:AlternateContent>
      </w:r>
    </w:p>
    <w:p w14:paraId="5F45EDD9" w14:textId="52C928A9" w:rsidR="00870B30" w:rsidRPr="00870B30" w:rsidRDefault="00870B30" w:rsidP="00E46216">
      <w:pPr>
        <w:pStyle w:val="BodyTextMain"/>
      </w:pPr>
    </w:p>
    <w:p w14:paraId="7C94982E" w14:textId="71022C2A" w:rsidR="00870B30" w:rsidRPr="00870B30" w:rsidRDefault="00870B30" w:rsidP="00E46216">
      <w:pPr>
        <w:pStyle w:val="BodyTextMain"/>
      </w:pPr>
    </w:p>
    <w:p w14:paraId="522ACE7F" w14:textId="46053AC9" w:rsidR="00870B30" w:rsidRPr="00870B30" w:rsidRDefault="00870B30" w:rsidP="00E46216">
      <w:pPr>
        <w:pStyle w:val="BodyTextMain"/>
      </w:pPr>
    </w:p>
    <w:p w14:paraId="009F8657" w14:textId="77777777" w:rsidR="00870B30" w:rsidRPr="00870B30" w:rsidRDefault="00870B30" w:rsidP="00E46216">
      <w:pPr>
        <w:pStyle w:val="BodyTextMain"/>
      </w:pPr>
    </w:p>
    <w:p w14:paraId="04AB3F07" w14:textId="77777777" w:rsidR="00870B30" w:rsidRPr="00870B30" w:rsidRDefault="00870B30" w:rsidP="00E46216">
      <w:pPr>
        <w:pStyle w:val="BodyTextMain"/>
      </w:pPr>
    </w:p>
    <w:p w14:paraId="123D44AB" w14:textId="77777777" w:rsidR="00870B30" w:rsidRPr="00870B30" w:rsidRDefault="00870B30" w:rsidP="00E46216">
      <w:pPr>
        <w:pStyle w:val="BodyTextMain"/>
      </w:pPr>
    </w:p>
    <w:p w14:paraId="70461A8C" w14:textId="77777777" w:rsidR="00870B30" w:rsidRPr="00870B30" w:rsidRDefault="00870B30" w:rsidP="00E46216">
      <w:pPr>
        <w:pStyle w:val="BodyTextMain"/>
      </w:pPr>
    </w:p>
    <w:p w14:paraId="4D28701D" w14:textId="77777777" w:rsidR="00870B30" w:rsidRPr="00870B30" w:rsidRDefault="00870B30" w:rsidP="00E46216">
      <w:pPr>
        <w:pStyle w:val="BodyTextMain"/>
      </w:pPr>
    </w:p>
    <w:p w14:paraId="7F66D553" w14:textId="77777777" w:rsidR="00870B30" w:rsidRPr="00870B30" w:rsidRDefault="00870B30" w:rsidP="00E46216">
      <w:pPr>
        <w:pStyle w:val="BodyTextMain"/>
      </w:pPr>
    </w:p>
    <w:p w14:paraId="1832BF04" w14:textId="77777777" w:rsidR="00870B30" w:rsidRPr="00870B30" w:rsidRDefault="00870B30" w:rsidP="00E46216">
      <w:pPr>
        <w:pStyle w:val="BodyTextMain"/>
      </w:pPr>
    </w:p>
    <w:p w14:paraId="29250A79" w14:textId="04FE81D2" w:rsidR="00870B30" w:rsidRPr="00870B30" w:rsidRDefault="00870B30" w:rsidP="00E46216">
      <w:pPr>
        <w:pStyle w:val="BodyTextMain"/>
        <w:rPr>
          <w:b/>
        </w:rPr>
      </w:pPr>
      <w:r w:rsidRPr="00870B30">
        <w:br w:type="page"/>
      </w:r>
    </w:p>
    <w:p w14:paraId="0D0F7DE1" w14:textId="749688F6" w:rsidR="00870B30" w:rsidRPr="00870B30" w:rsidRDefault="00870B30" w:rsidP="00990B69">
      <w:pPr>
        <w:pStyle w:val="ExhibitHeading"/>
        <w:rPr>
          <w:rFonts w:eastAsia="Arial"/>
        </w:rPr>
      </w:pPr>
      <w:r w:rsidRPr="00870B30">
        <w:lastRenderedPageBreak/>
        <w:t>Exhibit 1: Start-up “Valley of Death”</w:t>
      </w:r>
      <w:r w:rsidRPr="00870B30">
        <w:rPr>
          <w:rFonts w:eastAsia="Arial"/>
        </w:rPr>
        <w:t xml:space="preserve"> </w:t>
      </w:r>
    </w:p>
    <w:p w14:paraId="043C3967" w14:textId="77777777" w:rsidR="00870B30" w:rsidRPr="00157674" w:rsidRDefault="00870B30" w:rsidP="00157674">
      <w:pPr>
        <w:pStyle w:val="ExhibitText"/>
      </w:pPr>
    </w:p>
    <w:p w14:paraId="265CE3E0" w14:textId="6FE0E7A3" w:rsidR="00870B30" w:rsidRPr="00870B30" w:rsidRDefault="00870B30" w:rsidP="00494DAA">
      <w:pPr>
        <w:pStyle w:val="ExhibitText"/>
        <w:jc w:val="center"/>
      </w:pPr>
      <w:r w:rsidRPr="00870B30">
        <w:rPr>
          <w:noProof/>
          <w:lang w:val="en-CA" w:eastAsia="en-CA"/>
        </w:rPr>
        <w:drawing>
          <wp:inline distT="114300" distB="114300" distL="114300" distR="114300" wp14:anchorId="2223495C" wp14:editId="54B2F292">
            <wp:extent cx="5705856" cy="4966821"/>
            <wp:effectExtent l="0" t="0" r="0" b="5715"/>
            <wp:docPr id="1" name="image1.png" descr="Chart"/>
            <wp:cNvGraphicFramePr/>
            <a:graphic xmlns:a="http://schemas.openxmlformats.org/drawingml/2006/main">
              <a:graphicData uri="http://schemas.openxmlformats.org/drawingml/2006/picture">
                <pic:pic xmlns:pic="http://schemas.openxmlformats.org/drawingml/2006/picture">
                  <pic:nvPicPr>
                    <pic:cNvPr id="0" name="image1.png" descr="Chart"/>
                    <pic:cNvPicPr preferRelativeResize="0"/>
                  </pic:nvPicPr>
                  <pic:blipFill>
                    <a:blip r:embed="rId9"/>
                    <a:srcRect/>
                    <a:stretch>
                      <a:fillRect/>
                    </a:stretch>
                  </pic:blipFill>
                  <pic:spPr>
                    <a:xfrm>
                      <a:off x="0" y="0"/>
                      <a:ext cx="5825711" cy="5071152"/>
                    </a:xfrm>
                    <a:prstGeom prst="rect">
                      <a:avLst/>
                    </a:prstGeom>
                    <a:ln/>
                  </pic:spPr>
                </pic:pic>
              </a:graphicData>
            </a:graphic>
          </wp:inline>
        </w:drawing>
      </w:r>
    </w:p>
    <w:p w14:paraId="6CE93A34" w14:textId="3F886841" w:rsidR="00870B30" w:rsidRPr="00157674" w:rsidRDefault="00870B30" w:rsidP="00157674">
      <w:pPr>
        <w:pStyle w:val="ExhibitText"/>
      </w:pPr>
    </w:p>
    <w:p w14:paraId="417943DE" w14:textId="332B197A" w:rsidR="00870B30" w:rsidRPr="00870B30" w:rsidRDefault="00870B30">
      <w:pPr>
        <w:pStyle w:val="Footnote"/>
      </w:pPr>
      <w:r w:rsidRPr="00870B30">
        <w:t>Note: FDA = U.S. Food and Drug Administration.</w:t>
      </w:r>
    </w:p>
    <w:p w14:paraId="6F145077" w14:textId="7C874AD2" w:rsidR="00870B30" w:rsidRPr="00870B30" w:rsidRDefault="00870B30" w:rsidP="00E8440A">
      <w:pPr>
        <w:pStyle w:val="Footnote"/>
      </w:pPr>
      <w:r w:rsidRPr="00870B30">
        <w:t xml:space="preserve">Source: Adapted from Michael Miller, “Investment for Health Reform – Escaping the Valley of Death,” </w:t>
      </w:r>
      <w:r w:rsidRPr="00ED5338">
        <w:rPr>
          <w:i/>
        </w:rPr>
        <w:t>Dr. Miller’s Health Policy and Communications Blog</w:t>
      </w:r>
      <w:r w:rsidRPr="00870B30">
        <w:t xml:space="preserve">, April 30, 2009, accessed March 6, 2019, </w:t>
      </w:r>
      <w:r w:rsidR="00157674">
        <w:t xml:space="preserve">www.healthpolcom.com/blog/2009/04/30/invest </w:t>
      </w:r>
      <w:r w:rsidRPr="00870B30">
        <w:t>ment-for-health-reform-escaping-the-valley-of-death/.</w:t>
      </w:r>
    </w:p>
    <w:p w14:paraId="29341F40" w14:textId="1B344551" w:rsidR="00870B30" w:rsidRPr="00870B30" w:rsidRDefault="00870B30" w:rsidP="00E8440A">
      <w:pPr>
        <w:pStyle w:val="Footnote"/>
      </w:pPr>
    </w:p>
    <w:p w14:paraId="3DD10EED" w14:textId="7010A327" w:rsidR="00157674" w:rsidRDefault="00157674">
      <w:pPr>
        <w:spacing w:after="200" w:line="276" w:lineRule="auto"/>
        <w:rPr>
          <w:rFonts w:ascii="Arial" w:hAnsi="Arial" w:cs="Arial"/>
          <w:sz w:val="16"/>
          <w:szCs w:val="16"/>
        </w:rPr>
      </w:pPr>
      <w:r>
        <w:rPr>
          <w:sz w:val="16"/>
          <w:szCs w:val="16"/>
        </w:rPr>
        <w:br w:type="page"/>
      </w:r>
    </w:p>
    <w:p w14:paraId="7F2F84CB" w14:textId="63450088" w:rsidR="00870B30" w:rsidRPr="00870B30" w:rsidRDefault="00870B30" w:rsidP="00157674">
      <w:pPr>
        <w:pStyle w:val="ExhibitHeading"/>
        <w:keepNext w:val="0"/>
      </w:pPr>
      <w:r w:rsidRPr="00870B30">
        <w:lastRenderedPageBreak/>
        <w:t>Exhibit 2: The “Slide” of Synergy Stock</w:t>
      </w:r>
    </w:p>
    <w:p w14:paraId="5D064F3D" w14:textId="77777777" w:rsidR="00870B30" w:rsidRPr="00157674" w:rsidRDefault="00870B30" w:rsidP="00157674">
      <w:pPr>
        <w:pStyle w:val="ExhibitText"/>
      </w:pPr>
    </w:p>
    <w:p w14:paraId="561ABBCA" w14:textId="77777777" w:rsidR="00870B30" w:rsidRPr="00870B30" w:rsidRDefault="00870B30" w:rsidP="00157674">
      <w:pPr>
        <w:pStyle w:val="ExhibitText"/>
        <w:jc w:val="center"/>
        <w:rPr>
          <w:sz w:val="24"/>
          <w:szCs w:val="24"/>
        </w:rPr>
      </w:pPr>
      <w:r w:rsidRPr="00870B30">
        <w:rPr>
          <w:rFonts w:eastAsia="Arial"/>
          <w:noProof/>
          <w:lang w:val="en-CA" w:eastAsia="en-CA"/>
        </w:rPr>
        <w:drawing>
          <wp:inline distT="0" distB="0" distL="0" distR="0" wp14:anchorId="798EB509" wp14:editId="07322F4E">
            <wp:extent cx="5640019" cy="3884371"/>
            <wp:effectExtent l="0" t="0" r="18415" b="1905"/>
            <wp:docPr id="8" name="Chart 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AA30C0C" w14:textId="77777777" w:rsidR="00870B30" w:rsidRPr="00157674" w:rsidRDefault="00870B30" w:rsidP="00157674">
      <w:pPr>
        <w:pStyle w:val="ExhibitText"/>
      </w:pPr>
    </w:p>
    <w:p w14:paraId="1CE7CDCD" w14:textId="7C73AA6E" w:rsidR="00870B30" w:rsidRDefault="00870B30" w:rsidP="00157674">
      <w:pPr>
        <w:pStyle w:val="Footnote"/>
      </w:pPr>
      <w:r w:rsidRPr="00870B30">
        <w:t>Source: “Synergy Pharmaceuticals Inc. (SGYP),” Yahoo! Finance,</w:t>
      </w:r>
      <w:r w:rsidR="00157674">
        <w:t xml:space="preserve"> https://finance.yahoo.com/quotes/SGYP/chart?p=SGYP#</w:t>
      </w:r>
      <w:r w:rsidR="00304C76">
        <w:t xml:space="preserve"> </w:t>
      </w:r>
      <w:r w:rsidR="00304C76" w:rsidRPr="001D1E52">
        <w:t>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%3D</w:t>
      </w:r>
      <w:r w:rsidRPr="00870B30">
        <w:t xml:space="preserve"> accessed January 10, 2019.</w:t>
      </w:r>
    </w:p>
    <w:p w14:paraId="7C5E2EF3" w14:textId="77777777" w:rsidR="00157674" w:rsidRDefault="00157674" w:rsidP="00157674">
      <w:pPr>
        <w:pStyle w:val="ExhibitText"/>
      </w:pPr>
    </w:p>
    <w:p w14:paraId="443C1D2F" w14:textId="2B4D6A3A" w:rsidR="00157674" w:rsidRDefault="00157674">
      <w:pPr>
        <w:spacing w:after="200" w:line="276" w:lineRule="auto"/>
        <w:rPr>
          <w:rFonts w:ascii="Arial" w:hAnsi="Arial" w:cs="Arial"/>
        </w:rPr>
      </w:pPr>
      <w:r>
        <w:br w:type="page"/>
      </w:r>
    </w:p>
    <w:p w14:paraId="201FDFB9" w14:textId="75D07E41" w:rsidR="00870B30" w:rsidRPr="0047439B" w:rsidRDefault="00870B30" w:rsidP="0047439B">
      <w:pPr>
        <w:keepNext/>
        <w:jc w:val="center"/>
        <w:rPr>
          <w:rFonts w:ascii="Arial" w:hAnsi="Arial" w:cs="Arial"/>
          <w:b/>
          <w:caps/>
        </w:rPr>
      </w:pPr>
      <w:r w:rsidRPr="0047439B">
        <w:rPr>
          <w:rFonts w:ascii="Arial" w:hAnsi="Arial" w:cs="Arial"/>
          <w:b/>
          <w:caps/>
        </w:rPr>
        <w:lastRenderedPageBreak/>
        <w:t xml:space="preserve">EXHIBIT </w:t>
      </w:r>
      <w:r w:rsidRPr="00870B30">
        <w:rPr>
          <w:rFonts w:ascii="Arial" w:hAnsi="Arial" w:cs="Arial"/>
          <w:b/>
          <w:caps/>
        </w:rPr>
        <w:t>3</w:t>
      </w:r>
      <w:r w:rsidRPr="0047439B">
        <w:rPr>
          <w:rFonts w:ascii="Arial" w:hAnsi="Arial" w:cs="Arial"/>
          <w:b/>
          <w:caps/>
        </w:rPr>
        <w:t xml:space="preserve">: Trulance Weekly Sales From Launch in March 2017 to September 2018 (in Retail Dollars) </w:t>
      </w:r>
    </w:p>
    <w:p w14:paraId="01D68EDC" w14:textId="77777777" w:rsidR="00870B30" w:rsidRPr="0047439B" w:rsidRDefault="00870B30" w:rsidP="0047439B">
      <w:pPr>
        <w:jc w:val="both"/>
        <w:rPr>
          <w:rFonts w:ascii="Arial" w:hAnsi="Arial" w:cs="Arial"/>
        </w:rPr>
      </w:pPr>
    </w:p>
    <w:p w14:paraId="1F333F74" w14:textId="77777777" w:rsidR="00870B30" w:rsidRPr="0047439B" w:rsidRDefault="00870B30" w:rsidP="0047439B">
      <w:pPr>
        <w:jc w:val="center"/>
        <w:rPr>
          <w:rFonts w:ascii="Arial" w:hAnsi="Arial" w:cs="Arial"/>
          <w:sz w:val="24"/>
          <w:szCs w:val="24"/>
        </w:rPr>
      </w:pPr>
      <w:r w:rsidRPr="0047439B">
        <w:rPr>
          <w:rFonts w:ascii="Arial" w:eastAsia="Arial" w:hAnsi="Arial" w:cs="Arial"/>
          <w:noProof/>
          <w:lang w:val="en-CA" w:eastAsia="en-CA"/>
        </w:rPr>
        <w:drawing>
          <wp:inline distT="0" distB="0" distL="0" distR="0" wp14:anchorId="4A556E83" wp14:editId="64FE9F5B">
            <wp:extent cx="5983834" cy="3496666"/>
            <wp:effectExtent l="0" t="0" r="17145" b="8890"/>
            <wp:docPr id="4" name="Chart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C15FB18" w14:textId="77777777" w:rsidR="00870B30" w:rsidRPr="0047439B" w:rsidRDefault="00870B30" w:rsidP="0047439B">
      <w:pPr>
        <w:jc w:val="both"/>
        <w:rPr>
          <w:rFonts w:ascii="Arial" w:hAnsi="Arial" w:cs="Arial"/>
        </w:rPr>
      </w:pPr>
    </w:p>
    <w:p w14:paraId="424E89CE" w14:textId="77777777" w:rsidR="00870B30" w:rsidRPr="0047439B" w:rsidRDefault="00870B30" w:rsidP="0047439B">
      <w:pPr>
        <w:numPr>
          <w:ilvl w:val="0"/>
          <w:numId w:val="44"/>
        </w:numPr>
        <w:jc w:val="both"/>
        <w:rPr>
          <w:rFonts w:ascii="Arial" w:hAnsi="Arial" w:cs="Arial"/>
          <w:b/>
        </w:rPr>
      </w:pPr>
      <w:r w:rsidRPr="0047439B">
        <w:rPr>
          <w:rFonts w:ascii="Arial" w:hAnsi="Arial" w:cs="Arial"/>
        </w:rPr>
        <w:t>Through the first 33 weeks of 2018, retail sales of Trulance were about $55 million.</w:t>
      </w:r>
    </w:p>
    <w:p w14:paraId="5A09859E" w14:textId="77777777" w:rsidR="00870B30" w:rsidRPr="0047439B" w:rsidRDefault="00870B30" w:rsidP="0047439B">
      <w:pPr>
        <w:numPr>
          <w:ilvl w:val="0"/>
          <w:numId w:val="44"/>
        </w:numPr>
        <w:jc w:val="both"/>
        <w:rPr>
          <w:rFonts w:ascii="Arial" w:hAnsi="Arial" w:cs="Arial"/>
        </w:rPr>
      </w:pPr>
      <w:r w:rsidRPr="0047439B">
        <w:rPr>
          <w:rFonts w:ascii="Arial" w:hAnsi="Arial" w:cs="Arial"/>
        </w:rPr>
        <w:t>Sales were exceeding $2 million per week and showing a strong upward trend.</w:t>
      </w:r>
    </w:p>
    <w:p w14:paraId="3A57D9D0" w14:textId="77777777" w:rsidR="00870B30" w:rsidRPr="0047439B" w:rsidRDefault="00870B30" w:rsidP="0047439B">
      <w:pPr>
        <w:numPr>
          <w:ilvl w:val="0"/>
          <w:numId w:val="44"/>
        </w:numPr>
        <w:jc w:val="both"/>
        <w:rPr>
          <w:rFonts w:ascii="Arial" w:hAnsi="Arial" w:cs="Arial"/>
        </w:rPr>
      </w:pPr>
      <w:r w:rsidRPr="0047439B">
        <w:rPr>
          <w:rFonts w:ascii="Arial" w:hAnsi="Arial" w:cs="Arial"/>
        </w:rPr>
        <w:t>Synergy received about 47 per cent of the retail amount.</w:t>
      </w:r>
    </w:p>
    <w:p w14:paraId="574BCB1D" w14:textId="77777777" w:rsidR="00870B30" w:rsidRPr="0047439B" w:rsidRDefault="00870B30" w:rsidP="0047439B">
      <w:pPr>
        <w:numPr>
          <w:ilvl w:val="0"/>
          <w:numId w:val="44"/>
        </w:numPr>
        <w:jc w:val="both"/>
        <w:rPr>
          <w:rFonts w:ascii="Arial" w:hAnsi="Arial" w:cs="Arial"/>
        </w:rPr>
      </w:pPr>
      <w:r w:rsidRPr="0047439B">
        <w:rPr>
          <w:rFonts w:ascii="Arial" w:hAnsi="Arial" w:cs="Arial"/>
        </w:rPr>
        <w:t>Synergy needed to earn $61 million in total Trulance revenue in 2018 to access the next tranche of its credit line.</w:t>
      </w:r>
    </w:p>
    <w:p w14:paraId="11BC0D7A" w14:textId="77777777" w:rsidR="00870B30" w:rsidRPr="0047439B" w:rsidRDefault="00870B30" w:rsidP="0047439B">
      <w:pPr>
        <w:jc w:val="both"/>
        <w:rPr>
          <w:rFonts w:ascii="Arial" w:hAnsi="Arial" w:cs="Arial"/>
        </w:rPr>
      </w:pPr>
    </w:p>
    <w:p w14:paraId="765DB10C" w14:textId="77777777" w:rsidR="00870B30" w:rsidRPr="0047439B" w:rsidRDefault="00870B30" w:rsidP="0047439B">
      <w:pPr>
        <w:rPr>
          <w:rFonts w:ascii="Arial" w:hAnsi="Arial" w:cs="Arial"/>
          <w:sz w:val="17"/>
          <w:szCs w:val="17"/>
        </w:rPr>
      </w:pPr>
      <w:r w:rsidRPr="0047439B">
        <w:rPr>
          <w:rFonts w:ascii="Arial" w:hAnsi="Arial" w:cs="Arial"/>
          <w:sz w:val="17"/>
          <w:szCs w:val="17"/>
        </w:rPr>
        <w:t>Note: All dollar amounts are in USD.</w:t>
      </w:r>
    </w:p>
    <w:p w14:paraId="035E0E40" w14:textId="0DD2A886" w:rsidR="00870B30" w:rsidRPr="0047439B" w:rsidRDefault="00870B30" w:rsidP="0047439B">
      <w:pPr>
        <w:rPr>
          <w:rFonts w:ascii="Arial" w:hAnsi="Arial" w:cs="Arial"/>
          <w:sz w:val="17"/>
          <w:szCs w:val="17"/>
        </w:rPr>
      </w:pPr>
      <w:r w:rsidRPr="0047439B">
        <w:rPr>
          <w:rFonts w:ascii="Arial" w:hAnsi="Arial" w:cs="Arial"/>
          <w:sz w:val="17"/>
          <w:szCs w:val="17"/>
        </w:rPr>
        <w:t xml:space="preserve">Source: “Linzess vs Trulance,” Trulance Prescription Numbers, accessed September 20, 2018, </w:t>
      </w:r>
      <w:r w:rsidR="00157674">
        <w:rPr>
          <w:rFonts w:ascii="Arial" w:hAnsi="Arial" w:cs="Arial"/>
          <w:sz w:val="17"/>
          <w:szCs w:val="17"/>
        </w:rPr>
        <w:t xml:space="preserve">https://sites.google.com/view </w:t>
      </w:r>
      <w:r w:rsidRPr="0047439B">
        <w:rPr>
          <w:rFonts w:ascii="Arial" w:hAnsi="Arial" w:cs="Arial"/>
          <w:sz w:val="17"/>
          <w:szCs w:val="17"/>
        </w:rPr>
        <w:t>/trustat/prescription-numbers.</w:t>
      </w:r>
    </w:p>
    <w:p w14:paraId="74EA677C" w14:textId="47B0326B" w:rsidR="00870B30" w:rsidRPr="00870B30" w:rsidRDefault="00870B30" w:rsidP="00ED5338">
      <w:pPr>
        <w:pStyle w:val="ExhibitHeading"/>
        <w:keepLines/>
      </w:pPr>
      <w:r w:rsidRPr="00870B30">
        <w:lastRenderedPageBreak/>
        <w:t>Exhibit 4: Valuing a Licence Agreement in the Drug Development Industry—Examples of Licensing Agreements</w:t>
      </w:r>
    </w:p>
    <w:p w14:paraId="5F90F755" w14:textId="77777777" w:rsidR="00870B30" w:rsidRPr="00870B30" w:rsidRDefault="00870B30" w:rsidP="00ED5338">
      <w:pPr>
        <w:pStyle w:val="ExhibitText"/>
        <w:keepNext/>
        <w:keepLines/>
      </w:pPr>
    </w:p>
    <w:p w14:paraId="576D584F" w14:textId="77777777" w:rsidR="00870B30" w:rsidRPr="00870B30" w:rsidRDefault="00870B30" w:rsidP="00ED5338">
      <w:pPr>
        <w:pStyle w:val="Casehead2"/>
        <w:keepLines/>
      </w:pPr>
      <w:r w:rsidRPr="00870B30">
        <w:t>Allergan Licensed from Assembly Biosciences</w:t>
      </w:r>
    </w:p>
    <w:p w14:paraId="18E1C623" w14:textId="77777777" w:rsidR="00870B30" w:rsidRPr="00870B30" w:rsidRDefault="00870B30" w:rsidP="00ED5338">
      <w:pPr>
        <w:pStyle w:val="ExhibitText"/>
        <w:keepNext/>
        <w:keepLines/>
      </w:pPr>
    </w:p>
    <w:p w14:paraId="287AF4B9" w14:textId="08A63D44" w:rsidR="00870B30" w:rsidRPr="00870B30" w:rsidRDefault="00870B30" w:rsidP="00ED5338">
      <w:pPr>
        <w:pStyle w:val="ExhibitText"/>
        <w:keepNext/>
        <w:keepLines/>
        <w:rPr>
          <w:color w:val="000000"/>
        </w:rPr>
      </w:pPr>
      <w:r w:rsidRPr="00870B30">
        <w:rPr>
          <w:color w:val="000000"/>
        </w:rPr>
        <w:t>In 2017, Allergan plc (Allergan) licensed the rights to a microbiome gastrointestinal development program from Assembly Biosciences (Assembly). Allergan made an up-front payment of US$50 million</w:t>
      </w:r>
      <w:r w:rsidRPr="00870B30">
        <w:t>*</w:t>
      </w:r>
      <w:r w:rsidRPr="00870B30">
        <w:rPr>
          <w:color w:val="000000"/>
        </w:rPr>
        <w:t xml:space="preserve"> to Assembly for the rights to develop and sell drug formulations targeting ulcerative colitis, Crohn’s disease, and other gastrointestinal maladies. Assembly would be eligible to receive up to approximately $630 million in payments related to seven development milestones and tiered royalties at rates ranging from “the mid-single digits to the mid-teens</w:t>
      </w:r>
      <w:r w:rsidR="001D1E52">
        <w:rPr>
          <w:color w:val="000000"/>
        </w:rPr>
        <w:t>”**</w:t>
      </w:r>
      <w:r w:rsidRPr="00870B30">
        <w:rPr>
          <w:color w:val="000000"/>
        </w:rPr>
        <w:t xml:space="preserve"> based on net sales. Allergan agreed to assume all post proof-of-concept (POC) development costs. The drug was in the pre-clinical (pre-FDA</w:t>
      </w:r>
      <w:r w:rsidR="001D1E52">
        <w:rPr>
          <w:color w:val="000000"/>
          <w:vertAlign w:val="superscript"/>
        </w:rPr>
        <w:t>***</w:t>
      </w:r>
      <w:r w:rsidRPr="00870B30">
        <w:rPr>
          <w:color w:val="000000"/>
        </w:rPr>
        <w:t xml:space="preserve"> phase 1) stage of development. </w:t>
      </w:r>
    </w:p>
    <w:p w14:paraId="100B260A" w14:textId="77777777" w:rsidR="00870B30" w:rsidRPr="00870B30" w:rsidRDefault="00870B30" w:rsidP="00ED5338">
      <w:pPr>
        <w:pStyle w:val="ExhibitText"/>
        <w:keepNext/>
        <w:keepLines/>
      </w:pPr>
    </w:p>
    <w:p w14:paraId="16BF1664" w14:textId="77777777" w:rsidR="00870B30" w:rsidRPr="00870B30" w:rsidRDefault="00870B30" w:rsidP="00ED5338">
      <w:pPr>
        <w:pStyle w:val="ExhibitText"/>
        <w:keepNext/>
        <w:keepLines/>
      </w:pPr>
    </w:p>
    <w:p w14:paraId="3BCABC1E" w14:textId="6C08C18D" w:rsidR="00870B30" w:rsidRPr="00870B30" w:rsidRDefault="00870B30" w:rsidP="00ED5338">
      <w:pPr>
        <w:pStyle w:val="Casehead2"/>
        <w:keepLines/>
      </w:pPr>
      <w:r w:rsidRPr="00870B30">
        <w:t>Gilead Sciences Partnered with Roche</w:t>
      </w:r>
    </w:p>
    <w:p w14:paraId="6B9F90CE" w14:textId="77777777" w:rsidR="00870B30" w:rsidRPr="00870B30" w:rsidRDefault="00870B30" w:rsidP="00ED5338">
      <w:pPr>
        <w:pStyle w:val="ExhibitText"/>
        <w:keepNext/>
        <w:keepLines/>
      </w:pPr>
    </w:p>
    <w:p w14:paraId="37A5675A" w14:textId="75D4C1E6" w:rsidR="00870B30" w:rsidRPr="00870B30" w:rsidRDefault="00870B30" w:rsidP="00ED5338">
      <w:pPr>
        <w:pStyle w:val="ExhibitText"/>
        <w:keepNext/>
        <w:keepLines/>
      </w:pPr>
      <w:r w:rsidRPr="00870B30">
        <w:t>Gilead Sciences Inc. (Gilead) partnered with F. Hoffmann-La Roche Ltd. (Roche) to license Tamiflu in September 1996, with an amended agreement in 2005. Tamiflu, an antiviral oral formulation for the treatment and prevention of influenza, was co-developed by Gilead and Roche. Under the 1996 agreement, Roche had the exclusive right to manufacture and sell Tamiflu worldwide, subject to its obligation to pay Gilead according to the following schedule: (a) 14 per cent of the first $200.0 million in worldwide net sales in a given calendar year, (b) 18 per cent of the next $200.0 million in worldwide net sales during the same calendar year, and (c) 22 per cent of worldwide net sales in excess of $400.0 million during the same calendar year, all subject to reduction for certain manufacturing costs. Tamiflu was licensed during the early stages of development.</w:t>
      </w:r>
    </w:p>
    <w:p w14:paraId="5F7AC55B" w14:textId="77777777" w:rsidR="00870B30" w:rsidRPr="00870B30" w:rsidRDefault="00870B30" w:rsidP="00ED5338">
      <w:pPr>
        <w:pStyle w:val="ExhibitText"/>
        <w:keepNext/>
        <w:keepLines/>
      </w:pPr>
    </w:p>
    <w:p w14:paraId="03F20FDA" w14:textId="77777777" w:rsidR="00870B30" w:rsidRPr="00870B30" w:rsidRDefault="00870B30" w:rsidP="00ED5338">
      <w:pPr>
        <w:pStyle w:val="ExhibitText"/>
        <w:keepNext/>
        <w:keepLines/>
      </w:pPr>
    </w:p>
    <w:p w14:paraId="7856BEDC" w14:textId="77777777" w:rsidR="00870B30" w:rsidRPr="00870B30" w:rsidRDefault="00870B30" w:rsidP="00ED5338">
      <w:pPr>
        <w:pStyle w:val="Casehead2"/>
        <w:keepLines/>
      </w:pPr>
      <w:r w:rsidRPr="00870B30">
        <w:t>Ironwood Pharmaceuticals Licensed Linzess</w:t>
      </w:r>
    </w:p>
    <w:p w14:paraId="32E5059E" w14:textId="77777777" w:rsidR="00870B30" w:rsidRPr="00870B30" w:rsidRDefault="00870B30" w:rsidP="00ED5338">
      <w:pPr>
        <w:pStyle w:val="ExhibitText"/>
        <w:keepNext/>
        <w:keepLines/>
      </w:pPr>
    </w:p>
    <w:p w14:paraId="17155671" w14:textId="26F6385C" w:rsidR="00870B30" w:rsidRPr="00870B30" w:rsidRDefault="00870B30" w:rsidP="00ED5338">
      <w:pPr>
        <w:pStyle w:val="ExhibitText"/>
        <w:keepNext/>
        <w:keepLines/>
        <w:rPr>
          <w:color w:val="000000"/>
        </w:rPr>
      </w:pPr>
      <w:r w:rsidRPr="00870B30">
        <w:rPr>
          <w:color w:val="000000"/>
        </w:rPr>
        <w:t>Synergy’s top competitor, Ironwood Pharmaceuticals Inc. (Ironwood) began licensing its drug Linzess in 2004. In 2008, Forest Laboratories paid US$70 million up front for marketing rights, with future development and commercialization costs to be split 50/50. The drug received FDA approval in December 2012. After six years on the market, U.S. sales of Linzess were $701 million, which generated $372 million of profits for the partnership, of which 50 per cent—about $136 million—was attributable to Ironwood. In effect, at the $700 million sales level, Ironwood was receiving a net “royalty” of about 19.4 per cent of sales.</w:t>
      </w:r>
    </w:p>
    <w:p w14:paraId="28A1F0F0" w14:textId="77777777" w:rsidR="00870B30" w:rsidRPr="00870B30" w:rsidRDefault="00870B30" w:rsidP="00ED5338">
      <w:pPr>
        <w:pStyle w:val="ExhibitText"/>
        <w:keepNext/>
        <w:keepLines/>
      </w:pPr>
    </w:p>
    <w:p w14:paraId="148E68FB" w14:textId="6BB62C5C" w:rsidR="00870B30" w:rsidRPr="00870B30" w:rsidRDefault="001D1E52" w:rsidP="00ED5338">
      <w:pPr>
        <w:pStyle w:val="Footnote"/>
        <w:keepNext/>
        <w:keepLines/>
      </w:pPr>
      <w:r>
        <w:t>Notes: *</w:t>
      </w:r>
      <w:r w:rsidR="00870B30" w:rsidRPr="00870B30">
        <w:t>A</w:t>
      </w:r>
      <w:r>
        <w:t>ll dollar amounts are in USD; **</w:t>
      </w:r>
      <w:r w:rsidR="00870B30" w:rsidRPr="00870B30">
        <w:t>In the pharmaceutical industry, most licensing agreements were kept private, referring to royalty terms only in general terms (e.g., “mid-to-upper s</w:t>
      </w:r>
      <w:r>
        <w:t>ingle digits” or “mid-teens”); ***</w:t>
      </w:r>
      <w:r w:rsidR="00870B30" w:rsidRPr="00870B30">
        <w:t>FDA = U.S. Food and Drug Administration.</w:t>
      </w:r>
    </w:p>
    <w:p w14:paraId="67A4F064" w14:textId="096A2326" w:rsidR="00870B30" w:rsidRPr="00870B30" w:rsidRDefault="00870B30" w:rsidP="00ED5338">
      <w:pPr>
        <w:pStyle w:val="Footnote"/>
        <w:keepNext/>
        <w:keepLines/>
      </w:pPr>
      <w:r w:rsidRPr="00870B30">
        <w:t xml:space="preserve">Source: Allergan Pharmaceuticals, “Allergan Enters into Licensing Agreement with Assembly Biosciences to Obtain Worldwide Rights to Microbiome Gastrointestinal Development Programs,” press release, Allergan, January 9, 2017, accessed August 22, 2018, </w:t>
      </w:r>
      <w:r w:rsidR="00EE4DC2">
        <w:t>www</w:t>
      </w:r>
      <w:r w:rsidRPr="00870B30">
        <w:t xml:space="preserve">.allergan.com/news/news/thomson-reuters/allergan-enters-into-licensing-agreement-with-asse; Gilead Sciences, “Gilead and Roche End Tamiflu(R) Dispute; Expanded Collaboration Includes Gilead Role in Oversight of Manufacturing and Commercialization,” press release, Gilead, November 16, 2005, accessed August 22, 2018, http://investors.gilead.com/news-releases/news-release-details/gilead-and-roche-end-tamiflur-dispute-expanded-collaboration?ID=783456&amp;c=69964&amp;p=irol-newsArticle; and Ironwood Pharmaceuticals, “Ironwood Pharmaceuticals Provides Fourth Quarter and Full Year 2017 Investor Update,” press release, Business Wire, February 15, 2018, accessed September 1, 2018, </w:t>
      </w:r>
      <w:r w:rsidR="00EE4DC2">
        <w:t>www</w:t>
      </w:r>
      <w:r w:rsidRPr="00870B30">
        <w:t>.businesswire.com/news/home/20180215005322/en/Ironwood-Pharmaceuticals-Fourth-Quarter-Full-Year-2017.</w:t>
      </w:r>
    </w:p>
    <w:p w14:paraId="3DA717ED" w14:textId="0E8D82F9" w:rsidR="00870B30" w:rsidRPr="00870B30" w:rsidRDefault="00870B30">
      <w:pPr>
        <w:spacing w:after="200" w:line="276" w:lineRule="auto"/>
        <w:rPr>
          <w:rFonts w:ascii="Arial" w:hAnsi="Arial" w:cs="Arial"/>
          <w:sz w:val="17"/>
          <w:szCs w:val="17"/>
        </w:rPr>
      </w:pPr>
      <w:r w:rsidRPr="00870B30">
        <w:br w:type="page"/>
      </w:r>
    </w:p>
    <w:p w14:paraId="4E4DB2A4" w14:textId="794B6688" w:rsidR="00870B30" w:rsidRPr="00870B30" w:rsidRDefault="00870B30" w:rsidP="00E7738D">
      <w:pPr>
        <w:pStyle w:val="ExhibitHeading"/>
      </w:pPr>
      <w:r w:rsidRPr="00870B30">
        <w:lastRenderedPageBreak/>
        <w:t xml:space="preserve">EXHIBIT 5: Synergy Quarterly Financial </w:t>
      </w:r>
      <w:r w:rsidR="00BA07B1">
        <w:t>HIGHLIGHTS</w:t>
      </w:r>
      <w:r w:rsidRPr="00870B30">
        <w:t xml:space="preserve"> (in US$ ’000)</w:t>
      </w:r>
    </w:p>
    <w:p w14:paraId="2EF30742" w14:textId="77777777" w:rsidR="00870B30" w:rsidRPr="00870B30" w:rsidRDefault="00870B30" w:rsidP="004F6BA1">
      <w:pPr>
        <w:pStyle w:val="ExhibitText"/>
        <w:jc w:val="center"/>
        <w:rPr>
          <w:sz w:val="16"/>
          <w:szCs w:val="16"/>
        </w:rPr>
      </w:pPr>
    </w:p>
    <w:tbl>
      <w:tblPr>
        <w:tblW w:w="5000" w:type="pct"/>
        <w:jc w:val="center"/>
        <w:tblBorders>
          <w:top w:val="single" w:sz="4" w:space="0" w:color="auto"/>
          <w:bottom w:val="single" w:sz="4" w:space="0" w:color="auto"/>
        </w:tblBorders>
        <w:tblLook w:val="04A0" w:firstRow="1" w:lastRow="0" w:firstColumn="1" w:lastColumn="0" w:noHBand="0" w:noVBand="1"/>
      </w:tblPr>
      <w:tblGrid>
        <w:gridCol w:w="3248"/>
        <w:gridCol w:w="1528"/>
        <w:gridCol w:w="1528"/>
        <w:gridCol w:w="1528"/>
        <w:gridCol w:w="1528"/>
      </w:tblGrid>
      <w:tr w:rsidR="00870B30" w:rsidRPr="00870B30" w14:paraId="42B6C0C2" w14:textId="77777777" w:rsidTr="003E06A5">
        <w:trPr>
          <w:trHeight w:val="288"/>
          <w:jc w:val="center"/>
        </w:trPr>
        <w:tc>
          <w:tcPr>
            <w:tcW w:w="3248" w:type="dxa"/>
            <w:tcBorders>
              <w:top w:val="single" w:sz="4" w:space="0" w:color="auto"/>
              <w:bottom w:val="single" w:sz="12" w:space="0" w:color="auto"/>
            </w:tcBorders>
            <w:shd w:val="clear" w:color="auto" w:fill="auto"/>
            <w:noWrap/>
            <w:vAlign w:val="center"/>
            <w:hideMark/>
          </w:tcPr>
          <w:p w14:paraId="698E0AB5" w14:textId="77777777" w:rsidR="00870B30" w:rsidRPr="00870B30" w:rsidRDefault="00870B30" w:rsidP="003E06A5">
            <w:pPr>
              <w:pStyle w:val="ExhibitText"/>
              <w:jc w:val="right"/>
              <w:rPr>
                <w:b/>
                <w:sz w:val="18"/>
                <w:szCs w:val="18"/>
              </w:rPr>
            </w:pPr>
            <w:r w:rsidRPr="00870B30">
              <w:rPr>
                <w:b/>
                <w:sz w:val="18"/>
                <w:szCs w:val="18"/>
              </w:rPr>
              <w:t>Period Ending</w:t>
            </w:r>
          </w:p>
        </w:tc>
        <w:tc>
          <w:tcPr>
            <w:tcW w:w="1528" w:type="dxa"/>
            <w:tcBorders>
              <w:top w:val="single" w:sz="4" w:space="0" w:color="auto"/>
              <w:bottom w:val="single" w:sz="12" w:space="0" w:color="auto"/>
            </w:tcBorders>
            <w:vAlign w:val="center"/>
          </w:tcPr>
          <w:p w14:paraId="62C949A2" w14:textId="7FFEE01D" w:rsidR="00870B30" w:rsidRPr="00870B30" w:rsidRDefault="00870B30" w:rsidP="003E06A5">
            <w:pPr>
              <w:pStyle w:val="ExhibitText"/>
              <w:jc w:val="right"/>
              <w:rPr>
                <w:b/>
                <w:sz w:val="18"/>
                <w:szCs w:val="18"/>
              </w:rPr>
            </w:pPr>
            <w:r w:rsidRPr="00870B30">
              <w:rPr>
                <w:b/>
                <w:sz w:val="18"/>
                <w:szCs w:val="18"/>
              </w:rPr>
              <w:t>2017-09-30</w:t>
            </w:r>
          </w:p>
        </w:tc>
        <w:tc>
          <w:tcPr>
            <w:tcW w:w="1528" w:type="dxa"/>
            <w:tcBorders>
              <w:top w:val="single" w:sz="4" w:space="0" w:color="auto"/>
              <w:bottom w:val="single" w:sz="12" w:space="0" w:color="auto"/>
            </w:tcBorders>
            <w:vAlign w:val="center"/>
          </w:tcPr>
          <w:p w14:paraId="36AEEFA2" w14:textId="19EE5BF3" w:rsidR="00870B30" w:rsidRPr="00870B30" w:rsidRDefault="00870B30" w:rsidP="003E06A5">
            <w:pPr>
              <w:pStyle w:val="ExhibitText"/>
              <w:jc w:val="right"/>
              <w:rPr>
                <w:b/>
                <w:sz w:val="18"/>
                <w:szCs w:val="18"/>
              </w:rPr>
            </w:pPr>
            <w:r w:rsidRPr="00870B30">
              <w:rPr>
                <w:b/>
                <w:sz w:val="18"/>
                <w:szCs w:val="18"/>
              </w:rPr>
              <w:t>2017-12-31</w:t>
            </w:r>
          </w:p>
        </w:tc>
        <w:tc>
          <w:tcPr>
            <w:tcW w:w="1528" w:type="dxa"/>
            <w:tcBorders>
              <w:top w:val="single" w:sz="4" w:space="0" w:color="auto"/>
              <w:bottom w:val="single" w:sz="12" w:space="0" w:color="auto"/>
            </w:tcBorders>
            <w:vAlign w:val="center"/>
          </w:tcPr>
          <w:p w14:paraId="1E621FA0" w14:textId="0B94C46D" w:rsidR="00870B30" w:rsidRPr="00870B30" w:rsidRDefault="00870B30" w:rsidP="003E06A5">
            <w:pPr>
              <w:pStyle w:val="ExhibitText"/>
              <w:jc w:val="right"/>
              <w:rPr>
                <w:b/>
                <w:sz w:val="18"/>
                <w:szCs w:val="18"/>
              </w:rPr>
            </w:pPr>
            <w:r w:rsidRPr="00870B30">
              <w:rPr>
                <w:b/>
                <w:sz w:val="18"/>
                <w:szCs w:val="18"/>
              </w:rPr>
              <w:t>2018-03-31</w:t>
            </w:r>
          </w:p>
        </w:tc>
        <w:tc>
          <w:tcPr>
            <w:tcW w:w="1528" w:type="dxa"/>
            <w:tcBorders>
              <w:top w:val="single" w:sz="4" w:space="0" w:color="auto"/>
              <w:bottom w:val="single" w:sz="12" w:space="0" w:color="auto"/>
            </w:tcBorders>
            <w:shd w:val="clear" w:color="auto" w:fill="auto"/>
            <w:noWrap/>
            <w:vAlign w:val="center"/>
            <w:hideMark/>
          </w:tcPr>
          <w:p w14:paraId="093DAB8E" w14:textId="6556F009" w:rsidR="00870B30" w:rsidRPr="00870B30" w:rsidRDefault="00870B30" w:rsidP="003E06A5">
            <w:pPr>
              <w:pStyle w:val="ExhibitText"/>
              <w:jc w:val="right"/>
              <w:rPr>
                <w:b/>
                <w:sz w:val="18"/>
                <w:szCs w:val="18"/>
              </w:rPr>
            </w:pPr>
            <w:r w:rsidRPr="00870B30">
              <w:rPr>
                <w:b/>
                <w:sz w:val="18"/>
                <w:szCs w:val="18"/>
              </w:rPr>
              <w:t>2018-06-30</w:t>
            </w:r>
          </w:p>
        </w:tc>
      </w:tr>
      <w:tr w:rsidR="00870B30" w:rsidRPr="00870B30" w14:paraId="56B6B48E" w14:textId="77777777" w:rsidTr="00542153">
        <w:trPr>
          <w:trHeight w:val="288"/>
          <w:jc w:val="center"/>
        </w:trPr>
        <w:tc>
          <w:tcPr>
            <w:tcW w:w="3248" w:type="dxa"/>
            <w:tcBorders>
              <w:top w:val="single" w:sz="12" w:space="0" w:color="auto"/>
            </w:tcBorders>
            <w:shd w:val="clear" w:color="auto" w:fill="D9D9D9" w:themeFill="background1" w:themeFillShade="D9"/>
            <w:noWrap/>
            <w:vAlign w:val="center"/>
            <w:hideMark/>
          </w:tcPr>
          <w:p w14:paraId="12406BE2" w14:textId="13F30244" w:rsidR="00870B30" w:rsidRPr="00870B30" w:rsidRDefault="00870B30" w:rsidP="003E06A5">
            <w:pPr>
              <w:pStyle w:val="ExhibitText"/>
              <w:jc w:val="left"/>
              <w:rPr>
                <w:b/>
                <w:sz w:val="18"/>
                <w:szCs w:val="18"/>
              </w:rPr>
            </w:pPr>
            <w:r w:rsidRPr="00870B30">
              <w:rPr>
                <w:b/>
                <w:sz w:val="18"/>
                <w:szCs w:val="18"/>
              </w:rPr>
              <w:t>Balance Sheet</w:t>
            </w:r>
          </w:p>
        </w:tc>
        <w:tc>
          <w:tcPr>
            <w:tcW w:w="1528" w:type="dxa"/>
            <w:tcBorders>
              <w:top w:val="single" w:sz="12" w:space="0" w:color="auto"/>
            </w:tcBorders>
            <w:shd w:val="clear" w:color="auto" w:fill="D9D9D9" w:themeFill="background1" w:themeFillShade="D9"/>
            <w:vAlign w:val="center"/>
          </w:tcPr>
          <w:p w14:paraId="4C778927" w14:textId="77777777" w:rsidR="00870B30" w:rsidRPr="00870B30" w:rsidRDefault="00870B30" w:rsidP="003E06A5">
            <w:pPr>
              <w:pStyle w:val="ExhibitText"/>
              <w:jc w:val="right"/>
              <w:rPr>
                <w:b/>
                <w:sz w:val="18"/>
                <w:szCs w:val="18"/>
              </w:rPr>
            </w:pPr>
          </w:p>
        </w:tc>
        <w:tc>
          <w:tcPr>
            <w:tcW w:w="1528" w:type="dxa"/>
            <w:tcBorders>
              <w:top w:val="single" w:sz="12" w:space="0" w:color="auto"/>
            </w:tcBorders>
            <w:shd w:val="clear" w:color="auto" w:fill="D9D9D9" w:themeFill="background1" w:themeFillShade="D9"/>
            <w:vAlign w:val="center"/>
          </w:tcPr>
          <w:p w14:paraId="20D58505" w14:textId="77777777" w:rsidR="00870B30" w:rsidRPr="00870B30" w:rsidRDefault="00870B30" w:rsidP="003E06A5">
            <w:pPr>
              <w:pStyle w:val="ExhibitText"/>
              <w:jc w:val="right"/>
              <w:rPr>
                <w:b/>
                <w:sz w:val="18"/>
                <w:szCs w:val="18"/>
              </w:rPr>
            </w:pPr>
          </w:p>
        </w:tc>
        <w:tc>
          <w:tcPr>
            <w:tcW w:w="1528" w:type="dxa"/>
            <w:tcBorders>
              <w:top w:val="single" w:sz="12" w:space="0" w:color="auto"/>
            </w:tcBorders>
            <w:shd w:val="clear" w:color="auto" w:fill="D9D9D9" w:themeFill="background1" w:themeFillShade="D9"/>
            <w:vAlign w:val="center"/>
          </w:tcPr>
          <w:p w14:paraId="3A5CE137" w14:textId="77777777" w:rsidR="00870B30" w:rsidRPr="00870B30" w:rsidRDefault="00870B30" w:rsidP="003E06A5">
            <w:pPr>
              <w:pStyle w:val="ExhibitText"/>
              <w:jc w:val="right"/>
              <w:rPr>
                <w:b/>
                <w:sz w:val="18"/>
                <w:szCs w:val="18"/>
              </w:rPr>
            </w:pPr>
          </w:p>
        </w:tc>
        <w:tc>
          <w:tcPr>
            <w:tcW w:w="1528" w:type="dxa"/>
            <w:tcBorders>
              <w:top w:val="single" w:sz="12" w:space="0" w:color="auto"/>
            </w:tcBorders>
            <w:shd w:val="clear" w:color="auto" w:fill="D9D9D9" w:themeFill="background1" w:themeFillShade="D9"/>
            <w:vAlign w:val="center"/>
          </w:tcPr>
          <w:p w14:paraId="1838D100" w14:textId="77777777" w:rsidR="00870B30" w:rsidRPr="00870B30" w:rsidRDefault="00870B30" w:rsidP="003E06A5">
            <w:pPr>
              <w:pStyle w:val="ExhibitText"/>
              <w:jc w:val="right"/>
              <w:rPr>
                <w:b/>
                <w:sz w:val="18"/>
                <w:szCs w:val="18"/>
              </w:rPr>
            </w:pPr>
          </w:p>
        </w:tc>
      </w:tr>
      <w:tr w:rsidR="00870B30" w:rsidRPr="00870B30" w14:paraId="6C7B7BFE" w14:textId="77777777" w:rsidTr="003E06A5">
        <w:trPr>
          <w:trHeight w:val="288"/>
          <w:jc w:val="center"/>
        </w:trPr>
        <w:tc>
          <w:tcPr>
            <w:tcW w:w="3248" w:type="dxa"/>
            <w:shd w:val="clear" w:color="auto" w:fill="auto"/>
            <w:noWrap/>
            <w:vAlign w:val="center"/>
            <w:hideMark/>
          </w:tcPr>
          <w:p w14:paraId="780DAF62" w14:textId="77777777" w:rsidR="00870B30" w:rsidRPr="00870B30" w:rsidRDefault="00870B30" w:rsidP="003E06A5">
            <w:pPr>
              <w:pStyle w:val="ExhibitText"/>
              <w:jc w:val="left"/>
              <w:rPr>
                <w:b/>
                <w:sz w:val="18"/>
                <w:szCs w:val="18"/>
              </w:rPr>
            </w:pPr>
            <w:r w:rsidRPr="00870B30">
              <w:rPr>
                <w:b/>
                <w:sz w:val="18"/>
                <w:szCs w:val="18"/>
              </w:rPr>
              <w:t>Current Assets</w:t>
            </w:r>
          </w:p>
        </w:tc>
        <w:tc>
          <w:tcPr>
            <w:tcW w:w="1528" w:type="dxa"/>
            <w:vAlign w:val="center"/>
          </w:tcPr>
          <w:p w14:paraId="1D58DD35" w14:textId="77777777" w:rsidR="00870B30" w:rsidRPr="00870B30" w:rsidRDefault="00870B30" w:rsidP="003E06A5">
            <w:pPr>
              <w:pStyle w:val="ExhibitText"/>
              <w:jc w:val="right"/>
              <w:rPr>
                <w:b/>
                <w:sz w:val="18"/>
                <w:szCs w:val="18"/>
              </w:rPr>
            </w:pPr>
          </w:p>
        </w:tc>
        <w:tc>
          <w:tcPr>
            <w:tcW w:w="1528" w:type="dxa"/>
            <w:vAlign w:val="center"/>
          </w:tcPr>
          <w:p w14:paraId="5F78D2C2" w14:textId="77777777" w:rsidR="00870B30" w:rsidRPr="00870B30" w:rsidRDefault="00870B30" w:rsidP="003E06A5">
            <w:pPr>
              <w:pStyle w:val="ExhibitText"/>
              <w:jc w:val="right"/>
              <w:rPr>
                <w:b/>
                <w:sz w:val="18"/>
                <w:szCs w:val="18"/>
              </w:rPr>
            </w:pPr>
          </w:p>
        </w:tc>
        <w:tc>
          <w:tcPr>
            <w:tcW w:w="1528" w:type="dxa"/>
            <w:vAlign w:val="center"/>
          </w:tcPr>
          <w:p w14:paraId="57A48383" w14:textId="77777777" w:rsidR="00870B30" w:rsidRPr="00870B30" w:rsidRDefault="00870B30" w:rsidP="003E06A5">
            <w:pPr>
              <w:pStyle w:val="ExhibitText"/>
              <w:jc w:val="right"/>
              <w:rPr>
                <w:b/>
                <w:sz w:val="18"/>
                <w:szCs w:val="18"/>
              </w:rPr>
            </w:pPr>
          </w:p>
        </w:tc>
        <w:tc>
          <w:tcPr>
            <w:tcW w:w="1528" w:type="dxa"/>
            <w:shd w:val="clear" w:color="auto" w:fill="auto"/>
            <w:noWrap/>
            <w:vAlign w:val="center"/>
            <w:hideMark/>
          </w:tcPr>
          <w:p w14:paraId="400E4BCC" w14:textId="3563FB17" w:rsidR="00870B30" w:rsidRPr="00870B30" w:rsidRDefault="00870B30" w:rsidP="003E06A5">
            <w:pPr>
              <w:pStyle w:val="ExhibitText"/>
              <w:jc w:val="right"/>
              <w:rPr>
                <w:b/>
                <w:sz w:val="18"/>
                <w:szCs w:val="18"/>
              </w:rPr>
            </w:pPr>
          </w:p>
        </w:tc>
      </w:tr>
      <w:tr w:rsidR="00870B30" w:rsidRPr="00870B30" w14:paraId="38FF22DC" w14:textId="77777777" w:rsidTr="003E06A5">
        <w:trPr>
          <w:trHeight w:val="288"/>
          <w:jc w:val="center"/>
        </w:trPr>
        <w:tc>
          <w:tcPr>
            <w:tcW w:w="3248" w:type="dxa"/>
            <w:shd w:val="clear" w:color="auto" w:fill="auto"/>
            <w:noWrap/>
            <w:vAlign w:val="center"/>
            <w:hideMark/>
          </w:tcPr>
          <w:p w14:paraId="5850BF1A" w14:textId="6862E7FC" w:rsidR="00870B30" w:rsidRPr="00870B30" w:rsidRDefault="00870B30" w:rsidP="003E06A5">
            <w:pPr>
              <w:pStyle w:val="ExhibitText"/>
              <w:jc w:val="left"/>
              <w:rPr>
                <w:sz w:val="18"/>
                <w:szCs w:val="18"/>
              </w:rPr>
            </w:pPr>
            <w:r w:rsidRPr="00870B30">
              <w:rPr>
                <w:sz w:val="18"/>
                <w:szCs w:val="18"/>
              </w:rPr>
              <w:t>Cash and Cash Equivalents</w:t>
            </w:r>
          </w:p>
        </w:tc>
        <w:tc>
          <w:tcPr>
            <w:tcW w:w="1528" w:type="dxa"/>
            <w:vAlign w:val="center"/>
          </w:tcPr>
          <w:p w14:paraId="0C284283" w14:textId="1CB16011" w:rsidR="00870B30" w:rsidRPr="00870B30" w:rsidRDefault="00870B30" w:rsidP="003E06A5">
            <w:pPr>
              <w:pStyle w:val="ExhibitText"/>
              <w:jc w:val="right"/>
              <w:rPr>
                <w:sz w:val="18"/>
                <w:szCs w:val="18"/>
              </w:rPr>
            </w:pPr>
            <w:r w:rsidRPr="00870B30">
              <w:rPr>
                <w:sz w:val="18"/>
                <w:szCs w:val="18"/>
              </w:rPr>
              <w:t>117,787</w:t>
            </w:r>
          </w:p>
        </w:tc>
        <w:tc>
          <w:tcPr>
            <w:tcW w:w="1528" w:type="dxa"/>
            <w:vAlign w:val="center"/>
          </w:tcPr>
          <w:p w14:paraId="0BB536E8" w14:textId="22E35753" w:rsidR="00870B30" w:rsidRPr="00870B30" w:rsidRDefault="00D6645B" w:rsidP="003E06A5">
            <w:pPr>
              <w:pStyle w:val="ExhibitText"/>
              <w:jc w:val="right"/>
              <w:rPr>
                <w:sz w:val="18"/>
                <w:szCs w:val="18"/>
              </w:rPr>
            </w:pPr>
            <w:r>
              <w:rPr>
                <w:sz w:val="18"/>
                <w:szCs w:val="18"/>
              </w:rPr>
              <w:t>13</w:t>
            </w:r>
            <w:r w:rsidR="00BA07B1">
              <w:rPr>
                <w:sz w:val="18"/>
                <w:szCs w:val="18"/>
              </w:rPr>
              <w:t>6</w:t>
            </w:r>
            <w:r>
              <w:rPr>
                <w:sz w:val="18"/>
                <w:szCs w:val="18"/>
              </w:rPr>
              <w:t>,986</w:t>
            </w:r>
          </w:p>
        </w:tc>
        <w:tc>
          <w:tcPr>
            <w:tcW w:w="1528" w:type="dxa"/>
            <w:vAlign w:val="center"/>
          </w:tcPr>
          <w:p w14:paraId="49C31AFF" w14:textId="6968FBB6" w:rsidR="00870B30" w:rsidRPr="00870B30" w:rsidRDefault="00870B30" w:rsidP="003E06A5">
            <w:pPr>
              <w:pStyle w:val="ExhibitText"/>
              <w:jc w:val="right"/>
              <w:rPr>
                <w:sz w:val="18"/>
                <w:szCs w:val="18"/>
              </w:rPr>
            </w:pPr>
            <w:r w:rsidRPr="00870B30">
              <w:rPr>
                <w:sz w:val="18"/>
                <w:szCs w:val="18"/>
              </w:rPr>
              <w:t>98,658</w:t>
            </w:r>
          </w:p>
        </w:tc>
        <w:tc>
          <w:tcPr>
            <w:tcW w:w="1528" w:type="dxa"/>
            <w:shd w:val="clear" w:color="auto" w:fill="auto"/>
            <w:noWrap/>
            <w:vAlign w:val="center"/>
            <w:hideMark/>
          </w:tcPr>
          <w:p w14:paraId="2CC01DCA" w14:textId="5D56107B" w:rsidR="00870B30" w:rsidRPr="00870B30" w:rsidRDefault="00870B30" w:rsidP="003E06A5">
            <w:pPr>
              <w:pStyle w:val="ExhibitText"/>
              <w:jc w:val="right"/>
              <w:rPr>
                <w:sz w:val="18"/>
                <w:szCs w:val="18"/>
              </w:rPr>
            </w:pPr>
            <w:r w:rsidRPr="00870B30">
              <w:rPr>
                <w:sz w:val="18"/>
                <w:szCs w:val="18"/>
              </w:rPr>
              <w:t>61,233</w:t>
            </w:r>
          </w:p>
        </w:tc>
      </w:tr>
      <w:tr w:rsidR="00870B30" w:rsidRPr="00870B30" w14:paraId="3C691077" w14:textId="77777777" w:rsidTr="003E06A5">
        <w:trPr>
          <w:trHeight w:val="288"/>
          <w:jc w:val="center"/>
        </w:trPr>
        <w:tc>
          <w:tcPr>
            <w:tcW w:w="3248" w:type="dxa"/>
            <w:shd w:val="clear" w:color="auto" w:fill="auto"/>
            <w:noWrap/>
            <w:vAlign w:val="center"/>
            <w:hideMark/>
          </w:tcPr>
          <w:p w14:paraId="2EE93128" w14:textId="77777777" w:rsidR="00870B30" w:rsidRPr="00870B30" w:rsidRDefault="00870B30" w:rsidP="003E06A5">
            <w:pPr>
              <w:pStyle w:val="ExhibitText"/>
              <w:jc w:val="left"/>
              <w:rPr>
                <w:sz w:val="18"/>
                <w:szCs w:val="18"/>
              </w:rPr>
            </w:pPr>
            <w:r w:rsidRPr="00870B30">
              <w:rPr>
                <w:sz w:val="18"/>
                <w:szCs w:val="18"/>
              </w:rPr>
              <w:t>Net Receivables</w:t>
            </w:r>
          </w:p>
        </w:tc>
        <w:tc>
          <w:tcPr>
            <w:tcW w:w="1528" w:type="dxa"/>
            <w:vAlign w:val="center"/>
          </w:tcPr>
          <w:p w14:paraId="465FFE3A" w14:textId="5BBF2A5D" w:rsidR="00870B30" w:rsidRPr="00870B30" w:rsidRDefault="00870B30" w:rsidP="003E06A5">
            <w:pPr>
              <w:pStyle w:val="ExhibitText"/>
              <w:jc w:val="right"/>
              <w:rPr>
                <w:sz w:val="18"/>
                <w:szCs w:val="18"/>
              </w:rPr>
            </w:pPr>
            <w:r w:rsidRPr="00870B30">
              <w:rPr>
                <w:sz w:val="18"/>
                <w:szCs w:val="18"/>
              </w:rPr>
              <w:t>5,036</w:t>
            </w:r>
          </w:p>
        </w:tc>
        <w:tc>
          <w:tcPr>
            <w:tcW w:w="1528" w:type="dxa"/>
            <w:vAlign w:val="center"/>
          </w:tcPr>
          <w:p w14:paraId="4E7EDF62" w14:textId="49632D89" w:rsidR="00870B30" w:rsidRPr="00870B30" w:rsidRDefault="00BA07B1" w:rsidP="003E06A5">
            <w:pPr>
              <w:pStyle w:val="ExhibitText"/>
              <w:jc w:val="right"/>
              <w:rPr>
                <w:sz w:val="18"/>
                <w:szCs w:val="18"/>
              </w:rPr>
            </w:pPr>
            <w:r>
              <w:rPr>
                <w:sz w:val="18"/>
                <w:szCs w:val="18"/>
              </w:rPr>
              <w:t>6,491</w:t>
            </w:r>
          </w:p>
        </w:tc>
        <w:tc>
          <w:tcPr>
            <w:tcW w:w="1528" w:type="dxa"/>
            <w:vAlign w:val="center"/>
          </w:tcPr>
          <w:p w14:paraId="6A2B6279" w14:textId="7B8D626F" w:rsidR="00870B30" w:rsidRPr="00870B30" w:rsidRDefault="00870B30" w:rsidP="003E06A5">
            <w:pPr>
              <w:pStyle w:val="ExhibitText"/>
              <w:jc w:val="right"/>
              <w:rPr>
                <w:sz w:val="18"/>
                <w:szCs w:val="18"/>
              </w:rPr>
            </w:pPr>
            <w:r w:rsidRPr="00870B30">
              <w:rPr>
                <w:sz w:val="18"/>
                <w:szCs w:val="18"/>
              </w:rPr>
              <w:t>7,414</w:t>
            </w:r>
          </w:p>
        </w:tc>
        <w:tc>
          <w:tcPr>
            <w:tcW w:w="1528" w:type="dxa"/>
            <w:shd w:val="clear" w:color="auto" w:fill="auto"/>
            <w:noWrap/>
            <w:vAlign w:val="center"/>
            <w:hideMark/>
          </w:tcPr>
          <w:p w14:paraId="430FA033" w14:textId="5CEF7A15" w:rsidR="00870B30" w:rsidRPr="00870B30" w:rsidRDefault="00870B30" w:rsidP="003E06A5">
            <w:pPr>
              <w:pStyle w:val="ExhibitText"/>
              <w:jc w:val="right"/>
              <w:rPr>
                <w:sz w:val="18"/>
                <w:szCs w:val="18"/>
              </w:rPr>
            </w:pPr>
            <w:r w:rsidRPr="00870B30">
              <w:rPr>
                <w:sz w:val="18"/>
                <w:szCs w:val="18"/>
              </w:rPr>
              <w:t>8,511</w:t>
            </w:r>
          </w:p>
        </w:tc>
      </w:tr>
      <w:tr w:rsidR="00870B30" w:rsidRPr="00870B30" w14:paraId="3C66FD1F" w14:textId="77777777" w:rsidTr="00542153">
        <w:trPr>
          <w:trHeight w:val="288"/>
          <w:jc w:val="center"/>
        </w:trPr>
        <w:tc>
          <w:tcPr>
            <w:tcW w:w="3248" w:type="dxa"/>
            <w:tcBorders>
              <w:bottom w:val="nil"/>
            </w:tcBorders>
            <w:shd w:val="clear" w:color="auto" w:fill="auto"/>
            <w:noWrap/>
            <w:vAlign w:val="center"/>
            <w:hideMark/>
          </w:tcPr>
          <w:p w14:paraId="25A97DCC" w14:textId="77777777" w:rsidR="00870B30" w:rsidRPr="00870B30" w:rsidRDefault="00870B30" w:rsidP="003E06A5">
            <w:pPr>
              <w:pStyle w:val="ExhibitText"/>
              <w:jc w:val="left"/>
              <w:rPr>
                <w:sz w:val="18"/>
                <w:szCs w:val="18"/>
              </w:rPr>
            </w:pPr>
            <w:r w:rsidRPr="00870B30">
              <w:rPr>
                <w:sz w:val="18"/>
                <w:szCs w:val="18"/>
              </w:rPr>
              <w:t>Inventory</w:t>
            </w:r>
          </w:p>
        </w:tc>
        <w:tc>
          <w:tcPr>
            <w:tcW w:w="1528" w:type="dxa"/>
            <w:tcBorders>
              <w:bottom w:val="nil"/>
            </w:tcBorders>
            <w:vAlign w:val="center"/>
          </w:tcPr>
          <w:p w14:paraId="43A5EBDF" w14:textId="4FC928D8" w:rsidR="00870B30" w:rsidRPr="00870B30" w:rsidRDefault="00870B30" w:rsidP="003E06A5">
            <w:pPr>
              <w:pStyle w:val="ExhibitText"/>
              <w:jc w:val="right"/>
              <w:rPr>
                <w:sz w:val="18"/>
                <w:szCs w:val="18"/>
              </w:rPr>
            </w:pPr>
            <w:r w:rsidRPr="00870B30">
              <w:rPr>
                <w:sz w:val="18"/>
                <w:szCs w:val="18"/>
              </w:rPr>
              <w:t>13,045</w:t>
            </w:r>
          </w:p>
        </w:tc>
        <w:tc>
          <w:tcPr>
            <w:tcW w:w="1528" w:type="dxa"/>
            <w:tcBorders>
              <w:bottom w:val="nil"/>
            </w:tcBorders>
            <w:vAlign w:val="center"/>
          </w:tcPr>
          <w:p w14:paraId="3B46B399" w14:textId="0A04FCF3" w:rsidR="00870B30" w:rsidRPr="00870B30" w:rsidRDefault="00BA07B1" w:rsidP="003E06A5">
            <w:pPr>
              <w:pStyle w:val="ExhibitText"/>
              <w:jc w:val="right"/>
              <w:rPr>
                <w:sz w:val="18"/>
                <w:szCs w:val="18"/>
              </w:rPr>
            </w:pPr>
            <w:r>
              <w:rPr>
                <w:sz w:val="18"/>
                <w:szCs w:val="18"/>
              </w:rPr>
              <w:t>17,214</w:t>
            </w:r>
          </w:p>
        </w:tc>
        <w:tc>
          <w:tcPr>
            <w:tcW w:w="1528" w:type="dxa"/>
            <w:tcBorders>
              <w:bottom w:val="nil"/>
            </w:tcBorders>
            <w:vAlign w:val="center"/>
          </w:tcPr>
          <w:p w14:paraId="15F50147" w14:textId="7A063D0C" w:rsidR="00870B30" w:rsidRPr="00870B30" w:rsidRDefault="00870B30" w:rsidP="003E06A5">
            <w:pPr>
              <w:pStyle w:val="ExhibitText"/>
              <w:jc w:val="right"/>
              <w:rPr>
                <w:sz w:val="18"/>
                <w:szCs w:val="18"/>
              </w:rPr>
            </w:pPr>
            <w:r w:rsidRPr="00870B30">
              <w:rPr>
                <w:sz w:val="18"/>
                <w:szCs w:val="18"/>
              </w:rPr>
              <w:t>16,175</w:t>
            </w:r>
          </w:p>
        </w:tc>
        <w:tc>
          <w:tcPr>
            <w:tcW w:w="1528" w:type="dxa"/>
            <w:tcBorders>
              <w:bottom w:val="nil"/>
            </w:tcBorders>
            <w:shd w:val="clear" w:color="auto" w:fill="auto"/>
            <w:noWrap/>
            <w:vAlign w:val="center"/>
            <w:hideMark/>
          </w:tcPr>
          <w:p w14:paraId="724BC968" w14:textId="1D6DBCE9" w:rsidR="00870B30" w:rsidRPr="00870B30" w:rsidRDefault="00870B30" w:rsidP="003E06A5">
            <w:pPr>
              <w:pStyle w:val="ExhibitText"/>
              <w:jc w:val="right"/>
              <w:rPr>
                <w:sz w:val="18"/>
                <w:szCs w:val="18"/>
              </w:rPr>
            </w:pPr>
            <w:r w:rsidRPr="00870B30">
              <w:rPr>
                <w:sz w:val="18"/>
                <w:szCs w:val="18"/>
              </w:rPr>
              <w:t>17,609</w:t>
            </w:r>
          </w:p>
        </w:tc>
      </w:tr>
      <w:tr w:rsidR="00870B30" w:rsidRPr="00870B30" w14:paraId="19017C63" w14:textId="77777777" w:rsidTr="00542153">
        <w:trPr>
          <w:trHeight w:val="288"/>
          <w:jc w:val="center"/>
        </w:trPr>
        <w:tc>
          <w:tcPr>
            <w:tcW w:w="3248" w:type="dxa"/>
            <w:tcBorders>
              <w:top w:val="nil"/>
              <w:bottom w:val="single" w:sz="4" w:space="0" w:color="auto"/>
            </w:tcBorders>
            <w:shd w:val="clear" w:color="auto" w:fill="auto"/>
            <w:noWrap/>
            <w:vAlign w:val="center"/>
            <w:hideMark/>
          </w:tcPr>
          <w:p w14:paraId="56095F42" w14:textId="77777777" w:rsidR="00870B30" w:rsidRPr="00870B30" w:rsidRDefault="00870B30" w:rsidP="003E06A5">
            <w:pPr>
              <w:pStyle w:val="ExhibitText"/>
              <w:jc w:val="left"/>
              <w:rPr>
                <w:sz w:val="18"/>
                <w:szCs w:val="18"/>
              </w:rPr>
            </w:pPr>
            <w:r w:rsidRPr="00870B30">
              <w:rPr>
                <w:sz w:val="18"/>
                <w:szCs w:val="18"/>
              </w:rPr>
              <w:t>Total Current Assets</w:t>
            </w:r>
          </w:p>
        </w:tc>
        <w:tc>
          <w:tcPr>
            <w:tcW w:w="1528" w:type="dxa"/>
            <w:tcBorders>
              <w:top w:val="nil"/>
              <w:bottom w:val="single" w:sz="4" w:space="0" w:color="auto"/>
            </w:tcBorders>
            <w:vAlign w:val="center"/>
          </w:tcPr>
          <w:p w14:paraId="4B03A66B" w14:textId="7330D85B" w:rsidR="00870B30" w:rsidRPr="00870B30" w:rsidRDefault="00870B30" w:rsidP="003E06A5">
            <w:pPr>
              <w:pStyle w:val="ExhibitText"/>
              <w:jc w:val="right"/>
              <w:rPr>
                <w:sz w:val="18"/>
                <w:szCs w:val="18"/>
              </w:rPr>
            </w:pPr>
            <w:r w:rsidRPr="00870B30">
              <w:rPr>
                <w:sz w:val="18"/>
                <w:szCs w:val="18"/>
              </w:rPr>
              <w:t>144,428</w:t>
            </w:r>
          </w:p>
        </w:tc>
        <w:tc>
          <w:tcPr>
            <w:tcW w:w="1528" w:type="dxa"/>
            <w:tcBorders>
              <w:top w:val="nil"/>
              <w:bottom w:val="single" w:sz="4" w:space="0" w:color="auto"/>
            </w:tcBorders>
            <w:vAlign w:val="center"/>
          </w:tcPr>
          <w:p w14:paraId="0F52E24A" w14:textId="4B3FF670" w:rsidR="00870B30" w:rsidRPr="00870B30" w:rsidRDefault="00BA07B1" w:rsidP="003E06A5">
            <w:pPr>
              <w:pStyle w:val="ExhibitText"/>
              <w:jc w:val="right"/>
              <w:rPr>
                <w:sz w:val="18"/>
                <w:szCs w:val="18"/>
              </w:rPr>
            </w:pPr>
            <w:r>
              <w:rPr>
                <w:sz w:val="18"/>
                <w:szCs w:val="18"/>
              </w:rPr>
              <w:t>165,160</w:t>
            </w:r>
          </w:p>
        </w:tc>
        <w:tc>
          <w:tcPr>
            <w:tcW w:w="1528" w:type="dxa"/>
            <w:tcBorders>
              <w:top w:val="nil"/>
              <w:bottom w:val="single" w:sz="4" w:space="0" w:color="auto"/>
            </w:tcBorders>
            <w:vAlign w:val="center"/>
          </w:tcPr>
          <w:p w14:paraId="4718126E" w14:textId="5C60F7F5" w:rsidR="00870B30" w:rsidRPr="00870B30" w:rsidRDefault="00870B30" w:rsidP="003E06A5">
            <w:pPr>
              <w:pStyle w:val="ExhibitText"/>
              <w:jc w:val="right"/>
              <w:rPr>
                <w:sz w:val="18"/>
                <w:szCs w:val="18"/>
              </w:rPr>
            </w:pPr>
            <w:r w:rsidRPr="00870B30">
              <w:rPr>
                <w:sz w:val="18"/>
                <w:szCs w:val="18"/>
              </w:rPr>
              <w:t>131,171</w:t>
            </w:r>
          </w:p>
        </w:tc>
        <w:tc>
          <w:tcPr>
            <w:tcW w:w="1528" w:type="dxa"/>
            <w:tcBorders>
              <w:top w:val="nil"/>
              <w:bottom w:val="single" w:sz="4" w:space="0" w:color="auto"/>
            </w:tcBorders>
            <w:shd w:val="clear" w:color="auto" w:fill="auto"/>
            <w:noWrap/>
            <w:vAlign w:val="center"/>
            <w:hideMark/>
          </w:tcPr>
          <w:p w14:paraId="40984E61" w14:textId="733EB0F8" w:rsidR="00870B30" w:rsidRPr="00870B30" w:rsidRDefault="00870B30" w:rsidP="003E06A5">
            <w:pPr>
              <w:pStyle w:val="ExhibitText"/>
              <w:jc w:val="right"/>
              <w:rPr>
                <w:sz w:val="18"/>
                <w:szCs w:val="18"/>
              </w:rPr>
            </w:pPr>
            <w:r w:rsidRPr="00870B30">
              <w:rPr>
                <w:sz w:val="18"/>
                <w:szCs w:val="18"/>
              </w:rPr>
              <w:t>95,125</w:t>
            </w:r>
          </w:p>
        </w:tc>
      </w:tr>
      <w:tr w:rsidR="00870B30" w:rsidRPr="00870B30" w14:paraId="15D3595A" w14:textId="77777777" w:rsidTr="00542153">
        <w:trPr>
          <w:trHeight w:val="288"/>
          <w:jc w:val="center"/>
        </w:trPr>
        <w:tc>
          <w:tcPr>
            <w:tcW w:w="3248" w:type="dxa"/>
            <w:tcBorders>
              <w:top w:val="single" w:sz="4" w:space="0" w:color="auto"/>
            </w:tcBorders>
            <w:shd w:val="clear" w:color="auto" w:fill="auto"/>
            <w:noWrap/>
            <w:vAlign w:val="center"/>
            <w:hideMark/>
          </w:tcPr>
          <w:p w14:paraId="690D961D" w14:textId="6C5D1006" w:rsidR="00870B30" w:rsidRPr="00870B30" w:rsidRDefault="00870B30" w:rsidP="003E06A5">
            <w:pPr>
              <w:pStyle w:val="ExhibitText"/>
              <w:jc w:val="left"/>
              <w:rPr>
                <w:sz w:val="18"/>
                <w:szCs w:val="18"/>
              </w:rPr>
            </w:pPr>
            <w:r w:rsidRPr="00870B30">
              <w:rPr>
                <w:sz w:val="18"/>
                <w:szCs w:val="18"/>
              </w:rPr>
              <w:t>Property, Plant, and Equipment</w:t>
            </w:r>
          </w:p>
        </w:tc>
        <w:tc>
          <w:tcPr>
            <w:tcW w:w="1528" w:type="dxa"/>
            <w:tcBorders>
              <w:top w:val="single" w:sz="4" w:space="0" w:color="auto"/>
            </w:tcBorders>
            <w:vAlign w:val="center"/>
          </w:tcPr>
          <w:p w14:paraId="2E8F53F2" w14:textId="33E91EDC" w:rsidR="00870B30" w:rsidRPr="00870B30" w:rsidRDefault="00870B30" w:rsidP="003E06A5">
            <w:pPr>
              <w:pStyle w:val="ExhibitText"/>
              <w:jc w:val="right"/>
              <w:rPr>
                <w:sz w:val="18"/>
                <w:szCs w:val="18"/>
              </w:rPr>
            </w:pPr>
            <w:r w:rsidRPr="00870B30">
              <w:rPr>
                <w:sz w:val="18"/>
                <w:szCs w:val="18"/>
              </w:rPr>
              <w:t>1,045</w:t>
            </w:r>
          </w:p>
        </w:tc>
        <w:tc>
          <w:tcPr>
            <w:tcW w:w="1528" w:type="dxa"/>
            <w:tcBorders>
              <w:top w:val="single" w:sz="4" w:space="0" w:color="auto"/>
            </w:tcBorders>
            <w:vAlign w:val="center"/>
          </w:tcPr>
          <w:p w14:paraId="543211DD" w14:textId="5D3B873E" w:rsidR="00870B30" w:rsidRPr="00870B30" w:rsidRDefault="00D6645B" w:rsidP="003E06A5">
            <w:pPr>
              <w:pStyle w:val="ExhibitText"/>
              <w:jc w:val="right"/>
              <w:rPr>
                <w:sz w:val="18"/>
                <w:szCs w:val="18"/>
              </w:rPr>
            </w:pPr>
            <w:r>
              <w:rPr>
                <w:sz w:val="18"/>
                <w:szCs w:val="18"/>
              </w:rPr>
              <w:t>1,134</w:t>
            </w:r>
          </w:p>
        </w:tc>
        <w:tc>
          <w:tcPr>
            <w:tcW w:w="1528" w:type="dxa"/>
            <w:tcBorders>
              <w:top w:val="single" w:sz="4" w:space="0" w:color="auto"/>
            </w:tcBorders>
            <w:vAlign w:val="center"/>
          </w:tcPr>
          <w:p w14:paraId="53039FC4" w14:textId="0F1562ED" w:rsidR="00870B30" w:rsidRPr="00870B30" w:rsidRDefault="00870B30" w:rsidP="003E06A5">
            <w:pPr>
              <w:pStyle w:val="ExhibitText"/>
              <w:jc w:val="right"/>
              <w:rPr>
                <w:sz w:val="18"/>
                <w:szCs w:val="18"/>
              </w:rPr>
            </w:pPr>
            <w:r w:rsidRPr="00870B30">
              <w:rPr>
                <w:sz w:val="18"/>
                <w:szCs w:val="18"/>
              </w:rPr>
              <w:t>1,163</w:t>
            </w:r>
          </w:p>
        </w:tc>
        <w:tc>
          <w:tcPr>
            <w:tcW w:w="1528" w:type="dxa"/>
            <w:tcBorders>
              <w:top w:val="single" w:sz="4" w:space="0" w:color="auto"/>
            </w:tcBorders>
            <w:shd w:val="clear" w:color="auto" w:fill="auto"/>
            <w:noWrap/>
            <w:vAlign w:val="center"/>
            <w:hideMark/>
          </w:tcPr>
          <w:p w14:paraId="4944C08F" w14:textId="0187D504" w:rsidR="00870B30" w:rsidRPr="00870B30" w:rsidRDefault="00870B30" w:rsidP="003E06A5">
            <w:pPr>
              <w:pStyle w:val="ExhibitText"/>
              <w:jc w:val="right"/>
              <w:rPr>
                <w:sz w:val="18"/>
                <w:szCs w:val="18"/>
              </w:rPr>
            </w:pPr>
            <w:r w:rsidRPr="00870B30">
              <w:rPr>
                <w:sz w:val="18"/>
                <w:szCs w:val="18"/>
              </w:rPr>
              <w:t>1,168</w:t>
            </w:r>
          </w:p>
        </w:tc>
      </w:tr>
      <w:tr w:rsidR="00870B30" w:rsidRPr="00870B30" w14:paraId="3F36D809" w14:textId="77777777" w:rsidTr="00542153">
        <w:trPr>
          <w:trHeight w:val="288"/>
          <w:jc w:val="center"/>
        </w:trPr>
        <w:tc>
          <w:tcPr>
            <w:tcW w:w="3248" w:type="dxa"/>
            <w:tcBorders>
              <w:bottom w:val="single" w:sz="4" w:space="0" w:color="auto"/>
            </w:tcBorders>
            <w:shd w:val="clear" w:color="auto" w:fill="auto"/>
            <w:noWrap/>
            <w:vAlign w:val="center"/>
            <w:hideMark/>
          </w:tcPr>
          <w:p w14:paraId="681784A5" w14:textId="77777777" w:rsidR="00870B30" w:rsidRPr="00870B30" w:rsidRDefault="00870B30" w:rsidP="003E06A5">
            <w:pPr>
              <w:pStyle w:val="ExhibitText"/>
              <w:jc w:val="left"/>
              <w:rPr>
                <w:sz w:val="18"/>
                <w:szCs w:val="18"/>
              </w:rPr>
            </w:pPr>
            <w:r w:rsidRPr="00870B30">
              <w:rPr>
                <w:sz w:val="18"/>
                <w:szCs w:val="18"/>
              </w:rPr>
              <w:t>Other Assets</w:t>
            </w:r>
          </w:p>
        </w:tc>
        <w:tc>
          <w:tcPr>
            <w:tcW w:w="1528" w:type="dxa"/>
            <w:tcBorders>
              <w:bottom w:val="single" w:sz="4" w:space="0" w:color="auto"/>
            </w:tcBorders>
            <w:vAlign w:val="center"/>
          </w:tcPr>
          <w:p w14:paraId="129CEC19" w14:textId="6DA64B0E" w:rsidR="00870B30" w:rsidRPr="00870B30" w:rsidRDefault="00870B30" w:rsidP="003E06A5">
            <w:pPr>
              <w:pStyle w:val="ExhibitText"/>
              <w:jc w:val="right"/>
              <w:rPr>
                <w:sz w:val="18"/>
                <w:szCs w:val="18"/>
              </w:rPr>
            </w:pPr>
            <w:r w:rsidRPr="00870B30">
              <w:rPr>
                <w:sz w:val="18"/>
                <w:szCs w:val="18"/>
              </w:rPr>
              <w:t>318</w:t>
            </w:r>
          </w:p>
        </w:tc>
        <w:tc>
          <w:tcPr>
            <w:tcW w:w="1528" w:type="dxa"/>
            <w:tcBorders>
              <w:bottom w:val="single" w:sz="4" w:space="0" w:color="auto"/>
            </w:tcBorders>
            <w:vAlign w:val="center"/>
          </w:tcPr>
          <w:p w14:paraId="12875F3A" w14:textId="39796925" w:rsidR="00870B30" w:rsidRPr="00870B30" w:rsidRDefault="00BA07B1" w:rsidP="003E06A5">
            <w:pPr>
              <w:pStyle w:val="ExhibitText"/>
              <w:jc w:val="right"/>
              <w:rPr>
                <w:sz w:val="18"/>
                <w:szCs w:val="18"/>
              </w:rPr>
            </w:pPr>
            <w:r>
              <w:rPr>
                <w:sz w:val="18"/>
                <w:szCs w:val="18"/>
              </w:rPr>
              <w:t>1,446</w:t>
            </w:r>
          </w:p>
        </w:tc>
        <w:tc>
          <w:tcPr>
            <w:tcW w:w="1528" w:type="dxa"/>
            <w:tcBorders>
              <w:bottom w:val="single" w:sz="4" w:space="0" w:color="auto"/>
            </w:tcBorders>
            <w:vAlign w:val="center"/>
          </w:tcPr>
          <w:p w14:paraId="3BB6B0DF" w14:textId="4280C74F" w:rsidR="00870B30" w:rsidRPr="00870B30" w:rsidRDefault="00870B30" w:rsidP="003E06A5">
            <w:pPr>
              <w:pStyle w:val="ExhibitText"/>
              <w:jc w:val="right"/>
              <w:rPr>
                <w:sz w:val="18"/>
                <w:szCs w:val="18"/>
              </w:rPr>
            </w:pPr>
            <w:r w:rsidRPr="00870B30">
              <w:rPr>
                <w:sz w:val="18"/>
                <w:szCs w:val="18"/>
              </w:rPr>
              <w:t>312</w:t>
            </w:r>
          </w:p>
        </w:tc>
        <w:tc>
          <w:tcPr>
            <w:tcW w:w="1528" w:type="dxa"/>
            <w:tcBorders>
              <w:bottom w:val="single" w:sz="4" w:space="0" w:color="auto"/>
            </w:tcBorders>
            <w:shd w:val="clear" w:color="auto" w:fill="auto"/>
            <w:noWrap/>
            <w:vAlign w:val="center"/>
            <w:hideMark/>
          </w:tcPr>
          <w:p w14:paraId="69489B8F" w14:textId="4D150D93" w:rsidR="00870B30" w:rsidRPr="00870B30" w:rsidRDefault="00870B30" w:rsidP="003E06A5">
            <w:pPr>
              <w:pStyle w:val="ExhibitText"/>
              <w:jc w:val="right"/>
              <w:rPr>
                <w:sz w:val="18"/>
                <w:szCs w:val="18"/>
              </w:rPr>
            </w:pPr>
            <w:r w:rsidRPr="00870B30">
              <w:rPr>
                <w:sz w:val="18"/>
                <w:szCs w:val="18"/>
              </w:rPr>
              <w:t>312</w:t>
            </w:r>
          </w:p>
        </w:tc>
      </w:tr>
      <w:tr w:rsidR="00870B30" w:rsidRPr="00870B30" w14:paraId="638DE3D5" w14:textId="77777777" w:rsidTr="00542153">
        <w:trPr>
          <w:trHeight w:val="288"/>
          <w:jc w:val="center"/>
        </w:trPr>
        <w:tc>
          <w:tcPr>
            <w:tcW w:w="3248" w:type="dxa"/>
            <w:tcBorders>
              <w:top w:val="single" w:sz="4" w:space="0" w:color="auto"/>
              <w:bottom w:val="double" w:sz="4" w:space="0" w:color="auto"/>
            </w:tcBorders>
            <w:shd w:val="clear" w:color="auto" w:fill="auto"/>
            <w:noWrap/>
            <w:vAlign w:val="center"/>
            <w:hideMark/>
          </w:tcPr>
          <w:p w14:paraId="360ABA65" w14:textId="77777777" w:rsidR="00870B30" w:rsidRPr="00870B30" w:rsidRDefault="00870B30" w:rsidP="003E06A5">
            <w:pPr>
              <w:pStyle w:val="ExhibitText"/>
              <w:jc w:val="left"/>
              <w:rPr>
                <w:b/>
                <w:sz w:val="18"/>
                <w:szCs w:val="18"/>
              </w:rPr>
            </w:pPr>
            <w:r w:rsidRPr="00870B30">
              <w:rPr>
                <w:b/>
                <w:sz w:val="18"/>
                <w:szCs w:val="18"/>
              </w:rPr>
              <w:t>Total Assets</w:t>
            </w:r>
          </w:p>
        </w:tc>
        <w:tc>
          <w:tcPr>
            <w:tcW w:w="1528" w:type="dxa"/>
            <w:tcBorders>
              <w:top w:val="single" w:sz="4" w:space="0" w:color="auto"/>
              <w:bottom w:val="double" w:sz="4" w:space="0" w:color="auto"/>
            </w:tcBorders>
            <w:vAlign w:val="center"/>
          </w:tcPr>
          <w:p w14:paraId="6DFA244A" w14:textId="1151A4E2" w:rsidR="00870B30" w:rsidRPr="00870B30" w:rsidRDefault="00870B30" w:rsidP="003E06A5">
            <w:pPr>
              <w:pStyle w:val="ExhibitText"/>
              <w:jc w:val="right"/>
              <w:rPr>
                <w:b/>
                <w:sz w:val="18"/>
                <w:szCs w:val="18"/>
              </w:rPr>
            </w:pPr>
            <w:r w:rsidRPr="00870B30">
              <w:rPr>
                <w:b/>
                <w:sz w:val="18"/>
                <w:szCs w:val="18"/>
              </w:rPr>
              <w:t>145,791</w:t>
            </w:r>
          </w:p>
        </w:tc>
        <w:tc>
          <w:tcPr>
            <w:tcW w:w="1528" w:type="dxa"/>
            <w:tcBorders>
              <w:top w:val="single" w:sz="4" w:space="0" w:color="auto"/>
              <w:bottom w:val="double" w:sz="4" w:space="0" w:color="auto"/>
            </w:tcBorders>
            <w:vAlign w:val="center"/>
          </w:tcPr>
          <w:p w14:paraId="7C84FF07" w14:textId="4D048FEB" w:rsidR="00870B30" w:rsidRPr="00870B30" w:rsidRDefault="00D6645B" w:rsidP="003E06A5">
            <w:pPr>
              <w:pStyle w:val="ExhibitText"/>
              <w:jc w:val="right"/>
              <w:rPr>
                <w:b/>
                <w:sz w:val="18"/>
                <w:szCs w:val="18"/>
              </w:rPr>
            </w:pPr>
            <w:r>
              <w:rPr>
                <w:b/>
                <w:sz w:val="18"/>
                <w:szCs w:val="18"/>
              </w:rPr>
              <w:t>166,606</w:t>
            </w:r>
          </w:p>
        </w:tc>
        <w:tc>
          <w:tcPr>
            <w:tcW w:w="1528" w:type="dxa"/>
            <w:tcBorders>
              <w:top w:val="single" w:sz="4" w:space="0" w:color="auto"/>
              <w:bottom w:val="double" w:sz="4" w:space="0" w:color="auto"/>
            </w:tcBorders>
            <w:vAlign w:val="center"/>
          </w:tcPr>
          <w:p w14:paraId="69665888" w14:textId="616AF7CA" w:rsidR="00870B30" w:rsidRPr="00870B30" w:rsidRDefault="00870B30" w:rsidP="003E06A5">
            <w:pPr>
              <w:pStyle w:val="ExhibitText"/>
              <w:jc w:val="right"/>
              <w:rPr>
                <w:b/>
                <w:sz w:val="18"/>
                <w:szCs w:val="18"/>
              </w:rPr>
            </w:pPr>
            <w:r w:rsidRPr="00870B30">
              <w:rPr>
                <w:b/>
                <w:sz w:val="18"/>
                <w:szCs w:val="18"/>
              </w:rPr>
              <w:t>132,646</w:t>
            </w:r>
          </w:p>
        </w:tc>
        <w:tc>
          <w:tcPr>
            <w:tcW w:w="1528" w:type="dxa"/>
            <w:tcBorders>
              <w:top w:val="single" w:sz="4" w:space="0" w:color="auto"/>
              <w:bottom w:val="double" w:sz="4" w:space="0" w:color="auto"/>
            </w:tcBorders>
            <w:shd w:val="clear" w:color="auto" w:fill="auto"/>
            <w:noWrap/>
            <w:vAlign w:val="center"/>
            <w:hideMark/>
          </w:tcPr>
          <w:p w14:paraId="549D8876" w14:textId="6AAC2723" w:rsidR="00870B30" w:rsidRPr="00870B30" w:rsidRDefault="00870B30" w:rsidP="003E06A5">
            <w:pPr>
              <w:pStyle w:val="ExhibitText"/>
              <w:jc w:val="right"/>
              <w:rPr>
                <w:b/>
                <w:sz w:val="18"/>
                <w:szCs w:val="18"/>
              </w:rPr>
            </w:pPr>
            <w:r w:rsidRPr="00870B30">
              <w:rPr>
                <w:b/>
                <w:sz w:val="18"/>
                <w:szCs w:val="18"/>
              </w:rPr>
              <w:t>96,605</w:t>
            </w:r>
          </w:p>
        </w:tc>
      </w:tr>
      <w:tr w:rsidR="00870B30" w:rsidRPr="00870B30" w14:paraId="65477268" w14:textId="77777777" w:rsidTr="00542153">
        <w:trPr>
          <w:trHeight w:val="288"/>
          <w:jc w:val="center"/>
        </w:trPr>
        <w:tc>
          <w:tcPr>
            <w:tcW w:w="3248" w:type="dxa"/>
            <w:tcBorders>
              <w:top w:val="double" w:sz="4" w:space="0" w:color="auto"/>
            </w:tcBorders>
            <w:shd w:val="clear" w:color="auto" w:fill="auto"/>
            <w:noWrap/>
            <w:vAlign w:val="center"/>
            <w:hideMark/>
          </w:tcPr>
          <w:p w14:paraId="556A3ED7" w14:textId="77777777" w:rsidR="00870B30" w:rsidRPr="00870B30" w:rsidRDefault="00870B30" w:rsidP="003E06A5">
            <w:pPr>
              <w:pStyle w:val="ExhibitText"/>
              <w:jc w:val="left"/>
              <w:rPr>
                <w:b/>
                <w:sz w:val="18"/>
                <w:szCs w:val="18"/>
              </w:rPr>
            </w:pPr>
            <w:r w:rsidRPr="00870B30">
              <w:rPr>
                <w:b/>
                <w:sz w:val="18"/>
                <w:szCs w:val="18"/>
              </w:rPr>
              <w:t>Current Liabilities</w:t>
            </w:r>
          </w:p>
        </w:tc>
        <w:tc>
          <w:tcPr>
            <w:tcW w:w="1528" w:type="dxa"/>
            <w:tcBorders>
              <w:top w:val="double" w:sz="4" w:space="0" w:color="auto"/>
            </w:tcBorders>
            <w:vAlign w:val="center"/>
          </w:tcPr>
          <w:p w14:paraId="65DED7A3" w14:textId="77777777" w:rsidR="00870B30" w:rsidRPr="00870B30" w:rsidRDefault="00870B30" w:rsidP="003E06A5">
            <w:pPr>
              <w:pStyle w:val="ExhibitText"/>
              <w:jc w:val="right"/>
              <w:rPr>
                <w:b/>
                <w:sz w:val="18"/>
                <w:szCs w:val="18"/>
              </w:rPr>
            </w:pPr>
          </w:p>
        </w:tc>
        <w:tc>
          <w:tcPr>
            <w:tcW w:w="1528" w:type="dxa"/>
            <w:tcBorders>
              <w:top w:val="double" w:sz="4" w:space="0" w:color="auto"/>
            </w:tcBorders>
            <w:vAlign w:val="center"/>
          </w:tcPr>
          <w:p w14:paraId="3BFCF5A6" w14:textId="77777777" w:rsidR="00870B30" w:rsidRPr="00870B30" w:rsidRDefault="00870B30" w:rsidP="003E06A5">
            <w:pPr>
              <w:pStyle w:val="ExhibitText"/>
              <w:jc w:val="right"/>
              <w:rPr>
                <w:b/>
                <w:sz w:val="18"/>
                <w:szCs w:val="18"/>
              </w:rPr>
            </w:pPr>
          </w:p>
        </w:tc>
        <w:tc>
          <w:tcPr>
            <w:tcW w:w="1528" w:type="dxa"/>
            <w:tcBorders>
              <w:top w:val="double" w:sz="4" w:space="0" w:color="auto"/>
            </w:tcBorders>
            <w:vAlign w:val="center"/>
          </w:tcPr>
          <w:p w14:paraId="60F53EC0" w14:textId="77777777" w:rsidR="00870B30" w:rsidRPr="00870B30" w:rsidRDefault="00870B30" w:rsidP="003E06A5">
            <w:pPr>
              <w:pStyle w:val="ExhibitText"/>
              <w:jc w:val="right"/>
              <w:rPr>
                <w:b/>
                <w:sz w:val="18"/>
                <w:szCs w:val="18"/>
              </w:rPr>
            </w:pPr>
          </w:p>
        </w:tc>
        <w:tc>
          <w:tcPr>
            <w:tcW w:w="1528" w:type="dxa"/>
            <w:tcBorders>
              <w:top w:val="double" w:sz="4" w:space="0" w:color="auto"/>
            </w:tcBorders>
            <w:shd w:val="clear" w:color="auto" w:fill="auto"/>
            <w:noWrap/>
            <w:vAlign w:val="center"/>
            <w:hideMark/>
          </w:tcPr>
          <w:p w14:paraId="67F99D7D" w14:textId="165F4C0D" w:rsidR="00870B30" w:rsidRPr="00870B30" w:rsidRDefault="00870B30" w:rsidP="003E06A5">
            <w:pPr>
              <w:pStyle w:val="ExhibitText"/>
              <w:jc w:val="right"/>
              <w:rPr>
                <w:b/>
                <w:sz w:val="18"/>
                <w:szCs w:val="18"/>
              </w:rPr>
            </w:pPr>
          </w:p>
        </w:tc>
      </w:tr>
      <w:tr w:rsidR="00870B30" w:rsidRPr="00870B30" w14:paraId="6054DFB9" w14:textId="77777777" w:rsidTr="003E06A5">
        <w:trPr>
          <w:trHeight w:val="288"/>
          <w:jc w:val="center"/>
        </w:trPr>
        <w:tc>
          <w:tcPr>
            <w:tcW w:w="3248" w:type="dxa"/>
            <w:shd w:val="clear" w:color="auto" w:fill="auto"/>
            <w:noWrap/>
            <w:vAlign w:val="center"/>
            <w:hideMark/>
          </w:tcPr>
          <w:p w14:paraId="00FCDA73" w14:textId="77777777" w:rsidR="00870B30" w:rsidRPr="00870B30" w:rsidRDefault="00870B30" w:rsidP="003E06A5">
            <w:pPr>
              <w:pStyle w:val="ExhibitText"/>
              <w:jc w:val="left"/>
              <w:rPr>
                <w:sz w:val="18"/>
                <w:szCs w:val="18"/>
              </w:rPr>
            </w:pPr>
            <w:r w:rsidRPr="00870B30">
              <w:rPr>
                <w:sz w:val="18"/>
                <w:szCs w:val="18"/>
              </w:rPr>
              <w:t>Accounts Payable</w:t>
            </w:r>
          </w:p>
        </w:tc>
        <w:tc>
          <w:tcPr>
            <w:tcW w:w="1528" w:type="dxa"/>
            <w:vAlign w:val="center"/>
          </w:tcPr>
          <w:p w14:paraId="6CC982BE" w14:textId="042F261B" w:rsidR="00870B30" w:rsidRPr="00870B30" w:rsidRDefault="00870B30" w:rsidP="003E06A5">
            <w:pPr>
              <w:pStyle w:val="ExhibitText"/>
              <w:jc w:val="right"/>
              <w:rPr>
                <w:sz w:val="18"/>
                <w:szCs w:val="18"/>
              </w:rPr>
            </w:pPr>
            <w:r w:rsidRPr="00870B30">
              <w:rPr>
                <w:sz w:val="18"/>
                <w:szCs w:val="18"/>
              </w:rPr>
              <w:t>17,182</w:t>
            </w:r>
          </w:p>
        </w:tc>
        <w:tc>
          <w:tcPr>
            <w:tcW w:w="1528" w:type="dxa"/>
            <w:vAlign w:val="center"/>
          </w:tcPr>
          <w:p w14:paraId="37AC62EF" w14:textId="66A2FE6F" w:rsidR="00870B30" w:rsidRPr="00870B30" w:rsidRDefault="00BA07B1" w:rsidP="003E06A5">
            <w:pPr>
              <w:pStyle w:val="ExhibitText"/>
              <w:jc w:val="right"/>
              <w:rPr>
                <w:sz w:val="18"/>
                <w:szCs w:val="18"/>
              </w:rPr>
            </w:pPr>
            <w:r>
              <w:rPr>
                <w:sz w:val="18"/>
                <w:szCs w:val="18"/>
              </w:rPr>
              <w:t>23,256</w:t>
            </w:r>
          </w:p>
        </w:tc>
        <w:tc>
          <w:tcPr>
            <w:tcW w:w="1528" w:type="dxa"/>
            <w:vAlign w:val="center"/>
          </w:tcPr>
          <w:p w14:paraId="1AAB26F3" w14:textId="5FB0F545" w:rsidR="00870B30" w:rsidRPr="00870B30" w:rsidRDefault="00870B30" w:rsidP="003E06A5">
            <w:pPr>
              <w:pStyle w:val="ExhibitText"/>
              <w:jc w:val="right"/>
              <w:rPr>
                <w:sz w:val="18"/>
                <w:szCs w:val="18"/>
              </w:rPr>
            </w:pPr>
            <w:r w:rsidRPr="00870B30">
              <w:rPr>
                <w:sz w:val="18"/>
                <w:szCs w:val="18"/>
              </w:rPr>
              <w:t>22,976</w:t>
            </w:r>
          </w:p>
        </w:tc>
        <w:tc>
          <w:tcPr>
            <w:tcW w:w="1528" w:type="dxa"/>
            <w:shd w:val="clear" w:color="auto" w:fill="auto"/>
            <w:noWrap/>
            <w:vAlign w:val="center"/>
            <w:hideMark/>
          </w:tcPr>
          <w:p w14:paraId="7F551902" w14:textId="3B753626" w:rsidR="00870B30" w:rsidRPr="00870B30" w:rsidRDefault="00870B30" w:rsidP="003E06A5">
            <w:pPr>
              <w:pStyle w:val="ExhibitText"/>
              <w:jc w:val="right"/>
              <w:rPr>
                <w:sz w:val="18"/>
                <w:szCs w:val="18"/>
              </w:rPr>
            </w:pPr>
            <w:r w:rsidRPr="00870B30">
              <w:rPr>
                <w:sz w:val="18"/>
                <w:szCs w:val="18"/>
              </w:rPr>
              <w:t>12,912</w:t>
            </w:r>
          </w:p>
        </w:tc>
      </w:tr>
      <w:tr w:rsidR="00870B30" w:rsidRPr="00870B30" w14:paraId="2033A350" w14:textId="77777777" w:rsidTr="003E06A5">
        <w:trPr>
          <w:trHeight w:val="288"/>
          <w:jc w:val="center"/>
        </w:trPr>
        <w:tc>
          <w:tcPr>
            <w:tcW w:w="3248" w:type="dxa"/>
            <w:shd w:val="clear" w:color="auto" w:fill="auto"/>
            <w:noWrap/>
            <w:vAlign w:val="center"/>
            <w:hideMark/>
          </w:tcPr>
          <w:p w14:paraId="3317A435" w14:textId="58FFBB5B" w:rsidR="00870B30" w:rsidRPr="00870B30" w:rsidRDefault="00870B30" w:rsidP="003E06A5">
            <w:pPr>
              <w:pStyle w:val="ExhibitText"/>
              <w:jc w:val="left"/>
              <w:rPr>
                <w:sz w:val="18"/>
                <w:szCs w:val="18"/>
              </w:rPr>
            </w:pPr>
            <w:r w:rsidRPr="00870B30">
              <w:rPr>
                <w:sz w:val="18"/>
                <w:szCs w:val="18"/>
              </w:rPr>
              <w:t>Short/Current Long-Term Debt</w:t>
            </w:r>
          </w:p>
        </w:tc>
        <w:tc>
          <w:tcPr>
            <w:tcW w:w="1528" w:type="dxa"/>
            <w:vAlign w:val="center"/>
          </w:tcPr>
          <w:p w14:paraId="4CC97B33" w14:textId="1FD58F89" w:rsidR="00870B30" w:rsidRPr="00870B30" w:rsidRDefault="00870B30" w:rsidP="003E06A5">
            <w:pPr>
              <w:pStyle w:val="ExhibitText"/>
              <w:jc w:val="right"/>
              <w:rPr>
                <w:sz w:val="18"/>
                <w:szCs w:val="18"/>
              </w:rPr>
            </w:pPr>
            <w:r w:rsidRPr="00870B30">
              <w:rPr>
                <w:sz w:val="18"/>
                <w:szCs w:val="18"/>
              </w:rPr>
              <w:t>113,102</w:t>
            </w:r>
          </w:p>
        </w:tc>
        <w:tc>
          <w:tcPr>
            <w:tcW w:w="1528" w:type="dxa"/>
            <w:vAlign w:val="center"/>
          </w:tcPr>
          <w:p w14:paraId="4A19E997" w14:textId="210C6091" w:rsidR="00870B30" w:rsidRPr="00870B30" w:rsidRDefault="009B773A" w:rsidP="003E06A5">
            <w:pPr>
              <w:pStyle w:val="ExhibitText"/>
              <w:jc w:val="right"/>
              <w:rPr>
                <w:sz w:val="18"/>
                <w:szCs w:val="18"/>
              </w:rPr>
            </w:pPr>
            <w:r>
              <w:rPr>
                <w:sz w:val="18"/>
                <w:szCs w:val="18"/>
              </w:rPr>
              <w:t>115,942</w:t>
            </w:r>
          </w:p>
        </w:tc>
        <w:tc>
          <w:tcPr>
            <w:tcW w:w="1528" w:type="dxa"/>
            <w:vAlign w:val="center"/>
          </w:tcPr>
          <w:p w14:paraId="6D2B2C5C" w14:textId="22BE3FB2" w:rsidR="00870B30" w:rsidRPr="00870B30" w:rsidRDefault="00870B30" w:rsidP="003E06A5">
            <w:pPr>
              <w:pStyle w:val="ExhibitText"/>
              <w:jc w:val="right"/>
              <w:rPr>
                <w:sz w:val="18"/>
                <w:szCs w:val="18"/>
              </w:rPr>
            </w:pPr>
            <w:r w:rsidRPr="00870B30">
              <w:rPr>
                <w:sz w:val="18"/>
                <w:szCs w:val="18"/>
              </w:rPr>
              <w:t>116,445</w:t>
            </w:r>
          </w:p>
        </w:tc>
        <w:tc>
          <w:tcPr>
            <w:tcW w:w="1528" w:type="dxa"/>
            <w:shd w:val="clear" w:color="auto" w:fill="auto"/>
            <w:noWrap/>
            <w:vAlign w:val="center"/>
            <w:hideMark/>
          </w:tcPr>
          <w:p w14:paraId="2D036397" w14:textId="3301F545" w:rsidR="00870B30" w:rsidRPr="00870B30" w:rsidRDefault="00870B30" w:rsidP="003E06A5">
            <w:pPr>
              <w:pStyle w:val="ExhibitText"/>
              <w:jc w:val="right"/>
              <w:rPr>
                <w:sz w:val="18"/>
                <w:szCs w:val="18"/>
              </w:rPr>
            </w:pPr>
            <w:r w:rsidRPr="00870B30">
              <w:rPr>
                <w:sz w:val="18"/>
                <w:szCs w:val="18"/>
              </w:rPr>
              <w:t>117,984</w:t>
            </w:r>
          </w:p>
        </w:tc>
      </w:tr>
      <w:tr w:rsidR="00870B30" w:rsidRPr="00870B30" w14:paraId="118AC8AB" w14:textId="77777777" w:rsidTr="00542153">
        <w:trPr>
          <w:trHeight w:val="288"/>
          <w:jc w:val="center"/>
        </w:trPr>
        <w:tc>
          <w:tcPr>
            <w:tcW w:w="3248" w:type="dxa"/>
            <w:tcBorders>
              <w:bottom w:val="nil"/>
            </w:tcBorders>
            <w:shd w:val="clear" w:color="auto" w:fill="auto"/>
            <w:noWrap/>
            <w:vAlign w:val="center"/>
            <w:hideMark/>
          </w:tcPr>
          <w:p w14:paraId="780CF360" w14:textId="77777777" w:rsidR="00870B30" w:rsidRPr="00870B30" w:rsidRDefault="00870B30" w:rsidP="003E06A5">
            <w:pPr>
              <w:pStyle w:val="ExhibitText"/>
              <w:jc w:val="left"/>
              <w:rPr>
                <w:sz w:val="18"/>
                <w:szCs w:val="18"/>
              </w:rPr>
            </w:pPr>
            <w:r w:rsidRPr="00870B30">
              <w:rPr>
                <w:sz w:val="18"/>
                <w:szCs w:val="18"/>
              </w:rPr>
              <w:t>Other Current Liabilities</w:t>
            </w:r>
          </w:p>
        </w:tc>
        <w:tc>
          <w:tcPr>
            <w:tcW w:w="1528" w:type="dxa"/>
            <w:tcBorders>
              <w:bottom w:val="nil"/>
            </w:tcBorders>
            <w:vAlign w:val="center"/>
          </w:tcPr>
          <w:p w14:paraId="4E12C05C" w14:textId="5EF0374F" w:rsidR="00870B30" w:rsidRPr="00870B30" w:rsidRDefault="00870B30" w:rsidP="003E06A5">
            <w:pPr>
              <w:pStyle w:val="ExhibitText"/>
              <w:jc w:val="right"/>
              <w:rPr>
                <w:sz w:val="18"/>
                <w:szCs w:val="18"/>
              </w:rPr>
            </w:pPr>
            <w:r w:rsidRPr="00870B30">
              <w:rPr>
                <w:sz w:val="18"/>
                <w:szCs w:val="18"/>
              </w:rPr>
              <w:t>1,927</w:t>
            </w:r>
          </w:p>
        </w:tc>
        <w:tc>
          <w:tcPr>
            <w:tcW w:w="1528" w:type="dxa"/>
            <w:tcBorders>
              <w:bottom w:val="nil"/>
            </w:tcBorders>
            <w:vAlign w:val="center"/>
          </w:tcPr>
          <w:p w14:paraId="618F40D1" w14:textId="2E3F0431" w:rsidR="00870B30" w:rsidRPr="00870B30" w:rsidRDefault="009B773A" w:rsidP="003E06A5">
            <w:pPr>
              <w:pStyle w:val="ExhibitText"/>
              <w:jc w:val="right"/>
              <w:rPr>
                <w:sz w:val="18"/>
                <w:szCs w:val="18"/>
              </w:rPr>
            </w:pPr>
            <w:r>
              <w:rPr>
                <w:sz w:val="18"/>
                <w:szCs w:val="18"/>
              </w:rPr>
              <w:t>18,015</w:t>
            </w:r>
          </w:p>
        </w:tc>
        <w:tc>
          <w:tcPr>
            <w:tcW w:w="1528" w:type="dxa"/>
            <w:tcBorders>
              <w:bottom w:val="nil"/>
            </w:tcBorders>
            <w:vAlign w:val="center"/>
          </w:tcPr>
          <w:p w14:paraId="5454681F" w14:textId="779E4B27" w:rsidR="00870B30" w:rsidRPr="00870B30" w:rsidRDefault="00870B30" w:rsidP="003E06A5">
            <w:pPr>
              <w:pStyle w:val="ExhibitText"/>
              <w:jc w:val="right"/>
              <w:rPr>
                <w:sz w:val="18"/>
                <w:szCs w:val="18"/>
              </w:rPr>
            </w:pPr>
            <w:r w:rsidRPr="00870B30">
              <w:rPr>
                <w:sz w:val="18"/>
                <w:szCs w:val="18"/>
              </w:rPr>
              <w:t>5,000</w:t>
            </w:r>
          </w:p>
        </w:tc>
        <w:tc>
          <w:tcPr>
            <w:tcW w:w="1528" w:type="dxa"/>
            <w:tcBorders>
              <w:bottom w:val="nil"/>
            </w:tcBorders>
            <w:shd w:val="clear" w:color="auto" w:fill="auto"/>
            <w:noWrap/>
            <w:vAlign w:val="center"/>
            <w:hideMark/>
          </w:tcPr>
          <w:p w14:paraId="23E19660" w14:textId="2C51AC86" w:rsidR="00870B30" w:rsidRPr="00870B30" w:rsidRDefault="00870B30" w:rsidP="003E06A5">
            <w:pPr>
              <w:pStyle w:val="ExhibitText"/>
              <w:jc w:val="right"/>
              <w:rPr>
                <w:sz w:val="18"/>
                <w:szCs w:val="18"/>
              </w:rPr>
            </w:pPr>
            <w:r w:rsidRPr="00870B30">
              <w:rPr>
                <w:sz w:val="18"/>
                <w:szCs w:val="18"/>
              </w:rPr>
              <w:t>5,000</w:t>
            </w:r>
          </w:p>
        </w:tc>
      </w:tr>
      <w:tr w:rsidR="00870B30" w:rsidRPr="00870B30" w14:paraId="6BFB862C" w14:textId="77777777" w:rsidTr="00542153">
        <w:trPr>
          <w:trHeight w:val="288"/>
          <w:jc w:val="center"/>
        </w:trPr>
        <w:tc>
          <w:tcPr>
            <w:tcW w:w="3248" w:type="dxa"/>
            <w:tcBorders>
              <w:top w:val="nil"/>
              <w:bottom w:val="single" w:sz="4" w:space="0" w:color="auto"/>
            </w:tcBorders>
            <w:shd w:val="clear" w:color="auto" w:fill="auto"/>
            <w:noWrap/>
            <w:vAlign w:val="center"/>
            <w:hideMark/>
          </w:tcPr>
          <w:p w14:paraId="1440F2FC" w14:textId="77777777" w:rsidR="00870B30" w:rsidRPr="00870B30" w:rsidRDefault="00870B30" w:rsidP="003E06A5">
            <w:pPr>
              <w:pStyle w:val="ExhibitText"/>
              <w:jc w:val="left"/>
              <w:rPr>
                <w:sz w:val="18"/>
                <w:szCs w:val="18"/>
              </w:rPr>
            </w:pPr>
            <w:r w:rsidRPr="00870B30">
              <w:rPr>
                <w:sz w:val="18"/>
                <w:szCs w:val="18"/>
              </w:rPr>
              <w:t>Total Current Liabilities</w:t>
            </w:r>
          </w:p>
        </w:tc>
        <w:tc>
          <w:tcPr>
            <w:tcW w:w="1528" w:type="dxa"/>
            <w:tcBorders>
              <w:top w:val="nil"/>
              <w:bottom w:val="single" w:sz="4" w:space="0" w:color="auto"/>
            </w:tcBorders>
            <w:vAlign w:val="center"/>
          </w:tcPr>
          <w:p w14:paraId="4C943154" w14:textId="4086C8E9" w:rsidR="00870B30" w:rsidRPr="00870B30" w:rsidRDefault="00870B30" w:rsidP="003E06A5">
            <w:pPr>
              <w:pStyle w:val="ExhibitText"/>
              <w:jc w:val="right"/>
              <w:rPr>
                <w:sz w:val="18"/>
                <w:szCs w:val="18"/>
              </w:rPr>
            </w:pPr>
            <w:r w:rsidRPr="00870B30">
              <w:rPr>
                <w:sz w:val="18"/>
                <w:szCs w:val="18"/>
              </w:rPr>
              <w:t>33,898</w:t>
            </w:r>
          </w:p>
        </w:tc>
        <w:tc>
          <w:tcPr>
            <w:tcW w:w="1528" w:type="dxa"/>
            <w:tcBorders>
              <w:top w:val="nil"/>
              <w:bottom w:val="single" w:sz="4" w:space="0" w:color="auto"/>
            </w:tcBorders>
            <w:vAlign w:val="center"/>
          </w:tcPr>
          <w:p w14:paraId="27872AE4" w14:textId="0F311C04" w:rsidR="00870B30" w:rsidRPr="00870B30" w:rsidRDefault="00BA07B1" w:rsidP="003E06A5">
            <w:pPr>
              <w:pStyle w:val="ExhibitText"/>
              <w:jc w:val="right"/>
              <w:rPr>
                <w:sz w:val="18"/>
                <w:szCs w:val="18"/>
              </w:rPr>
            </w:pPr>
            <w:r>
              <w:rPr>
                <w:sz w:val="18"/>
                <w:szCs w:val="18"/>
              </w:rPr>
              <w:t>38,147</w:t>
            </w:r>
          </w:p>
        </w:tc>
        <w:tc>
          <w:tcPr>
            <w:tcW w:w="1528" w:type="dxa"/>
            <w:tcBorders>
              <w:top w:val="nil"/>
              <w:bottom w:val="single" w:sz="4" w:space="0" w:color="auto"/>
            </w:tcBorders>
            <w:vAlign w:val="center"/>
          </w:tcPr>
          <w:p w14:paraId="282E23CD" w14:textId="0EB61FEA" w:rsidR="00870B30" w:rsidRPr="00870B30" w:rsidRDefault="00870B30" w:rsidP="003E06A5">
            <w:pPr>
              <w:pStyle w:val="ExhibitText"/>
              <w:jc w:val="right"/>
              <w:rPr>
                <w:sz w:val="18"/>
                <w:szCs w:val="18"/>
              </w:rPr>
            </w:pPr>
            <w:r w:rsidRPr="00870B30">
              <w:rPr>
                <w:sz w:val="18"/>
                <w:szCs w:val="18"/>
              </w:rPr>
              <w:t>42,490</w:t>
            </w:r>
          </w:p>
        </w:tc>
        <w:tc>
          <w:tcPr>
            <w:tcW w:w="1528" w:type="dxa"/>
            <w:tcBorders>
              <w:top w:val="nil"/>
              <w:bottom w:val="single" w:sz="4" w:space="0" w:color="auto"/>
            </w:tcBorders>
            <w:shd w:val="clear" w:color="auto" w:fill="auto"/>
            <w:noWrap/>
            <w:vAlign w:val="center"/>
            <w:hideMark/>
          </w:tcPr>
          <w:p w14:paraId="1AB65D21" w14:textId="452B4620" w:rsidR="00870B30" w:rsidRPr="00870B30" w:rsidRDefault="00870B30" w:rsidP="003E06A5">
            <w:pPr>
              <w:pStyle w:val="ExhibitText"/>
              <w:jc w:val="right"/>
              <w:rPr>
                <w:sz w:val="18"/>
                <w:szCs w:val="18"/>
              </w:rPr>
            </w:pPr>
            <w:r w:rsidRPr="00870B30">
              <w:rPr>
                <w:sz w:val="18"/>
                <w:szCs w:val="18"/>
              </w:rPr>
              <w:t>33,598</w:t>
            </w:r>
          </w:p>
        </w:tc>
      </w:tr>
      <w:tr w:rsidR="00870B30" w:rsidRPr="00870B30" w14:paraId="221E7BEA" w14:textId="77777777" w:rsidTr="00542153">
        <w:trPr>
          <w:trHeight w:val="288"/>
          <w:jc w:val="center"/>
        </w:trPr>
        <w:tc>
          <w:tcPr>
            <w:tcW w:w="3248" w:type="dxa"/>
            <w:tcBorders>
              <w:top w:val="single" w:sz="4" w:space="0" w:color="auto"/>
            </w:tcBorders>
            <w:shd w:val="clear" w:color="auto" w:fill="auto"/>
            <w:noWrap/>
            <w:vAlign w:val="center"/>
            <w:hideMark/>
          </w:tcPr>
          <w:p w14:paraId="2B572F69" w14:textId="475525B8" w:rsidR="00870B30" w:rsidRPr="00870B30" w:rsidRDefault="00870B30" w:rsidP="003E06A5">
            <w:pPr>
              <w:pStyle w:val="ExhibitText"/>
              <w:jc w:val="left"/>
              <w:rPr>
                <w:sz w:val="18"/>
                <w:szCs w:val="18"/>
              </w:rPr>
            </w:pPr>
            <w:r w:rsidRPr="00870B30">
              <w:rPr>
                <w:sz w:val="18"/>
                <w:szCs w:val="18"/>
              </w:rPr>
              <w:t>Long-Term Debt</w:t>
            </w:r>
          </w:p>
        </w:tc>
        <w:tc>
          <w:tcPr>
            <w:tcW w:w="1528" w:type="dxa"/>
            <w:tcBorders>
              <w:top w:val="single" w:sz="4" w:space="0" w:color="auto"/>
            </w:tcBorders>
            <w:vAlign w:val="center"/>
          </w:tcPr>
          <w:p w14:paraId="54E6968B" w14:textId="0DD66C1D" w:rsidR="00870B30" w:rsidRPr="00870B30" w:rsidRDefault="00870B30" w:rsidP="003E06A5">
            <w:pPr>
              <w:pStyle w:val="ExhibitText"/>
              <w:jc w:val="right"/>
              <w:rPr>
                <w:sz w:val="18"/>
                <w:szCs w:val="18"/>
              </w:rPr>
            </w:pPr>
            <w:r w:rsidRPr="00870B30">
              <w:rPr>
                <w:sz w:val="18"/>
                <w:szCs w:val="18"/>
              </w:rPr>
              <w:t>113,102</w:t>
            </w:r>
          </w:p>
        </w:tc>
        <w:tc>
          <w:tcPr>
            <w:tcW w:w="1528" w:type="dxa"/>
            <w:tcBorders>
              <w:top w:val="single" w:sz="4" w:space="0" w:color="auto"/>
            </w:tcBorders>
            <w:vAlign w:val="center"/>
          </w:tcPr>
          <w:p w14:paraId="1ABC106C" w14:textId="305A93CD" w:rsidR="00870B30" w:rsidRPr="00870B30" w:rsidRDefault="00BA07B1" w:rsidP="003E06A5">
            <w:pPr>
              <w:pStyle w:val="ExhibitText"/>
              <w:jc w:val="right"/>
              <w:rPr>
                <w:sz w:val="18"/>
                <w:szCs w:val="18"/>
              </w:rPr>
            </w:pPr>
            <w:r>
              <w:rPr>
                <w:sz w:val="18"/>
                <w:szCs w:val="18"/>
              </w:rPr>
              <w:t>115,942</w:t>
            </w:r>
          </w:p>
        </w:tc>
        <w:tc>
          <w:tcPr>
            <w:tcW w:w="1528" w:type="dxa"/>
            <w:tcBorders>
              <w:top w:val="single" w:sz="4" w:space="0" w:color="auto"/>
            </w:tcBorders>
            <w:vAlign w:val="center"/>
          </w:tcPr>
          <w:p w14:paraId="271FDC79" w14:textId="7BF31A83" w:rsidR="00870B30" w:rsidRPr="00870B30" w:rsidRDefault="00870B30" w:rsidP="003E06A5">
            <w:pPr>
              <w:pStyle w:val="ExhibitText"/>
              <w:jc w:val="right"/>
              <w:rPr>
                <w:sz w:val="18"/>
                <w:szCs w:val="18"/>
              </w:rPr>
            </w:pPr>
            <w:r w:rsidRPr="00870B30">
              <w:rPr>
                <w:sz w:val="18"/>
                <w:szCs w:val="18"/>
              </w:rPr>
              <w:t>116,445</w:t>
            </w:r>
          </w:p>
        </w:tc>
        <w:tc>
          <w:tcPr>
            <w:tcW w:w="1528" w:type="dxa"/>
            <w:tcBorders>
              <w:top w:val="single" w:sz="4" w:space="0" w:color="auto"/>
            </w:tcBorders>
            <w:shd w:val="clear" w:color="auto" w:fill="auto"/>
            <w:noWrap/>
            <w:vAlign w:val="center"/>
            <w:hideMark/>
          </w:tcPr>
          <w:p w14:paraId="4AC29880" w14:textId="0D2031B6" w:rsidR="00870B30" w:rsidRPr="00870B30" w:rsidRDefault="00870B30" w:rsidP="003E06A5">
            <w:pPr>
              <w:pStyle w:val="ExhibitText"/>
              <w:jc w:val="right"/>
              <w:rPr>
                <w:sz w:val="18"/>
                <w:szCs w:val="18"/>
              </w:rPr>
            </w:pPr>
            <w:r w:rsidRPr="00870B30">
              <w:rPr>
                <w:sz w:val="18"/>
                <w:szCs w:val="18"/>
              </w:rPr>
              <w:t>117,984</w:t>
            </w:r>
          </w:p>
        </w:tc>
      </w:tr>
      <w:tr w:rsidR="00870B30" w:rsidRPr="00870B30" w14:paraId="04D22F64" w14:textId="77777777" w:rsidTr="00542153">
        <w:trPr>
          <w:trHeight w:val="288"/>
          <w:jc w:val="center"/>
        </w:trPr>
        <w:tc>
          <w:tcPr>
            <w:tcW w:w="3248" w:type="dxa"/>
            <w:tcBorders>
              <w:bottom w:val="single" w:sz="4" w:space="0" w:color="auto"/>
            </w:tcBorders>
            <w:shd w:val="clear" w:color="auto" w:fill="auto"/>
            <w:noWrap/>
            <w:vAlign w:val="center"/>
            <w:hideMark/>
          </w:tcPr>
          <w:p w14:paraId="06849342" w14:textId="77777777" w:rsidR="00870B30" w:rsidRPr="00870B30" w:rsidRDefault="00870B30" w:rsidP="003E06A5">
            <w:pPr>
              <w:pStyle w:val="ExhibitText"/>
              <w:jc w:val="left"/>
              <w:rPr>
                <w:sz w:val="18"/>
                <w:szCs w:val="18"/>
              </w:rPr>
            </w:pPr>
            <w:r w:rsidRPr="00870B30">
              <w:rPr>
                <w:sz w:val="18"/>
                <w:szCs w:val="18"/>
              </w:rPr>
              <w:t>Other Liabilities</w:t>
            </w:r>
          </w:p>
        </w:tc>
        <w:tc>
          <w:tcPr>
            <w:tcW w:w="1528" w:type="dxa"/>
            <w:tcBorders>
              <w:bottom w:val="single" w:sz="4" w:space="0" w:color="auto"/>
            </w:tcBorders>
            <w:vAlign w:val="center"/>
          </w:tcPr>
          <w:p w14:paraId="487D53B0" w14:textId="313C9FAA" w:rsidR="00870B30" w:rsidRPr="00870B30" w:rsidRDefault="00870B30" w:rsidP="003E06A5">
            <w:pPr>
              <w:pStyle w:val="ExhibitText"/>
              <w:jc w:val="right"/>
              <w:rPr>
                <w:sz w:val="18"/>
                <w:szCs w:val="18"/>
              </w:rPr>
            </w:pPr>
            <w:r w:rsidRPr="00870B30">
              <w:rPr>
                <w:sz w:val="18"/>
                <w:szCs w:val="18"/>
              </w:rPr>
              <w:t>460</w:t>
            </w:r>
          </w:p>
        </w:tc>
        <w:tc>
          <w:tcPr>
            <w:tcW w:w="1528" w:type="dxa"/>
            <w:tcBorders>
              <w:bottom w:val="single" w:sz="4" w:space="0" w:color="auto"/>
            </w:tcBorders>
            <w:vAlign w:val="center"/>
          </w:tcPr>
          <w:p w14:paraId="05D868B4" w14:textId="015F1E8E" w:rsidR="00870B30" w:rsidRPr="00870B30" w:rsidRDefault="00BA07B1" w:rsidP="003E06A5">
            <w:pPr>
              <w:pStyle w:val="ExhibitText"/>
              <w:jc w:val="right"/>
              <w:rPr>
                <w:sz w:val="18"/>
                <w:szCs w:val="18"/>
              </w:rPr>
            </w:pPr>
            <w:r>
              <w:rPr>
                <w:sz w:val="18"/>
                <w:szCs w:val="18"/>
              </w:rPr>
              <w:t>18,015</w:t>
            </w:r>
          </w:p>
        </w:tc>
        <w:tc>
          <w:tcPr>
            <w:tcW w:w="1528" w:type="dxa"/>
            <w:tcBorders>
              <w:bottom w:val="single" w:sz="4" w:space="0" w:color="auto"/>
            </w:tcBorders>
            <w:vAlign w:val="center"/>
          </w:tcPr>
          <w:p w14:paraId="6F1E7A4A" w14:textId="384D10DF" w:rsidR="00870B30" w:rsidRPr="00870B30" w:rsidRDefault="00870B30" w:rsidP="003E06A5">
            <w:pPr>
              <w:pStyle w:val="ExhibitText"/>
              <w:jc w:val="right"/>
              <w:rPr>
                <w:sz w:val="18"/>
                <w:szCs w:val="18"/>
              </w:rPr>
            </w:pPr>
            <w:r w:rsidRPr="00870B30">
              <w:rPr>
                <w:sz w:val="18"/>
                <w:szCs w:val="18"/>
              </w:rPr>
              <w:t>12,344</w:t>
            </w:r>
          </w:p>
        </w:tc>
        <w:tc>
          <w:tcPr>
            <w:tcW w:w="1528" w:type="dxa"/>
            <w:tcBorders>
              <w:bottom w:val="single" w:sz="4" w:space="0" w:color="auto"/>
            </w:tcBorders>
            <w:shd w:val="clear" w:color="auto" w:fill="auto"/>
            <w:noWrap/>
            <w:vAlign w:val="center"/>
            <w:hideMark/>
          </w:tcPr>
          <w:p w14:paraId="2711F6E3" w14:textId="0C59E122" w:rsidR="00870B30" w:rsidRPr="00870B30" w:rsidRDefault="00870B30" w:rsidP="003E06A5">
            <w:pPr>
              <w:pStyle w:val="ExhibitText"/>
              <w:jc w:val="right"/>
              <w:rPr>
                <w:sz w:val="18"/>
                <w:szCs w:val="18"/>
              </w:rPr>
            </w:pPr>
            <w:r w:rsidRPr="00870B30">
              <w:rPr>
                <w:sz w:val="18"/>
                <w:szCs w:val="18"/>
              </w:rPr>
              <w:t>9,713</w:t>
            </w:r>
          </w:p>
        </w:tc>
      </w:tr>
      <w:tr w:rsidR="00870B30" w:rsidRPr="00870B30" w14:paraId="14BB01CD" w14:textId="77777777" w:rsidTr="00542153">
        <w:trPr>
          <w:trHeight w:val="288"/>
          <w:jc w:val="center"/>
        </w:trPr>
        <w:tc>
          <w:tcPr>
            <w:tcW w:w="3248" w:type="dxa"/>
            <w:tcBorders>
              <w:top w:val="single" w:sz="4" w:space="0" w:color="auto"/>
              <w:bottom w:val="double" w:sz="4" w:space="0" w:color="auto"/>
            </w:tcBorders>
            <w:shd w:val="clear" w:color="auto" w:fill="auto"/>
            <w:noWrap/>
            <w:vAlign w:val="center"/>
            <w:hideMark/>
          </w:tcPr>
          <w:p w14:paraId="0E70BF23" w14:textId="77777777" w:rsidR="00870B30" w:rsidRPr="00870B30" w:rsidRDefault="00870B30" w:rsidP="003E06A5">
            <w:pPr>
              <w:pStyle w:val="ExhibitText"/>
              <w:jc w:val="left"/>
              <w:rPr>
                <w:b/>
                <w:sz w:val="18"/>
                <w:szCs w:val="18"/>
              </w:rPr>
            </w:pPr>
            <w:r w:rsidRPr="00870B30">
              <w:rPr>
                <w:b/>
                <w:sz w:val="18"/>
                <w:szCs w:val="18"/>
              </w:rPr>
              <w:t>Total Liabilities</w:t>
            </w:r>
          </w:p>
        </w:tc>
        <w:tc>
          <w:tcPr>
            <w:tcW w:w="1528" w:type="dxa"/>
            <w:tcBorders>
              <w:top w:val="single" w:sz="4" w:space="0" w:color="auto"/>
              <w:bottom w:val="double" w:sz="4" w:space="0" w:color="auto"/>
            </w:tcBorders>
            <w:vAlign w:val="center"/>
          </w:tcPr>
          <w:p w14:paraId="26E4171B" w14:textId="75FE435D" w:rsidR="00870B30" w:rsidRPr="00870B30" w:rsidRDefault="00870B30" w:rsidP="003E06A5">
            <w:pPr>
              <w:pStyle w:val="ExhibitText"/>
              <w:jc w:val="right"/>
              <w:rPr>
                <w:b/>
                <w:sz w:val="18"/>
                <w:szCs w:val="18"/>
              </w:rPr>
            </w:pPr>
            <w:r w:rsidRPr="00870B30">
              <w:rPr>
                <w:b/>
                <w:sz w:val="18"/>
                <w:szCs w:val="18"/>
              </w:rPr>
              <w:t>147,460</w:t>
            </w:r>
          </w:p>
        </w:tc>
        <w:tc>
          <w:tcPr>
            <w:tcW w:w="1528" w:type="dxa"/>
            <w:tcBorders>
              <w:top w:val="single" w:sz="4" w:space="0" w:color="auto"/>
              <w:bottom w:val="double" w:sz="4" w:space="0" w:color="auto"/>
            </w:tcBorders>
            <w:vAlign w:val="center"/>
          </w:tcPr>
          <w:p w14:paraId="50ABB07E" w14:textId="24D849F3" w:rsidR="00870B30" w:rsidRPr="00870B30" w:rsidRDefault="00BA07B1" w:rsidP="003E06A5">
            <w:pPr>
              <w:pStyle w:val="ExhibitText"/>
              <w:jc w:val="right"/>
              <w:rPr>
                <w:b/>
                <w:sz w:val="18"/>
                <w:szCs w:val="18"/>
              </w:rPr>
            </w:pPr>
            <w:r>
              <w:rPr>
                <w:b/>
                <w:sz w:val="18"/>
                <w:szCs w:val="18"/>
              </w:rPr>
              <w:t>172,124</w:t>
            </w:r>
          </w:p>
        </w:tc>
        <w:tc>
          <w:tcPr>
            <w:tcW w:w="1528" w:type="dxa"/>
            <w:tcBorders>
              <w:top w:val="single" w:sz="4" w:space="0" w:color="auto"/>
              <w:bottom w:val="double" w:sz="4" w:space="0" w:color="auto"/>
            </w:tcBorders>
            <w:vAlign w:val="center"/>
          </w:tcPr>
          <w:p w14:paraId="48A2408A" w14:textId="7F8D0975" w:rsidR="00870B30" w:rsidRPr="00870B30" w:rsidRDefault="00870B30" w:rsidP="003E06A5">
            <w:pPr>
              <w:pStyle w:val="ExhibitText"/>
              <w:jc w:val="right"/>
              <w:rPr>
                <w:b/>
                <w:sz w:val="18"/>
                <w:szCs w:val="18"/>
              </w:rPr>
            </w:pPr>
            <w:r w:rsidRPr="00870B30">
              <w:rPr>
                <w:b/>
                <w:sz w:val="18"/>
                <w:szCs w:val="18"/>
              </w:rPr>
              <w:t>171,279</w:t>
            </w:r>
          </w:p>
        </w:tc>
        <w:tc>
          <w:tcPr>
            <w:tcW w:w="1528" w:type="dxa"/>
            <w:tcBorders>
              <w:top w:val="single" w:sz="4" w:space="0" w:color="auto"/>
              <w:bottom w:val="double" w:sz="4" w:space="0" w:color="auto"/>
            </w:tcBorders>
            <w:shd w:val="clear" w:color="auto" w:fill="auto"/>
            <w:noWrap/>
            <w:vAlign w:val="center"/>
            <w:hideMark/>
          </w:tcPr>
          <w:p w14:paraId="166150D9" w14:textId="7F4657C6" w:rsidR="00870B30" w:rsidRPr="00870B30" w:rsidRDefault="00870B30" w:rsidP="003E06A5">
            <w:pPr>
              <w:pStyle w:val="ExhibitText"/>
              <w:jc w:val="right"/>
              <w:rPr>
                <w:b/>
                <w:sz w:val="18"/>
                <w:szCs w:val="18"/>
              </w:rPr>
            </w:pPr>
            <w:r w:rsidRPr="00870B30">
              <w:rPr>
                <w:b/>
                <w:sz w:val="18"/>
                <w:szCs w:val="18"/>
              </w:rPr>
              <w:t>161,295</w:t>
            </w:r>
          </w:p>
        </w:tc>
      </w:tr>
      <w:tr w:rsidR="00870B30" w:rsidRPr="00870B30" w14:paraId="291FAB6F" w14:textId="77777777" w:rsidTr="00542153">
        <w:trPr>
          <w:trHeight w:val="288"/>
          <w:jc w:val="center"/>
        </w:trPr>
        <w:tc>
          <w:tcPr>
            <w:tcW w:w="3248" w:type="dxa"/>
            <w:tcBorders>
              <w:top w:val="double" w:sz="4" w:space="0" w:color="auto"/>
            </w:tcBorders>
            <w:shd w:val="clear" w:color="auto" w:fill="auto"/>
            <w:noWrap/>
            <w:vAlign w:val="center"/>
            <w:hideMark/>
          </w:tcPr>
          <w:p w14:paraId="6540C74C" w14:textId="070B80EF" w:rsidR="00870B30" w:rsidRPr="00870B30" w:rsidRDefault="00870B30" w:rsidP="001E38E4">
            <w:pPr>
              <w:pStyle w:val="ExhibitText"/>
              <w:jc w:val="left"/>
              <w:rPr>
                <w:b/>
                <w:sz w:val="18"/>
                <w:szCs w:val="18"/>
              </w:rPr>
            </w:pPr>
            <w:r w:rsidRPr="00870B30">
              <w:rPr>
                <w:b/>
                <w:sz w:val="18"/>
                <w:szCs w:val="18"/>
              </w:rPr>
              <w:t>Stockholders’ Equity</w:t>
            </w:r>
          </w:p>
        </w:tc>
        <w:tc>
          <w:tcPr>
            <w:tcW w:w="1528" w:type="dxa"/>
            <w:tcBorders>
              <w:top w:val="double" w:sz="4" w:space="0" w:color="auto"/>
            </w:tcBorders>
            <w:vAlign w:val="center"/>
          </w:tcPr>
          <w:p w14:paraId="08B1397B" w14:textId="77777777" w:rsidR="00870B30" w:rsidRPr="00870B30" w:rsidRDefault="00870B30" w:rsidP="003E06A5">
            <w:pPr>
              <w:pStyle w:val="ExhibitText"/>
              <w:jc w:val="right"/>
              <w:rPr>
                <w:b/>
                <w:sz w:val="18"/>
                <w:szCs w:val="18"/>
              </w:rPr>
            </w:pPr>
          </w:p>
        </w:tc>
        <w:tc>
          <w:tcPr>
            <w:tcW w:w="1528" w:type="dxa"/>
            <w:tcBorders>
              <w:top w:val="double" w:sz="4" w:space="0" w:color="auto"/>
            </w:tcBorders>
            <w:vAlign w:val="center"/>
          </w:tcPr>
          <w:p w14:paraId="1227C359" w14:textId="77777777" w:rsidR="00870B30" w:rsidRPr="00870B30" w:rsidRDefault="00870B30" w:rsidP="003E06A5">
            <w:pPr>
              <w:pStyle w:val="ExhibitText"/>
              <w:jc w:val="right"/>
              <w:rPr>
                <w:b/>
                <w:sz w:val="18"/>
                <w:szCs w:val="18"/>
              </w:rPr>
            </w:pPr>
          </w:p>
        </w:tc>
        <w:tc>
          <w:tcPr>
            <w:tcW w:w="1528" w:type="dxa"/>
            <w:tcBorders>
              <w:top w:val="double" w:sz="4" w:space="0" w:color="auto"/>
            </w:tcBorders>
            <w:vAlign w:val="center"/>
          </w:tcPr>
          <w:p w14:paraId="7FEEFA0F" w14:textId="77777777" w:rsidR="00870B30" w:rsidRPr="00870B30" w:rsidRDefault="00870B30" w:rsidP="003E06A5">
            <w:pPr>
              <w:pStyle w:val="ExhibitText"/>
              <w:jc w:val="right"/>
              <w:rPr>
                <w:b/>
                <w:sz w:val="18"/>
                <w:szCs w:val="18"/>
              </w:rPr>
            </w:pPr>
          </w:p>
        </w:tc>
        <w:tc>
          <w:tcPr>
            <w:tcW w:w="1528" w:type="dxa"/>
            <w:tcBorders>
              <w:top w:val="double" w:sz="4" w:space="0" w:color="auto"/>
            </w:tcBorders>
            <w:shd w:val="clear" w:color="auto" w:fill="auto"/>
            <w:noWrap/>
            <w:vAlign w:val="center"/>
            <w:hideMark/>
          </w:tcPr>
          <w:p w14:paraId="012AA6CC" w14:textId="1392C07B" w:rsidR="00870B30" w:rsidRPr="00870B30" w:rsidRDefault="00870B30" w:rsidP="003E06A5">
            <w:pPr>
              <w:pStyle w:val="ExhibitText"/>
              <w:jc w:val="right"/>
              <w:rPr>
                <w:b/>
                <w:sz w:val="18"/>
                <w:szCs w:val="18"/>
              </w:rPr>
            </w:pPr>
          </w:p>
        </w:tc>
      </w:tr>
      <w:tr w:rsidR="00870B30" w:rsidRPr="00870B30" w14:paraId="39FC258E" w14:textId="77777777" w:rsidTr="003E06A5">
        <w:trPr>
          <w:trHeight w:val="288"/>
          <w:jc w:val="center"/>
        </w:trPr>
        <w:tc>
          <w:tcPr>
            <w:tcW w:w="3248" w:type="dxa"/>
            <w:shd w:val="clear" w:color="auto" w:fill="auto"/>
            <w:noWrap/>
            <w:vAlign w:val="center"/>
            <w:hideMark/>
          </w:tcPr>
          <w:p w14:paraId="3F007E3E" w14:textId="77777777" w:rsidR="00870B30" w:rsidRPr="00870B30" w:rsidRDefault="00870B30" w:rsidP="003E06A5">
            <w:pPr>
              <w:pStyle w:val="ExhibitText"/>
              <w:jc w:val="left"/>
              <w:rPr>
                <w:sz w:val="18"/>
                <w:szCs w:val="18"/>
              </w:rPr>
            </w:pPr>
            <w:r w:rsidRPr="00870B30">
              <w:rPr>
                <w:sz w:val="18"/>
                <w:szCs w:val="18"/>
              </w:rPr>
              <w:t>Common Stock</w:t>
            </w:r>
          </w:p>
        </w:tc>
        <w:tc>
          <w:tcPr>
            <w:tcW w:w="1528" w:type="dxa"/>
            <w:vAlign w:val="center"/>
          </w:tcPr>
          <w:p w14:paraId="46EB0315" w14:textId="32104C42" w:rsidR="00870B30" w:rsidRPr="00870B30" w:rsidRDefault="00870B30" w:rsidP="003E06A5">
            <w:pPr>
              <w:pStyle w:val="ExhibitText"/>
              <w:jc w:val="right"/>
              <w:rPr>
                <w:sz w:val="18"/>
                <w:szCs w:val="18"/>
              </w:rPr>
            </w:pPr>
            <w:r w:rsidRPr="00870B30">
              <w:rPr>
                <w:sz w:val="18"/>
                <w:szCs w:val="18"/>
              </w:rPr>
              <w:t>23</w:t>
            </w:r>
          </w:p>
        </w:tc>
        <w:tc>
          <w:tcPr>
            <w:tcW w:w="1528" w:type="dxa"/>
            <w:vAlign w:val="center"/>
          </w:tcPr>
          <w:p w14:paraId="6DEC0B6A" w14:textId="3B7690F4" w:rsidR="00870B30" w:rsidRPr="00870B30" w:rsidRDefault="009B773A" w:rsidP="003E06A5">
            <w:pPr>
              <w:pStyle w:val="ExhibitText"/>
              <w:jc w:val="right"/>
              <w:rPr>
                <w:sz w:val="18"/>
                <w:szCs w:val="18"/>
              </w:rPr>
            </w:pPr>
            <w:r>
              <w:rPr>
                <w:sz w:val="18"/>
                <w:szCs w:val="18"/>
              </w:rPr>
              <w:t>20</w:t>
            </w:r>
          </w:p>
        </w:tc>
        <w:tc>
          <w:tcPr>
            <w:tcW w:w="1528" w:type="dxa"/>
            <w:vAlign w:val="center"/>
          </w:tcPr>
          <w:p w14:paraId="18B15744" w14:textId="60B0D486" w:rsidR="00870B30" w:rsidRPr="00870B30" w:rsidRDefault="00870B30" w:rsidP="003E06A5">
            <w:pPr>
              <w:pStyle w:val="ExhibitText"/>
              <w:jc w:val="right"/>
              <w:rPr>
                <w:sz w:val="18"/>
                <w:szCs w:val="18"/>
              </w:rPr>
            </w:pPr>
            <w:r w:rsidRPr="00870B30">
              <w:rPr>
                <w:sz w:val="18"/>
                <w:szCs w:val="18"/>
              </w:rPr>
              <w:t>25</w:t>
            </w:r>
          </w:p>
        </w:tc>
        <w:tc>
          <w:tcPr>
            <w:tcW w:w="1528" w:type="dxa"/>
            <w:shd w:val="clear" w:color="auto" w:fill="auto"/>
            <w:noWrap/>
            <w:vAlign w:val="center"/>
            <w:hideMark/>
          </w:tcPr>
          <w:p w14:paraId="10F7DDDA" w14:textId="0DFC0751" w:rsidR="00870B30" w:rsidRPr="00870B30" w:rsidRDefault="00870B30" w:rsidP="003E06A5">
            <w:pPr>
              <w:pStyle w:val="ExhibitText"/>
              <w:jc w:val="right"/>
              <w:rPr>
                <w:sz w:val="18"/>
                <w:szCs w:val="18"/>
              </w:rPr>
            </w:pPr>
            <w:r w:rsidRPr="00870B30">
              <w:rPr>
                <w:sz w:val="18"/>
                <w:szCs w:val="18"/>
              </w:rPr>
              <w:t>25</w:t>
            </w:r>
          </w:p>
        </w:tc>
      </w:tr>
      <w:tr w:rsidR="00870B30" w:rsidRPr="00870B30" w14:paraId="270F900C" w14:textId="77777777" w:rsidTr="003E06A5">
        <w:trPr>
          <w:trHeight w:val="288"/>
          <w:jc w:val="center"/>
        </w:trPr>
        <w:tc>
          <w:tcPr>
            <w:tcW w:w="3248" w:type="dxa"/>
            <w:shd w:val="clear" w:color="auto" w:fill="auto"/>
            <w:noWrap/>
            <w:vAlign w:val="center"/>
            <w:hideMark/>
          </w:tcPr>
          <w:p w14:paraId="19399114" w14:textId="77777777" w:rsidR="00870B30" w:rsidRPr="00870B30" w:rsidRDefault="00870B30" w:rsidP="003E06A5">
            <w:pPr>
              <w:pStyle w:val="ExhibitText"/>
              <w:jc w:val="left"/>
              <w:rPr>
                <w:sz w:val="18"/>
                <w:szCs w:val="18"/>
              </w:rPr>
            </w:pPr>
            <w:r w:rsidRPr="00870B30">
              <w:rPr>
                <w:sz w:val="18"/>
                <w:szCs w:val="18"/>
              </w:rPr>
              <w:t>Retained Earnings</w:t>
            </w:r>
          </w:p>
        </w:tc>
        <w:tc>
          <w:tcPr>
            <w:tcW w:w="1528" w:type="dxa"/>
            <w:vAlign w:val="center"/>
          </w:tcPr>
          <w:p w14:paraId="3C458E1C" w14:textId="17428EE2" w:rsidR="00870B30" w:rsidRPr="00870B30" w:rsidRDefault="00870B30" w:rsidP="003E06A5">
            <w:pPr>
              <w:pStyle w:val="ExhibitText"/>
              <w:jc w:val="right"/>
              <w:rPr>
                <w:sz w:val="18"/>
                <w:szCs w:val="18"/>
              </w:rPr>
            </w:pPr>
            <w:r w:rsidRPr="00870B30">
              <w:rPr>
                <w:sz w:val="18"/>
                <w:szCs w:val="18"/>
              </w:rPr>
              <w:t>−770,356</w:t>
            </w:r>
          </w:p>
        </w:tc>
        <w:tc>
          <w:tcPr>
            <w:tcW w:w="1528" w:type="dxa"/>
            <w:vAlign w:val="center"/>
          </w:tcPr>
          <w:p w14:paraId="050A9BDA" w14:textId="60C07A38" w:rsidR="00870B30" w:rsidRPr="00870B30" w:rsidRDefault="009B773A" w:rsidP="003E06A5">
            <w:pPr>
              <w:pStyle w:val="ExhibitText"/>
              <w:jc w:val="right"/>
              <w:rPr>
                <w:sz w:val="18"/>
                <w:szCs w:val="18"/>
              </w:rPr>
            </w:pPr>
            <w:r>
              <w:rPr>
                <w:sz w:val="18"/>
                <w:szCs w:val="18"/>
              </w:rPr>
              <w:t>-807,787</w:t>
            </w:r>
          </w:p>
        </w:tc>
        <w:tc>
          <w:tcPr>
            <w:tcW w:w="1528" w:type="dxa"/>
            <w:vAlign w:val="center"/>
          </w:tcPr>
          <w:p w14:paraId="11AC39C6" w14:textId="6F702507" w:rsidR="00870B30" w:rsidRPr="00870B30" w:rsidRDefault="00870B30" w:rsidP="003E06A5">
            <w:pPr>
              <w:pStyle w:val="ExhibitText"/>
              <w:jc w:val="right"/>
              <w:rPr>
                <w:sz w:val="18"/>
                <w:szCs w:val="18"/>
              </w:rPr>
            </w:pPr>
            <w:r w:rsidRPr="00870B30">
              <w:rPr>
                <w:sz w:val="18"/>
                <w:szCs w:val="18"/>
              </w:rPr>
              <w:t>−843,434</w:t>
            </w:r>
          </w:p>
        </w:tc>
        <w:tc>
          <w:tcPr>
            <w:tcW w:w="1528" w:type="dxa"/>
            <w:shd w:val="clear" w:color="auto" w:fill="auto"/>
            <w:noWrap/>
            <w:vAlign w:val="center"/>
            <w:hideMark/>
          </w:tcPr>
          <w:p w14:paraId="507F7399" w14:textId="3C496ED6" w:rsidR="00870B30" w:rsidRPr="00870B30" w:rsidRDefault="00870B30" w:rsidP="003E06A5">
            <w:pPr>
              <w:pStyle w:val="ExhibitText"/>
              <w:jc w:val="right"/>
              <w:rPr>
                <w:sz w:val="18"/>
                <w:szCs w:val="18"/>
              </w:rPr>
            </w:pPr>
            <w:r w:rsidRPr="00870B30">
              <w:rPr>
                <w:sz w:val="18"/>
                <w:szCs w:val="18"/>
              </w:rPr>
              <w:t>−873,125</w:t>
            </w:r>
          </w:p>
        </w:tc>
      </w:tr>
      <w:tr w:rsidR="00870B30" w:rsidRPr="00870B30" w14:paraId="0A262B58" w14:textId="77777777" w:rsidTr="00542153">
        <w:trPr>
          <w:trHeight w:val="288"/>
          <w:jc w:val="center"/>
        </w:trPr>
        <w:tc>
          <w:tcPr>
            <w:tcW w:w="3248" w:type="dxa"/>
            <w:tcBorders>
              <w:bottom w:val="single" w:sz="4" w:space="0" w:color="auto"/>
            </w:tcBorders>
            <w:shd w:val="clear" w:color="auto" w:fill="auto"/>
            <w:noWrap/>
            <w:vAlign w:val="center"/>
            <w:hideMark/>
          </w:tcPr>
          <w:p w14:paraId="1B15DB9A" w14:textId="77777777" w:rsidR="00870B30" w:rsidRPr="00870B30" w:rsidRDefault="00870B30" w:rsidP="003E06A5">
            <w:pPr>
              <w:pStyle w:val="ExhibitText"/>
              <w:jc w:val="left"/>
              <w:rPr>
                <w:sz w:val="18"/>
                <w:szCs w:val="18"/>
              </w:rPr>
            </w:pPr>
            <w:r w:rsidRPr="00870B30">
              <w:rPr>
                <w:sz w:val="18"/>
                <w:szCs w:val="18"/>
              </w:rPr>
              <w:t>Capital Surplus</w:t>
            </w:r>
          </w:p>
        </w:tc>
        <w:tc>
          <w:tcPr>
            <w:tcW w:w="1528" w:type="dxa"/>
            <w:tcBorders>
              <w:bottom w:val="single" w:sz="4" w:space="0" w:color="auto"/>
            </w:tcBorders>
            <w:vAlign w:val="center"/>
          </w:tcPr>
          <w:p w14:paraId="187E877C" w14:textId="49D4A902" w:rsidR="00870B30" w:rsidRPr="00870B30" w:rsidRDefault="00870B30" w:rsidP="003E06A5">
            <w:pPr>
              <w:pStyle w:val="ExhibitText"/>
              <w:jc w:val="right"/>
              <w:rPr>
                <w:sz w:val="18"/>
                <w:szCs w:val="18"/>
              </w:rPr>
            </w:pPr>
            <w:r w:rsidRPr="00870B30">
              <w:rPr>
                <w:sz w:val="18"/>
                <w:szCs w:val="18"/>
              </w:rPr>
              <w:t>768,664</w:t>
            </w:r>
          </w:p>
        </w:tc>
        <w:tc>
          <w:tcPr>
            <w:tcW w:w="1528" w:type="dxa"/>
            <w:tcBorders>
              <w:bottom w:val="single" w:sz="4" w:space="0" w:color="auto"/>
            </w:tcBorders>
            <w:vAlign w:val="center"/>
          </w:tcPr>
          <w:p w14:paraId="252D5319" w14:textId="3224EF83" w:rsidR="00870B30" w:rsidRPr="00870B30" w:rsidRDefault="009B773A" w:rsidP="003E06A5">
            <w:pPr>
              <w:pStyle w:val="ExhibitText"/>
              <w:jc w:val="right"/>
              <w:rPr>
                <w:sz w:val="18"/>
                <w:szCs w:val="18"/>
              </w:rPr>
            </w:pPr>
            <w:r>
              <w:rPr>
                <w:sz w:val="18"/>
                <w:szCs w:val="18"/>
              </w:rPr>
              <w:t>620,513</w:t>
            </w:r>
          </w:p>
        </w:tc>
        <w:tc>
          <w:tcPr>
            <w:tcW w:w="1528" w:type="dxa"/>
            <w:tcBorders>
              <w:bottom w:val="single" w:sz="4" w:space="0" w:color="auto"/>
            </w:tcBorders>
            <w:vAlign w:val="center"/>
          </w:tcPr>
          <w:p w14:paraId="52B1B6E4" w14:textId="7E9D14C6" w:rsidR="00870B30" w:rsidRPr="00870B30" w:rsidRDefault="00870B30" w:rsidP="003E06A5">
            <w:pPr>
              <w:pStyle w:val="ExhibitText"/>
              <w:jc w:val="right"/>
              <w:rPr>
                <w:sz w:val="18"/>
                <w:szCs w:val="18"/>
              </w:rPr>
            </w:pPr>
            <w:r w:rsidRPr="00870B30">
              <w:rPr>
                <w:sz w:val="18"/>
                <w:szCs w:val="18"/>
              </w:rPr>
              <w:t>804,776</w:t>
            </w:r>
          </w:p>
        </w:tc>
        <w:tc>
          <w:tcPr>
            <w:tcW w:w="1528" w:type="dxa"/>
            <w:tcBorders>
              <w:bottom w:val="single" w:sz="4" w:space="0" w:color="auto"/>
            </w:tcBorders>
            <w:shd w:val="clear" w:color="auto" w:fill="auto"/>
            <w:noWrap/>
            <w:vAlign w:val="center"/>
            <w:hideMark/>
          </w:tcPr>
          <w:p w14:paraId="3096621C" w14:textId="17312052" w:rsidR="00870B30" w:rsidRPr="00870B30" w:rsidRDefault="00870B30" w:rsidP="003E06A5">
            <w:pPr>
              <w:pStyle w:val="ExhibitText"/>
              <w:jc w:val="right"/>
              <w:rPr>
                <w:sz w:val="18"/>
                <w:szCs w:val="18"/>
              </w:rPr>
            </w:pPr>
            <w:r w:rsidRPr="00870B30">
              <w:rPr>
                <w:sz w:val="18"/>
                <w:szCs w:val="18"/>
              </w:rPr>
              <w:t>808,410</w:t>
            </w:r>
          </w:p>
        </w:tc>
      </w:tr>
      <w:tr w:rsidR="00870B30" w:rsidRPr="00870B30" w14:paraId="2A371A97" w14:textId="77777777" w:rsidTr="00542153">
        <w:trPr>
          <w:trHeight w:val="288"/>
          <w:jc w:val="center"/>
        </w:trPr>
        <w:tc>
          <w:tcPr>
            <w:tcW w:w="3248" w:type="dxa"/>
            <w:tcBorders>
              <w:top w:val="single" w:sz="4" w:space="0" w:color="auto"/>
              <w:bottom w:val="single" w:sz="12" w:space="0" w:color="auto"/>
            </w:tcBorders>
            <w:shd w:val="clear" w:color="auto" w:fill="auto"/>
            <w:noWrap/>
            <w:vAlign w:val="center"/>
            <w:hideMark/>
          </w:tcPr>
          <w:p w14:paraId="75598E6E" w14:textId="363D3CE7" w:rsidR="00870B30" w:rsidRPr="00870B30" w:rsidRDefault="00870B30" w:rsidP="003E06A5">
            <w:pPr>
              <w:pStyle w:val="ExhibitText"/>
              <w:jc w:val="left"/>
              <w:rPr>
                <w:b/>
                <w:sz w:val="18"/>
                <w:szCs w:val="18"/>
              </w:rPr>
            </w:pPr>
            <w:r w:rsidRPr="00870B30">
              <w:rPr>
                <w:b/>
                <w:sz w:val="18"/>
                <w:szCs w:val="18"/>
              </w:rPr>
              <w:t>Total Stockholders’ Equity</w:t>
            </w:r>
          </w:p>
        </w:tc>
        <w:tc>
          <w:tcPr>
            <w:tcW w:w="1528" w:type="dxa"/>
            <w:tcBorders>
              <w:top w:val="single" w:sz="4" w:space="0" w:color="auto"/>
              <w:bottom w:val="single" w:sz="12" w:space="0" w:color="auto"/>
            </w:tcBorders>
            <w:vAlign w:val="center"/>
          </w:tcPr>
          <w:p w14:paraId="7BF12227" w14:textId="682DD3CB" w:rsidR="00870B30" w:rsidRPr="00870B30" w:rsidRDefault="00870B30" w:rsidP="003E06A5">
            <w:pPr>
              <w:pStyle w:val="ExhibitText"/>
              <w:jc w:val="right"/>
              <w:rPr>
                <w:b/>
                <w:sz w:val="18"/>
                <w:szCs w:val="18"/>
              </w:rPr>
            </w:pPr>
            <w:r w:rsidRPr="00870B30">
              <w:rPr>
                <w:b/>
                <w:sz w:val="18"/>
                <w:szCs w:val="18"/>
              </w:rPr>
              <w:t>−1,669</w:t>
            </w:r>
          </w:p>
        </w:tc>
        <w:tc>
          <w:tcPr>
            <w:tcW w:w="1528" w:type="dxa"/>
            <w:tcBorders>
              <w:top w:val="single" w:sz="4" w:space="0" w:color="auto"/>
              <w:bottom w:val="single" w:sz="12" w:space="0" w:color="auto"/>
            </w:tcBorders>
            <w:vAlign w:val="center"/>
          </w:tcPr>
          <w:p w14:paraId="785763EB" w14:textId="789A670E" w:rsidR="00870B30" w:rsidRPr="00870B30" w:rsidRDefault="00F1274A" w:rsidP="003E06A5">
            <w:pPr>
              <w:pStyle w:val="ExhibitText"/>
              <w:jc w:val="right"/>
              <w:rPr>
                <w:b/>
                <w:sz w:val="18"/>
                <w:szCs w:val="18"/>
              </w:rPr>
            </w:pPr>
            <w:r w:rsidRPr="00870B30">
              <w:rPr>
                <w:b/>
                <w:sz w:val="18"/>
                <w:szCs w:val="18"/>
              </w:rPr>
              <w:t>−</w:t>
            </w:r>
            <w:r>
              <w:rPr>
                <w:b/>
                <w:sz w:val="18"/>
                <w:szCs w:val="18"/>
              </w:rPr>
              <w:t>15,130</w:t>
            </w:r>
            <w:bookmarkStart w:id="0" w:name="_GoBack"/>
            <w:bookmarkEnd w:id="0"/>
          </w:p>
        </w:tc>
        <w:tc>
          <w:tcPr>
            <w:tcW w:w="1528" w:type="dxa"/>
            <w:tcBorders>
              <w:top w:val="single" w:sz="4" w:space="0" w:color="auto"/>
              <w:bottom w:val="single" w:sz="12" w:space="0" w:color="auto"/>
            </w:tcBorders>
            <w:vAlign w:val="center"/>
          </w:tcPr>
          <w:p w14:paraId="6031B1DF" w14:textId="4122FA99" w:rsidR="00870B30" w:rsidRPr="00870B30" w:rsidRDefault="00870B30" w:rsidP="003E06A5">
            <w:pPr>
              <w:pStyle w:val="ExhibitText"/>
              <w:jc w:val="right"/>
              <w:rPr>
                <w:b/>
                <w:sz w:val="18"/>
                <w:szCs w:val="18"/>
              </w:rPr>
            </w:pPr>
            <w:r w:rsidRPr="00870B30">
              <w:rPr>
                <w:b/>
                <w:sz w:val="18"/>
                <w:szCs w:val="18"/>
              </w:rPr>
              <w:t>−38,633</w:t>
            </w:r>
          </w:p>
        </w:tc>
        <w:tc>
          <w:tcPr>
            <w:tcW w:w="1528" w:type="dxa"/>
            <w:tcBorders>
              <w:top w:val="single" w:sz="4" w:space="0" w:color="auto"/>
              <w:bottom w:val="single" w:sz="12" w:space="0" w:color="auto"/>
            </w:tcBorders>
            <w:shd w:val="clear" w:color="auto" w:fill="auto"/>
            <w:noWrap/>
            <w:vAlign w:val="center"/>
            <w:hideMark/>
          </w:tcPr>
          <w:p w14:paraId="07BA0C66" w14:textId="75F48FFA" w:rsidR="00870B30" w:rsidRPr="00870B30" w:rsidRDefault="00870B30" w:rsidP="003E06A5">
            <w:pPr>
              <w:pStyle w:val="ExhibitText"/>
              <w:jc w:val="right"/>
              <w:rPr>
                <w:b/>
                <w:sz w:val="18"/>
                <w:szCs w:val="18"/>
              </w:rPr>
            </w:pPr>
            <w:r w:rsidRPr="00870B30">
              <w:rPr>
                <w:b/>
                <w:sz w:val="18"/>
                <w:szCs w:val="18"/>
              </w:rPr>
              <w:t>−64,690</w:t>
            </w:r>
          </w:p>
        </w:tc>
      </w:tr>
      <w:tr w:rsidR="00870B30" w:rsidRPr="00870B30" w14:paraId="73040CB3" w14:textId="77777777" w:rsidTr="00542153">
        <w:trPr>
          <w:trHeight w:val="288"/>
          <w:jc w:val="center"/>
        </w:trPr>
        <w:tc>
          <w:tcPr>
            <w:tcW w:w="3248" w:type="dxa"/>
            <w:tcBorders>
              <w:top w:val="single" w:sz="12" w:space="0" w:color="auto"/>
            </w:tcBorders>
            <w:shd w:val="clear" w:color="auto" w:fill="D9D9D9" w:themeFill="background1" w:themeFillShade="D9"/>
            <w:noWrap/>
            <w:vAlign w:val="center"/>
            <w:hideMark/>
          </w:tcPr>
          <w:p w14:paraId="03954DD9" w14:textId="42446634" w:rsidR="00870B30" w:rsidRPr="00870B30" w:rsidRDefault="00870B30" w:rsidP="003E06A5">
            <w:pPr>
              <w:pStyle w:val="ExhibitText"/>
              <w:jc w:val="left"/>
              <w:rPr>
                <w:b/>
                <w:sz w:val="18"/>
                <w:szCs w:val="18"/>
              </w:rPr>
            </w:pPr>
            <w:r w:rsidRPr="00870B30">
              <w:rPr>
                <w:b/>
                <w:sz w:val="18"/>
                <w:szCs w:val="18"/>
              </w:rPr>
              <w:t>Income Statement</w:t>
            </w:r>
          </w:p>
        </w:tc>
        <w:tc>
          <w:tcPr>
            <w:tcW w:w="1528" w:type="dxa"/>
            <w:tcBorders>
              <w:top w:val="single" w:sz="12" w:space="0" w:color="auto"/>
            </w:tcBorders>
            <w:shd w:val="clear" w:color="auto" w:fill="D9D9D9" w:themeFill="background1" w:themeFillShade="D9"/>
            <w:vAlign w:val="center"/>
          </w:tcPr>
          <w:p w14:paraId="72123103" w14:textId="77777777" w:rsidR="00870B30" w:rsidRPr="00870B30" w:rsidRDefault="00870B30" w:rsidP="003E06A5">
            <w:pPr>
              <w:pStyle w:val="ExhibitText"/>
              <w:jc w:val="right"/>
              <w:rPr>
                <w:b/>
                <w:sz w:val="18"/>
                <w:szCs w:val="18"/>
              </w:rPr>
            </w:pPr>
          </w:p>
        </w:tc>
        <w:tc>
          <w:tcPr>
            <w:tcW w:w="1528" w:type="dxa"/>
            <w:tcBorders>
              <w:top w:val="single" w:sz="12" w:space="0" w:color="auto"/>
            </w:tcBorders>
            <w:shd w:val="clear" w:color="auto" w:fill="D9D9D9" w:themeFill="background1" w:themeFillShade="D9"/>
            <w:vAlign w:val="center"/>
          </w:tcPr>
          <w:p w14:paraId="00371E28" w14:textId="77777777" w:rsidR="00870B30" w:rsidRPr="00870B30" w:rsidRDefault="00870B30" w:rsidP="003E06A5">
            <w:pPr>
              <w:pStyle w:val="ExhibitText"/>
              <w:jc w:val="right"/>
              <w:rPr>
                <w:b/>
                <w:sz w:val="18"/>
                <w:szCs w:val="18"/>
              </w:rPr>
            </w:pPr>
          </w:p>
        </w:tc>
        <w:tc>
          <w:tcPr>
            <w:tcW w:w="1528" w:type="dxa"/>
            <w:tcBorders>
              <w:top w:val="single" w:sz="12" w:space="0" w:color="auto"/>
            </w:tcBorders>
            <w:shd w:val="clear" w:color="auto" w:fill="D9D9D9" w:themeFill="background1" w:themeFillShade="D9"/>
            <w:vAlign w:val="center"/>
          </w:tcPr>
          <w:p w14:paraId="1EFBC76A" w14:textId="77777777" w:rsidR="00870B30" w:rsidRPr="00870B30" w:rsidRDefault="00870B30" w:rsidP="003E06A5">
            <w:pPr>
              <w:pStyle w:val="ExhibitText"/>
              <w:jc w:val="right"/>
              <w:rPr>
                <w:b/>
                <w:sz w:val="18"/>
                <w:szCs w:val="18"/>
              </w:rPr>
            </w:pPr>
          </w:p>
        </w:tc>
        <w:tc>
          <w:tcPr>
            <w:tcW w:w="1528" w:type="dxa"/>
            <w:tcBorders>
              <w:top w:val="single" w:sz="12" w:space="0" w:color="auto"/>
            </w:tcBorders>
            <w:shd w:val="clear" w:color="auto" w:fill="D9D9D9" w:themeFill="background1" w:themeFillShade="D9"/>
            <w:vAlign w:val="center"/>
          </w:tcPr>
          <w:p w14:paraId="11D82925" w14:textId="6D819346" w:rsidR="00870B30" w:rsidRPr="00870B30" w:rsidRDefault="00870B30" w:rsidP="003E06A5">
            <w:pPr>
              <w:pStyle w:val="ExhibitText"/>
              <w:jc w:val="right"/>
              <w:rPr>
                <w:b/>
                <w:sz w:val="18"/>
                <w:szCs w:val="18"/>
              </w:rPr>
            </w:pPr>
          </w:p>
        </w:tc>
      </w:tr>
      <w:tr w:rsidR="00870B30" w:rsidRPr="00870B30" w14:paraId="527B982E" w14:textId="77777777" w:rsidTr="003E06A5">
        <w:trPr>
          <w:trHeight w:val="288"/>
          <w:jc w:val="center"/>
        </w:trPr>
        <w:tc>
          <w:tcPr>
            <w:tcW w:w="3248" w:type="dxa"/>
            <w:shd w:val="clear" w:color="auto" w:fill="auto"/>
            <w:noWrap/>
            <w:vAlign w:val="center"/>
            <w:hideMark/>
          </w:tcPr>
          <w:p w14:paraId="3F274723" w14:textId="77777777" w:rsidR="00870B30" w:rsidRPr="00870B30" w:rsidRDefault="00870B30" w:rsidP="003E06A5">
            <w:pPr>
              <w:pStyle w:val="ExhibitText"/>
              <w:jc w:val="left"/>
              <w:rPr>
                <w:sz w:val="18"/>
                <w:szCs w:val="18"/>
              </w:rPr>
            </w:pPr>
            <w:r w:rsidRPr="00870B30">
              <w:rPr>
                <w:sz w:val="18"/>
                <w:szCs w:val="18"/>
              </w:rPr>
              <w:t>Total Revenue</w:t>
            </w:r>
          </w:p>
        </w:tc>
        <w:tc>
          <w:tcPr>
            <w:tcW w:w="1528" w:type="dxa"/>
            <w:vAlign w:val="center"/>
          </w:tcPr>
          <w:p w14:paraId="73048F53" w14:textId="57DF2A02" w:rsidR="00870B30" w:rsidRPr="00870B30" w:rsidRDefault="00870B30" w:rsidP="003E06A5">
            <w:pPr>
              <w:pStyle w:val="ExhibitText"/>
              <w:jc w:val="right"/>
              <w:rPr>
                <w:sz w:val="18"/>
                <w:szCs w:val="18"/>
              </w:rPr>
            </w:pPr>
            <w:r w:rsidRPr="00870B30">
              <w:rPr>
                <w:sz w:val="18"/>
                <w:szCs w:val="18"/>
              </w:rPr>
              <w:t>5,008</w:t>
            </w:r>
          </w:p>
        </w:tc>
        <w:tc>
          <w:tcPr>
            <w:tcW w:w="1528" w:type="dxa"/>
            <w:vAlign w:val="center"/>
          </w:tcPr>
          <w:p w14:paraId="7524747C" w14:textId="415D8FC0" w:rsidR="00870B30" w:rsidRPr="00870B30" w:rsidRDefault="00870B30" w:rsidP="003E06A5">
            <w:pPr>
              <w:pStyle w:val="ExhibitText"/>
              <w:jc w:val="right"/>
              <w:rPr>
                <w:sz w:val="18"/>
                <w:szCs w:val="18"/>
              </w:rPr>
            </w:pPr>
            <w:r w:rsidRPr="00870B30">
              <w:rPr>
                <w:sz w:val="18"/>
                <w:szCs w:val="18"/>
              </w:rPr>
              <w:t>9,400</w:t>
            </w:r>
          </w:p>
        </w:tc>
        <w:tc>
          <w:tcPr>
            <w:tcW w:w="1528" w:type="dxa"/>
            <w:vAlign w:val="center"/>
          </w:tcPr>
          <w:p w14:paraId="447B5B40" w14:textId="244C7C86" w:rsidR="00870B30" w:rsidRPr="00870B30" w:rsidRDefault="00870B30" w:rsidP="003E06A5">
            <w:pPr>
              <w:pStyle w:val="ExhibitText"/>
              <w:jc w:val="right"/>
              <w:rPr>
                <w:sz w:val="18"/>
                <w:szCs w:val="18"/>
              </w:rPr>
            </w:pPr>
            <w:r w:rsidRPr="00870B30">
              <w:rPr>
                <w:sz w:val="18"/>
                <w:szCs w:val="18"/>
              </w:rPr>
              <w:t>8,586</w:t>
            </w:r>
          </w:p>
        </w:tc>
        <w:tc>
          <w:tcPr>
            <w:tcW w:w="1528" w:type="dxa"/>
            <w:shd w:val="clear" w:color="auto" w:fill="auto"/>
            <w:noWrap/>
            <w:vAlign w:val="center"/>
            <w:hideMark/>
          </w:tcPr>
          <w:p w14:paraId="60E0CF8C" w14:textId="2D417D94" w:rsidR="00870B30" w:rsidRPr="00870B30" w:rsidRDefault="00870B30" w:rsidP="003E06A5">
            <w:pPr>
              <w:pStyle w:val="ExhibitText"/>
              <w:jc w:val="right"/>
              <w:rPr>
                <w:sz w:val="18"/>
                <w:szCs w:val="18"/>
              </w:rPr>
            </w:pPr>
            <w:r w:rsidRPr="00870B30">
              <w:rPr>
                <w:sz w:val="18"/>
                <w:szCs w:val="18"/>
              </w:rPr>
              <w:t>12,254</w:t>
            </w:r>
          </w:p>
        </w:tc>
      </w:tr>
      <w:tr w:rsidR="00870B30" w:rsidRPr="00870B30" w14:paraId="47BA3577" w14:textId="77777777" w:rsidTr="00542153">
        <w:trPr>
          <w:trHeight w:val="288"/>
          <w:jc w:val="center"/>
        </w:trPr>
        <w:tc>
          <w:tcPr>
            <w:tcW w:w="3248" w:type="dxa"/>
            <w:tcBorders>
              <w:bottom w:val="nil"/>
            </w:tcBorders>
            <w:shd w:val="clear" w:color="auto" w:fill="auto"/>
            <w:noWrap/>
            <w:vAlign w:val="center"/>
            <w:hideMark/>
          </w:tcPr>
          <w:p w14:paraId="6A89FF50" w14:textId="77777777" w:rsidR="00870B30" w:rsidRPr="00870B30" w:rsidRDefault="00870B30" w:rsidP="003E06A5">
            <w:pPr>
              <w:pStyle w:val="ExhibitText"/>
              <w:jc w:val="left"/>
              <w:rPr>
                <w:sz w:val="18"/>
                <w:szCs w:val="18"/>
              </w:rPr>
            </w:pPr>
            <w:r w:rsidRPr="00870B30">
              <w:rPr>
                <w:sz w:val="18"/>
                <w:szCs w:val="18"/>
              </w:rPr>
              <w:t>Cost of Revenue</w:t>
            </w:r>
          </w:p>
        </w:tc>
        <w:tc>
          <w:tcPr>
            <w:tcW w:w="1528" w:type="dxa"/>
            <w:tcBorders>
              <w:bottom w:val="nil"/>
            </w:tcBorders>
            <w:vAlign w:val="center"/>
          </w:tcPr>
          <w:p w14:paraId="152E2242" w14:textId="275B69B1" w:rsidR="00870B30" w:rsidRPr="00870B30" w:rsidRDefault="00870B30" w:rsidP="003E06A5">
            <w:pPr>
              <w:pStyle w:val="ExhibitText"/>
              <w:jc w:val="right"/>
              <w:rPr>
                <w:sz w:val="18"/>
                <w:szCs w:val="18"/>
              </w:rPr>
            </w:pPr>
            <w:r w:rsidRPr="00870B30">
              <w:rPr>
                <w:sz w:val="18"/>
                <w:szCs w:val="18"/>
              </w:rPr>
              <w:t>2,163</w:t>
            </w:r>
          </w:p>
        </w:tc>
        <w:tc>
          <w:tcPr>
            <w:tcW w:w="1528" w:type="dxa"/>
            <w:tcBorders>
              <w:bottom w:val="nil"/>
            </w:tcBorders>
            <w:vAlign w:val="center"/>
          </w:tcPr>
          <w:p w14:paraId="113EE8A0" w14:textId="3D608241" w:rsidR="00870B30" w:rsidRPr="00870B30" w:rsidRDefault="00870B30" w:rsidP="003E06A5">
            <w:pPr>
              <w:pStyle w:val="ExhibitText"/>
              <w:jc w:val="right"/>
              <w:rPr>
                <w:sz w:val="18"/>
                <w:szCs w:val="18"/>
              </w:rPr>
            </w:pPr>
            <w:r w:rsidRPr="00870B30">
              <w:rPr>
                <w:sz w:val="18"/>
                <w:szCs w:val="18"/>
              </w:rPr>
              <w:t>1,963</w:t>
            </w:r>
          </w:p>
        </w:tc>
        <w:tc>
          <w:tcPr>
            <w:tcW w:w="1528" w:type="dxa"/>
            <w:tcBorders>
              <w:bottom w:val="nil"/>
            </w:tcBorders>
            <w:vAlign w:val="center"/>
          </w:tcPr>
          <w:p w14:paraId="032382BD" w14:textId="2551ECF5" w:rsidR="00870B30" w:rsidRPr="00870B30" w:rsidRDefault="00870B30" w:rsidP="003E06A5">
            <w:pPr>
              <w:pStyle w:val="ExhibitText"/>
              <w:jc w:val="right"/>
              <w:rPr>
                <w:sz w:val="18"/>
                <w:szCs w:val="18"/>
              </w:rPr>
            </w:pPr>
            <w:r w:rsidRPr="00870B30">
              <w:rPr>
                <w:sz w:val="18"/>
                <w:szCs w:val="18"/>
              </w:rPr>
              <w:t>3,704</w:t>
            </w:r>
          </w:p>
        </w:tc>
        <w:tc>
          <w:tcPr>
            <w:tcW w:w="1528" w:type="dxa"/>
            <w:tcBorders>
              <w:bottom w:val="nil"/>
            </w:tcBorders>
            <w:shd w:val="clear" w:color="auto" w:fill="auto"/>
            <w:noWrap/>
            <w:vAlign w:val="center"/>
            <w:hideMark/>
          </w:tcPr>
          <w:p w14:paraId="4B14A1C3" w14:textId="4B6880D7" w:rsidR="00870B30" w:rsidRPr="00870B30" w:rsidRDefault="00870B30" w:rsidP="003E06A5">
            <w:pPr>
              <w:pStyle w:val="ExhibitText"/>
              <w:jc w:val="right"/>
              <w:rPr>
                <w:sz w:val="18"/>
                <w:szCs w:val="18"/>
              </w:rPr>
            </w:pPr>
            <w:r w:rsidRPr="00870B30">
              <w:rPr>
                <w:sz w:val="18"/>
                <w:szCs w:val="18"/>
              </w:rPr>
              <w:t>3,885</w:t>
            </w:r>
          </w:p>
        </w:tc>
      </w:tr>
      <w:tr w:rsidR="00870B30" w:rsidRPr="00870B30" w14:paraId="5BAC33C6" w14:textId="77777777" w:rsidTr="00542153">
        <w:trPr>
          <w:trHeight w:val="288"/>
          <w:jc w:val="center"/>
        </w:trPr>
        <w:tc>
          <w:tcPr>
            <w:tcW w:w="3248" w:type="dxa"/>
            <w:tcBorders>
              <w:top w:val="nil"/>
              <w:bottom w:val="single" w:sz="4" w:space="0" w:color="auto"/>
            </w:tcBorders>
            <w:shd w:val="clear" w:color="auto" w:fill="auto"/>
            <w:noWrap/>
            <w:vAlign w:val="center"/>
            <w:hideMark/>
          </w:tcPr>
          <w:p w14:paraId="4DA1E7FA" w14:textId="77777777" w:rsidR="00870B30" w:rsidRPr="00870B30" w:rsidRDefault="00870B30" w:rsidP="003E06A5">
            <w:pPr>
              <w:pStyle w:val="ExhibitText"/>
              <w:jc w:val="left"/>
              <w:rPr>
                <w:sz w:val="18"/>
                <w:szCs w:val="18"/>
              </w:rPr>
            </w:pPr>
            <w:r w:rsidRPr="00870B30">
              <w:rPr>
                <w:sz w:val="18"/>
                <w:szCs w:val="18"/>
              </w:rPr>
              <w:t>Gross Profit</w:t>
            </w:r>
          </w:p>
        </w:tc>
        <w:tc>
          <w:tcPr>
            <w:tcW w:w="1528" w:type="dxa"/>
            <w:tcBorders>
              <w:top w:val="nil"/>
              <w:bottom w:val="single" w:sz="4" w:space="0" w:color="auto"/>
            </w:tcBorders>
            <w:vAlign w:val="center"/>
          </w:tcPr>
          <w:p w14:paraId="5AB0E514" w14:textId="78F27268" w:rsidR="00870B30" w:rsidRPr="00870B30" w:rsidRDefault="00870B30" w:rsidP="003E06A5">
            <w:pPr>
              <w:pStyle w:val="ExhibitText"/>
              <w:jc w:val="right"/>
              <w:rPr>
                <w:sz w:val="18"/>
                <w:szCs w:val="18"/>
              </w:rPr>
            </w:pPr>
            <w:r w:rsidRPr="00870B30">
              <w:rPr>
                <w:sz w:val="18"/>
                <w:szCs w:val="18"/>
              </w:rPr>
              <w:t>2,845</w:t>
            </w:r>
          </w:p>
        </w:tc>
        <w:tc>
          <w:tcPr>
            <w:tcW w:w="1528" w:type="dxa"/>
            <w:tcBorders>
              <w:top w:val="nil"/>
              <w:bottom w:val="single" w:sz="4" w:space="0" w:color="auto"/>
            </w:tcBorders>
            <w:vAlign w:val="center"/>
          </w:tcPr>
          <w:p w14:paraId="7B0D9AEB" w14:textId="3A71D8B9" w:rsidR="00870B30" w:rsidRPr="00870B30" w:rsidRDefault="00870B30" w:rsidP="003E06A5">
            <w:pPr>
              <w:pStyle w:val="ExhibitText"/>
              <w:jc w:val="right"/>
              <w:rPr>
                <w:sz w:val="18"/>
                <w:szCs w:val="18"/>
              </w:rPr>
            </w:pPr>
            <w:r w:rsidRPr="00870B30">
              <w:rPr>
                <w:sz w:val="18"/>
                <w:szCs w:val="18"/>
              </w:rPr>
              <w:t>7,447</w:t>
            </w:r>
          </w:p>
        </w:tc>
        <w:tc>
          <w:tcPr>
            <w:tcW w:w="1528" w:type="dxa"/>
            <w:tcBorders>
              <w:top w:val="nil"/>
              <w:bottom w:val="single" w:sz="4" w:space="0" w:color="auto"/>
            </w:tcBorders>
            <w:vAlign w:val="center"/>
          </w:tcPr>
          <w:p w14:paraId="3B39D614" w14:textId="52FC4965" w:rsidR="00870B30" w:rsidRPr="00870B30" w:rsidRDefault="00870B30" w:rsidP="003E06A5">
            <w:pPr>
              <w:pStyle w:val="ExhibitText"/>
              <w:jc w:val="right"/>
              <w:rPr>
                <w:sz w:val="18"/>
                <w:szCs w:val="18"/>
              </w:rPr>
            </w:pPr>
            <w:r w:rsidRPr="00870B30">
              <w:rPr>
                <w:sz w:val="18"/>
                <w:szCs w:val="18"/>
              </w:rPr>
              <w:t>4,882</w:t>
            </w:r>
          </w:p>
        </w:tc>
        <w:tc>
          <w:tcPr>
            <w:tcW w:w="1528" w:type="dxa"/>
            <w:tcBorders>
              <w:top w:val="nil"/>
              <w:bottom w:val="single" w:sz="4" w:space="0" w:color="auto"/>
            </w:tcBorders>
            <w:shd w:val="clear" w:color="auto" w:fill="auto"/>
            <w:noWrap/>
            <w:vAlign w:val="center"/>
            <w:hideMark/>
          </w:tcPr>
          <w:p w14:paraId="574D422D" w14:textId="045B3CD8" w:rsidR="00870B30" w:rsidRPr="00870B30" w:rsidRDefault="00870B30" w:rsidP="003E06A5">
            <w:pPr>
              <w:pStyle w:val="ExhibitText"/>
              <w:jc w:val="right"/>
              <w:rPr>
                <w:sz w:val="18"/>
                <w:szCs w:val="18"/>
              </w:rPr>
            </w:pPr>
            <w:r w:rsidRPr="00870B30">
              <w:rPr>
                <w:sz w:val="18"/>
                <w:szCs w:val="18"/>
              </w:rPr>
              <w:t>8,369</w:t>
            </w:r>
          </w:p>
        </w:tc>
      </w:tr>
      <w:tr w:rsidR="00870B30" w:rsidRPr="00870B30" w14:paraId="7703D7BA" w14:textId="77777777" w:rsidTr="00542153">
        <w:trPr>
          <w:trHeight w:val="288"/>
          <w:jc w:val="center"/>
        </w:trPr>
        <w:tc>
          <w:tcPr>
            <w:tcW w:w="3248" w:type="dxa"/>
            <w:tcBorders>
              <w:top w:val="single" w:sz="4" w:space="0" w:color="auto"/>
            </w:tcBorders>
            <w:shd w:val="clear" w:color="auto" w:fill="auto"/>
            <w:noWrap/>
            <w:vAlign w:val="center"/>
            <w:hideMark/>
          </w:tcPr>
          <w:p w14:paraId="784B0952" w14:textId="77777777" w:rsidR="00870B30" w:rsidRPr="00870B30" w:rsidRDefault="00870B30" w:rsidP="003E06A5">
            <w:pPr>
              <w:pStyle w:val="ExhibitText"/>
              <w:jc w:val="left"/>
              <w:rPr>
                <w:b/>
                <w:sz w:val="18"/>
                <w:szCs w:val="18"/>
              </w:rPr>
            </w:pPr>
            <w:r w:rsidRPr="00870B30">
              <w:rPr>
                <w:b/>
                <w:sz w:val="18"/>
                <w:szCs w:val="18"/>
              </w:rPr>
              <w:t>Operating Expenses</w:t>
            </w:r>
          </w:p>
        </w:tc>
        <w:tc>
          <w:tcPr>
            <w:tcW w:w="1528" w:type="dxa"/>
            <w:tcBorders>
              <w:top w:val="single" w:sz="4" w:space="0" w:color="auto"/>
            </w:tcBorders>
            <w:vAlign w:val="center"/>
          </w:tcPr>
          <w:p w14:paraId="760E3C2C" w14:textId="77777777" w:rsidR="00870B30" w:rsidRPr="00870B30" w:rsidRDefault="00870B30" w:rsidP="003E06A5">
            <w:pPr>
              <w:pStyle w:val="ExhibitText"/>
              <w:jc w:val="right"/>
              <w:rPr>
                <w:b/>
                <w:sz w:val="18"/>
                <w:szCs w:val="18"/>
              </w:rPr>
            </w:pPr>
          </w:p>
        </w:tc>
        <w:tc>
          <w:tcPr>
            <w:tcW w:w="1528" w:type="dxa"/>
            <w:tcBorders>
              <w:top w:val="single" w:sz="4" w:space="0" w:color="auto"/>
            </w:tcBorders>
            <w:vAlign w:val="center"/>
          </w:tcPr>
          <w:p w14:paraId="315927C6" w14:textId="77777777" w:rsidR="00870B30" w:rsidRPr="00870B30" w:rsidRDefault="00870B30" w:rsidP="003E06A5">
            <w:pPr>
              <w:pStyle w:val="ExhibitText"/>
              <w:jc w:val="right"/>
              <w:rPr>
                <w:b/>
                <w:sz w:val="18"/>
                <w:szCs w:val="18"/>
              </w:rPr>
            </w:pPr>
          </w:p>
        </w:tc>
        <w:tc>
          <w:tcPr>
            <w:tcW w:w="1528" w:type="dxa"/>
            <w:tcBorders>
              <w:top w:val="single" w:sz="4" w:space="0" w:color="auto"/>
            </w:tcBorders>
            <w:vAlign w:val="center"/>
          </w:tcPr>
          <w:p w14:paraId="293E27A6" w14:textId="77777777" w:rsidR="00870B30" w:rsidRPr="00870B30" w:rsidRDefault="00870B30" w:rsidP="003E06A5">
            <w:pPr>
              <w:pStyle w:val="ExhibitText"/>
              <w:jc w:val="right"/>
              <w:rPr>
                <w:b/>
                <w:sz w:val="18"/>
                <w:szCs w:val="18"/>
              </w:rPr>
            </w:pPr>
          </w:p>
        </w:tc>
        <w:tc>
          <w:tcPr>
            <w:tcW w:w="1528" w:type="dxa"/>
            <w:tcBorders>
              <w:top w:val="single" w:sz="4" w:space="0" w:color="auto"/>
            </w:tcBorders>
            <w:shd w:val="clear" w:color="auto" w:fill="auto"/>
            <w:noWrap/>
            <w:vAlign w:val="center"/>
            <w:hideMark/>
          </w:tcPr>
          <w:p w14:paraId="71B1792F" w14:textId="34D6A329" w:rsidR="00870B30" w:rsidRPr="00870B30" w:rsidRDefault="00870B30" w:rsidP="003E06A5">
            <w:pPr>
              <w:pStyle w:val="ExhibitText"/>
              <w:jc w:val="right"/>
              <w:rPr>
                <w:b/>
                <w:sz w:val="18"/>
                <w:szCs w:val="18"/>
              </w:rPr>
            </w:pPr>
          </w:p>
        </w:tc>
      </w:tr>
      <w:tr w:rsidR="00870B30" w:rsidRPr="00870B30" w14:paraId="0E6BF314" w14:textId="77777777" w:rsidTr="003E06A5">
        <w:trPr>
          <w:trHeight w:val="288"/>
          <w:jc w:val="center"/>
        </w:trPr>
        <w:tc>
          <w:tcPr>
            <w:tcW w:w="3248" w:type="dxa"/>
            <w:shd w:val="clear" w:color="auto" w:fill="auto"/>
            <w:noWrap/>
            <w:vAlign w:val="center"/>
            <w:hideMark/>
          </w:tcPr>
          <w:p w14:paraId="6977E052" w14:textId="77777777" w:rsidR="00870B30" w:rsidRPr="00870B30" w:rsidRDefault="00870B30" w:rsidP="003E06A5">
            <w:pPr>
              <w:pStyle w:val="ExhibitText"/>
              <w:jc w:val="left"/>
              <w:rPr>
                <w:sz w:val="18"/>
                <w:szCs w:val="18"/>
              </w:rPr>
            </w:pPr>
            <w:r w:rsidRPr="00870B30">
              <w:rPr>
                <w:sz w:val="18"/>
                <w:szCs w:val="18"/>
              </w:rPr>
              <w:t>Research Development</w:t>
            </w:r>
          </w:p>
        </w:tc>
        <w:tc>
          <w:tcPr>
            <w:tcW w:w="1528" w:type="dxa"/>
            <w:vAlign w:val="center"/>
          </w:tcPr>
          <w:p w14:paraId="4F4A0DA2" w14:textId="081BE816" w:rsidR="00870B30" w:rsidRPr="00870B30" w:rsidRDefault="00870B30" w:rsidP="003E06A5">
            <w:pPr>
              <w:pStyle w:val="ExhibitText"/>
              <w:jc w:val="right"/>
              <w:rPr>
                <w:sz w:val="18"/>
                <w:szCs w:val="18"/>
              </w:rPr>
            </w:pPr>
            <w:r w:rsidRPr="00870B30">
              <w:rPr>
                <w:sz w:val="18"/>
                <w:szCs w:val="18"/>
              </w:rPr>
              <w:t>6,572</w:t>
            </w:r>
          </w:p>
        </w:tc>
        <w:tc>
          <w:tcPr>
            <w:tcW w:w="1528" w:type="dxa"/>
            <w:vAlign w:val="center"/>
          </w:tcPr>
          <w:p w14:paraId="73676443" w14:textId="3C93F445" w:rsidR="00870B30" w:rsidRPr="00870B30" w:rsidRDefault="00870B30" w:rsidP="003E06A5">
            <w:pPr>
              <w:pStyle w:val="ExhibitText"/>
              <w:jc w:val="right"/>
              <w:rPr>
                <w:sz w:val="18"/>
                <w:szCs w:val="18"/>
              </w:rPr>
            </w:pPr>
            <w:r w:rsidRPr="00870B30">
              <w:rPr>
                <w:sz w:val="18"/>
                <w:szCs w:val="18"/>
              </w:rPr>
              <w:t>336</w:t>
            </w:r>
          </w:p>
        </w:tc>
        <w:tc>
          <w:tcPr>
            <w:tcW w:w="1528" w:type="dxa"/>
            <w:vAlign w:val="center"/>
          </w:tcPr>
          <w:p w14:paraId="6CE6C609" w14:textId="33989217" w:rsidR="00870B30" w:rsidRPr="00870B30" w:rsidRDefault="00870B30" w:rsidP="003E06A5">
            <w:pPr>
              <w:pStyle w:val="ExhibitText"/>
              <w:jc w:val="right"/>
              <w:rPr>
                <w:sz w:val="18"/>
                <w:szCs w:val="18"/>
              </w:rPr>
            </w:pPr>
            <w:r w:rsidRPr="00870B30">
              <w:rPr>
                <w:sz w:val="18"/>
                <w:szCs w:val="18"/>
              </w:rPr>
              <w:t>3,362</w:t>
            </w:r>
          </w:p>
        </w:tc>
        <w:tc>
          <w:tcPr>
            <w:tcW w:w="1528" w:type="dxa"/>
            <w:shd w:val="clear" w:color="auto" w:fill="auto"/>
            <w:noWrap/>
            <w:vAlign w:val="center"/>
            <w:hideMark/>
          </w:tcPr>
          <w:p w14:paraId="36E59D67" w14:textId="5083D748" w:rsidR="00870B30" w:rsidRPr="00870B30" w:rsidRDefault="00870B30" w:rsidP="003E06A5">
            <w:pPr>
              <w:pStyle w:val="ExhibitText"/>
              <w:jc w:val="right"/>
              <w:rPr>
                <w:sz w:val="18"/>
                <w:szCs w:val="18"/>
              </w:rPr>
            </w:pPr>
            <w:r w:rsidRPr="00870B30">
              <w:rPr>
                <w:sz w:val="18"/>
                <w:szCs w:val="18"/>
              </w:rPr>
              <w:t>2,844</w:t>
            </w:r>
          </w:p>
        </w:tc>
      </w:tr>
      <w:tr w:rsidR="00870B30" w:rsidRPr="00870B30" w14:paraId="284FB4FC" w14:textId="77777777" w:rsidTr="00542153">
        <w:trPr>
          <w:trHeight w:val="288"/>
          <w:jc w:val="center"/>
        </w:trPr>
        <w:tc>
          <w:tcPr>
            <w:tcW w:w="3248" w:type="dxa"/>
            <w:tcBorders>
              <w:bottom w:val="nil"/>
            </w:tcBorders>
            <w:shd w:val="clear" w:color="auto" w:fill="auto"/>
            <w:noWrap/>
            <w:vAlign w:val="center"/>
            <w:hideMark/>
          </w:tcPr>
          <w:p w14:paraId="5E58F4DF" w14:textId="31A2775D" w:rsidR="00870B30" w:rsidRPr="00870B30" w:rsidRDefault="00870B30" w:rsidP="003E06A5">
            <w:pPr>
              <w:pStyle w:val="ExhibitText"/>
              <w:jc w:val="left"/>
              <w:rPr>
                <w:sz w:val="18"/>
                <w:szCs w:val="18"/>
              </w:rPr>
            </w:pPr>
            <w:r w:rsidRPr="00870B30">
              <w:rPr>
                <w:sz w:val="18"/>
                <w:szCs w:val="18"/>
              </w:rPr>
              <w:t>Selling, General, and Administrative</w:t>
            </w:r>
          </w:p>
        </w:tc>
        <w:tc>
          <w:tcPr>
            <w:tcW w:w="1528" w:type="dxa"/>
            <w:tcBorders>
              <w:bottom w:val="nil"/>
            </w:tcBorders>
            <w:vAlign w:val="center"/>
          </w:tcPr>
          <w:p w14:paraId="19C2513E" w14:textId="31A3417A" w:rsidR="00870B30" w:rsidRPr="00870B30" w:rsidRDefault="00870B30" w:rsidP="003E06A5">
            <w:pPr>
              <w:pStyle w:val="ExhibitText"/>
              <w:jc w:val="right"/>
              <w:rPr>
                <w:sz w:val="18"/>
                <w:szCs w:val="18"/>
              </w:rPr>
            </w:pPr>
            <w:r w:rsidRPr="00870B30">
              <w:rPr>
                <w:sz w:val="18"/>
                <w:szCs w:val="18"/>
              </w:rPr>
              <w:t>43,973</w:t>
            </w:r>
          </w:p>
        </w:tc>
        <w:tc>
          <w:tcPr>
            <w:tcW w:w="1528" w:type="dxa"/>
            <w:tcBorders>
              <w:bottom w:val="nil"/>
            </w:tcBorders>
            <w:vAlign w:val="center"/>
          </w:tcPr>
          <w:p w14:paraId="6837CC1C" w14:textId="130EC459" w:rsidR="00870B30" w:rsidRPr="00870B30" w:rsidRDefault="00870B30" w:rsidP="003E06A5">
            <w:pPr>
              <w:pStyle w:val="ExhibitText"/>
              <w:jc w:val="right"/>
              <w:rPr>
                <w:sz w:val="18"/>
                <w:szCs w:val="18"/>
              </w:rPr>
            </w:pPr>
            <w:r w:rsidRPr="00870B30">
              <w:rPr>
                <w:sz w:val="18"/>
                <w:szCs w:val="18"/>
              </w:rPr>
              <w:t>45,305</w:t>
            </w:r>
          </w:p>
        </w:tc>
        <w:tc>
          <w:tcPr>
            <w:tcW w:w="1528" w:type="dxa"/>
            <w:tcBorders>
              <w:bottom w:val="nil"/>
            </w:tcBorders>
            <w:vAlign w:val="center"/>
          </w:tcPr>
          <w:p w14:paraId="2B1EA7D0" w14:textId="7F29537E" w:rsidR="00870B30" w:rsidRPr="00870B30" w:rsidRDefault="00870B30" w:rsidP="003E06A5">
            <w:pPr>
              <w:pStyle w:val="ExhibitText"/>
              <w:jc w:val="right"/>
              <w:rPr>
                <w:sz w:val="18"/>
                <w:szCs w:val="18"/>
              </w:rPr>
            </w:pPr>
            <w:r w:rsidRPr="00870B30">
              <w:rPr>
                <w:sz w:val="18"/>
                <w:szCs w:val="18"/>
              </w:rPr>
              <w:t>40,145</w:t>
            </w:r>
          </w:p>
        </w:tc>
        <w:tc>
          <w:tcPr>
            <w:tcW w:w="1528" w:type="dxa"/>
            <w:tcBorders>
              <w:bottom w:val="nil"/>
            </w:tcBorders>
            <w:shd w:val="clear" w:color="auto" w:fill="auto"/>
            <w:noWrap/>
            <w:vAlign w:val="center"/>
            <w:hideMark/>
          </w:tcPr>
          <w:p w14:paraId="15B6E81B" w14:textId="6C484226" w:rsidR="00870B30" w:rsidRPr="00870B30" w:rsidRDefault="00870B30" w:rsidP="003E06A5">
            <w:pPr>
              <w:pStyle w:val="ExhibitText"/>
              <w:jc w:val="right"/>
              <w:rPr>
                <w:sz w:val="18"/>
                <w:szCs w:val="18"/>
              </w:rPr>
            </w:pPr>
            <w:r w:rsidRPr="00870B30">
              <w:rPr>
                <w:sz w:val="18"/>
                <w:szCs w:val="18"/>
              </w:rPr>
              <w:t>34,615</w:t>
            </w:r>
          </w:p>
        </w:tc>
      </w:tr>
      <w:tr w:rsidR="00870B30" w:rsidRPr="00870B30" w14:paraId="7321200F" w14:textId="77777777" w:rsidTr="00542153">
        <w:trPr>
          <w:trHeight w:val="288"/>
          <w:jc w:val="center"/>
        </w:trPr>
        <w:tc>
          <w:tcPr>
            <w:tcW w:w="3248" w:type="dxa"/>
            <w:tcBorders>
              <w:top w:val="nil"/>
              <w:bottom w:val="single" w:sz="4" w:space="0" w:color="auto"/>
            </w:tcBorders>
            <w:shd w:val="clear" w:color="auto" w:fill="auto"/>
            <w:noWrap/>
            <w:vAlign w:val="center"/>
            <w:hideMark/>
          </w:tcPr>
          <w:p w14:paraId="14DF01C3" w14:textId="77777777" w:rsidR="00870B30" w:rsidRPr="00870B30" w:rsidRDefault="00870B30" w:rsidP="003E06A5">
            <w:pPr>
              <w:pStyle w:val="ExhibitText"/>
              <w:jc w:val="left"/>
              <w:rPr>
                <w:sz w:val="18"/>
                <w:szCs w:val="18"/>
              </w:rPr>
            </w:pPr>
            <w:r w:rsidRPr="00870B30">
              <w:rPr>
                <w:sz w:val="18"/>
                <w:szCs w:val="18"/>
              </w:rPr>
              <w:t>Total Operating Expenses</w:t>
            </w:r>
          </w:p>
        </w:tc>
        <w:tc>
          <w:tcPr>
            <w:tcW w:w="1528" w:type="dxa"/>
            <w:tcBorders>
              <w:top w:val="nil"/>
              <w:bottom w:val="single" w:sz="4" w:space="0" w:color="auto"/>
            </w:tcBorders>
            <w:vAlign w:val="center"/>
          </w:tcPr>
          <w:p w14:paraId="572D6D5D" w14:textId="5F13A29C" w:rsidR="00870B30" w:rsidRPr="00870B30" w:rsidRDefault="00870B30" w:rsidP="003E06A5">
            <w:pPr>
              <w:pStyle w:val="ExhibitText"/>
              <w:jc w:val="right"/>
              <w:rPr>
                <w:sz w:val="18"/>
                <w:szCs w:val="18"/>
              </w:rPr>
            </w:pPr>
            <w:r w:rsidRPr="00870B30">
              <w:rPr>
                <w:sz w:val="18"/>
                <w:szCs w:val="18"/>
              </w:rPr>
              <w:t>52,708</w:t>
            </w:r>
          </w:p>
        </w:tc>
        <w:tc>
          <w:tcPr>
            <w:tcW w:w="1528" w:type="dxa"/>
            <w:tcBorders>
              <w:top w:val="nil"/>
              <w:bottom w:val="single" w:sz="4" w:space="0" w:color="auto"/>
            </w:tcBorders>
            <w:vAlign w:val="center"/>
          </w:tcPr>
          <w:p w14:paraId="34714A3C" w14:textId="5F5E15D5" w:rsidR="00870B30" w:rsidRPr="00870B30" w:rsidRDefault="00870B30" w:rsidP="003E06A5">
            <w:pPr>
              <w:pStyle w:val="ExhibitText"/>
              <w:jc w:val="right"/>
              <w:rPr>
                <w:sz w:val="18"/>
                <w:szCs w:val="18"/>
              </w:rPr>
            </w:pPr>
            <w:r w:rsidRPr="00870B30">
              <w:rPr>
                <w:sz w:val="18"/>
                <w:szCs w:val="18"/>
              </w:rPr>
              <w:t>47,589</w:t>
            </w:r>
          </w:p>
        </w:tc>
        <w:tc>
          <w:tcPr>
            <w:tcW w:w="1528" w:type="dxa"/>
            <w:tcBorders>
              <w:top w:val="nil"/>
              <w:bottom w:val="single" w:sz="4" w:space="0" w:color="auto"/>
            </w:tcBorders>
            <w:vAlign w:val="center"/>
          </w:tcPr>
          <w:p w14:paraId="1600CA71" w14:textId="6F75127D" w:rsidR="00870B30" w:rsidRPr="00870B30" w:rsidRDefault="00870B30" w:rsidP="003E06A5">
            <w:pPr>
              <w:pStyle w:val="ExhibitText"/>
              <w:jc w:val="right"/>
              <w:rPr>
                <w:sz w:val="18"/>
                <w:szCs w:val="18"/>
              </w:rPr>
            </w:pPr>
            <w:r w:rsidRPr="00870B30">
              <w:rPr>
                <w:sz w:val="18"/>
                <w:szCs w:val="18"/>
              </w:rPr>
              <w:t>47,211</w:t>
            </w:r>
          </w:p>
        </w:tc>
        <w:tc>
          <w:tcPr>
            <w:tcW w:w="1528" w:type="dxa"/>
            <w:tcBorders>
              <w:top w:val="nil"/>
              <w:bottom w:val="single" w:sz="4" w:space="0" w:color="auto"/>
            </w:tcBorders>
            <w:shd w:val="clear" w:color="auto" w:fill="auto"/>
            <w:noWrap/>
            <w:vAlign w:val="center"/>
            <w:hideMark/>
          </w:tcPr>
          <w:p w14:paraId="4A5363FD" w14:textId="5218A1B7" w:rsidR="00870B30" w:rsidRPr="00870B30" w:rsidRDefault="00870B30" w:rsidP="003E06A5">
            <w:pPr>
              <w:pStyle w:val="ExhibitText"/>
              <w:jc w:val="right"/>
              <w:rPr>
                <w:sz w:val="18"/>
                <w:szCs w:val="18"/>
              </w:rPr>
            </w:pPr>
            <w:r w:rsidRPr="00870B30">
              <w:rPr>
                <w:sz w:val="18"/>
                <w:szCs w:val="18"/>
              </w:rPr>
              <w:t>41,344</w:t>
            </w:r>
          </w:p>
        </w:tc>
      </w:tr>
      <w:tr w:rsidR="00870B30" w:rsidRPr="00870B30" w14:paraId="2B948A8A" w14:textId="77777777" w:rsidTr="00542153">
        <w:trPr>
          <w:trHeight w:val="288"/>
          <w:jc w:val="center"/>
        </w:trPr>
        <w:tc>
          <w:tcPr>
            <w:tcW w:w="3248" w:type="dxa"/>
            <w:tcBorders>
              <w:top w:val="single" w:sz="4" w:space="0" w:color="auto"/>
            </w:tcBorders>
            <w:shd w:val="clear" w:color="auto" w:fill="auto"/>
            <w:noWrap/>
            <w:vAlign w:val="center"/>
            <w:hideMark/>
          </w:tcPr>
          <w:p w14:paraId="58D7C593" w14:textId="77777777" w:rsidR="00870B30" w:rsidRPr="00870B30" w:rsidRDefault="00870B30" w:rsidP="003E06A5">
            <w:pPr>
              <w:pStyle w:val="ExhibitText"/>
              <w:jc w:val="left"/>
              <w:rPr>
                <w:sz w:val="18"/>
                <w:szCs w:val="18"/>
              </w:rPr>
            </w:pPr>
            <w:r w:rsidRPr="00870B30">
              <w:rPr>
                <w:sz w:val="18"/>
                <w:szCs w:val="18"/>
              </w:rPr>
              <w:t>Operating Income or Loss</w:t>
            </w:r>
          </w:p>
        </w:tc>
        <w:tc>
          <w:tcPr>
            <w:tcW w:w="1528" w:type="dxa"/>
            <w:tcBorders>
              <w:top w:val="single" w:sz="4" w:space="0" w:color="auto"/>
            </w:tcBorders>
            <w:vAlign w:val="center"/>
          </w:tcPr>
          <w:p w14:paraId="40A7D9F5" w14:textId="5511A072" w:rsidR="00870B30" w:rsidRPr="00870B30" w:rsidRDefault="00870B30" w:rsidP="003E06A5">
            <w:pPr>
              <w:pStyle w:val="ExhibitText"/>
              <w:jc w:val="right"/>
              <w:rPr>
                <w:sz w:val="18"/>
                <w:szCs w:val="18"/>
              </w:rPr>
            </w:pPr>
            <w:r w:rsidRPr="00870B30">
              <w:rPr>
                <w:sz w:val="18"/>
                <w:szCs w:val="18"/>
              </w:rPr>
              <w:t>−47,700</w:t>
            </w:r>
          </w:p>
        </w:tc>
        <w:tc>
          <w:tcPr>
            <w:tcW w:w="1528" w:type="dxa"/>
            <w:tcBorders>
              <w:top w:val="single" w:sz="4" w:space="0" w:color="auto"/>
            </w:tcBorders>
            <w:vAlign w:val="center"/>
          </w:tcPr>
          <w:p w14:paraId="329701CC" w14:textId="2045212A" w:rsidR="00870B30" w:rsidRPr="00870B30" w:rsidRDefault="00870B30" w:rsidP="003E06A5">
            <w:pPr>
              <w:pStyle w:val="ExhibitText"/>
              <w:jc w:val="right"/>
              <w:rPr>
                <w:sz w:val="18"/>
                <w:szCs w:val="18"/>
              </w:rPr>
            </w:pPr>
            <w:r w:rsidRPr="00870B30">
              <w:rPr>
                <w:sz w:val="18"/>
                <w:szCs w:val="18"/>
              </w:rPr>
              <w:t>−38,189</w:t>
            </w:r>
          </w:p>
        </w:tc>
        <w:tc>
          <w:tcPr>
            <w:tcW w:w="1528" w:type="dxa"/>
            <w:tcBorders>
              <w:top w:val="single" w:sz="4" w:space="0" w:color="auto"/>
            </w:tcBorders>
            <w:vAlign w:val="center"/>
          </w:tcPr>
          <w:p w14:paraId="6CF0BDDE" w14:textId="17160361" w:rsidR="00870B30" w:rsidRPr="00870B30" w:rsidRDefault="00870B30" w:rsidP="003E06A5">
            <w:pPr>
              <w:pStyle w:val="ExhibitText"/>
              <w:jc w:val="right"/>
              <w:rPr>
                <w:sz w:val="18"/>
                <w:szCs w:val="18"/>
              </w:rPr>
            </w:pPr>
            <w:r w:rsidRPr="00870B30">
              <w:rPr>
                <w:sz w:val="18"/>
                <w:szCs w:val="18"/>
              </w:rPr>
              <w:t>−38,625</w:t>
            </w:r>
          </w:p>
        </w:tc>
        <w:tc>
          <w:tcPr>
            <w:tcW w:w="1528" w:type="dxa"/>
            <w:tcBorders>
              <w:top w:val="single" w:sz="4" w:space="0" w:color="auto"/>
            </w:tcBorders>
            <w:shd w:val="clear" w:color="auto" w:fill="auto"/>
            <w:noWrap/>
            <w:vAlign w:val="center"/>
            <w:hideMark/>
          </w:tcPr>
          <w:p w14:paraId="68C3886B" w14:textId="428C5FC7" w:rsidR="00870B30" w:rsidRPr="00870B30" w:rsidRDefault="00870B30" w:rsidP="003E06A5">
            <w:pPr>
              <w:pStyle w:val="ExhibitText"/>
              <w:jc w:val="right"/>
              <w:rPr>
                <w:sz w:val="18"/>
                <w:szCs w:val="18"/>
              </w:rPr>
            </w:pPr>
            <w:r w:rsidRPr="00870B30">
              <w:rPr>
                <w:sz w:val="18"/>
                <w:szCs w:val="18"/>
              </w:rPr>
              <w:t>−29,090</w:t>
            </w:r>
          </w:p>
        </w:tc>
      </w:tr>
      <w:tr w:rsidR="00870B30" w:rsidRPr="00870B30" w14:paraId="236BCD66" w14:textId="77777777" w:rsidTr="003E06A5">
        <w:trPr>
          <w:trHeight w:val="288"/>
          <w:jc w:val="center"/>
        </w:trPr>
        <w:tc>
          <w:tcPr>
            <w:tcW w:w="3248" w:type="dxa"/>
            <w:shd w:val="clear" w:color="auto" w:fill="auto"/>
            <w:noWrap/>
            <w:vAlign w:val="center"/>
            <w:hideMark/>
          </w:tcPr>
          <w:p w14:paraId="7C939CC8" w14:textId="77777777" w:rsidR="00870B30" w:rsidRPr="00870B30" w:rsidRDefault="00870B30" w:rsidP="003E06A5">
            <w:pPr>
              <w:pStyle w:val="ExhibitText"/>
              <w:jc w:val="left"/>
              <w:rPr>
                <w:sz w:val="18"/>
                <w:szCs w:val="18"/>
              </w:rPr>
            </w:pPr>
            <w:r w:rsidRPr="00870B30">
              <w:rPr>
                <w:sz w:val="18"/>
                <w:szCs w:val="18"/>
              </w:rPr>
              <w:t>Total Other Income/Expenses Net</w:t>
            </w:r>
          </w:p>
        </w:tc>
        <w:tc>
          <w:tcPr>
            <w:tcW w:w="1528" w:type="dxa"/>
            <w:vAlign w:val="center"/>
          </w:tcPr>
          <w:p w14:paraId="6B175D76" w14:textId="1E433055" w:rsidR="00870B30" w:rsidRPr="00870B30" w:rsidRDefault="00870B30" w:rsidP="003E06A5">
            <w:pPr>
              <w:pStyle w:val="ExhibitText"/>
              <w:jc w:val="right"/>
              <w:rPr>
                <w:sz w:val="18"/>
                <w:szCs w:val="18"/>
              </w:rPr>
            </w:pPr>
            <w:r w:rsidRPr="00870B30">
              <w:rPr>
                <w:sz w:val="18"/>
                <w:szCs w:val="18"/>
              </w:rPr>
              <w:t>−1,171</w:t>
            </w:r>
          </w:p>
        </w:tc>
        <w:tc>
          <w:tcPr>
            <w:tcW w:w="1528" w:type="dxa"/>
            <w:vAlign w:val="center"/>
          </w:tcPr>
          <w:p w14:paraId="5FDDDBAC" w14:textId="77777777" w:rsidR="00870B30" w:rsidRPr="00870B30" w:rsidRDefault="00870B30" w:rsidP="003E06A5">
            <w:pPr>
              <w:pStyle w:val="ExhibitText"/>
              <w:jc w:val="right"/>
              <w:rPr>
                <w:sz w:val="18"/>
                <w:szCs w:val="18"/>
              </w:rPr>
            </w:pPr>
          </w:p>
        </w:tc>
        <w:tc>
          <w:tcPr>
            <w:tcW w:w="1528" w:type="dxa"/>
            <w:vAlign w:val="center"/>
          </w:tcPr>
          <w:p w14:paraId="1E79AEC6" w14:textId="09D37319" w:rsidR="00870B30" w:rsidRPr="00870B30" w:rsidRDefault="00870B30" w:rsidP="003E06A5">
            <w:pPr>
              <w:pStyle w:val="ExhibitText"/>
              <w:jc w:val="right"/>
              <w:rPr>
                <w:sz w:val="18"/>
                <w:szCs w:val="18"/>
              </w:rPr>
            </w:pPr>
            <w:r w:rsidRPr="00870B30">
              <w:rPr>
                <w:sz w:val="18"/>
                <w:szCs w:val="18"/>
              </w:rPr>
              <w:t>2,521</w:t>
            </w:r>
          </w:p>
        </w:tc>
        <w:tc>
          <w:tcPr>
            <w:tcW w:w="1528" w:type="dxa"/>
            <w:shd w:val="clear" w:color="auto" w:fill="auto"/>
            <w:noWrap/>
            <w:vAlign w:val="center"/>
            <w:hideMark/>
          </w:tcPr>
          <w:p w14:paraId="45F29DE4" w14:textId="12A1FAF5" w:rsidR="00870B30" w:rsidRPr="00870B30" w:rsidRDefault="00870B30" w:rsidP="003E06A5">
            <w:pPr>
              <w:pStyle w:val="ExhibitText"/>
              <w:jc w:val="right"/>
              <w:rPr>
                <w:sz w:val="18"/>
                <w:szCs w:val="18"/>
              </w:rPr>
            </w:pPr>
            <w:r w:rsidRPr="00870B30">
              <w:rPr>
                <w:sz w:val="18"/>
                <w:szCs w:val="18"/>
              </w:rPr>
              <w:t>−601</w:t>
            </w:r>
          </w:p>
        </w:tc>
      </w:tr>
      <w:tr w:rsidR="00870B30" w:rsidRPr="00870B30" w14:paraId="05350AC0" w14:textId="77777777" w:rsidTr="003E06A5">
        <w:trPr>
          <w:trHeight w:val="288"/>
          <w:jc w:val="center"/>
        </w:trPr>
        <w:tc>
          <w:tcPr>
            <w:tcW w:w="3248" w:type="dxa"/>
            <w:shd w:val="clear" w:color="auto" w:fill="auto"/>
            <w:noWrap/>
            <w:vAlign w:val="center"/>
            <w:hideMark/>
          </w:tcPr>
          <w:p w14:paraId="79B3851D" w14:textId="77777777" w:rsidR="00870B30" w:rsidRPr="00870B30" w:rsidRDefault="00870B30" w:rsidP="003E06A5">
            <w:pPr>
              <w:pStyle w:val="ExhibitText"/>
              <w:jc w:val="left"/>
              <w:rPr>
                <w:sz w:val="18"/>
                <w:szCs w:val="18"/>
              </w:rPr>
            </w:pPr>
            <w:r w:rsidRPr="00870B30">
              <w:rPr>
                <w:sz w:val="18"/>
                <w:szCs w:val="18"/>
              </w:rPr>
              <w:t>Earnings Before Interest and Taxes</w:t>
            </w:r>
          </w:p>
        </w:tc>
        <w:tc>
          <w:tcPr>
            <w:tcW w:w="1528" w:type="dxa"/>
            <w:vAlign w:val="center"/>
          </w:tcPr>
          <w:p w14:paraId="3864737E" w14:textId="6B2546D1" w:rsidR="00870B30" w:rsidRPr="00870B30" w:rsidRDefault="00870B30" w:rsidP="003E06A5">
            <w:pPr>
              <w:pStyle w:val="ExhibitText"/>
              <w:jc w:val="right"/>
              <w:rPr>
                <w:sz w:val="18"/>
                <w:szCs w:val="18"/>
              </w:rPr>
            </w:pPr>
            <w:r w:rsidRPr="00870B30">
              <w:rPr>
                <w:sz w:val="18"/>
                <w:szCs w:val="18"/>
              </w:rPr>
              <w:t>−47,700</w:t>
            </w:r>
          </w:p>
        </w:tc>
        <w:tc>
          <w:tcPr>
            <w:tcW w:w="1528" w:type="dxa"/>
            <w:vAlign w:val="center"/>
          </w:tcPr>
          <w:p w14:paraId="29680D53" w14:textId="4E236752" w:rsidR="00870B30" w:rsidRPr="00870B30" w:rsidRDefault="00870B30" w:rsidP="003E06A5">
            <w:pPr>
              <w:pStyle w:val="ExhibitText"/>
              <w:jc w:val="right"/>
              <w:rPr>
                <w:sz w:val="18"/>
                <w:szCs w:val="18"/>
              </w:rPr>
            </w:pPr>
            <w:r w:rsidRPr="00870B30">
              <w:rPr>
                <w:sz w:val="18"/>
                <w:szCs w:val="18"/>
              </w:rPr>
              <w:t xml:space="preserve"> </w:t>
            </w:r>
          </w:p>
        </w:tc>
        <w:tc>
          <w:tcPr>
            <w:tcW w:w="1528" w:type="dxa"/>
            <w:vAlign w:val="center"/>
          </w:tcPr>
          <w:p w14:paraId="5D2C73D1" w14:textId="101ABA83" w:rsidR="00870B30" w:rsidRPr="00870B30" w:rsidRDefault="00870B30" w:rsidP="003E06A5">
            <w:pPr>
              <w:pStyle w:val="ExhibitText"/>
              <w:jc w:val="right"/>
              <w:rPr>
                <w:sz w:val="18"/>
                <w:szCs w:val="18"/>
              </w:rPr>
            </w:pPr>
            <w:r w:rsidRPr="00870B30">
              <w:rPr>
                <w:sz w:val="18"/>
                <w:szCs w:val="18"/>
              </w:rPr>
              <w:t>−38,625</w:t>
            </w:r>
          </w:p>
        </w:tc>
        <w:tc>
          <w:tcPr>
            <w:tcW w:w="1528" w:type="dxa"/>
            <w:shd w:val="clear" w:color="auto" w:fill="auto"/>
            <w:noWrap/>
            <w:vAlign w:val="center"/>
            <w:hideMark/>
          </w:tcPr>
          <w:p w14:paraId="7706992D" w14:textId="6C71ED5B" w:rsidR="00870B30" w:rsidRPr="00870B30" w:rsidRDefault="00870B30" w:rsidP="003E06A5">
            <w:pPr>
              <w:pStyle w:val="ExhibitText"/>
              <w:jc w:val="right"/>
              <w:rPr>
                <w:sz w:val="18"/>
                <w:szCs w:val="18"/>
              </w:rPr>
            </w:pPr>
            <w:r w:rsidRPr="00870B30">
              <w:rPr>
                <w:sz w:val="18"/>
                <w:szCs w:val="18"/>
              </w:rPr>
              <w:t>−29,090</w:t>
            </w:r>
          </w:p>
        </w:tc>
      </w:tr>
      <w:tr w:rsidR="00870B30" w:rsidRPr="00870B30" w14:paraId="6D75F8BF" w14:textId="77777777" w:rsidTr="00542153">
        <w:trPr>
          <w:trHeight w:val="288"/>
          <w:jc w:val="center"/>
        </w:trPr>
        <w:tc>
          <w:tcPr>
            <w:tcW w:w="3248" w:type="dxa"/>
            <w:tcBorders>
              <w:bottom w:val="single" w:sz="4" w:space="0" w:color="auto"/>
            </w:tcBorders>
            <w:shd w:val="clear" w:color="auto" w:fill="auto"/>
            <w:noWrap/>
            <w:vAlign w:val="center"/>
            <w:hideMark/>
          </w:tcPr>
          <w:p w14:paraId="5EEA2198" w14:textId="69ABBDFB" w:rsidR="00870B30" w:rsidRPr="00870B30" w:rsidRDefault="00870B30" w:rsidP="003E06A5">
            <w:pPr>
              <w:pStyle w:val="ExhibitText"/>
              <w:jc w:val="left"/>
              <w:rPr>
                <w:sz w:val="18"/>
                <w:szCs w:val="18"/>
              </w:rPr>
            </w:pPr>
            <w:r w:rsidRPr="00870B30">
              <w:rPr>
                <w:sz w:val="18"/>
                <w:szCs w:val="18"/>
              </w:rPr>
              <w:t>Interest Expense</w:t>
            </w:r>
          </w:p>
        </w:tc>
        <w:tc>
          <w:tcPr>
            <w:tcW w:w="1528" w:type="dxa"/>
            <w:tcBorders>
              <w:bottom w:val="single" w:sz="4" w:space="0" w:color="auto"/>
            </w:tcBorders>
            <w:vAlign w:val="center"/>
          </w:tcPr>
          <w:p w14:paraId="6660E7A8" w14:textId="7CA4452F" w:rsidR="00870B30" w:rsidRPr="00870B30" w:rsidRDefault="00870B30" w:rsidP="003E06A5">
            <w:pPr>
              <w:pStyle w:val="ExhibitText"/>
              <w:jc w:val="right"/>
              <w:rPr>
                <w:sz w:val="18"/>
                <w:szCs w:val="18"/>
              </w:rPr>
            </w:pPr>
            <w:r w:rsidRPr="00870B30">
              <w:rPr>
                <w:sz w:val="18"/>
                <w:szCs w:val="18"/>
              </w:rPr>
              <w:t>−1,226</w:t>
            </w:r>
          </w:p>
        </w:tc>
        <w:tc>
          <w:tcPr>
            <w:tcW w:w="1528" w:type="dxa"/>
            <w:tcBorders>
              <w:bottom w:val="single" w:sz="4" w:space="0" w:color="auto"/>
            </w:tcBorders>
            <w:vAlign w:val="center"/>
          </w:tcPr>
          <w:p w14:paraId="3A1F2BFB" w14:textId="77777777" w:rsidR="00870B30" w:rsidRPr="00870B30" w:rsidRDefault="00870B30" w:rsidP="003E06A5">
            <w:pPr>
              <w:pStyle w:val="ExhibitText"/>
              <w:jc w:val="right"/>
              <w:rPr>
                <w:sz w:val="18"/>
                <w:szCs w:val="18"/>
              </w:rPr>
            </w:pPr>
          </w:p>
        </w:tc>
        <w:tc>
          <w:tcPr>
            <w:tcW w:w="1528" w:type="dxa"/>
            <w:tcBorders>
              <w:bottom w:val="single" w:sz="4" w:space="0" w:color="auto"/>
            </w:tcBorders>
            <w:vAlign w:val="center"/>
          </w:tcPr>
          <w:p w14:paraId="4FEEE928" w14:textId="44FF17B5" w:rsidR="00870B30" w:rsidRPr="00870B30" w:rsidRDefault="00870B30" w:rsidP="003E06A5">
            <w:pPr>
              <w:pStyle w:val="ExhibitText"/>
              <w:jc w:val="right"/>
              <w:rPr>
                <w:sz w:val="18"/>
                <w:szCs w:val="18"/>
              </w:rPr>
            </w:pPr>
            <w:r w:rsidRPr="00870B30">
              <w:rPr>
                <w:sz w:val="18"/>
                <w:szCs w:val="18"/>
              </w:rPr>
              <w:t>−3,123</w:t>
            </w:r>
          </w:p>
        </w:tc>
        <w:tc>
          <w:tcPr>
            <w:tcW w:w="1528" w:type="dxa"/>
            <w:tcBorders>
              <w:bottom w:val="single" w:sz="4" w:space="0" w:color="auto"/>
            </w:tcBorders>
            <w:shd w:val="clear" w:color="auto" w:fill="auto"/>
            <w:noWrap/>
            <w:vAlign w:val="center"/>
            <w:hideMark/>
          </w:tcPr>
          <w:p w14:paraId="5717A6C0" w14:textId="093D4982" w:rsidR="00870B30" w:rsidRPr="00870B30" w:rsidRDefault="00870B30" w:rsidP="003E06A5">
            <w:pPr>
              <w:pStyle w:val="ExhibitText"/>
              <w:jc w:val="right"/>
              <w:rPr>
                <w:sz w:val="18"/>
                <w:szCs w:val="18"/>
              </w:rPr>
            </w:pPr>
            <w:r w:rsidRPr="00870B30">
              <w:rPr>
                <w:sz w:val="18"/>
                <w:szCs w:val="18"/>
              </w:rPr>
              <w:t>−3,205</w:t>
            </w:r>
          </w:p>
        </w:tc>
      </w:tr>
      <w:tr w:rsidR="00870B30" w:rsidRPr="00870B30" w14:paraId="248ECAFB" w14:textId="77777777" w:rsidTr="00542153">
        <w:trPr>
          <w:trHeight w:val="288"/>
          <w:jc w:val="center"/>
        </w:trPr>
        <w:tc>
          <w:tcPr>
            <w:tcW w:w="3248" w:type="dxa"/>
            <w:tcBorders>
              <w:top w:val="single" w:sz="4" w:space="0" w:color="auto"/>
              <w:bottom w:val="double" w:sz="4" w:space="0" w:color="auto"/>
            </w:tcBorders>
            <w:shd w:val="clear" w:color="auto" w:fill="auto"/>
            <w:noWrap/>
            <w:vAlign w:val="center"/>
            <w:hideMark/>
          </w:tcPr>
          <w:p w14:paraId="61D49E1D" w14:textId="77777777" w:rsidR="00870B30" w:rsidRPr="00870B30" w:rsidRDefault="00870B30" w:rsidP="003E06A5">
            <w:pPr>
              <w:pStyle w:val="ExhibitText"/>
              <w:jc w:val="left"/>
              <w:rPr>
                <w:b/>
                <w:sz w:val="18"/>
                <w:szCs w:val="18"/>
              </w:rPr>
            </w:pPr>
            <w:r w:rsidRPr="00870B30">
              <w:rPr>
                <w:b/>
                <w:sz w:val="18"/>
                <w:szCs w:val="18"/>
              </w:rPr>
              <w:t>Net Income</w:t>
            </w:r>
          </w:p>
        </w:tc>
        <w:tc>
          <w:tcPr>
            <w:tcW w:w="1528" w:type="dxa"/>
            <w:tcBorders>
              <w:top w:val="single" w:sz="4" w:space="0" w:color="auto"/>
              <w:bottom w:val="double" w:sz="4" w:space="0" w:color="auto"/>
            </w:tcBorders>
            <w:vAlign w:val="center"/>
          </w:tcPr>
          <w:p w14:paraId="64C1BB48" w14:textId="0F39B009" w:rsidR="00870B30" w:rsidRPr="00870B30" w:rsidRDefault="00870B30" w:rsidP="003E06A5">
            <w:pPr>
              <w:pStyle w:val="ExhibitText"/>
              <w:jc w:val="right"/>
              <w:rPr>
                <w:b/>
                <w:sz w:val="18"/>
                <w:szCs w:val="18"/>
              </w:rPr>
            </w:pPr>
            <w:r w:rsidRPr="00870B30">
              <w:rPr>
                <w:b/>
                <w:sz w:val="18"/>
                <w:szCs w:val="18"/>
              </w:rPr>
              <w:t>−48,871</w:t>
            </w:r>
          </w:p>
        </w:tc>
        <w:tc>
          <w:tcPr>
            <w:tcW w:w="1528" w:type="dxa"/>
            <w:tcBorders>
              <w:top w:val="single" w:sz="4" w:space="0" w:color="auto"/>
              <w:bottom w:val="double" w:sz="4" w:space="0" w:color="auto"/>
            </w:tcBorders>
            <w:vAlign w:val="center"/>
          </w:tcPr>
          <w:p w14:paraId="360AE16B" w14:textId="3322F867" w:rsidR="00870B30" w:rsidRPr="00870B30" w:rsidRDefault="00870B30" w:rsidP="003E06A5">
            <w:pPr>
              <w:pStyle w:val="ExhibitText"/>
              <w:jc w:val="right"/>
              <w:rPr>
                <w:b/>
                <w:sz w:val="18"/>
                <w:szCs w:val="18"/>
              </w:rPr>
            </w:pPr>
            <w:r w:rsidRPr="00870B30">
              <w:rPr>
                <w:b/>
                <w:sz w:val="18"/>
                <w:szCs w:val="18"/>
              </w:rPr>
              <w:t>−38,189</w:t>
            </w:r>
          </w:p>
        </w:tc>
        <w:tc>
          <w:tcPr>
            <w:tcW w:w="1528" w:type="dxa"/>
            <w:tcBorders>
              <w:top w:val="single" w:sz="4" w:space="0" w:color="auto"/>
              <w:bottom w:val="double" w:sz="4" w:space="0" w:color="auto"/>
            </w:tcBorders>
            <w:vAlign w:val="center"/>
          </w:tcPr>
          <w:p w14:paraId="3A2D0535" w14:textId="5FA0448F" w:rsidR="00870B30" w:rsidRPr="00870B30" w:rsidRDefault="00870B30" w:rsidP="003E06A5">
            <w:pPr>
              <w:pStyle w:val="ExhibitText"/>
              <w:jc w:val="right"/>
              <w:rPr>
                <w:b/>
                <w:sz w:val="18"/>
                <w:szCs w:val="18"/>
              </w:rPr>
            </w:pPr>
            <w:r w:rsidRPr="00870B30">
              <w:rPr>
                <w:b/>
                <w:sz w:val="18"/>
                <w:szCs w:val="18"/>
              </w:rPr>
              <w:t>−36,104</w:t>
            </w:r>
          </w:p>
        </w:tc>
        <w:tc>
          <w:tcPr>
            <w:tcW w:w="1528" w:type="dxa"/>
            <w:tcBorders>
              <w:top w:val="single" w:sz="4" w:space="0" w:color="auto"/>
              <w:bottom w:val="double" w:sz="4" w:space="0" w:color="auto"/>
            </w:tcBorders>
            <w:shd w:val="clear" w:color="auto" w:fill="auto"/>
            <w:noWrap/>
            <w:vAlign w:val="center"/>
            <w:hideMark/>
          </w:tcPr>
          <w:p w14:paraId="34C29993" w14:textId="2273042F" w:rsidR="00870B30" w:rsidRPr="00870B30" w:rsidRDefault="00870B30" w:rsidP="003E06A5">
            <w:pPr>
              <w:pStyle w:val="ExhibitText"/>
              <w:jc w:val="right"/>
              <w:rPr>
                <w:b/>
                <w:sz w:val="18"/>
                <w:szCs w:val="18"/>
              </w:rPr>
            </w:pPr>
            <w:r w:rsidRPr="00870B30">
              <w:rPr>
                <w:b/>
                <w:sz w:val="18"/>
                <w:szCs w:val="18"/>
              </w:rPr>
              <w:t>−29,691</w:t>
            </w:r>
          </w:p>
        </w:tc>
      </w:tr>
      <w:tr w:rsidR="00870B30" w:rsidRPr="00870B30" w14:paraId="47377AA6" w14:textId="77777777" w:rsidTr="00542153">
        <w:trPr>
          <w:trHeight w:val="288"/>
          <w:jc w:val="center"/>
        </w:trPr>
        <w:tc>
          <w:tcPr>
            <w:tcW w:w="3248" w:type="dxa"/>
            <w:tcBorders>
              <w:top w:val="double" w:sz="4" w:space="0" w:color="auto"/>
              <w:bottom w:val="double" w:sz="4" w:space="0" w:color="auto"/>
            </w:tcBorders>
            <w:shd w:val="clear" w:color="auto" w:fill="auto"/>
            <w:noWrap/>
            <w:vAlign w:val="center"/>
          </w:tcPr>
          <w:p w14:paraId="69800FE8" w14:textId="73F2D06F" w:rsidR="00870B30" w:rsidRPr="00870B30" w:rsidRDefault="00870B30" w:rsidP="003E06A5">
            <w:pPr>
              <w:pStyle w:val="ExhibitText"/>
              <w:jc w:val="left"/>
              <w:rPr>
                <w:b/>
                <w:sz w:val="18"/>
                <w:szCs w:val="18"/>
              </w:rPr>
            </w:pPr>
            <w:r w:rsidRPr="00870B30">
              <w:rPr>
                <w:b/>
                <w:sz w:val="18"/>
                <w:szCs w:val="18"/>
              </w:rPr>
              <w:t>Operating Cash Flow</w:t>
            </w:r>
          </w:p>
        </w:tc>
        <w:tc>
          <w:tcPr>
            <w:tcW w:w="1528" w:type="dxa"/>
            <w:tcBorders>
              <w:top w:val="double" w:sz="4" w:space="0" w:color="auto"/>
              <w:bottom w:val="double" w:sz="4" w:space="0" w:color="auto"/>
            </w:tcBorders>
            <w:vAlign w:val="center"/>
          </w:tcPr>
          <w:p w14:paraId="70EF2EB7" w14:textId="31743792" w:rsidR="00870B30" w:rsidRPr="00870B30" w:rsidRDefault="00870B30" w:rsidP="003E06A5">
            <w:pPr>
              <w:pStyle w:val="ExhibitText"/>
              <w:jc w:val="right"/>
              <w:rPr>
                <w:b/>
                <w:sz w:val="18"/>
                <w:szCs w:val="18"/>
              </w:rPr>
            </w:pPr>
            <w:r w:rsidRPr="00870B30">
              <w:rPr>
                <w:b/>
                <w:sz w:val="18"/>
                <w:szCs w:val="18"/>
              </w:rPr>
              <w:t>−59,280</w:t>
            </w:r>
          </w:p>
        </w:tc>
        <w:tc>
          <w:tcPr>
            <w:tcW w:w="1528" w:type="dxa"/>
            <w:tcBorders>
              <w:top w:val="double" w:sz="4" w:space="0" w:color="auto"/>
              <w:bottom w:val="double" w:sz="4" w:space="0" w:color="auto"/>
            </w:tcBorders>
            <w:vAlign w:val="center"/>
          </w:tcPr>
          <w:p w14:paraId="22E010DA" w14:textId="5284B43B" w:rsidR="00870B30" w:rsidRPr="00870B30" w:rsidRDefault="00870B30" w:rsidP="003E06A5">
            <w:pPr>
              <w:pStyle w:val="ExhibitText"/>
              <w:jc w:val="right"/>
              <w:rPr>
                <w:b/>
                <w:sz w:val="18"/>
                <w:szCs w:val="18"/>
              </w:rPr>
            </w:pPr>
            <w:r w:rsidRPr="00870B30">
              <w:rPr>
                <w:b/>
                <w:sz w:val="18"/>
                <w:szCs w:val="18"/>
              </w:rPr>
              <w:t>−32,837</w:t>
            </w:r>
          </w:p>
        </w:tc>
        <w:tc>
          <w:tcPr>
            <w:tcW w:w="1528" w:type="dxa"/>
            <w:tcBorders>
              <w:top w:val="double" w:sz="4" w:space="0" w:color="auto"/>
              <w:bottom w:val="double" w:sz="4" w:space="0" w:color="auto"/>
            </w:tcBorders>
            <w:vAlign w:val="center"/>
          </w:tcPr>
          <w:p w14:paraId="08F3441B" w14:textId="48030D41" w:rsidR="00870B30" w:rsidRPr="00870B30" w:rsidRDefault="00870B30" w:rsidP="003E06A5">
            <w:pPr>
              <w:pStyle w:val="ExhibitText"/>
              <w:jc w:val="right"/>
              <w:rPr>
                <w:b/>
                <w:sz w:val="18"/>
                <w:szCs w:val="18"/>
              </w:rPr>
            </w:pPr>
            <w:r w:rsidRPr="00870B30">
              <w:rPr>
                <w:b/>
                <w:sz w:val="18"/>
                <w:szCs w:val="18"/>
              </w:rPr>
              <w:t>−35,754</w:t>
            </w:r>
          </w:p>
        </w:tc>
        <w:tc>
          <w:tcPr>
            <w:tcW w:w="1528" w:type="dxa"/>
            <w:tcBorders>
              <w:top w:val="double" w:sz="4" w:space="0" w:color="auto"/>
              <w:bottom w:val="double" w:sz="4" w:space="0" w:color="auto"/>
            </w:tcBorders>
            <w:shd w:val="clear" w:color="auto" w:fill="auto"/>
            <w:noWrap/>
            <w:vAlign w:val="center"/>
          </w:tcPr>
          <w:p w14:paraId="7788692A" w14:textId="38205DF1" w:rsidR="00870B30" w:rsidRPr="00870B30" w:rsidRDefault="00870B30" w:rsidP="003E06A5">
            <w:pPr>
              <w:pStyle w:val="ExhibitText"/>
              <w:jc w:val="right"/>
              <w:rPr>
                <w:b/>
                <w:sz w:val="18"/>
                <w:szCs w:val="18"/>
              </w:rPr>
            </w:pPr>
            <w:r w:rsidRPr="00870B30">
              <w:rPr>
                <w:b/>
                <w:sz w:val="18"/>
                <w:szCs w:val="18"/>
              </w:rPr>
              <w:t>−37,735</w:t>
            </w:r>
          </w:p>
        </w:tc>
      </w:tr>
    </w:tbl>
    <w:p w14:paraId="6C2BF590" w14:textId="62F7611B" w:rsidR="00870B30" w:rsidRPr="00870B30" w:rsidRDefault="00870B30" w:rsidP="00E8440A">
      <w:pPr>
        <w:pStyle w:val="ExhibitText"/>
      </w:pPr>
    </w:p>
    <w:p w14:paraId="20960F39" w14:textId="22A290C0" w:rsidR="00870B30" w:rsidRPr="00870B30" w:rsidRDefault="00870B30" w:rsidP="00E8440A">
      <w:pPr>
        <w:pStyle w:val="Footnote"/>
      </w:pPr>
      <w:r w:rsidRPr="00870B30">
        <w:t xml:space="preserve">Sources: Synergy Pharmaceuticals, </w:t>
      </w:r>
      <w:r w:rsidRPr="00870B30">
        <w:rPr>
          <w:i/>
        </w:rPr>
        <w:t>Form 10-K: Annual Report for the Fiscal Year Ended December 31, 2017</w:t>
      </w:r>
      <w:r w:rsidRPr="00870B30">
        <w:t xml:space="preserve">, accessed September 3, 2018, https://ir.synergypharma.com/all-sec-filings/content/0001347613-18-000003/sgyp-123117x10k.htm?TB_iframe=true&amp;height=auto&amp;width=auto&amp;preload=false; Synergy Pharmaceuticals, </w:t>
      </w:r>
      <w:r w:rsidRPr="00870B30">
        <w:rPr>
          <w:i/>
        </w:rPr>
        <w:t>Form 10-Q: Quarterly Report for the Quarterly Period Ended 6/30/2018</w:t>
      </w:r>
      <w:r w:rsidRPr="00870B30">
        <w:t xml:space="preserve">, 5, accessed September 3, 2018, https://ir.synergypharma.com/quarterly-reports/content/0001347613-18-000027/sgyp-20180630.htm. </w:t>
      </w:r>
      <w:r w:rsidRPr="00870B30">
        <w:br w:type="page"/>
      </w:r>
    </w:p>
    <w:p w14:paraId="29DFCF75" w14:textId="77777777" w:rsidR="00870B30" w:rsidRPr="00870B30" w:rsidRDefault="00870B30" w:rsidP="00D32052">
      <w:pPr>
        <w:pStyle w:val="ExhibitHeading"/>
      </w:pPr>
      <w:bookmarkStart w:id="1" w:name="_ng2xb91sus98" w:colFirst="0" w:colLast="0"/>
      <w:bookmarkStart w:id="2" w:name="_dbwf1ysjays" w:colFirst="0" w:colLast="0"/>
      <w:bookmarkStart w:id="3" w:name="_qnw54afard8d" w:colFirst="0" w:colLast="0"/>
      <w:bookmarkEnd w:id="1"/>
      <w:bookmarkEnd w:id="2"/>
      <w:bookmarkEnd w:id="3"/>
      <w:r w:rsidRPr="00870B30">
        <w:lastRenderedPageBreak/>
        <w:t>EXHIBIT 6: Reasons for Synergy to Consider Licensing</w:t>
      </w:r>
    </w:p>
    <w:p w14:paraId="0A2684F0" w14:textId="77777777" w:rsidR="00870B30" w:rsidRPr="00870B30" w:rsidRDefault="00870B30" w:rsidP="00D32052">
      <w:pPr>
        <w:pStyle w:val="ExhibitText"/>
      </w:pPr>
    </w:p>
    <w:p w14:paraId="02C69EF8" w14:textId="3FC8E104" w:rsidR="00870B30" w:rsidRPr="00870B30" w:rsidRDefault="00870B30" w:rsidP="00D32052">
      <w:pPr>
        <w:pStyle w:val="ExhibitText"/>
        <w:numPr>
          <w:ilvl w:val="0"/>
          <w:numId w:val="42"/>
        </w:numPr>
      </w:pPr>
      <w:r w:rsidRPr="00870B30">
        <w:rPr>
          <w:i/>
        </w:rPr>
        <w:t>Reduce funding requirements</w:t>
      </w:r>
      <w:r w:rsidRPr="00870B30">
        <w:t xml:space="preserve">. By taking on development or sales and marketing expenses, the licensee would assume a portion of Synergy’s financial burden, reducing the company’s need to raise cash through either debt or equity issuance. </w:t>
      </w:r>
    </w:p>
    <w:p w14:paraId="18CD30EA" w14:textId="425836C7" w:rsidR="00870B30" w:rsidRPr="00870B30" w:rsidRDefault="00870B30" w:rsidP="00D32052">
      <w:pPr>
        <w:pStyle w:val="ExhibitText"/>
        <w:numPr>
          <w:ilvl w:val="0"/>
          <w:numId w:val="42"/>
        </w:numPr>
      </w:pPr>
      <w:r w:rsidRPr="00870B30">
        <w:rPr>
          <w:i/>
        </w:rPr>
        <w:t>Focus on core competencies</w:t>
      </w:r>
      <w:r w:rsidRPr="00870B30">
        <w:t>. Synergy could focus its efforts on its core competencies in areas such as basic research and clinical trials without having to build a sales force and navigate the complexities of the drug sales and distribution industry, which included government agencies, insurers, doctors, and pharmacy benefits managers (PBMs).</w:t>
      </w:r>
    </w:p>
    <w:p w14:paraId="12DA49EB" w14:textId="186D2FB2" w:rsidR="00870B30" w:rsidRPr="00870B30" w:rsidRDefault="00870B30" w:rsidP="00D32052">
      <w:pPr>
        <w:pStyle w:val="ExhibitText"/>
        <w:numPr>
          <w:ilvl w:val="0"/>
          <w:numId w:val="42"/>
        </w:numPr>
      </w:pPr>
      <w:r w:rsidRPr="00870B30">
        <w:rPr>
          <w:i/>
        </w:rPr>
        <w:t>Mitigation of risk</w:t>
      </w:r>
      <w:r w:rsidRPr="00870B30">
        <w:t>. Partnering would reduce the risk of having to hire and train a sales force and develop an effective marketing campaign—skills that Synergy lacked.</w:t>
      </w:r>
    </w:p>
    <w:p w14:paraId="5B527CBC" w14:textId="138A57DF" w:rsidR="00870B30" w:rsidRPr="00870B30" w:rsidRDefault="00870B30" w:rsidP="00D32052">
      <w:pPr>
        <w:pStyle w:val="ExhibitText"/>
        <w:numPr>
          <w:ilvl w:val="0"/>
          <w:numId w:val="42"/>
        </w:numPr>
      </w:pPr>
      <w:r w:rsidRPr="00870B30">
        <w:rPr>
          <w:i/>
        </w:rPr>
        <w:t>Speed to market</w:t>
      </w:r>
      <w:r w:rsidRPr="00870B30">
        <w:t>. Partnering with a licensee who had a trained sales force with national coverage and established sales relationships could significantly reduce the time required to fully penetrate the U.S. market.</w:t>
      </w:r>
    </w:p>
    <w:p w14:paraId="06881343" w14:textId="65DAC9A4" w:rsidR="00870B30" w:rsidRPr="00870B30" w:rsidRDefault="00870B30" w:rsidP="00D32052">
      <w:pPr>
        <w:pStyle w:val="ExhibitText"/>
      </w:pPr>
    </w:p>
    <w:p w14:paraId="15768E85" w14:textId="25B905E6" w:rsidR="00870B30" w:rsidRPr="00870B30" w:rsidRDefault="00870B30" w:rsidP="00E8440A">
      <w:pPr>
        <w:pStyle w:val="Footnote"/>
      </w:pPr>
      <w:r w:rsidRPr="00870B30">
        <w:t>Source: Created by the case author.</w:t>
      </w:r>
    </w:p>
    <w:p w14:paraId="3E338E4E" w14:textId="77777777" w:rsidR="00870B30" w:rsidRPr="00870B30" w:rsidRDefault="00870B30" w:rsidP="00D32052">
      <w:pPr>
        <w:pStyle w:val="ExhibitHeading"/>
      </w:pPr>
    </w:p>
    <w:p w14:paraId="5AE7221F" w14:textId="77777777" w:rsidR="00870B30" w:rsidRPr="00870B30" w:rsidRDefault="00870B30" w:rsidP="00D32052">
      <w:pPr>
        <w:pStyle w:val="ExhibitHeading"/>
      </w:pPr>
    </w:p>
    <w:p w14:paraId="194BD5B8" w14:textId="2405F4D7" w:rsidR="00870B30" w:rsidRPr="00870B30" w:rsidRDefault="00870B30" w:rsidP="00D32052">
      <w:pPr>
        <w:pStyle w:val="ExhibitHeading"/>
        <w:rPr>
          <w:color w:val="000000"/>
          <w:sz w:val="24"/>
          <w:szCs w:val="24"/>
        </w:rPr>
      </w:pPr>
      <w:r w:rsidRPr="00870B30">
        <w:rPr>
          <w:rFonts w:eastAsia="Arial"/>
        </w:rPr>
        <w:t>EXHIBIT 7</w:t>
      </w:r>
      <w:r w:rsidRPr="00870B30">
        <w:rPr>
          <w:color w:val="000000"/>
          <w:sz w:val="24"/>
          <w:szCs w:val="24"/>
        </w:rPr>
        <w:t xml:space="preserve">: </w:t>
      </w:r>
      <w:r w:rsidRPr="00870B30">
        <w:rPr>
          <w:rFonts w:eastAsia="Arial"/>
        </w:rPr>
        <w:t>Important Factors to Consider in Modelling Synergy’s Future</w:t>
      </w:r>
    </w:p>
    <w:p w14:paraId="0D52A154" w14:textId="77777777" w:rsidR="00870B30" w:rsidRPr="00870B30" w:rsidRDefault="00870B30" w:rsidP="00D32052">
      <w:pPr>
        <w:pStyle w:val="ExhibitText"/>
        <w:rPr>
          <w:rFonts w:eastAsia="Calibri"/>
        </w:rPr>
      </w:pPr>
    </w:p>
    <w:p w14:paraId="3603D0CF" w14:textId="2CF887A3" w:rsidR="00870B30" w:rsidRPr="00870B30" w:rsidRDefault="00870B30" w:rsidP="00D32052">
      <w:pPr>
        <w:pStyle w:val="ExhibitText"/>
        <w:numPr>
          <w:ilvl w:val="0"/>
          <w:numId w:val="43"/>
        </w:numPr>
        <w:rPr>
          <w:rFonts w:eastAsia="Calibri"/>
          <w:lang w:eastAsia="ko-KR"/>
        </w:rPr>
      </w:pPr>
      <w:r w:rsidRPr="00870B30">
        <w:rPr>
          <w:rFonts w:eastAsia="Calibri"/>
          <w:lang w:eastAsia="ko-KR"/>
        </w:rPr>
        <w:t xml:space="preserve">$88 million of Synergy’s SGA in 2017 were associated with the launch of Trulance.* </w:t>
      </w:r>
    </w:p>
    <w:p w14:paraId="4B6E5F01" w14:textId="01C02DFB" w:rsidR="00870B30" w:rsidRPr="00870B30" w:rsidRDefault="00870B30" w:rsidP="00D32052">
      <w:pPr>
        <w:pStyle w:val="ExhibitText"/>
        <w:numPr>
          <w:ilvl w:val="0"/>
          <w:numId w:val="43"/>
        </w:numPr>
        <w:rPr>
          <w:rFonts w:eastAsia="Calibri"/>
          <w:lang w:eastAsia="ko-KR"/>
        </w:rPr>
      </w:pPr>
      <w:r w:rsidRPr="00870B30">
        <w:rPr>
          <w:rFonts w:eastAsia="Calibri"/>
          <w:lang w:eastAsia="ko-KR"/>
        </w:rPr>
        <w:t>As sales rapidly ramped up, SGA and COGS would be expected to decrease as a percentage of sales as scale economies were realized.</w:t>
      </w:r>
    </w:p>
    <w:p w14:paraId="643F7FFA" w14:textId="0B13B583" w:rsidR="00870B30" w:rsidRPr="00870B30" w:rsidRDefault="00870B30" w:rsidP="00D32052">
      <w:pPr>
        <w:pStyle w:val="ExhibitText"/>
        <w:numPr>
          <w:ilvl w:val="0"/>
          <w:numId w:val="43"/>
        </w:numPr>
        <w:rPr>
          <w:rFonts w:eastAsia="Calibri"/>
          <w:lang w:eastAsia="ko-KR"/>
        </w:rPr>
      </w:pPr>
      <w:r w:rsidRPr="00870B30">
        <w:rPr>
          <w:rFonts w:eastAsia="Calibri"/>
          <w:lang w:eastAsia="ko-KR"/>
        </w:rPr>
        <w:t>Under a typical licensing agreement, (a) COGS would be eliminated because the licensee would take over the manufacturing expenses, (b) selling and administrative expenses (parts of SGA) would be expected to decline significantly because the licensee would take over the marketing and sales expenses and some related administrative expenses.</w:t>
      </w:r>
    </w:p>
    <w:p w14:paraId="731D991F" w14:textId="2591F42F" w:rsidR="00870B30" w:rsidRPr="00870B30" w:rsidRDefault="00870B30" w:rsidP="00D32052">
      <w:pPr>
        <w:pStyle w:val="ExhibitText"/>
        <w:numPr>
          <w:ilvl w:val="0"/>
          <w:numId w:val="43"/>
        </w:numPr>
        <w:rPr>
          <w:rFonts w:eastAsia="Calibri"/>
          <w:lang w:eastAsia="ko-KR"/>
        </w:rPr>
      </w:pPr>
      <w:r w:rsidRPr="00870B30">
        <w:rPr>
          <w:rFonts w:eastAsia="Calibri"/>
          <w:lang w:eastAsia="ko-KR"/>
        </w:rPr>
        <w:t>Beginning in 2018, a significant increase in interest expense would be expected as Synergy drew down the remainder of its $300 million credit line. The loans carried an interest rate of 9.5 per cent.</w:t>
      </w:r>
      <w:r w:rsidR="008E2014">
        <w:rPr>
          <w:rFonts w:eastAsia="Calibri"/>
          <w:lang w:eastAsia="ko-KR"/>
        </w:rPr>
        <w:t>***</w:t>
      </w:r>
    </w:p>
    <w:p w14:paraId="51882B67" w14:textId="2B9787E7" w:rsidR="00870B30" w:rsidRPr="00870B30" w:rsidRDefault="00870B30" w:rsidP="00D32052">
      <w:pPr>
        <w:pStyle w:val="ExhibitText"/>
        <w:numPr>
          <w:ilvl w:val="0"/>
          <w:numId w:val="43"/>
        </w:numPr>
        <w:rPr>
          <w:rFonts w:eastAsia="Calibri"/>
          <w:lang w:eastAsia="ko-KR"/>
        </w:rPr>
      </w:pPr>
      <w:r w:rsidRPr="00870B30">
        <w:rPr>
          <w:rFonts w:eastAsia="Calibri"/>
          <w:lang w:eastAsia="ko-KR"/>
        </w:rPr>
        <w:t>Due to tax operating loss carry-forwards, Synergy did not anticipate paying taxes over the five-year planning period.**</w:t>
      </w:r>
    </w:p>
    <w:p w14:paraId="6FF5F30B" w14:textId="5488CE42" w:rsidR="00990B69" w:rsidRPr="00870B30" w:rsidRDefault="00990B69" w:rsidP="00D32052">
      <w:pPr>
        <w:pStyle w:val="ExhibitText"/>
        <w:numPr>
          <w:ilvl w:val="0"/>
          <w:numId w:val="43"/>
        </w:numPr>
        <w:rPr>
          <w:rFonts w:eastAsia="Calibri"/>
          <w:lang w:eastAsia="ko-KR"/>
        </w:rPr>
      </w:pPr>
      <w:r w:rsidRPr="00870B30">
        <w:rPr>
          <w:rFonts w:eastAsia="Calibri"/>
          <w:lang w:eastAsia="ko-KR"/>
        </w:rPr>
        <w:t>Any up</w:t>
      </w:r>
      <w:r w:rsidR="00204DDB">
        <w:rPr>
          <w:rFonts w:eastAsia="Calibri"/>
          <w:lang w:eastAsia="ko-KR"/>
        </w:rPr>
        <w:t>-</w:t>
      </w:r>
      <w:r w:rsidRPr="00870B30">
        <w:rPr>
          <w:rFonts w:eastAsia="Calibri"/>
          <w:lang w:eastAsia="ko-KR"/>
        </w:rPr>
        <w:t xml:space="preserve">front royalty payment </w:t>
      </w:r>
      <w:r w:rsidR="009522DB" w:rsidRPr="00870B30">
        <w:rPr>
          <w:rFonts w:eastAsia="Calibri"/>
          <w:lang w:eastAsia="ko-KR"/>
        </w:rPr>
        <w:t xml:space="preserve">would </w:t>
      </w:r>
      <w:r w:rsidRPr="00870B30">
        <w:rPr>
          <w:rFonts w:eastAsia="Calibri"/>
          <w:lang w:eastAsia="ko-KR"/>
        </w:rPr>
        <w:t xml:space="preserve">be shown in equal parts across the </w:t>
      </w:r>
      <w:r w:rsidR="009522DB" w:rsidRPr="00870B30">
        <w:rPr>
          <w:rFonts w:eastAsia="Calibri"/>
          <w:lang w:eastAsia="ko-KR"/>
        </w:rPr>
        <w:t>five</w:t>
      </w:r>
      <w:r w:rsidRPr="00870B30">
        <w:rPr>
          <w:rFonts w:eastAsia="Calibri"/>
          <w:lang w:eastAsia="ko-KR"/>
        </w:rPr>
        <w:t>-year planning horizon.</w:t>
      </w:r>
    </w:p>
    <w:p w14:paraId="0047F516" w14:textId="77777777" w:rsidR="008E2014" w:rsidRPr="00870B30" w:rsidRDefault="008E2014" w:rsidP="00E8440A">
      <w:pPr>
        <w:pStyle w:val="ExhibitText"/>
      </w:pPr>
    </w:p>
    <w:p w14:paraId="653A3319" w14:textId="14734D84" w:rsidR="00494DAA" w:rsidRPr="001D1E52" w:rsidRDefault="001C5A37" w:rsidP="00D32052">
      <w:pPr>
        <w:pStyle w:val="Footnote"/>
        <w:rPr>
          <w:sz w:val="16"/>
          <w:szCs w:val="16"/>
        </w:rPr>
      </w:pPr>
      <w:r w:rsidRPr="00870B30">
        <w:t xml:space="preserve">Note: </w:t>
      </w:r>
      <w:r w:rsidR="001D1E52">
        <w:t>*</w:t>
      </w:r>
      <w:r w:rsidR="00B965FA" w:rsidRPr="00870B30">
        <w:rPr>
          <w:sz w:val="16"/>
          <w:szCs w:val="16"/>
        </w:rPr>
        <w:t>Synergy Pharmaceutical, accessed </w:t>
      </w:r>
      <w:r w:rsidR="000F7114">
        <w:rPr>
          <w:sz w:val="16"/>
          <w:szCs w:val="16"/>
        </w:rPr>
        <w:t xml:space="preserve">April </w:t>
      </w:r>
      <w:r w:rsidR="008E2014">
        <w:rPr>
          <w:sz w:val="16"/>
          <w:szCs w:val="16"/>
        </w:rPr>
        <w:t xml:space="preserve">5, </w:t>
      </w:r>
      <w:r w:rsidR="00B965FA" w:rsidRPr="00870B30">
        <w:rPr>
          <w:sz w:val="16"/>
          <w:szCs w:val="16"/>
        </w:rPr>
        <w:t> 201</w:t>
      </w:r>
      <w:r w:rsidR="000F7114">
        <w:rPr>
          <w:sz w:val="16"/>
          <w:szCs w:val="16"/>
        </w:rPr>
        <w:t>9</w:t>
      </w:r>
      <w:r w:rsidR="00B965FA" w:rsidRPr="00870B30">
        <w:rPr>
          <w:sz w:val="16"/>
          <w:szCs w:val="16"/>
        </w:rPr>
        <w:t>, page 42</w:t>
      </w:r>
      <w:r w:rsidR="001D1E52">
        <w:rPr>
          <w:sz w:val="16"/>
          <w:szCs w:val="16"/>
        </w:rPr>
        <w:t xml:space="preserve">, www.sec.gov/Archives/edgar/data/1347613/0001347613180000 </w:t>
      </w:r>
      <w:r w:rsidR="001D1E52" w:rsidRPr="001D1E52">
        <w:rPr>
          <w:sz w:val="16"/>
          <w:szCs w:val="16"/>
        </w:rPr>
        <w:t>03/sgyp-123117x10k.htm#s6E19A6A766B75DB8BB4137764284C3DC</w:t>
      </w:r>
      <w:r w:rsidR="001D1E52">
        <w:rPr>
          <w:sz w:val="16"/>
          <w:szCs w:val="16"/>
        </w:rPr>
        <w:t>; **</w:t>
      </w:r>
      <w:r w:rsidR="00B965FA" w:rsidRPr="00870B30">
        <w:rPr>
          <w:sz w:val="16"/>
          <w:szCs w:val="16"/>
        </w:rPr>
        <w:t xml:space="preserve">Ibid, 38; This assertion is based on Synergy having over $620 million in operating losses in the previous 5 years, which would shelter a corresponding amount of income in future years; </w:t>
      </w:r>
      <w:r w:rsidRPr="00870B30">
        <w:t>COGS = cost of goods sold; SGA = selling, general, and administrativ</w:t>
      </w:r>
      <w:r w:rsidR="001D1E52">
        <w:t xml:space="preserve">e expenses; </w:t>
      </w:r>
      <w:r w:rsidR="008E2014">
        <w:t>***</w:t>
      </w:r>
      <w:r w:rsidR="00870B30" w:rsidRPr="00870B30">
        <w:t xml:space="preserve">Created by case authors based on </w:t>
      </w:r>
      <w:r w:rsidR="00D32052" w:rsidRPr="00870B30">
        <w:t xml:space="preserve">Synergy Pharmaceuticals, </w:t>
      </w:r>
      <w:r w:rsidR="00EF437C" w:rsidRPr="00870B30">
        <w:t>“</w:t>
      </w:r>
      <w:r w:rsidR="00D32052" w:rsidRPr="00870B30">
        <w:t>Synergy Pharmaceuticals Secures $300 Million Debt Financing,</w:t>
      </w:r>
      <w:r w:rsidR="00EF437C" w:rsidRPr="00870B30">
        <w:t>” press release,</w:t>
      </w:r>
      <w:r w:rsidR="00D32052" w:rsidRPr="00870B30">
        <w:t xml:space="preserve"> </w:t>
      </w:r>
      <w:r w:rsidR="00B965FA" w:rsidRPr="00870B30">
        <w:t xml:space="preserve">Synergy Pharmaceuticals, </w:t>
      </w:r>
      <w:r w:rsidR="00D32052" w:rsidRPr="00870B30">
        <w:t>Sept</w:t>
      </w:r>
      <w:r w:rsidR="00EF437C" w:rsidRPr="00870B30">
        <w:t>ember</w:t>
      </w:r>
      <w:r w:rsidR="00D32052" w:rsidRPr="00870B30">
        <w:t xml:space="preserve"> 5, 2017</w:t>
      </w:r>
      <w:r w:rsidR="00EF437C" w:rsidRPr="00870B30">
        <w:t>, accessed January 11, 2019,</w:t>
      </w:r>
      <w:r w:rsidR="00D32052" w:rsidRPr="00870B30">
        <w:t xml:space="preserve"> </w:t>
      </w:r>
      <w:r w:rsidR="001D1E52" w:rsidRPr="001D1E52">
        <w:t>https://ir.synergypharma.com/press-</w:t>
      </w:r>
      <w:r w:rsidR="001D1E52">
        <w:t xml:space="preserve">releases/detail/1852/ </w:t>
      </w:r>
      <w:r w:rsidR="00EF437C" w:rsidRPr="00870B30">
        <w:t>synergy-pharmaceuticals-secures-300-million-debt-financing</w:t>
      </w:r>
      <w:r w:rsidR="00D32052" w:rsidRPr="00870B30">
        <w:t>.</w:t>
      </w:r>
    </w:p>
    <w:p w14:paraId="05FBC5A2" w14:textId="63B78DB3" w:rsidR="00D32052" w:rsidRPr="00870B30" w:rsidRDefault="00D32052" w:rsidP="00494DAA">
      <w:pPr>
        <w:pStyle w:val="ExhibitHeading"/>
        <w:jc w:val="left"/>
      </w:pPr>
    </w:p>
    <w:sectPr w:rsidR="00D32052" w:rsidRPr="00870B30" w:rsidSect="00751E0B">
      <w:headerReference w:type="default" r:id="rId12"/>
      <w:endnotePr>
        <w:numFmt w:val="decimal"/>
      </w:endnotePr>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51BB34" w16cid:durableId="2051C87A"/>
  <w16cid:commentId w16cid:paraId="7A591F25" w16cid:durableId="2051E4DD"/>
  <w16cid:commentId w16cid:paraId="3B27CCEC" w16cid:durableId="2051C87B"/>
  <w16cid:commentId w16cid:paraId="2A3308D0" w16cid:durableId="2051E4E8"/>
  <w16cid:commentId w16cid:paraId="5A9FBC42" w16cid:durableId="2051EE42"/>
  <w16cid:commentId w16cid:paraId="10A51002" w16cid:durableId="2051C87C"/>
  <w16cid:commentId w16cid:paraId="6BCD9498" w16cid:durableId="2051EAD8"/>
  <w16cid:commentId w16cid:paraId="3C5ED685" w16cid:durableId="2051C87D"/>
  <w16cid:commentId w16cid:paraId="0BB20A49" w16cid:durableId="20525277"/>
  <w16cid:commentId w16cid:paraId="48348166" w16cid:durableId="2051C87E"/>
  <w16cid:commentId w16cid:paraId="6A957D26" w16cid:durableId="2051EE84"/>
  <w16cid:commentId w16cid:paraId="2512D326" w16cid:durableId="2051C87F"/>
  <w16cid:commentId w16cid:paraId="6011BFE0" w16cid:durableId="205262E6"/>
  <w16cid:commentId w16cid:paraId="311C704B" w16cid:durableId="2051C880"/>
  <w16cid:commentId w16cid:paraId="5A77F3D9" w16cid:durableId="20525F70"/>
  <w16cid:commentId w16cid:paraId="5A00B7AE" w16cid:durableId="2051C881"/>
  <w16cid:commentId w16cid:paraId="46B3241C" w16cid:durableId="20526390"/>
  <w16cid:commentId w16cid:paraId="7831470F" w16cid:durableId="2051C882"/>
  <w16cid:commentId w16cid:paraId="7C46DD8E" w16cid:durableId="2051E34F"/>
  <w16cid:commentId w16cid:paraId="66A1E798" w16cid:durableId="2051C883"/>
  <w16cid:commentId w16cid:paraId="0C6DA496" w16cid:durableId="2051E369"/>
  <w16cid:commentId w16cid:paraId="141C367E" w16cid:durableId="2051C884"/>
  <w16cid:commentId w16cid:paraId="2894E6AD" w16cid:durableId="2051E2EB"/>
  <w16cid:commentId w16cid:paraId="2DD100DB" w16cid:durableId="2051C885"/>
  <w16cid:commentId w16cid:paraId="2FE0608A" w16cid:durableId="2051D046"/>
  <w16cid:commentId w16cid:paraId="0F82699C" w16cid:durableId="2051C886"/>
  <w16cid:commentId w16cid:paraId="2EB207A4" w16cid:durableId="2051C887"/>
  <w16cid:commentId w16cid:paraId="1D5DE375" w16cid:durableId="2052633E"/>
  <w16cid:commentId w16cid:paraId="1EDF121A" w16cid:durableId="2051C888"/>
  <w16cid:commentId w16cid:paraId="73B96D5F" w16cid:durableId="2051D070"/>
  <w16cid:commentId w16cid:paraId="08CBB6E1" w16cid:durableId="2051C889"/>
  <w16cid:commentId w16cid:paraId="4AF74266" w16cid:durableId="2051DA6E"/>
  <w16cid:commentId w16cid:paraId="3ED7E90A" w16cid:durableId="2051C88A"/>
  <w16cid:commentId w16cid:paraId="0716FAC5" w16cid:durableId="2051D096"/>
  <w16cid:commentId w16cid:paraId="0D0C3BEE" w16cid:durableId="2051C88B"/>
  <w16cid:commentId w16cid:paraId="340F514B" w16cid:durableId="2051D359"/>
  <w16cid:commentId w16cid:paraId="2EA66CC8" w16cid:durableId="2051C88D"/>
  <w16cid:commentId w16cid:paraId="3AC8585D" w16cid:durableId="2051C9D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FC97F4" w14:textId="77777777" w:rsidR="00372D53" w:rsidRDefault="00372D53" w:rsidP="00D75295">
      <w:r>
        <w:separator/>
      </w:r>
    </w:p>
  </w:endnote>
  <w:endnote w:type="continuationSeparator" w:id="0">
    <w:p w14:paraId="584CDA09" w14:textId="77777777" w:rsidR="00372D53" w:rsidRDefault="00372D53"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E7A529" w14:textId="77777777" w:rsidR="00372D53" w:rsidRDefault="00372D53" w:rsidP="00D75295">
      <w:r>
        <w:separator/>
      </w:r>
    </w:p>
  </w:footnote>
  <w:footnote w:type="continuationSeparator" w:id="0">
    <w:p w14:paraId="37E5C57A" w14:textId="77777777" w:rsidR="00372D53" w:rsidRDefault="00372D53" w:rsidP="00D75295">
      <w:r>
        <w:continuationSeparator/>
      </w:r>
    </w:p>
  </w:footnote>
  <w:footnote w:id="1">
    <w:p w14:paraId="740923C5" w14:textId="01CB7A28" w:rsidR="004A6323" w:rsidRPr="001D1E52" w:rsidRDefault="004A6323" w:rsidP="001D1E52">
      <w:pPr>
        <w:pStyle w:val="Footnote"/>
      </w:pPr>
      <w:r w:rsidRPr="001D1E52">
        <w:rPr>
          <w:rStyle w:val="FootnoteReference"/>
        </w:rPr>
        <w:footnoteRef/>
      </w:r>
      <w:r w:rsidRPr="001D1E52">
        <w:t xml:space="preserve"> </w:t>
      </w:r>
      <w:r w:rsidRPr="001D1E52">
        <w:rPr>
          <w:rStyle w:val="FootnoteChar"/>
        </w:rPr>
        <w:t xml:space="preserve">This case has been written on the basis of published sources only. Consequently, the interpretation and perspectives </w:t>
      </w:r>
      <w:r w:rsidRPr="001D1E52">
        <w:t>presented in this case are not necessarily those of Synergy Pharmaceuticals Inc. or any of its employees.</w:t>
      </w:r>
    </w:p>
  </w:footnote>
  <w:footnote w:id="2">
    <w:p w14:paraId="33C0601E" w14:textId="40626F95" w:rsidR="004A6323" w:rsidRPr="001D1E52" w:rsidRDefault="004A6323" w:rsidP="001D1E52">
      <w:pPr>
        <w:pStyle w:val="Footnote"/>
      </w:pPr>
      <w:r w:rsidRPr="001D1E52">
        <w:rPr>
          <w:rStyle w:val="FootnoteReference"/>
        </w:rPr>
        <w:footnoteRef/>
      </w:r>
      <w:r w:rsidR="001D1E52">
        <w:t xml:space="preserve"> </w:t>
      </w:r>
      <w:r w:rsidRPr="001D1E52">
        <w:t xml:space="preserve">Synergy Pharmaceuticals, “Synergy Pharmaceuticals’ Trulance™ (Plecanatide) Receives </w:t>
      </w:r>
      <w:r w:rsidR="00EE4DC2">
        <w:t>US</w:t>
      </w:r>
      <w:r w:rsidRPr="001D1E52">
        <w:t xml:space="preserve"> FDA Approval for the Treatment of Adults with Chronic Idiopathic Constipation,” press release, Business Wire, January 19, 2017, accessed February 11, 2019, www.businesswire.com/news/home/20170119006330/en; Synergy Pharmaceuticals, “Synergy Pharmaceuticals Announces FDA Approval Of Trulance® (Plecanatide) for the Treatment of Irritable Bowel Syndrome With Constipation (IBS-C) In Adults,” January 25, 2018, accessed March 5, 2019, https://ir.synergypharma.com/</w:t>
      </w:r>
      <w:hyperlink r:id="rId1" w:history="1">
        <w:r w:rsidRPr="001D1E52">
          <w:rPr>
            <w:rStyle w:val="Hyperlink"/>
            <w:color w:val="auto"/>
            <w:u w:val="none"/>
          </w:rPr>
          <w:t>press-releases/detail/1861/synergy-pharmaceuticals-announces-fda-approval-of</w:t>
        </w:r>
      </w:hyperlink>
      <w:r w:rsidRPr="001D1E52">
        <w:rPr>
          <w:rStyle w:val="Hyperlink"/>
          <w:color w:val="auto"/>
          <w:u w:val="none"/>
        </w:rPr>
        <w:t xml:space="preserve">; </w:t>
      </w:r>
      <w:r w:rsidRPr="001D1E52">
        <w:t>Trulance was the trade name for plecanatide.</w:t>
      </w:r>
    </w:p>
  </w:footnote>
  <w:footnote w:id="3">
    <w:p w14:paraId="24261529" w14:textId="069AE2BB" w:rsidR="004A6323" w:rsidRPr="001D1E52" w:rsidRDefault="004A6323" w:rsidP="001D1E52">
      <w:pPr>
        <w:pStyle w:val="Footnote"/>
      </w:pPr>
      <w:r w:rsidRPr="001D1E52">
        <w:rPr>
          <w:rStyle w:val="FootnoteReference"/>
        </w:rPr>
        <w:footnoteRef/>
      </w:r>
      <w:r w:rsidRPr="001D1E52">
        <w:t xml:space="preserve"> “Linzess for the Treatment of Irritable Bowel Syndrome with Chronic Idiopathic Constipation,” Drug Development Technology, accessed February 13, 2019, </w:t>
      </w:r>
      <w:r w:rsidR="00EE4DC2">
        <w:t>www</w:t>
      </w:r>
      <w:r w:rsidRPr="001D1E52">
        <w:t>.drugdevelopment-technology.com/projects/linzess-for-the-treatment-of-irritable-bowel-syndrome-with-chronic-idiopathic-constipation/; “Trulance vs Linzess: Main Differences and Similarities,” Single Care, December 28, 2018, accessed February 13, 2019, www.singlecare.com/blog/trulance-vs-linzess; Linzess was the trade name for linaclotide.</w:t>
      </w:r>
    </w:p>
  </w:footnote>
  <w:footnote w:id="4">
    <w:p w14:paraId="7F073A32" w14:textId="2CBBDED5" w:rsidR="004A6323" w:rsidRPr="00EE4DC2" w:rsidRDefault="004A6323" w:rsidP="001D1E52">
      <w:pPr>
        <w:pStyle w:val="Footnote"/>
        <w:rPr>
          <w:spacing w:val="-4"/>
          <w:kern w:val="17"/>
        </w:rPr>
      </w:pPr>
      <w:r w:rsidRPr="00EE4DC2">
        <w:rPr>
          <w:rStyle w:val="FootnoteReference"/>
          <w:spacing w:val="-4"/>
          <w:kern w:val="17"/>
        </w:rPr>
        <w:footnoteRef/>
      </w:r>
      <w:r w:rsidRPr="00EE4DC2">
        <w:rPr>
          <w:spacing w:val="-4"/>
          <w:kern w:val="17"/>
        </w:rPr>
        <w:t xml:space="preserve"> </w:t>
      </w:r>
      <w:r w:rsidR="001D1E52" w:rsidRPr="00EE4DC2">
        <w:rPr>
          <w:spacing w:val="-4"/>
          <w:kern w:val="17"/>
        </w:rPr>
        <w:t xml:space="preserve">Centerwatch, </w:t>
      </w:r>
      <w:r w:rsidR="00EE4DC2" w:rsidRPr="00EE4DC2">
        <w:rPr>
          <w:spacing w:val="-4"/>
          <w:kern w:val="17"/>
        </w:rPr>
        <w:t>www</w:t>
      </w:r>
      <w:r w:rsidRPr="00EE4DC2">
        <w:rPr>
          <w:spacing w:val="-4"/>
          <w:kern w:val="17"/>
        </w:rPr>
        <w:t>.centerwatch.com/drug-information/fda-approved-drugs/drug/1219/linzess-linaclotide; accessed April 5, 2019.</w:t>
      </w:r>
    </w:p>
  </w:footnote>
  <w:footnote w:id="5">
    <w:p w14:paraId="5D7B3FBD" w14:textId="38EF26C2" w:rsidR="004A6323" w:rsidRPr="001D1E52" w:rsidRDefault="004A6323" w:rsidP="001D1E52">
      <w:pPr>
        <w:pStyle w:val="Footnote"/>
      </w:pPr>
      <w:r w:rsidRPr="001D1E52">
        <w:rPr>
          <w:rStyle w:val="FootnoteReference"/>
        </w:rPr>
        <w:footnoteRef/>
      </w:r>
      <w:r w:rsidRPr="001D1E52">
        <w:t xml:space="preserve"> Ironwood Pharmaceuticals “Ironwood Pharmaceuticals Provides Fourth Quarter and Full Year 2017 Investor Update,” Ironwood Pharmaceuticals, accessed March 5, 2019, </w:t>
      </w:r>
      <w:r w:rsidR="00EE4DC2">
        <w:t>www</w:t>
      </w:r>
      <w:r w:rsidRPr="001D1E52">
        <w:t>.businesswire.com/news/home/20180215005322/en/Ironwood-Pharmaceuticals-Fourth-Quarter-Full-Year-</w:t>
      </w:r>
      <w:r w:rsidR="001D1E52" w:rsidRPr="001D1E52">
        <w:t>2017;</w:t>
      </w:r>
      <w:r w:rsidRPr="001D1E52">
        <w:t xml:space="preserve"> All dollar amounts are in </w:t>
      </w:r>
      <w:r w:rsidR="00EE4DC2">
        <w:t>US</w:t>
      </w:r>
      <w:r w:rsidRPr="001D1E52">
        <w:t xml:space="preserve"> dollars unless otherwise indicated.</w:t>
      </w:r>
    </w:p>
  </w:footnote>
  <w:footnote w:id="6">
    <w:p w14:paraId="1DEBD613" w14:textId="133F374F" w:rsidR="004A6323" w:rsidRPr="001D1E52" w:rsidRDefault="004A6323" w:rsidP="001D1E52">
      <w:pPr>
        <w:pStyle w:val="Footnote"/>
      </w:pPr>
      <w:r w:rsidRPr="001D1E52">
        <w:rPr>
          <w:rStyle w:val="FootnoteReference"/>
        </w:rPr>
        <w:footnoteRef/>
      </w:r>
      <w:r w:rsidRPr="001D1E52">
        <w:t xml:space="preserve"> Global Newswire; Sucampo Reports Third-quarter 2017 results  </w:t>
      </w:r>
      <w:hyperlink r:id="rId2" w:history="1">
        <w:r w:rsidR="00EE4DC2">
          <w:rPr>
            <w:rStyle w:val="Hyperlink"/>
            <w:color w:val="auto"/>
            <w:u w:val="none"/>
          </w:rPr>
          <w:t>www</w:t>
        </w:r>
        <w:r w:rsidRPr="001D1E52">
          <w:rPr>
            <w:rStyle w:val="Hyperlink"/>
            <w:color w:val="auto"/>
            <w:u w:val="none"/>
          </w:rPr>
          <w:t>.globenewswire.com/news-release/2017/11/01/1172068/0/en/Sucampo-Reports-Third-Quarter-2017-Financial-Results.html</w:t>
        </w:r>
      </w:hyperlink>
      <w:r w:rsidRPr="001D1E52">
        <w:t>; accessed April 5, 2019</w:t>
      </w:r>
    </w:p>
  </w:footnote>
  <w:footnote w:id="7">
    <w:p w14:paraId="3E9DB77D" w14:textId="4FDDDF35" w:rsidR="004A6323" w:rsidRPr="001D1E52" w:rsidRDefault="004A6323" w:rsidP="001D1E52">
      <w:pPr>
        <w:pStyle w:val="Footnote"/>
      </w:pPr>
      <w:r w:rsidRPr="001D1E52">
        <w:rPr>
          <w:rStyle w:val="FootnoteReference"/>
        </w:rPr>
        <w:footnoteRef/>
      </w:r>
      <w:r w:rsidRPr="001D1E52">
        <w:t xml:space="preserve"> Synergy Pharmaceuticals, “Synergy Pharmaceuticals’ Trulance™ (Plecanatide) Receives </w:t>
      </w:r>
      <w:r w:rsidR="00EE4DC2">
        <w:t>US</w:t>
      </w:r>
      <w:r w:rsidRPr="001D1E52">
        <w:t xml:space="preserve"> FDA Approval,” op. cit. </w:t>
      </w:r>
    </w:p>
  </w:footnote>
  <w:footnote w:id="8">
    <w:p w14:paraId="3A7CBEA2" w14:textId="627EB51E" w:rsidR="004A6323" w:rsidRPr="001D1E52" w:rsidRDefault="004A6323" w:rsidP="001D1E52">
      <w:pPr>
        <w:pStyle w:val="Footnote"/>
      </w:pPr>
      <w:r w:rsidRPr="001D1E52">
        <w:rPr>
          <w:rStyle w:val="FootnoteReference"/>
        </w:rPr>
        <w:footnoteRef/>
      </w:r>
      <w:r w:rsidRPr="001D1E52">
        <w:t xml:space="preserve"> Thomas Sullivan, “A Tough Road: Cost to Develop One New Drug Is $2.6 Billion; Approval Rate for Drugs Entering Clinical Development is Less Than 12%,” Policy and Medicine, May 6, 2018, accessed September 3, 2018, </w:t>
      </w:r>
      <w:r w:rsidR="001D1E52">
        <w:t xml:space="preserve">www.policymed.com/20 </w:t>
      </w:r>
      <w:r w:rsidRPr="001D1E52">
        <w:t>14/12/a-tough-road-cost-to-develop-one-new-drug-is-26-billion-approval-rate-for-drugs-entering-clinical-de.html.</w:t>
      </w:r>
    </w:p>
  </w:footnote>
  <w:footnote w:id="9">
    <w:p w14:paraId="4AE542D0" w14:textId="046AB2DD" w:rsidR="004A6323" w:rsidRPr="001D1E52" w:rsidRDefault="004A6323" w:rsidP="001D1E52">
      <w:pPr>
        <w:pStyle w:val="Footnote"/>
      </w:pPr>
      <w:r w:rsidRPr="001D1E52">
        <w:rPr>
          <w:rStyle w:val="FootnoteReference"/>
        </w:rPr>
        <w:footnoteRef/>
      </w:r>
      <w:r w:rsidRPr="001D1E52">
        <w:t xml:space="preserve"> Peter Machin, “How to Survive the Valley of Death as a Biotech Startup?,” Labiotech.eu, June 29, 2016, accessed January 9, 2019, https://labiotech.eu/features/biotech-startup-valley-of-death-financing.</w:t>
      </w:r>
    </w:p>
  </w:footnote>
  <w:footnote w:id="10">
    <w:p w14:paraId="09D5D8DC" w14:textId="397B747F" w:rsidR="004A6323" w:rsidRPr="001D1E52" w:rsidRDefault="004A6323" w:rsidP="001D1E52">
      <w:pPr>
        <w:pStyle w:val="Footnote"/>
      </w:pPr>
      <w:r w:rsidRPr="001D1E52">
        <w:rPr>
          <w:rStyle w:val="FootnoteReference"/>
        </w:rPr>
        <w:footnoteRef/>
      </w:r>
      <w:r w:rsidRPr="001D1E52">
        <w:t xml:space="preserve"> Bruce Booth, “Transformational Late Stage Drugs Delivered through Deal-Making,” Forbes, March 21, 2014, accessed January 9, 2019, www.forbes.com/sites/brucebooth/2014/03/21/transformational-late-stage-drugs-delivered-through-deal-making/#3563646c25f2. </w:t>
      </w:r>
    </w:p>
  </w:footnote>
  <w:footnote w:id="11">
    <w:p w14:paraId="7233280F" w14:textId="76A4012E" w:rsidR="004A6323" w:rsidRPr="001D1E52" w:rsidRDefault="004A6323" w:rsidP="001D1E52">
      <w:pPr>
        <w:pStyle w:val="Footnote"/>
      </w:pPr>
      <w:r w:rsidRPr="001D1E52">
        <w:rPr>
          <w:rStyle w:val="FootnoteReference"/>
        </w:rPr>
        <w:footnoteRef/>
      </w:r>
      <w:r w:rsidRPr="001D1E52">
        <w:t xml:space="preserve"> Research and Markets, “Global Chronic Idiopathic Constipation (CIC) Drugs Market, 2025: Emerging APAC Market &amp; High Unmet Needs,” press release, Business Insider, October 3, 2017, accessed April 1, 2019, </w:t>
      </w:r>
      <w:r w:rsidR="001D1E52">
        <w:t xml:space="preserve">https://markets.businessinsid </w:t>
      </w:r>
      <w:r w:rsidRPr="001D1E52">
        <w:t>er.com/news/stocks/global-chronic-idiopathic-constipation-cic-drugs-market-2025-emerging-apac-market-high-unmet-needs-1002953886</w:t>
      </w:r>
      <w:r w:rsidRPr="001D1E52">
        <w:rPr>
          <w:rStyle w:val="Hyperlink"/>
          <w:color w:val="auto"/>
          <w:u w:val="none"/>
        </w:rPr>
        <w:t>.</w:t>
      </w:r>
    </w:p>
  </w:footnote>
  <w:footnote w:id="12">
    <w:p w14:paraId="0399300D" w14:textId="07C2C537" w:rsidR="004A6323" w:rsidRPr="001D1E52" w:rsidRDefault="004A6323" w:rsidP="001D1E52">
      <w:pPr>
        <w:pStyle w:val="Footnote"/>
      </w:pPr>
      <w:r w:rsidRPr="001D1E52">
        <w:rPr>
          <w:rStyle w:val="FootnoteReference"/>
        </w:rPr>
        <w:footnoteRef/>
      </w:r>
      <w:r w:rsidRPr="001D1E52">
        <w:t xml:space="preserve"> Michael Johnsen, “IBS Market to Reach $1.5 Billion by 2023,” Drug Store News, January 22, 2015, accessed October 17, 2018, www.drugstorenews.com/pharmacy/ibs-market-reach-15-billion-2023.</w:t>
      </w:r>
    </w:p>
  </w:footnote>
  <w:footnote w:id="13">
    <w:p w14:paraId="26D5069D" w14:textId="29486FA1" w:rsidR="004A6323" w:rsidRPr="001D1E52" w:rsidRDefault="004A6323" w:rsidP="001D1E52">
      <w:pPr>
        <w:pStyle w:val="Footnote"/>
        <w:jc w:val="both"/>
      </w:pPr>
      <w:r w:rsidRPr="001D1E52">
        <w:rPr>
          <w:rStyle w:val="FootnoteReference"/>
        </w:rPr>
        <w:footnoteRef/>
      </w:r>
      <w:r w:rsidRPr="001D1E52">
        <w:t xml:space="preserve"> Synergy Pharmaceuticals, “Synergy Pharmaceuticals Announces Pricing of Public Offering of Common Stock,” press release, Synergy Pharmaceuticals, February 1, 2017, accessed August 29, 2018, https://ir.synergypharma.com/press-releases/detail/1833/synergy-pharmaceuticals-announces-pricing-of-public.</w:t>
      </w:r>
    </w:p>
  </w:footnote>
  <w:footnote w:id="14">
    <w:p w14:paraId="556B8F19" w14:textId="48577484" w:rsidR="004A6323" w:rsidRPr="001D1E52" w:rsidRDefault="004A6323" w:rsidP="001D1E52">
      <w:pPr>
        <w:pStyle w:val="Footnote"/>
        <w:jc w:val="both"/>
      </w:pPr>
      <w:r w:rsidRPr="001D1E52">
        <w:rPr>
          <w:rStyle w:val="FootnoteReference"/>
        </w:rPr>
        <w:footnoteRef/>
      </w:r>
      <w:r w:rsidRPr="001D1E52">
        <w:t xml:space="preserve"> Joe Apuzzo, “Synergy—$300 Million Loan Agreement September 1, $56 Million, Secondary November 13, What Happened?,” Seeking Alpha, November 15, 2017, accessed September 1, 2018, https://seekingalpha.com/article/4125082-synergy-300-million-loan-agreement-september-1-56-million-secondary-november-13-happened.</w:t>
      </w:r>
    </w:p>
  </w:footnote>
  <w:footnote w:id="15">
    <w:p w14:paraId="1A5D98A9" w14:textId="6C1B603D" w:rsidR="004A6323" w:rsidRPr="001D1E52" w:rsidRDefault="004A6323" w:rsidP="001D1E52">
      <w:pPr>
        <w:pStyle w:val="Footnote"/>
        <w:jc w:val="both"/>
      </w:pPr>
      <w:r w:rsidRPr="001D1E52">
        <w:rPr>
          <w:rStyle w:val="FootnoteReference"/>
        </w:rPr>
        <w:footnoteRef/>
      </w:r>
      <w:r w:rsidRPr="001D1E52">
        <w:t xml:space="preserve"> Ibid.</w:t>
      </w:r>
    </w:p>
  </w:footnote>
  <w:footnote w:id="16">
    <w:p w14:paraId="23F4DDEB" w14:textId="69684451" w:rsidR="004A6323" w:rsidRPr="001D1E52" w:rsidRDefault="004A6323" w:rsidP="001D1E52">
      <w:pPr>
        <w:pStyle w:val="Footnote"/>
        <w:jc w:val="both"/>
      </w:pPr>
      <w:r w:rsidRPr="001D1E52">
        <w:rPr>
          <w:rStyle w:val="FootnoteReference"/>
        </w:rPr>
        <w:footnoteRef/>
      </w:r>
      <w:r w:rsidRPr="001D1E52">
        <w:t xml:space="preserve"> Stone Fox Capital, Seeking Alpha, “Synergy Pharma: Is Management Really That Bad?” May 31, 2018 accessed April 5, 2019 https://seekingalpha.com/article/4178647-synergy-pharma-management-really-bad</w:t>
      </w:r>
    </w:p>
  </w:footnote>
  <w:footnote w:id="17">
    <w:p w14:paraId="556AF695" w14:textId="6B7FC0F2" w:rsidR="004A6323" w:rsidRPr="001D1E52" w:rsidRDefault="004A6323" w:rsidP="001D1E52">
      <w:pPr>
        <w:pStyle w:val="Footnote"/>
        <w:jc w:val="both"/>
      </w:pPr>
      <w:r w:rsidRPr="001D1E52">
        <w:rPr>
          <w:rStyle w:val="FootnoteReference"/>
        </w:rPr>
        <w:footnoteRef/>
      </w:r>
      <w:r w:rsidRPr="001D1E52">
        <w:t xml:space="preserve"> John, “Jacob stepping down just means that there’s nothing left to steal. Hamilton taking over as CEO just means that no one else wants the job of burying this corpse,” post to “Synergy Pharmaceuticals Inc. (SGYP): Conversations,” Yahoo! Finance,  accessed October 8, 2016, https://finance.yahoo.com/quote/SGYP/community?p=SGYP; Anonymous, ““I hope to get rewarded on this stock if I live long enough, but right now I wished I would never have bought it,” post to “Synergy Pharmaceuticals Inc. (SGYP): Conversations,” Yahoo! Finance,  accessed October 8, 2016, https://finance.yahoo.com/quote/SGYP/community?p=SGYP; New Amsterdam, “Troy Hamilton makes over a million dollars a year from this company. How much has this company made you?,” post to “Synergy Pharmaceuticals Inc. (SGYP): Conver</w:t>
      </w:r>
      <w:r w:rsidR="00EE4DC2">
        <w:t>sations,” Yahoo! Finance</w:t>
      </w:r>
      <w:r w:rsidRPr="001D1E52">
        <w:t>, accessed October 8, 2016, https://finance.yahoo.com/quote/SGYP/community?p=SGYP.</w:t>
      </w:r>
    </w:p>
  </w:footnote>
  <w:footnote w:id="18">
    <w:p w14:paraId="4583F0BD" w14:textId="0CE37E30" w:rsidR="004A6323" w:rsidRPr="001D1E52" w:rsidRDefault="004A6323" w:rsidP="001D1E52">
      <w:pPr>
        <w:pStyle w:val="Footnote"/>
        <w:jc w:val="both"/>
      </w:pPr>
      <w:r w:rsidRPr="001D1E52">
        <w:rPr>
          <w:rStyle w:val="FootnoteReference"/>
        </w:rPr>
        <w:footnoteRef/>
      </w:r>
      <w:r w:rsidRPr="001D1E52">
        <w:t xml:space="preserve"> Cipher Pharmaceuticals, “Cipher Pharmaceuticals Acquires Exclusive Canadian Rights to FDA-Approved Trulance® from Synergy Pharmaceuticals,” press release, Cision, February 28, 2018, accessed August 21, 2018, www.newswire.ca/news-releases/cipher-pharmaceuticals-acquires-exclusive-canadian-rights-to-fda-approved-trulance-from-synergy-pharmaceuticals-675386213.html; Synergy Pharmaceuticals, “Synergy Pharmaceuticals Announces License Agreement with Luoxin Pharmaceutical Group for Trulance® (Plecanatide) in China,” press release, Synergy Pharmaceuticals, August 7, 2018, accessed August 21, 2018, </w:t>
      </w:r>
      <w:r w:rsidRPr="001D1E52">
        <w:rPr>
          <w:rStyle w:val="Hyperlink"/>
          <w:color w:val="auto"/>
          <w:u w:val="none"/>
        </w:rPr>
        <w:t xml:space="preserve">https://ir.synergypharma.com/press-releases/detail/1872; </w:t>
      </w:r>
      <w:r w:rsidRPr="001D1E52">
        <w:t xml:space="preserve">“Share of Pharmaceutical Revenue Worldwide in 2017, by Country,” Statista, 2017, accessed March 5, 2019, </w:t>
      </w:r>
      <w:hyperlink r:id="rId3" w:history="1">
        <w:r w:rsidRPr="001D1E52">
          <w:rPr>
            <w:rStyle w:val="Hyperlink"/>
            <w:color w:val="auto"/>
            <w:u w:val="none"/>
          </w:rPr>
          <w:t>www.statista.com/statistics/784420/share-of-worldwide-pharma-revenue-by-country/</w:t>
        </w:r>
      </w:hyperlink>
      <w:r w:rsidRPr="001D1E52">
        <w:t>.</w:t>
      </w:r>
    </w:p>
  </w:footnote>
  <w:footnote w:id="19">
    <w:p w14:paraId="68CF3AF7" w14:textId="6E091420" w:rsidR="004A6323" w:rsidRPr="001D1E52" w:rsidRDefault="004A6323" w:rsidP="001D1E52">
      <w:pPr>
        <w:pStyle w:val="Footnote"/>
        <w:jc w:val="both"/>
      </w:pPr>
      <w:r w:rsidRPr="001D1E52">
        <w:rPr>
          <w:rStyle w:val="FootnoteReference"/>
        </w:rPr>
        <w:footnoteRef/>
      </w:r>
      <w:r w:rsidRPr="001D1E52">
        <w:t xml:space="preserve"> John Engle, “Synergy Pharmaceuticals Is Facing a Shareholder Revolt—Good,” Seeking Alpha, May 1, 2018, accessed June 1, 2018, https://seekingalpha.com/article/4167869-synergy-pharmaceuticals-facing-shareholder-revolt-good; Jose Solario, “Activist Group Strikes Down Key Proposals at Synergy Pharma,” Seeking Alpha, June 18, 2018, accessed March 6, 2019, </w:t>
      </w:r>
      <w:r w:rsidRPr="001D1E52">
        <w:rPr>
          <w:rStyle w:val="Hyperlink"/>
          <w:color w:val="auto"/>
          <w:u w:val="none"/>
        </w:rPr>
        <w:t>https://seekingalpha.com/article/4182396-activist-group-strikes-key-proposals-synergy-pharma.</w:t>
      </w:r>
    </w:p>
  </w:footnote>
  <w:footnote w:id="20">
    <w:p w14:paraId="3E090C8D" w14:textId="48F7CCF3" w:rsidR="004A6323" w:rsidRPr="001D1E52" w:rsidRDefault="004A6323" w:rsidP="001D1E52">
      <w:pPr>
        <w:pStyle w:val="Footnote"/>
        <w:jc w:val="both"/>
      </w:pPr>
      <w:r w:rsidRPr="001D1E52">
        <w:rPr>
          <w:rStyle w:val="FootnoteReference"/>
        </w:rPr>
        <w:footnoteRef/>
      </w:r>
      <w:r w:rsidRPr="001D1E52">
        <w:t xml:space="preserve"> Synergy Pharmaceuticals, Form 10-K, Annual Report for the Fiscal Year Ended December 31, 2017</w:t>
      </w:r>
      <w:r w:rsidR="001D1E52">
        <w:t>, accessed February 13, </w:t>
      </w:r>
      <w:r w:rsidRPr="001D1E52">
        <w:t>2019,</w:t>
      </w:r>
      <w:r w:rsidR="001D1E52">
        <w:t> </w:t>
      </w:r>
      <w:r w:rsidR="001D1E52" w:rsidRPr="001D1E52">
        <w:t>https://ir.synergypharma.com/all-sec-filings/content/0001347613-18-000003/sgyp-</w:t>
      </w:r>
      <w:r w:rsidR="001D1E52">
        <w:t xml:space="preserve">123117x10k.htm?TB_iframe=tru </w:t>
      </w:r>
      <w:r w:rsidRPr="001D1E52">
        <w:t>e&amp;height=auto&amp;width=auto&amp;preload=false.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1272EA" w14:textId="26D02165" w:rsidR="004A6323" w:rsidRPr="00C92CC4" w:rsidRDefault="004A6323"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F1274A">
      <w:rPr>
        <w:rFonts w:ascii="Arial" w:hAnsi="Arial"/>
        <w:b/>
        <w:noProof/>
      </w:rPr>
      <w:t>11</w:t>
    </w:r>
    <w:r>
      <w:rPr>
        <w:rFonts w:ascii="Arial" w:hAnsi="Arial"/>
        <w:b/>
      </w:rPr>
      <w:fldChar w:fldCharType="end"/>
    </w:r>
    <w:r w:rsidR="001D1E52">
      <w:rPr>
        <w:rFonts w:ascii="Arial" w:hAnsi="Arial"/>
        <w:b/>
      </w:rPr>
      <w:tab/>
      <w:t>9B19M026</w:t>
    </w:r>
  </w:p>
  <w:p w14:paraId="19CF7BBD" w14:textId="77777777" w:rsidR="004A6323" w:rsidRDefault="004A6323" w:rsidP="00D13667">
    <w:pPr>
      <w:pStyle w:val="Header"/>
      <w:tabs>
        <w:tab w:val="clear" w:pos="4680"/>
      </w:tabs>
      <w:rPr>
        <w:sz w:val="18"/>
        <w:szCs w:val="18"/>
      </w:rPr>
    </w:pPr>
  </w:p>
  <w:p w14:paraId="47CAB789" w14:textId="77777777" w:rsidR="004A6323" w:rsidRPr="00C92CC4" w:rsidRDefault="004A6323"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B18BF8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B8AA74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62678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E6029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BBA2EF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CD6FC1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3AAE25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5D6C0A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C127B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A6E6E4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787485"/>
    <w:multiLevelType w:val="hybridMultilevel"/>
    <w:tmpl w:val="D2AC89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D3109A"/>
    <w:multiLevelType w:val="hybridMultilevel"/>
    <w:tmpl w:val="4282D7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3130A46"/>
    <w:multiLevelType w:val="hybridMultilevel"/>
    <w:tmpl w:val="94C036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9"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496A82"/>
    <w:multiLevelType w:val="hybridMultilevel"/>
    <w:tmpl w:val="7ED638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775C25"/>
    <w:multiLevelType w:val="hybridMultilevel"/>
    <w:tmpl w:val="95D823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37"/>
  </w:num>
  <w:num w:numId="3">
    <w:abstractNumId w:val="35"/>
  </w:num>
  <w:num w:numId="4">
    <w:abstractNumId w:val="16"/>
  </w:num>
  <w:num w:numId="5">
    <w:abstractNumId w:val="28"/>
  </w:num>
  <w:num w:numId="6">
    <w:abstractNumId w:val="32"/>
  </w:num>
  <w:num w:numId="7">
    <w:abstractNumId w:val="25"/>
  </w:num>
  <w:num w:numId="8">
    <w:abstractNumId w:val="33"/>
  </w:num>
  <w:num w:numId="9">
    <w:abstractNumId w:val="12"/>
  </w:num>
  <w:num w:numId="10">
    <w:abstractNumId w:val="20"/>
  </w:num>
  <w:num w:numId="11">
    <w:abstractNumId w:val="13"/>
  </w:num>
  <w:num w:numId="12">
    <w:abstractNumId w:val="39"/>
  </w:num>
  <w:num w:numId="13">
    <w:abstractNumId w:val="17"/>
  </w:num>
  <w:num w:numId="14">
    <w:abstractNumId w:val="31"/>
  </w:num>
  <w:num w:numId="15">
    <w:abstractNumId w:val="40"/>
  </w:num>
  <w:num w:numId="16">
    <w:abstractNumId w:val="19"/>
  </w:num>
  <w:num w:numId="17">
    <w:abstractNumId w:val="27"/>
  </w:num>
  <w:num w:numId="18">
    <w:abstractNumId w:val="18"/>
  </w:num>
  <w:num w:numId="19">
    <w:abstractNumId w:val="23"/>
  </w:num>
  <w:num w:numId="20">
    <w:abstractNumId w:val="38"/>
  </w:num>
  <w:num w:numId="21">
    <w:abstractNumId w:val="29"/>
  </w:num>
  <w:num w:numId="22">
    <w:abstractNumId w:val="30"/>
  </w:num>
  <w:num w:numId="23">
    <w:abstractNumId w:val="10"/>
  </w:num>
  <w:num w:numId="24">
    <w:abstractNumId w:val="15"/>
  </w:num>
  <w:num w:numId="25">
    <w:abstractNumId w:val="42"/>
  </w:num>
  <w:num w:numId="26">
    <w:abstractNumId w:val="43"/>
  </w:num>
  <w:num w:numId="27">
    <w:abstractNumId w:val="21"/>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6"/>
  </w:num>
  <w:num w:numId="39">
    <w:abstractNumId w:val="26"/>
  </w:num>
  <w:num w:numId="40">
    <w:abstractNumId w:val="22"/>
  </w:num>
  <w:num w:numId="41">
    <w:abstractNumId w:val="34"/>
  </w:num>
  <w:num w:numId="42">
    <w:abstractNumId w:val="11"/>
  </w:num>
  <w:num w:numId="43">
    <w:abstractNumId w:val="41"/>
  </w:num>
  <w:num w:numId="44">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dit="trackedChanges" w:enforcement="0"/>
  <w:defaultTabStop w:val="720"/>
  <w:characterSpacingControl w:val="doNotCompress"/>
  <w:hdrShapeDefaults>
    <o:shapedefaults v:ext="edit" spidmax="1228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3919"/>
    <w:rsid w:val="00010851"/>
    <w:rsid w:val="00011549"/>
    <w:rsid w:val="00013360"/>
    <w:rsid w:val="00016759"/>
    <w:rsid w:val="000216CE"/>
    <w:rsid w:val="00024ED4"/>
    <w:rsid w:val="00025DC7"/>
    <w:rsid w:val="000327F2"/>
    <w:rsid w:val="00035F09"/>
    <w:rsid w:val="00044ECC"/>
    <w:rsid w:val="00044FEC"/>
    <w:rsid w:val="00051437"/>
    <w:rsid w:val="000531D3"/>
    <w:rsid w:val="0005646B"/>
    <w:rsid w:val="0008102D"/>
    <w:rsid w:val="00081E9E"/>
    <w:rsid w:val="00094C0E"/>
    <w:rsid w:val="000C5631"/>
    <w:rsid w:val="000D3813"/>
    <w:rsid w:val="000D7091"/>
    <w:rsid w:val="000E1014"/>
    <w:rsid w:val="000E21DE"/>
    <w:rsid w:val="000F0C22"/>
    <w:rsid w:val="000F4210"/>
    <w:rsid w:val="000F6B09"/>
    <w:rsid w:val="000F6FDC"/>
    <w:rsid w:val="000F7114"/>
    <w:rsid w:val="00101001"/>
    <w:rsid w:val="001038E9"/>
    <w:rsid w:val="00104567"/>
    <w:rsid w:val="00104916"/>
    <w:rsid w:val="00104AA7"/>
    <w:rsid w:val="00115D15"/>
    <w:rsid w:val="0012062E"/>
    <w:rsid w:val="0012732D"/>
    <w:rsid w:val="00143EBC"/>
    <w:rsid w:val="00143F25"/>
    <w:rsid w:val="00145DB4"/>
    <w:rsid w:val="001463C9"/>
    <w:rsid w:val="00152682"/>
    <w:rsid w:val="00154FC9"/>
    <w:rsid w:val="00156791"/>
    <w:rsid w:val="00157674"/>
    <w:rsid w:val="001729A7"/>
    <w:rsid w:val="0019241A"/>
    <w:rsid w:val="001A22D1"/>
    <w:rsid w:val="001A752D"/>
    <w:rsid w:val="001A757E"/>
    <w:rsid w:val="001B5032"/>
    <w:rsid w:val="001C5A37"/>
    <w:rsid w:val="001C7777"/>
    <w:rsid w:val="001D1E52"/>
    <w:rsid w:val="001E364F"/>
    <w:rsid w:val="001E38E4"/>
    <w:rsid w:val="001F4222"/>
    <w:rsid w:val="00203AA1"/>
    <w:rsid w:val="002043ED"/>
    <w:rsid w:val="00204DDB"/>
    <w:rsid w:val="00213E98"/>
    <w:rsid w:val="00213E9E"/>
    <w:rsid w:val="0023081A"/>
    <w:rsid w:val="00231749"/>
    <w:rsid w:val="00252306"/>
    <w:rsid w:val="00253F7D"/>
    <w:rsid w:val="00270283"/>
    <w:rsid w:val="002C045E"/>
    <w:rsid w:val="002D0499"/>
    <w:rsid w:val="002D0956"/>
    <w:rsid w:val="002D482D"/>
    <w:rsid w:val="002E2A65"/>
    <w:rsid w:val="002F460C"/>
    <w:rsid w:val="002F48D6"/>
    <w:rsid w:val="00300AD7"/>
    <w:rsid w:val="00304C76"/>
    <w:rsid w:val="00305A4E"/>
    <w:rsid w:val="003062D6"/>
    <w:rsid w:val="00310087"/>
    <w:rsid w:val="00317391"/>
    <w:rsid w:val="0032359A"/>
    <w:rsid w:val="003258B8"/>
    <w:rsid w:val="00326216"/>
    <w:rsid w:val="003329D8"/>
    <w:rsid w:val="00336580"/>
    <w:rsid w:val="0035108E"/>
    <w:rsid w:val="00354899"/>
    <w:rsid w:val="00355FD6"/>
    <w:rsid w:val="00364A5C"/>
    <w:rsid w:val="003706D0"/>
    <w:rsid w:val="00372D53"/>
    <w:rsid w:val="00373FB1"/>
    <w:rsid w:val="00386112"/>
    <w:rsid w:val="00396C76"/>
    <w:rsid w:val="003A7B1E"/>
    <w:rsid w:val="003B30D8"/>
    <w:rsid w:val="003B454A"/>
    <w:rsid w:val="003B73D0"/>
    <w:rsid w:val="003B7EF2"/>
    <w:rsid w:val="003C3FA4"/>
    <w:rsid w:val="003D033C"/>
    <w:rsid w:val="003D0BA1"/>
    <w:rsid w:val="003D660E"/>
    <w:rsid w:val="003E06A5"/>
    <w:rsid w:val="003F2B0C"/>
    <w:rsid w:val="00404DC0"/>
    <w:rsid w:val="004105B2"/>
    <w:rsid w:val="00412900"/>
    <w:rsid w:val="004221E4"/>
    <w:rsid w:val="004273F8"/>
    <w:rsid w:val="00433C09"/>
    <w:rsid w:val="004355A3"/>
    <w:rsid w:val="004429CE"/>
    <w:rsid w:val="00442A70"/>
    <w:rsid w:val="00446546"/>
    <w:rsid w:val="00452769"/>
    <w:rsid w:val="00465348"/>
    <w:rsid w:val="004705F0"/>
    <w:rsid w:val="004707FF"/>
    <w:rsid w:val="0047439B"/>
    <w:rsid w:val="004843CD"/>
    <w:rsid w:val="00494DAA"/>
    <w:rsid w:val="004A226D"/>
    <w:rsid w:val="004A6323"/>
    <w:rsid w:val="004A7A97"/>
    <w:rsid w:val="004B0109"/>
    <w:rsid w:val="004B1CCB"/>
    <w:rsid w:val="004B632F"/>
    <w:rsid w:val="004B6DAB"/>
    <w:rsid w:val="004D3FB1"/>
    <w:rsid w:val="004D6F21"/>
    <w:rsid w:val="004D73A5"/>
    <w:rsid w:val="004F6BA1"/>
    <w:rsid w:val="004F7668"/>
    <w:rsid w:val="005160F1"/>
    <w:rsid w:val="0052127A"/>
    <w:rsid w:val="00524F2F"/>
    <w:rsid w:val="00527E5C"/>
    <w:rsid w:val="00532CF5"/>
    <w:rsid w:val="00542153"/>
    <w:rsid w:val="00544DAE"/>
    <w:rsid w:val="00552168"/>
    <w:rsid w:val="005528CB"/>
    <w:rsid w:val="00566771"/>
    <w:rsid w:val="00572F96"/>
    <w:rsid w:val="00581E2E"/>
    <w:rsid w:val="00584F15"/>
    <w:rsid w:val="00594911"/>
    <w:rsid w:val="0059514B"/>
    <w:rsid w:val="005A00BC"/>
    <w:rsid w:val="005A1B0F"/>
    <w:rsid w:val="005A6EAB"/>
    <w:rsid w:val="005A78CE"/>
    <w:rsid w:val="005E29D9"/>
    <w:rsid w:val="0061131B"/>
    <w:rsid w:val="006163F7"/>
    <w:rsid w:val="00616BDA"/>
    <w:rsid w:val="0062779E"/>
    <w:rsid w:val="00627C63"/>
    <w:rsid w:val="0063350B"/>
    <w:rsid w:val="00652606"/>
    <w:rsid w:val="0068747F"/>
    <w:rsid w:val="006946EE"/>
    <w:rsid w:val="006A544E"/>
    <w:rsid w:val="006A58A9"/>
    <w:rsid w:val="006A606D"/>
    <w:rsid w:val="006B004B"/>
    <w:rsid w:val="006C0371"/>
    <w:rsid w:val="006C08B6"/>
    <w:rsid w:val="006C0B1A"/>
    <w:rsid w:val="006C6065"/>
    <w:rsid w:val="006C7F9F"/>
    <w:rsid w:val="006E2F6D"/>
    <w:rsid w:val="006E58F6"/>
    <w:rsid w:val="006E68A4"/>
    <w:rsid w:val="006E77E1"/>
    <w:rsid w:val="006F131D"/>
    <w:rsid w:val="00711642"/>
    <w:rsid w:val="0072214D"/>
    <w:rsid w:val="00724C6A"/>
    <w:rsid w:val="007416D1"/>
    <w:rsid w:val="007470DC"/>
    <w:rsid w:val="007507C6"/>
    <w:rsid w:val="00751E0B"/>
    <w:rsid w:val="00752BCD"/>
    <w:rsid w:val="00765CFC"/>
    <w:rsid w:val="00766DA1"/>
    <w:rsid w:val="00772A8F"/>
    <w:rsid w:val="00780D94"/>
    <w:rsid w:val="00780FBB"/>
    <w:rsid w:val="00783397"/>
    <w:rsid w:val="007866A6"/>
    <w:rsid w:val="007907BB"/>
    <w:rsid w:val="007A130D"/>
    <w:rsid w:val="007C00AA"/>
    <w:rsid w:val="007C66BC"/>
    <w:rsid w:val="007D1A2D"/>
    <w:rsid w:val="007D4102"/>
    <w:rsid w:val="007E118A"/>
    <w:rsid w:val="007E7BAD"/>
    <w:rsid w:val="007F43B7"/>
    <w:rsid w:val="00821FFC"/>
    <w:rsid w:val="008271CA"/>
    <w:rsid w:val="008278BC"/>
    <w:rsid w:val="008318A9"/>
    <w:rsid w:val="008467D5"/>
    <w:rsid w:val="00850A5B"/>
    <w:rsid w:val="00852DDA"/>
    <w:rsid w:val="00870B30"/>
    <w:rsid w:val="00881453"/>
    <w:rsid w:val="008874FC"/>
    <w:rsid w:val="0089100C"/>
    <w:rsid w:val="008A4DC4"/>
    <w:rsid w:val="008B438C"/>
    <w:rsid w:val="008C10B0"/>
    <w:rsid w:val="008D06CA"/>
    <w:rsid w:val="008D1AD4"/>
    <w:rsid w:val="008D3A46"/>
    <w:rsid w:val="008E2014"/>
    <w:rsid w:val="009067A4"/>
    <w:rsid w:val="009167AB"/>
    <w:rsid w:val="009168F3"/>
    <w:rsid w:val="009221EE"/>
    <w:rsid w:val="00926753"/>
    <w:rsid w:val="009301D4"/>
    <w:rsid w:val="00930885"/>
    <w:rsid w:val="00931A9C"/>
    <w:rsid w:val="00933D68"/>
    <w:rsid w:val="009340DB"/>
    <w:rsid w:val="009449DF"/>
    <w:rsid w:val="0094618C"/>
    <w:rsid w:val="00947F6C"/>
    <w:rsid w:val="00951646"/>
    <w:rsid w:val="009522DB"/>
    <w:rsid w:val="0095333B"/>
    <w:rsid w:val="0095684B"/>
    <w:rsid w:val="0096459D"/>
    <w:rsid w:val="00972498"/>
    <w:rsid w:val="0097481F"/>
    <w:rsid w:val="00974CC6"/>
    <w:rsid w:val="00976AD4"/>
    <w:rsid w:val="00980100"/>
    <w:rsid w:val="00990B69"/>
    <w:rsid w:val="00992024"/>
    <w:rsid w:val="00995547"/>
    <w:rsid w:val="009A312F"/>
    <w:rsid w:val="009A5348"/>
    <w:rsid w:val="009B0AB7"/>
    <w:rsid w:val="009B57F1"/>
    <w:rsid w:val="009B70EF"/>
    <w:rsid w:val="009B773A"/>
    <w:rsid w:val="009C76D5"/>
    <w:rsid w:val="009F7AA4"/>
    <w:rsid w:val="00A10AD7"/>
    <w:rsid w:val="00A11413"/>
    <w:rsid w:val="00A473D7"/>
    <w:rsid w:val="00A559DB"/>
    <w:rsid w:val="00A569EA"/>
    <w:rsid w:val="00A91306"/>
    <w:rsid w:val="00A914D1"/>
    <w:rsid w:val="00AA4D87"/>
    <w:rsid w:val="00AB7581"/>
    <w:rsid w:val="00AD3700"/>
    <w:rsid w:val="00AF30DA"/>
    <w:rsid w:val="00AF35FC"/>
    <w:rsid w:val="00AF5556"/>
    <w:rsid w:val="00B02D55"/>
    <w:rsid w:val="00B03639"/>
    <w:rsid w:val="00B054E9"/>
    <w:rsid w:val="00B0652A"/>
    <w:rsid w:val="00B24FA7"/>
    <w:rsid w:val="00B4009A"/>
    <w:rsid w:val="00B40937"/>
    <w:rsid w:val="00B414E8"/>
    <w:rsid w:val="00B423EF"/>
    <w:rsid w:val="00B453DE"/>
    <w:rsid w:val="00B53D84"/>
    <w:rsid w:val="00B57FA1"/>
    <w:rsid w:val="00B72597"/>
    <w:rsid w:val="00B77634"/>
    <w:rsid w:val="00B901F9"/>
    <w:rsid w:val="00B965FA"/>
    <w:rsid w:val="00BA0020"/>
    <w:rsid w:val="00BA07B1"/>
    <w:rsid w:val="00BD6EFB"/>
    <w:rsid w:val="00C12EEA"/>
    <w:rsid w:val="00C1584D"/>
    <w:rsid w:val="00C15BE2"/>
    <w:rsid w:val="00C3447F"/>
    <w:rsid w:val="00C655EF"/>
    <w:rsid w:val="00C67102"/>
    <w:rsid w:val="00C81491"/>
    <w:rsid w:val="00C81676"/>
    <w:rsid w:val="00C85C5D"/>
    <w:rsid w:val="00C92CC4"/>
    <w:rsid w:val="00CA0AFB"/>
    <w:rsid w:val="00CA2CE1"/>
    <w:rsid w:val="00CA3976"/>
    <w:rsid w:val="00CA50E3"/>
    <w:rsid w:val="00CA757B"/>
    <w:rsid w:val="00CC1787"/>
    <w:rsid w:val="00CC182C"/>
    <w:rsid w:val="00CC1ECE"/>
    <w:rsid w:val="00CD0824"/>
    <w:rsid w:val="00CD2908"/>
    <w:rsid w:val="00CE5A52"/>
    <w:rsid w:val="00CE7194"/>
    <w:rsid w:val="00CF4407"/>
    <w:rsid w:val="00D03054"/>
    <w:rsid w:val="00D03A82"/>
    <w:rsid w:val="00D13667"/>
    <w:rsid w:val="00D15344"/>
    <w:rsid w:val="00D20F17"/>
    <w:rsid w:val="00D23F57"/>
    <w:rsid w:val="00D31BEC"/>
    <w:rsid w:val="00D32052"/>
    <w:rsid w:val="00D552D1"/>
    <w:rsid w:val="00D61321"/>
    <w:rsid w:val="00D63150"/>
    <w:rsid w:val="00D636BA"/>
    <w:rsid w:val="00D63A27"/>
    <w:rsid w:val="00D6476B"/>
    <w:rsid w:val="00D64A32"/>
    <w:rsid w:val="00D64EFC"/>
    <w:rsid w:val="00D65015"/>
    <w:rsid w:val="00D6645B"/>
    <w:rsid w:val="00D67055"/>
    <w:rsid w:val="00D75295"/>
    <w:rsid w:val="00D76CE9"/>
    <w:rsid w:val="00D94B5B"/>
    <w:rsid w:val="00D97F12"/>
    <w:rsid w:val="00DA6095"/>
    <w:rsid w:val="00DB42E7"/>
    <w:rsid w:val="00DB4EBA"/>
    <w:rsid w:val="00DD3BCD"/>
    <w:rsid w:val="00DD7715"/>
    <w:rsid w:val="00DE01A6"/>
    <w:rsid w:val="00DE1F32"/>
    <w:rsid w:val="00DE7A98"/>
    <w:rsid w:val="00DE7CF4"/>
    <w:rsid w:val="00DF32C2"/>
    <w:rsid w:val="00E27F66"/>
    <w:rsid w:val="00E426BB"/>
    <w:rsid w:val="00E46216"/>
    <w:rsid w:val="00E471A7"/>
    <w:rsid w:val="00E635CF"/>
    <w:rsid w:val="00E651AC"/>
    <w:rsid w:val="00E71836"/>
    <w:rsid w:val="00E7738D"/>
    <w:rsid w:val="00E8440A"/>
    <w:rsid w:val="00EA0FCB"/>
    <w:rsid w:val="00EB13A4"/>
    <w:rsid w:val="00EC23C9"/>
    <w:rsid w:val="00EC6E0A"/>
    <w:rsid w:val="00ED4E18"/>
    <w:rsid w:val="00ED5338"/>
    <w:rsid w:val="00ED7D34"/>
    <w:rsid w:val="00EE1F37"/>
    <w:rsid w:val="00EE4594"/>
    <w:rsid w:val="00EE4DC2"/>
    <w:rsid w:val="00EF437C"/>
    <w:rsid w:val="00EF5681"/>
    <w:rsid w:val="00F003C7"/>
    <w:rsid w:val="00F0159C"/>
    <w:rsid w:val="00F105B7"/>
    <w:rsid w:val="00F1274A"/>
    <w:rsid w:val="00F13220"/>
    <w:rsid w:val="00F16E96"/>
    <w:rsid w:val="00F17A21"/>
    <w:rsid w:val="00F23283"/>
    <w:rsid w:val="00F23297"/>
    <w:rsid w:val="00F37B27"/>
    <w:rsid w:val="00F46556"/>
    <w:rsid w:val="00F47F0D"/>
    <w:rsid w:val="00F50E91"/>
    <w:rsid w:val="00F57D29"/>
    <w:rsid w:val="00F84F60"/>
    <w:rsid w:val="00F96201"/>
    <w:rsid w:val="00F97F68"/>
    <w:rsid w:val="00FA149A"/>
    <w:rsid w:val="00FB196A"/>
    <w:rsid w:val="00FB6D64"/>
    <w:rsid w:val="00FC3FFA"/>
    <w:rsid w:val="00FD0B18"/>
    <w:rsid w:val="00FD2FAD"/>
    <w:rsid w:val="00FE596A"/>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20F7BE2"/>
  <w15:docId w15:val="{B332D785-A780-4C6D-A38E-8967D0C7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lsdException w:name="heading 2" w:semiHidden="1" w:uiPriority="9" w:unhideWhenUsed="1"/>
    <w:lsdException w:name="heading 3" w:semiHidden="1" w:uiPriority="9" w:unhideWhenUsed="1"/>
    <w:lsdException w:name="heading 4" w:semiHidden="1" w:uiPriority="0" w:unhideWhenUsed="1"/>
    <w:lsdException w:name="heading 5" w:semiHidden="1" w:uiPriority="0" w:unhideWhenUsed="1"/>
    <w:lsdException w:name="heading 6" w:semiHidden="1" w:uiPriority="9"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23283"/>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rsid w:val="004273F8"/>
    <w:pPr>
      <w:keepNext/>
      <w:outlineLvl w:val="6"/>
    </w:pPr>
    <w:rPr>
      <w:b/>
      <w:bCs/>
      <w:sz w:val="24"/>
      <w:szCs w:val="24"/>
      <w:lang w:eastAsia="x-none"/>
    </w:rPr>
  </w:style>
  <w:style w:type="paragraph" w:styleId="Heading8">
    <w:name w:val="heading 8"/>
    <w:basedOn w:val="Normal"/>
    <w:next w:val="Normal"/>
    <w:link w:val="Heading8Char"/>
    <w:rsid w:val="00711642"/>
    <w:pPr>
      <w:tabs>
        <w:tab w:val="left" w:pos="0"/>
      </w:tabs>
      <w:jc w:val="center"/>
      <w:outlineLvl w:val="7"/>
    </w:pPr>
    <w:rPr>
      <w:b/>
      <w:sz w:val="18"/>
      <w:lang w:val="en-AU"/>
    </w:rPr>
  </w:style>
  <w:style w:type="paragraph" w:styleId="Heading9">
    <w:name w:val="heading 9"/>
    <w:basedOn w:val="Normal"/>
    <w:next w:val="Normal"/>
    <w:link w:val="Heading9Char"/>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next w:val="BodyTextMain"/>
    <w:link w:val="Casehead1Char"/>
    <w:qFormat/>
    <w:rsid w:val="00F23283"/>
    <w:pPr>
      <w:keepNext/>
    </w:pPr>
    <w:rPr>
      <w:rFonts w:ascii="Arial" w:hAnsi="Arial" w:cs="Arial"/>
      <w:b/>
      <w:caps/>
      <w:sz w:val="20"/>
      <w:szCs w:val="20"/>
    </w:rPr>
  </w:style>
  <w:style w:type="character" w:customStyle="1" w:styleId="Casehead1Char">
    <w:name w:val="Casehead 1 Char"/>
    <w:basedOn w:val="BodyTextMainChar"/>
    <w:link w:val="Casehead1"/>
    <w:rsid w:val="00F23283"/>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semiHidden/>
    <w:unhideWhenUsed/>
    <w:rsid w:val="003B454A"/>
  </w:style>
  <w:style w:type="character" w:customStyle="1" w:styleId="FootnoteTextChar">
    <w:name w:val="Footnote Text Char"/>
    <w:basedOn w:val="DefaultParagraphFont"/>
    <w:link w:val="FootnoteText"/>
    <w:semiHidden/>
    <w:rsid w:val="003B454A"/>
    <w:rPr>
      <w:rFonts w:ascii="Times New Roman" w:eastAsia="Times New Roman" w:hAnsi="Times New Roman" w:cs="Times New Roman"/>
      <w:sz w:val="20"/>
      <w:szCs w:val="20"/>
      <w:lang w:val="en-GB"/>
    </w:rPr>
  </w:style>
  <w:style w:type="character" w:styleId="FootnoteReference">
    <w:name w:val="footnote reference"/>
    <w:basedOn w:val="DefaultParagraphFont"/>
    <w:uiPriority w:val="99"/>
    <w:unhideWhenUsed/>
    <w:qFormat/>
    <w:rsid w:val="00EF437C"/>
    <w:rPr>
      <w:b w:val="0"/>
      <w:color w:val="auto"/>
      <w:vertAlign w:val="superscript"/>
    </w:rPr>
  </w:style>
  <w:style w:type="paragraph" w:customStyle="1" w:styleId="Footnote">
    <w:name w:val="Footnote"/>
    <w:basedOn w:val="Normal"/>
    <w:link w:val="FootnoteChar"/>
    <w:qFormat/>
    <w:rsid w:val="00F23283"/>
    <w:rPr>
      <w:rFonts w:ascii="Arial" w:hAnsi="Arial" w:cs="Arial"/>
      <w:sz w:val="17"/>
      <w:szCs w:val="17"/>
    </w:rPr>
  </w:style>
  <w:style w:type="character" w:customStyle="1" w:styleId="FootnoteChar">
    <w:name w:val="Footnote Char"/>
    <w:basedOn w:val="DefaultParagraphFont"/>
    <w:link w:val="Footnote"/>
    <w:rsid w:val="00F23283"/>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next w:val="ExhibitText"/>
    <w:link w:val="ExhibitHeadingChar"/>
    <w:qFormat/>
    <w:rsid w:val="00F23283"/>
    <w:pPr>
      <w:keepNext/>
      <w:jc w:val="center"/>
    </w:pPr>
    <w:rPr>
      <w:rFonts w:ascii="Arial" w:hAnsi="Arial" w:cs="Arial"/>
      <w:b/>
      <w:caps/>
      <w:sz w:val="20"/>
      <w:szCs w:val="20"/>
    </w:rPr>
  </w:style>
  <w:style w:type="character" w:customStyle="1" w:styleId="ExhibitHeadingChar">
    <w:name w:val="Exhibit Heading Char"/>
    <w:basedOn w:val="BodyTextMainChar"/>
    <w:link w:val="ExhibitHeading"/>
    <w:rsid w:val="00F23283"/>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styleId="Strong">
    <w:name w:val="Strong"/>
    <w:uiPriority w:val="22"/>
    <w:rsid w:val="004273F8"/>
    <w:rPr>
      <w:b/>
      <w:bCs/>
    </w:rPr>
  </w:style>
  <w:style w:type="character" w:styleId="IntenseReference">
    <w:name w:val="Intense Reference"/>
    <w:uiPriority w:val="32"/>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character" w:customStyle="1" w:styleId="UnresolvedMention">
    <w:name w:val="Unresolved Mention"/>
    <w:basedOn w:val="DefaultParagraphFont"/>
    <w:uiPriority w:val="99"/>
    <w:semiHidden/>
    <w:unhideWhenUsed/>
    <w:rsid w:val="00304C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9591279">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statista.com/statistics/784420/share-of-worldwide-pharma-revenue-by-country/" TargetMode="External"/><Relationship Id="rId2" Type="http://schemas.openxmlformats.org/officeDocument/2006/relationships/hyperlink" Target="https://www.globenewswire.com/news-release/2017/11/01/1172068/0/en/Sucampo-Reports-Third-Quarter-2017-Financial-Results.html" TargetMode="External"/><Relationship Id="rId1" Type="http://schemas.openxmlformats.org/officeDocument/2006/relationships/hyperlink" Target="https://ir.synergypharma.com/press-releases/detail/1861/synergy-pharmaceuticals-announces-fda-approval-of"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wandrews\Documents\Research\Synergy%20Pharma%20case\spreadsheet%20for%20stock%20price%20and%20weekly%20sales.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sz="1000" b="1" i="0" u="none" strike="noStrike" kern="1200" spc="0" baseline="0">
                <a:solidFill>
                  <a:sysClr val="windowText" lastClr="000000">
                    <a:lumMod val="65000"/>
                    <a:lumOff val="35000"/>
                  </a:sysClr>
                </a:solidFill>
                <a:latin typeface="Arial" panose="020B0604020202020204" pitchFamily="34" charset="0"/>
                <a:ea typeface="+mn-ea"/>
                <a:cs typeface="Arial" panose="020B0604020202020204" pitchFamily="34" charset="0"/>
              </a:rPr>
              <a:t> </a:t>
            </a:r>
            <a:r>
              <a:rPr lang="en-US" sz="1000" b="1">
                <a:latin typeface="Arial" panose="020B0604020202020204" pitchFamily="34" charset="0"/>
                <a:cs typeface="Arial" panose="020B0604020202020204" pitchFamily="34" charset="0"/>
              </a:rPr>
              <a:t>Synergy Stock Price: January 2016—September 2018</a:t>
            </a:r>
          </a:p>
        </c:rich>
      </c:tx>
      <c:layout>
        <c:manualLayout>
          <c:xMode val="edge"/>
          <c:yMode val="edge"/>
          <c:x val="0.21512228585063237"/>
          <c:y val="3.1986531986531987E-2"/>
        </c:manualLayout>
      </c:layout>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autoTitleDeleted val="0"/>
    <c:plotArea>
      <c:layout/>
      <c:lineChart>
        <c:grouping val="stacked"/>
        <c:varyColors val="0"/>
        <c:ser>
          <c:idx val="0"/>
          <c:order val="0"/>
          <c:spPr>
            <a:ln w="28575" cap="rnd">
              <a:solidFill>
                <a:sysClr val="windowText" lastClr="000000"/>
              </a:solidFill>
              <a:round/>
            </a:ln>
            <a:effectLst/>
          </c:spPr>
          <c:marker>
            <c:symbol val="none"/>
          </c:marker>
          <c:cat>
            <c:numRef>
              <c:f>Sheet1!$B$91:$B$123</c:f>
              <c:numCache>
                <c:formatCode>mmm\-yy</c:formatCode>
                <c:ptCount val="33"/>
                <c:pt idx="0">
                  <c:v>42370</c:v>
                </c:pt>
                <c:pt idx="1">
                  <c:v>42401</c:v>
                </c:pt>
                <c:pt idx="2">
                  <c:v>42430</c:v>
                </c:pt>
                <c:pt idx="3">
                  <c:v>42461</c:v>
                </c:pt>
                <c:pt idx="4">
                  <c:v>42491</c:v>
                </c:pt>
                <c:pt idx="5">
                  <c:v>42522</c:v>
                </c:pt>
                <c:pt idx="6">
                  <c:v>42552</c:v>
                </c:pt>
                <c:pt idx="7">
                  <c:v>42583</c:v>
                </c:pt>
                <c:pt idx="8">
                  <c:v>42614</c:v>
                </c:pt>
                <c:pt idx="9">
                  <c:v>42644</c:v>
                </c:pt>
                <c:pt idx="10">
                  <c:v>42675</c:v>
                </c:pt>
                <c:pt idx="11">
                  <c:v>42705</c:v>
                </c:pt>
                <c:pt idx="12">
                  <c:v>42736</c:v>
                </c:pt>
                <c:pt idx="13">
                  <c:v>42767</c:v>
                </c:pt>
                <c:pt idx="14">
                  <c:v>42795</c:v>
                </c:pt>
                <c:pt idx="15">
                  <c:v>42826</c:v>
                </c:pt>
                <c:pt idx="16">
                  <c:v>42856</c:v>
                </c:pt>
                <c:pt idx="17">
                  <c:v>42887</c:v>
                </c:pt>
                <c:pt idx="18">
                  <c:v>42917</c:v>
                </c:pt>
                <c:pt idx="19">
                  <c:v>42948</c:v>
                </c:pt>
                <c:pt idx="20">
                  <c:v>42979</c:v>
                </c:pt>
                <c:pt idx="21">
                  <c:v>43009</c:v>
                </c:pt>
                <c:pt idx="22">
                  <c:v>43040</c:v>
                </c:pt>
                <c:pt idx="23">
                  <c:v>43070</c:v>
                </c:pt>
                <c:pt idx="24">
                  <c:v>43101</c:v>
                </c:pt>
                <c:pt idx="25">
                  <c:v>43132</c:v>
                </c:pt>
                <c:pt idx="26">
                  <c:v>43160</c:v>
                </c:pt>
                <c:pt idx="27">
                  <c:v>43191</c:v>
                </c:pt>
                <c:pt idx="28">
                  <c:v>43221</c:v>
                </c:pt>
                <c:pt idx="29">
                  <c:v>43252</c:v>
                </c:pt>
                <c:pt idx="30">
                  <c:v>43282</c:v>
                </c:pt>
                <c:pt idx="31">
                  <c:v>43313</c:v>
                </c:pt>
                <c:pt idx="32">
                  <c:v>43344</c:v>
                </c:pt>
              </c:numCache>
            </c:numRef>
          </c:cat>
          <c:val>
            <c:numRef>
              <c:f>Sheet1!$C$91:$C$123</c:f>
              <c:numCache>
                <c:formatCode>General</c:formatCode>
                <c:ptCount val="33"/>
                <c:pt idx="0">
                  <c:v>3.75</c:v>
                </c:pt>
                <c:pt idx="1">
                  <c:v>3.12</c:v>
                </c:pt>
                <c:pt idx="2">
                  <c:v>2.76</c:v>
                </c:pt>
                <c:pt idx="3">
                  <c:v>3.14</c:v>
                </c:pt>
                <c:pt idx="4">
                  <c:v>3.67</c:v>
                </c:pt>
                <c:pt idx="5">
                  <c:v>3.8</c:v>
                </c:pt>
                <c:pt idx="6">
                  <c:v>4.08</c:v>
                </c:pt>
                <c:pt idx="7">
                  <c:v>4.7300000000000004</c:v>
                </c:pt>
                <c:pt idx="8">
                  <c:v>5.51</c:v>
                </c:pt>
                <c:pt idx="9">
                  <c:v>4.59</c:v>
                </c:pt>
                <c:pt idx="10">
                  <c:v>5.26</c:v>
                </c:pt>
                <c:pt idx="11">
                  <c:v>6.09</c:v>
                </c:pt>
                <c:pt idx="12">
                  <c:v>7.07</c:v>
                </c:pt>
                <c:pt idx="13">
                  <c:v>5.79</c:v>
                </c:pt>
                <c:pt idx="14">
                  <c:v>4.66</c:v>
                </c:pt>
                <c:pt idx="15">
                  <c:v>4.12</c:v>
                </c:pt>
                <c:pt idx="16">
                  <c:v>3.51</c:v>
                </c:pt>
                <c:pt idx="17">
                  <c:v>4.45</c:v>
                </c:pt>
                <c:pt idx="18">
                  <c:v>3.88</c:v>
                </c:pt>
                <c:pt idx="19">
                  <c:v>2.98</c:v>
                </c:pt>
                <c:pt idx="20">
                  <c:v>2.9</c:v>
                </c:pt>
                <c:pt idx="21">
                  <c:v>2.73</c:v>
                </c:pt>
                <c:pt idx="22">
                  <c:v>2.08</c:v>
                </c:pt>
                <c:pt idx="23">
                  <c:v>2.23</c:v>
                </c:pt>
                <c:pt idx="24">
                  <c:v>2.1800000000000002</c:v>
                </c:pt>
                <c:pt idx="25">
                  <c:v>1.81</c:v>
                </c:pt>
                <c:pt idx="26">
                  <c:v>1.83</c:v>
                </c:pt>
                <c:pt idx="27">
                  <c:v>1.56</c:v>
                </c:pt>
                <c:pt idx="28">
                  <c:v>1.59</c:v>
                </c:pt>
                <c:pt idx="29">
                  <c:v>1.74</c:v>
                </c:pt>
                <c:pt idx="30">
                  <c:v>1.7</c:v>
                </c:pt>
                <c:pt idx="31">
                  <c:v>1.95</c:v>
                </c:pt>
                <c:pt idx="32">
                  <c:v>1.7</c:v>
                </c:pt>
              </c:numCache>
            </c:numRef>
          </c:val>
          <c:smooth val="0"/>
          <c:extLst>
            <c:ext xmlns:c16="http://schemas.microsoft.com/office/drawing/2014/chart" uri="{C3380CC4-5D6E-409C-BE32-E72D297353CC}">
              <c16:uniqueId val="{00000000-D873-2946-A1CC-DEF9784C3180}"/>
            </c:ext>
          </c:extLst>
        </c:ser>
        <c:dLbls>
          <c:showLegendKey val="0"/>
          <c:showVal val="0"/>
          <c:showCatName val="0"/>
          <c:showSerName val="0"/>
          <c:showPercent val="0"/>
          <c:showBubbleSize val="0"/>
        </c:dLbls>
        <c:smooth val="0"/>
        <c:axId val="167248104"/>
        <c:axId val="167113512"/>
      </c:lineChart>
      <c:dateAx>
        <c:axId val="1672481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sz="1000">
                    <a:latin typeface="Arial" panose="020B0604020202020204" pitchFamily="34" charset="0"/>
                    <a:cs typeface="Arial" panose="020B0604020202020204" pitchFamily="34" charset="0"/>
                  </a:rPr>
                  <a:t>Date</a:t>
                </a:r>
              </a:p>
            </c:rich>
          </c:tx>
          <c:layout>
            <c:manualLayout>
              <c:xMode val="edge"/>
              <c:yMode val="edge"/>
              <c:x val="0.43898115008351229"/>
              <c:y val="0.9123505395158939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67113512"/>
        <c:crosses val="autoZero"/>
        <c:auto val="1"/>
        <c:lblOffset val="100"/>
        <c:baseTimeUnit val="months"/>
      </c:dateAx>
      <c:valAx>
        <c:axId val="167113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sz="1000">
                    <a:latin typeface="Arial" panose="020B0604020202020204" pitchFamily="34" charset="0"/>
                    <a:cs typeface="Arial" panose="020B0604020202020204" pitchFamily="34" charset="0"/>
                  </a:rPr>
                  <a:t>Share Price,</a:t>
                </a:r>
                <a:r>
                  <a:rPr lang="en-US" sz="1000" baseline="0">
                    <a:latin typeface="Arial" panose="020B0604020202020204" pitchFamily="34" charset="0"/>
                    <a:cs typeface="Arial" panose="020B0604020202020204" pitchFamily="34" charset="0"/>
                  </a:rPr>
                  <a:t> USD</a:t>
                </a:r>
                <a:endParaRPr lang="en-US" sz="1000">
                  <a:latin typeface="Arial" panose="020B0604020202020204" pitchFamily="34" charset="0"/>
                  <a:cs typeface="Arial" panose="020B0604020202020204" pitchFamily="34" charset="0"/>
                </a:endParaRP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67248104"/>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sz="1000" b="1">
                <a:latin typeface="Arial" panose="020B0604020202020204" pitchFamily="34" charset="0"/>
                <a:cs typeface="Arial" panose="020B0604020202020204" pitchFamily="34" charset="0"/>
              </a:rPr>
              <a:t>Sales of Trulance: March 6, 2017–September</a:t>
            </a:r>
            <a:r>
              <a:rPr lang="en-US" sz="1000" b="1" baseline="0">
                <a:latin typeface="Arial" panose="020B0604020202020204" pitchFamily="34" charset="0"/>
                <a:cs typeface="Arial" panose="020B0604020202020204" pitchFamily="34" charset="0"/>
              </a:rPr>
              <a:t> 9, 2018</a:t>
            </a:r>
            <a:r>
              <a:rPr lang="en-US" sz="1000" b="1">
                <a:latin typeface="Arial" panose="020B0604020202020204" pitchFamily="34" charset="0"/>
                <a:cs typeface="Arial" panose="020B0604020202020204" pitchFamily="34" charset="0"/>
              </a:rPr>
              <a:t> </a:t>
            </a:r>
          </a:p>
        </c:rich>
      </c:tx>
      <c:layout/>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autoTitleDeleted val="0"/>
    <c:plotArea>
      <c:layout/>
      <c:lineChart>
        <c:grouping val="standard"/>
        <c:varyColors val="0"/>
        <c:ser>
          <c:idx val="0"/>
          <c:order val="0"/>
          <c:tx>
            <c:strRef>
              <c:f>Sheet1!$D$4</c:f>
              <c:strCache>
                <c:ptCount val="1"/>
                <c:pt idx="0">
                  <c:v>Sales</c:v>
                </c:pt>
              </c:strCache>
            </c:strRef>
          </c:tx>
          <c:spPr>
            <a:ln w="28575" cap="rnd">
              <a:solidFill>
                <a:sysClr val="windowText" lastClr="000000"/>
              </a:solidFill>
              <a:round/>
            </a:ln>
            <a:effectLst/>
          </c:spPr>
          <c:marker>
            <c:symbol val="none"/>
          </c:marker>
          <c:val>
            <c:numRef>
              <c:f>Sheet1!$D$5:$D$84</c:f>
              <c:numCache>
                <c:formatCode>General</c:formatCode>
                <c:ptCount val="80"/>
                <c:pt idx="0">
                  <c:v>1.4</c:v>
                </c:pt>
                <c:pt idx="1">
                  <c:v>9.6999999999999993</c:v>
                </c:pt>
                <c:pt idx="2">
                  <c:v>46.6</c:v>
                </c:pt>
                <c:pt idx="3">
                  <c:v>99</c:v>
                </c:pt>
                <c:pt idx="4">
                  <c:v>123.1</c:v>
                </c:pt>
                <c:pt idx="5">
                  <c:v>171.7</c:v>
                </c:pt>
                <c:pt idx="6">
                  <c:v>222.7</c:v>
                </c:pt>
                <c:pt idx="7">
                  <c:v>258</c:v>
                </c:pt>
                <c:pt idx="8">
                  <c:v>337.8</c:v>
                </c:pt>
                <c:pt idx="9">
                  <c:v>367.3</c:v>
                </c:pt>
                <c:pt idx="10">
                  <c:v>387.5</c:v>
                </c:pt>
                <c:pt idx="11">
                  <c:v>462</c:v>
                </c:pt>
                <c:pt idx="12">
                  <c:v>424</c:v>
                </c:pt>
                <c:pt idx="13">
                  <c:v>555.9</c:v>
                </c:pt>
                <c:pt idx="14">
                  <c:v>598.20000000000005</c:v>
                </c:pt>
                <c:pt idx="15">
                  <c:v>699.2</c:v>
                </c:pt>
                <c:pt idx="16">
                  <c:v>738</c:v>
                </c:pt>
                <c:pt idx="17">
                  <c:v>610.20000000000005</c:v>
                </c:pt>
                <c:pt idx="18">
                  <c:v>818.2</c:v>
                </c:pt>
                <c:pt idx="19">
                  <c:v>812</c:v>
                </c:pt>
                <c:pt idx="20">
                  <c:v>859</c:v>
                </c:pt>
                <c:pt idx="21">
                  <c:v>870.6</c:v>
                </c:pt>
                <c:pt idx="22">
                  <c:v>887.8</c:v>
                </c:pt>
                <c:pt idx="23">
                  <c:v>869</c:v>
                </c:pt>
                <c:pt idx="24">
                  <c:v>878</c:v>
                </c:pt>
                <c:pt idx="25">
                  <c:v>964</c:v>
                </c:pt>
                <c:pt idx="26">
                  <c:v>917</c:v>
                </c:pt>
                <c:pt idx="27">
                  <c:v>935</c:v>
                </c:pt>
                <c:pt idx="28">
                  <c:v>1046</c:v>
                </c:pt>
                <c:pt idx="29">
                  <c:v>1091</c:v>
                </c:pt>
                <c:pt idx="30">
                  <c:v>1100</c:v>
                </c:pt>
                <c:pt idx="31">
                  <c:v>1150</c:v>
                </c:pt>
                <c:pt idx="32">
                  <c:v>1180</c:v>
                </c:pt>
                <c:pt idx="33">
                  <c:v>1140</c:v>
                </c:pt>
                <c:pt idx="34">
                  <c:v>1240</c:v>
                </c:pt>
                <c:pt idx="35">
                  <c:v>1266</c:v>
                </c:pt>
                <c:pt idx="36">
                  <c:v>1220</c:v>
                </c:pt>
                <c:pt idx="37">
                  <c:v>1080</c:v>
                </c:pt>
                <c:pt idx="38">
                  <c:v>1320</c:v>
                </c:pt>
                <c:pt idx="39">
                  <c:v>1379</c:v>
                </c:pt>
                <c:pt idx="40">
                  <c:v>1428.9</c:v>
                </c:pt>
                <c:pt idx="41">
                  <c:v>1384.9</c:v>
                </c:pt>
                <c:pt idx="42">
                  <c:v>1204.5999999999999</c:v>
                </c:pt>
                <c:pt idx="43">
                  <c:v>1094.8</c:v>
                </c:pt>
                <c:pt idx="44">
                  <c:v>1258.0999999999999</c:v>
                </c:pt>
                <c:pt idx="45">
                  <c:v>1211.0999999999999</c:v>
                </c:pt>
                <c:pt idx="46">
                  <c:v>1301.2</c:v>
                </c:pt>
                <c:pt idx="47">
                  <c:v>1352.4</c:v>
                </c:pt>
                <c:pt idx="48">
                  <c:v>1311.6</c:v>
                </c:pt>
                <c:pt idx="49">
                  <c:v>1390</c:v>
                </c:pt>
                <c:pt idx="50">
                  <c:v>1503.7</c:v>
                </c:pt>
                <c:pt idx="51">
                  <c:v>1580</c:v>
                </c:pt>
                <c:pt idx="52">
                  <c:v>1525.3</c:v>
                </c:pt>
                <c:pt idx="53">
                  <c:v>1600</c:v>
                </c:pt>
                <c:pt idx="54">
                  <c:v>1690</c:v>
                </c:pt>
                <c:pt idx="55">
                  <c:v>1780</c:v>
                </c:pt>
                <c:pt idx="56">
                  <c:v>1520</c:v>
                </c:pt>
                <c:pt idx="57">
                  <c:v>1620</c:v>
                </c:pt>
                <c:pt idx="58">
                  <c:v>1670</c:v>
                </c:pt>
                <c:pt idx="59">
                  <c:v>1752.8</c:v>
                </c:pt>
                <c:pt idx="60">
                  <c:v>1713</c:v>
                </c:pt>
                <c:pt idx="61">
                  <c:v>1820</c:v>
                </c:pt>
                <c:pt idx="62">
                  <c:v>1770</c:v>
                </c:pt>
                <c:pt idx="63">
                  <c:v>1890</c:v>
                </c:pt>
                <c:pt idx="64">
                  <c:v>1750</c:v>
                </c:pt>
                <c:pt idx="65">
                  <c:v>1960</c:v>
                </c:pt>
                <c:pt idx="66">
                  <c:v>1950</c:v>
                </c:pt>
                <c:pt idx="67">
                  <c:v>1960</c:v>
                </c:pt>
                <c:pt idx="68">
                  <c:v>2026.3</c:v>
                </c:pt>
                <c:pt idx="69">
                  <c:v>1817</c:v>
                </c:pt>
                <c:pt idx="70">
                  <c:v>1980</c:v>
                </c:pt>
                <c:pt idx="71">
                  <c:v>1930</c:v>
                </c:pt>
                <c:pt idx="72">
                  <c:v>2000</c:v>
                </c:pt>
                <c:pt idx="73">
                  <c:v>2051.3000000000002</c:v>
                </c:pt>
                <c:pt idx="74">
                  <c:v>2140</c:v>
                </c:pt>
                <c:pt idx="75">
                  <c:v>2080</c:v>
                </c:pt>
                <c:pt idx="76">
                  <c:v>2130</c:v>
                </c:pt>
                <c:pt idx="77">
                  <c:v>2110</c:v>
                </c:pt>
                <c:pt idx="78">
                  <c:v>2000</c:v>
                </c:pt>
                <c:pt idx="79">
                  <c:v>2230</c:v>
                </c:pt>
              </c:numCache>
            </c:numRef>
          </c:val>
          <c:smooth val="0"/>
          <c:extLst>
            <c:ext xmlns:c16="http://schemas.microsoft.com/office/drawing/2014/chart" uri="{C3380CC4-5D6E-409C-BE32-E72D297353CC}">
              <c16:uniqueId val="{00000000-2CAA-6846-B39D-D4FF8075BBF5}"/>
            </c:ext>
          </c:extLst>
        </c:ser>
        <c:dLbls>
          <c:showLegendKey val="0"/>
          <c:showVal val="0"/>
          <c:showCatName val="0"/>
          <c:showSerName val="0"/>
          <c:showPercent val="0"/>
          <c:showBubbleSize val="0"/>
        </c:dLbls>
        <c:smooth val="0"/>
        <c:axId val="167671200"/>
        <c:axId val="167671584"/>
      </c:lineChart>
      <c:catAx>
        <c:axId val="1676712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sz="1000">
                    <a:latin typeface="Arial" panose="020B0604020202020204" pitchFamily="34" charset="0"/>
                    <a:cs typeface="Arial" panose="020B0604020202020204" pitchFamily="34" charset="0"/>
                  </a:rPr>
                  <a:t>Weeks from Product Launch</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67671584"/>
        <c:crosses val="autoZero"/>
        <c:auto val="1"/>
        <c:lblAlgn val="ctr"/>
        <c:lblOffset val="100"/>
        <c:noMultiLvlLbl val="0"/>
      </c:catAx>
      <c:valAx>
        <c:axId val="167671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sz="1000">
                    <a:latin typeface="Arial" panose="020B0604020202020204" pitchFamily="34" charset="0"/>
                    <a:cs typeface="Arial" panose="020B0604020202020204" pitchFamily="34" charset="0"/>
                  </a:rPr>
                  <a:t>Weekly Sales (US$ '000)</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67671200"/>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 dockstate="right" visibility="0" width="350" row="5">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B0D125FB-5BD9-4FD0-8924-78082D236D1F}">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9480315-DC4D-4C5E-937C-4DA59DED67DC}">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1BBB6B-7F6B-4783-A16D-D733393D1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11</Pages>
  <Words>3640</Words>
  <Characters>20750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Martinali, Sara</cp:lastModifiedBy>
  <cp:revision>5</cp:revision>
  <cp:lastPrinted>2015-03-04T20:34:00Z</cp:lastPrinted>
  <dcterms:created xsi:type="dcterms:W3CDTF">2019-04-09T13:23:00Z</dcterms:created>
  <dcterms:modified xsi:type="dcterms:W3CDTF">2019-12-06T14:29:00Z</dcterms:modified>
</cp:coreProperties>
</file>