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BFE1DE" w14:textId="77777777" w:rsidR="00D054CC" w:rsidRPr="00D054CC" w:rsidRDefault="00D054CC" w:rsidP="00D054CC">
      <w:pPr>
        <w:pBdr>
          <w:bottom w:val="single" w:sz="18" w:space="1" w:color="auto"/>
        </w:pBdr>
        <w:tabs>
          <w:tab w:val="left" w:pos="-1440"/>
          <w:tab w:val="left" w:pos="-720"/>
          <w:tab w:val="left" w:pos="1"/>
        </w:tabs>
        <w:jc w:val="both"/>
        <w:rPr>
          <w:rFonts w:ascii="Arial" w:hAnsi="Arial"/>
          <w:b/>
          <w:sz w:val="24"/>
        </w:rPr>
      </w:pPr>
      <w:r w:rsidRPr="00D054CC">
        <w:rPr>
          <w:rFonts w:ascii="Arial" w:hAnsi="Arial"/>
          <w:b/>
          <w:noProof/>
          <w:sz w:val="24"/>
        </w:rPr>
        <w:drawing>
          <wp:inline distT="0" distB="0" distL="0" distR="0" wp14:anchorId="44CD5A62" wp14:editId="15114B7A">
            <wp:extent cx="2613804" cy="55124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0D49018E" w14:textId="41E1B833" w:rsidR="00D054CC" w:rsidRPr="00D054CC" w:rsidRDefault="00D054CC" w:rsidP="00D054CC">
      <w:pPr>
        <w:jc w:val="right"/>
        <w:rPr>
          <w:rFonts w:ascii="Arial" w:hAnsi="Arial"/>
          <w:b/>
          <w:caps/>
          <w:sz w:val="24"/>
        </w:rPr>
      </w:pPr>
      <w:r>
        <w:rPr>
          <w:rFonts w:ascii="Arial" w:hAnsi="Arial"/>
          <w:b/>
          <w:caps/>
          <w:sz w:val="24"/>
        </w:rPr>
        <w:t>9B19M028</w:t>
      </w:r>
    </w:p>
    <w:p w14:paraId="4E057522" w14:textId="77777777" w:rsidR="00D75295" w:rsidRPr="00335FEB" w:rsidRDefault="00D75295" w:rsidP="00D75295">
      <w:pPr>
        <w:jc w:val="right"/>
        <w:rPr>
          <w:rFonts w:ascii="Arial" w:hAnsi="Arial"/>
          <w:b/>
          <w:sz w:val="28"/>
          <w:szCs w:val="28"/>
          <w:lang w:val="en-GB"/>
        </w:rPr>
      </w:pPr>
    </w:p>
    <w:p w14:paraId="426B7211" w14:textId="77777777" w:rsidR="00013360" w:rsidRPr="00335FEB" w:rsidRDefault="00013360" w:rsidP="00D75295">
      <w:pPr>
        <w:jc w:val="right"/>
        <w:rPr>
          <w:rFonts w:ascii="Arial" w:hAnsi="Arial"/>
          <w:b/>
          <w:sz w:val="28"/>
          <w:szCs w:val="28"/>
          <w:lang w:val="en-GB"/>
        </w:rPr>
      </w:pPr>
    </w:p>
    <w:p w14:paraId="2F03D26A" w14:textId="019B94A4" w:rsidR="00D054CC" w:rsidRPr="00335FEB" w:rsidRDefault="00BA207D" w:rsidP="00013360">
      <w:pPr>
        <w:pStyle w:val="CaseTitle"/>
        <w:spacing w:after="0" w:line="240" w:lineRule="auto"/>
        <w:rPr>
          <w:sz w:val="20"/>
          <w:szCs w:val="20"/>
          <w:lang w:val="en-GB"/>
        </w:rPr>
      </w:pPr>
      <w:r w:rsidRPr="00335FEB">
        <w:rPr>
          <w:rFonts w:eastAsia="Arial"/>
          <w:lang w:val="en-GB"/>
        </w:rPr>
        <w:t>INDIGO</w:t>
      </w:r>
      <w:r w:rsidR="001106CA">
        <w:rPr>
          <w:rFonts w:eastAsia="Arial"/>
          <w:lang w:val="en-GB"/>
        </w:rPr>
        <w:t xml:space="preserve"> Airlines</w:t>
      </w:r>
      <w:r w:rsidRPr="00335FEB">
        <w:rPr>
          <w:rFonts w:eastAsia="Arial"/>
          <w:lang w:val="en-GB"/>
        </w:rPr>
        <w:t>: MONOPOLIZING INDIAN SKIES</w:t>
      </w:r>
      <w:r w:rsidR="00D054CC" w:rsidRPr="00335FEB">
        <w:rPr>
          <w:rStyle w:val="EndnoteReference"/>
          <w:rFonts w:eastAsia="Arial"/>
          <w:lang w:val="en-GB"/>
        </w:rPr>
        <w:endnoteReference w:id="1"/>
      </w:r>
    </w:p>
    <w:p w14:paraId="40ABF6FD" w14:textId="77777777" w:rsidR="00D054CC" w:rsidRPr="00335FEB" w:rsidRDefault="00D054CC" w:rsidP="00013360">
      <w:pPr>
        <w:pStyle w:val="CaseTitle"/>
        <w:spacing w:after="0" w:line="240" w:lineRule="auto"/>
        <w:rPr>
          <w:sz w:val="20"/>
          <w:szCs w:val="20"/>
          <w:lang w:val="en-GB"/>
        </w:rPr>
      </w:pPr>
    </w:p>
    <w:p w14:paraId="202F1085" w14:textId="77777777" w:rsidR="00D054CC" w:rsidRPr="00335FEB" w:rsidRDefault="00D054CC" w:rsidP="00013360">
      <w:pPr>
        <w:pStyle w:val="CaseTitle"/>
        <w:spacing w:after="0" w:line="240" w:lineRule="auto"/>
        <w:rPr>
          <w:sz w:val="20"/>
          <w:szCs w:val="20"/>
          <w:lang w:val="en-GB"/>
        </w:rPr>
      </w:pPr>
    </w:p>
    <w:p w14:paraId="58B0C73F" w14:textId="6A6A5291" w:rsidR="00D054CC" w:rsidRPr="00335FEB" w:rsidRDefault="00D054CC" w:rsidP="00086B26">
      <w:pPr>
        <w:pStyle w:val="StyleCopyrightStatementAfter0ptBottomSinglesolidline1"/>
        <w:rPr>
          <w:lang w:val="en-GB"/>
        </w:rPr>
      </w:pPr>
      <w:proofErr w:type="spellStart"/>
      <w:r w:rsidRPr="00335FEB">
        <w:rPr>
          <w:lang w:val="en-GB"/>
        </w:rPr>
        <w:t>Ramakrushna</w:t>
      </w:r>
      <w:proofErr w:type="spellEnd"/>
      <w:r w:rsidRPr="00335FEB">
        <w:rPr>
          <w:lang w:val="en-GB"/>
        </w:rPr>
        <w:t xml:space="preserve"> </w:t>
      </w:r>
      <w:proofErr w:type="spellStart"/>
      <w:r w:rsidRPr="00335FEB">
        <w:rPr>
          <w:lang w:val="en-GB"/>
        </w:rPr>
        <w:t>Panigrahi</w:t>
      </w:r>
      <w:proofErr w:type="spellEnd"/>
      <w:r w:rsidRPr="00335FEB">
        <w:rPr>
          <w:lang w:val="en-GB"/>
        </w:rPr>
        <w:t xml:space="preserve"> wrote this case solely to provide material for class discussion. The author does not intend to illustrate either effective or ineffective handling of a managerial situation. The author may have disguised certain names and other identifying information to protect confidentiality.</w:t>
      </w:r>
    </w:p>
    <w:p w14:paraId="10D89D5F" w14:textId="77777777" w:rsidR="00D054CC" w:rsidRPr="00335FEB" w:rsidRDefault="00D054CC" w:rsidP="00086B26">
      <w:pPr>
        <w:pStyle w:val="StyleCopyrightStatementAfter0ptBottomSinglesolidline1"/>
        <w:rPr>
          <w:lang w:val="en-GB"/>
        </w:rPr>
      </w:pPr>
    </w:p>
    <w:p w14:paraId="5CFB172F" w14:textId="71B48130" w:rsidR="00D054CC" w:rsidRPr="00D054CC" w:rsidRDefault="00D054CC" w:rsidP="00D054CC">
      <w:pPr>
        <w:pStyle w:val="StyleStyleCopyrightStatementAfter0ptBottomSinglesolid"/>
        <w:rPr>
          <w:rFonts w:cs="Arial"/>
          <w:szCs w:val="16"/>
        </w:rPr>
      </w:pPr>
      <w:r w:rsidRPr="00D054CC">
        <w:rPr>
          <w:rFonts w:cs="Arial"/>
          <w:szCs w:val="16"/>
        </w:rPr>
        <w:t>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cases@ivey.ca; www.iveycases.com. Our goal is to publish materials of the highest quality; submit any errata to publishcases@ivey.ca.</w:t>
      </w:r>
    </w:p>
    <w:p w14:paraId="27B545D6" w14:textId="77777777" w:rsidR="00D054CC" w:rsidRPr="00D054CC" w:rsidRDefault="00D054CC" w:rsidP="00D054CC">
      <w:pPr>
        <w:pStyle w:val="StyleStyleCopyrightStatementAfter0ptBottomSinglesolid"/>
        <w:rPr>
          <w:rFonts w:cs="Arial"/>
          <w:szCs w:val="16"/>
        </w:rPr>
      </w:pPr>
    </w:p>
    <w:p w14:paraId="3922E14F" w14:textId="2C2884F5" w:rsidR="00D054CC" w:rsidRPr="00335FEB" w:rsidRDefault="00D054CC" w:rsidP="00D054CC">
      <w:pPr>
        <w:pStyle w:val="StyleStyleCopyrightStatementAfter0ptBottomSinglesolid"/>
        <w:rPr>
          <w:rFonts w:cs="Arial"/>
          <w:szCs w:val="16"/>
          <w:lang w:val="en-GB"/>
        </w:rPr>
      </w:pPr>
      <w:r w:rsidRPr="00D054CC">
        <w:rPr>
          <w:rFonts w:cs="Arial"/>
          <w:iCs w:val="0"/>
          <w:color w:val="auto"/>
          <w:szCs w:val="16"/>
        </w:rPr>
        <w:t>Copyright © 20</w:t>
      </w:r>
      <w:r>
        <w:rPr>
          <w:rFonts w:cs="Arial"/>
          <w:iCs w:val="0"/>
          <w:color w:val="auto"/>
          <w:szCs w:val="16"/>
        </w:rPr>
        <w:t>19</w:t>
      </w:r>
      <w:r w:rsidRPr="00D054CC">
        <w:rPr>
          <w:rFonts w:cs="Arial"/>
          <w:iCs w:val="0"/>
          <w:color w:val="auto"/>
          <w:szCs w:val="16"/>
        </w:rPr>
        <w:t xml:space="preserve">, </w:t>
      </w:r>
      <w:r w:rsidRPr="00D054CC">
        <w:rPr>
          <w:rFonts w:cs="Arial"/>
          <w:iCs w:val="0"/>
          <w:color w:val="auto"/>
          <w:szCs w:val="16"/>
          <w:lang w:val="en-CA"/>
        </w:rPr>
        <w:t>Ivey Business School Foundation</w:t>
      </w:r>
      <w:r w:rsidRPr="00D054CC">
        <w:rPr>
          <w:rFonts w:cs="Arial"/>
          <w:iCs w:val="0"/>
          <w:color w:val="auto"/>
          <w:szCs w:val="16"/>
          <w:lang w:val="en-CA"/>
        </w:rPr>
        <w:tab/>
      </w:r>
      <w:r w:rsidRPr="00D054CC">
        <w:rPr>
          <w:rFonts w:cs="Arial"/>
          <w:iCs w:val="0"/>
          <w:color w:val="auto"/>
          <w:szCs w:val="16"/>
        </w:rPr>
        <w:t xml:space="preserve">Version: </w:t>
      </w:r>
      <w:r>
        <w:rPr>
          <w:rFonts w:cs="Arial"/>
          <w:iCs w:val="0"/>
          <w:color w:val="auto"/>
          <w:szCs w:val="16"/>
        </w:rPr>
        <w:t>2019-04-22</w:t>
      </w:r>
    </w:p>
    <w:p w14:paraId="0A2A54E4" w14:textId="77777777" w:rsidR="00D054CC" w:rsidRPr="00335FEB" w:rsidRDefault="00D054CC" w:rsidP="00751E0B">
      <w:pPr>
        <w:pStyle w:val="StyleCopyrightStatementAfter0ptBottomSinglesolidline1"/>
        <w:rPr>
          <w:rFonts w:ascii="Times New Roman" w:hAnsi="Times New Roman"/>
          <w:sz w:val="20"/>
          <w:lang w:val="en-GB"/>
        </w:rPr>
      </w:pPr>
    </w:p>
    <w:p w14:paraId="2C183161" w14:textId="77777777" w:rsidR="00D054CC" w:rsidRPr="00335FEB" w:rsidRDefault="00D054CC" w:rsidP="004B632F">
      <w:pPr>
        <w:pStyle w:val="StyleCopyrightStatementAfter0ptBottomSinglesolidline1"/>
        <w:rPr>
          <w:rFonts w:ascii="Times New Roman" w:hAnsi="Times New Roman"/>
          <w:sz w:val="20"/>
          <w:lang w:val="en-GB"/>
        </w:rPr>
      </w:pPr>
    </w:p>
    <w:p w14:paraId="7313E2BF" w14:textId="7D67A823" w:rsidR="00D054CC" w:rsidRPr="00335FEB" w:rsidRDefault="00D054CC" w:rsidP="00BA207D">
      <w:pPr>
        <w:pStyle w:val="BodyTextMain"/>
        <w:rPr>
          <w:lang w:val="en-GB"/>
        </w:rPr>
      </w:pPr>
      <w:r w:rsidRPr="00335FEB">
        <w:rPr>
          <w:spacing w:val="-2"/>
          <w:lang w:val="en-GB"/>
        </w:rPr>
        <w:t xml:space="preserve">On May 2, 2018, </w:t>
      </w:r>
      <w:proofErr w:type="spellStart"/>
      <w:r w:rsidRPr="00335FEB">
        <w:rPr>
          <w:spacing w:val="-2"/>
          <w:lang w:val="en-GB"/>
        </w:rPr>
        <w:t>Inter</w:t>
      </w:r>
      <w:r w:rsidRPr="00335FEB">
        <w:rPr>
          <w:lang w:val="en-GB"/>
        </w:rPr>
        <w:t>G</w:t>
      </w:r>
      <w:r w:rsidRPr="00335FEB">
        <w:rPr>
          <w:spacing w:val="-2"/>
          <w:lang w:val="en-GB"/>
        </w:rPr>
        <w:t>lobe</w:t>
      </w:r>
      <w:proofErr w:type="spellEnd"/>
      <w:r w:rsidRPr="00335FEB">
        <w:rPr>
          <w:spacing w:val="-2"/>
          <w:lang w:val="en-GB"/>
        </w:rPr>
        <w:t xml:space="preserve"> Aviation Ltd., owner of </w:t>
      </w:r>
      <w:proofErr w:type="spellStart"/>
      <w:r w:rsidRPr="00335FEB">
        <w:rPr>
          <w:spacing w:val="-2"/>
          <w:lang w:val="en-GB"/>
        </w:rPr>
        <w:t>IndiGo</w:t>
      </w:r>
      <w:proofErr w:type="spellEnd"/>
      <w:r w:rsidRPr="00335FEB">
        <w:rPr>
          <w:spacing w:val="-2"/>
          <w:lang w:val="en-GB"/>
        </w:rPr>
        <w:t>, India’s largest airline, reported a 73</w:t>
      </w:r>
      <w:r>
        <w:rPr>
          <w:spacing w:val="-2"/>
          <w:lang w:val="en-GB"/>
        </w:rPr>
        <w:t xml:space="preserve"> </w:t>
      </w:r>
      <w:r w:rsidRPr="00335FEB">
        <w:rPr>
          <w:spacing w:val="-2"/>
          <w:lang w:val="en-GB"/>
        </w:rPr>
        <w:t>per</w:t>
      </w:r>
      <w:r>
        <w:rPr>
          <w:spacing w:val="-2"/>
          <w:lang w:val="en-GB"/>
        </w:rPr>
        <w:t xml:space="preserve"> </w:t>
      </w:r>
      <w:r w:rsidRPr="00335FEB">
        <w:rPr>
          <w:spacing w:val="-2"/>
          <w:lang w:val="en-GB"/>
        </w:rPr>
        <w:t>cent decline in its fourth</w:t>
      </w:r>
      <w:r>
        <w:rPr>
          <w:spacing w:val="-2"/>
          <w:lang w:val="en-GB"/>
        </w:rPr>
        <w:t>-</w:t>
      </w:r>
      <w:r w:rsidRPr="00335FEB">
        <w:rPr>
          <w:spacing w:val="-2"/>
          <w:lang w:val="en-GB"/>
        </w:rPr>
        <w:t>quarter profits, following which its share price fell by 18 per cent.</w:t>
      </w:r>
      <w:r w:rsidRPr="00335FEB">
        <w:rPr>
          <w:spacing w:val="-2"/>
          <w:vertAlign w:val="superscript"/>
          <w:lang w:val="en-GB"/>
        </w:rPr>
        <w:endnoteReference w:id="2"/>
      </w:r>
      <w:r w:rsidRPr="00335FEB">
        <w:rPr>
          <w:spacing w:val="-2"/>
          <w:lang w:val="en-GB"/>
        </w:rPr>
        <w:t xml:space="preserve"> Exactly two years earlier, the company had reported a net profit of </w:t>
      </w:r>
      <w:r w:rsidRPr="00335FEB">
        <w:rPr>
          <w:rFonts w:ascii="Arial" w:hAnsi="Arial"/>
          <w:spacing w:val="-2"/>
          <w:sz w:val="20"/>
          <w:szCs w:val="20"/>
          <w:lang w:val="en-GB"/>
        </w:rPr>
        <w:t>₹</w:t>
      </w:r>
      <w:r w:rsidRPr="00335FEB">
        <w:rPr>
          <w:spacing w:val="-2"/>
          <w:lang w:val="en-GB"/>
        </w:rPr>
        <w:t>19.9 billion</w:t>
      </w:r>
      <w:r>
        <w:rPr>
          <w:spacing w:val="-2"/>
          <w:lang w:val="en-GB"/>
        </w:rPr>
        <w:t>,</w:t>
      </w:r>
      <w:r w:rsidRPr="00335FEB">
        <w:rPr>
          <w:rStyle w:val="EndnoteReference"/>
          <w:spacing w:val="-2"/>
          <w:lang w:val="en-GB"/>
        </w:rPr>
        <w:endnoteReference w:id="3"/>
      </w:r>
      <w:r w:rsidRPr="00335FEB">
        <w:rPr>
          <w:spacing w:val="-2"/>
          <w:lang w:val="en-GB"/>
        </w:rPr>
        <w:t xml:space="preserve"> while all other airlines had reported huge losses.</w:t>
      </w:r>
      <w:r w:rsidRPr="00335FEB">
        <w:rPr>
          <w:spacing w:val="-2"/>
          <w:vertAlign w:val="superscript"/>
          <w:lang w:val="en-GB"/>
        </w:rPr>
        <w:endnoteReference w:id="4"/>
      </w:r>
      <w:r w:rsidRPr="00335FEB">
        <w:rPr>
          <w:spacing w:val="-2"/>
          <w:lang w:val="en-GB"/>
        </w:rPr>
        <w:t xml:space="preserve"> </w:t>
      </w:r>
      <w:proofErr w:type="spellStart"/>
      <w:r w:rsidRPr="00335FEB">
        <w:rPr>
          <w:spacing w:val="-2"/>
          <w:lang w:val="en-GB"/>
        </w:rPr>
        <w:t>IndiGo</w:t>
      </w:r>
      <w:proofErr w:type="spellEnd"/>
      <w:r w:rsidRPr="00335FEB">
        <w:rPr>
          <w:spacing w:val="-2"/>
          <w:lang w:val="en-GB"/>
        </w:rPr>
        <w:t xml:space="preserve"> had completed more than a decade of operations and had consistently done well by introducing a series of small innovations.</w:t>
      </w:r>
      <w:r w:rsidRPr="00335FEB">
        <w:rPr>
          <w:rStyle w:val="EndnoteReference"/>
          <w:spacing w:val="-2"/>
          <w:lang w:val="en-GB"/>
        </w:rPr>
        <w:endnoteReference w:id="5"/>
      </w:r>
      <w:r w:rsidRPr="00335FEB">
        <w:rPr>
          <w:spacing w:val="-2"/>
          <w:lang w:val="en-GB"/>
        </w:rPr>
        <w:t xml:space="preserve"> After the airline’s entry into the aviation sector in 2006, the global economy had witnessed one of the most severe recessions since the 1970s, and Indian markets experienced their share of the global impact for a prolonged period.</w:t>
      </w:r>
      <w:r w:rsidRPr="00335FEB">
        <w:rPr>
          <w:rStyle w:val="EndnoteReference"/>
          <w:spacing w:val="-2"/>
          <w:lang w:val="en-GB"/>
        </w:rPr>
        <w:endnoteReference w:id="6"/>
      </w:r>
      <w:r w:rsidRPr="00335FEB">
        <w:rPr>
          <w:spacing w:val="-2"/>
          <w:lang w:val="en-GB"/>
        </w:rPr>
        <w:t xml:space="preserve"> Throughout the past 12 years, globally, all airlines in the aviation sector had </w:t>
      </w:r>
      <w:r w:rsidRPr="00335FEB">
        <w:rPr>
          <w:lang w:val="en-GB"/>
        </w:rPr>
        <w:t>battled to keep their operations going in the face of high turbine fuel prices</w:t>
      </w:r>
      <w:r w:rsidRPr="00335FEB">
        <w:rPr>
          <w:spacing w:val="-2"/>
          <w:lang w:val="en-GB"/>
        </w:rPr>
        <w:t xml:space="preserve">. In the Indian aviation market, many of </w:t>
      </w:r>
      <w:proofErr w:type="spellStart"/>
      <w:r w:rsidRPr="00335FEB">
        <w:rPr>
          <w:spacing w:val="-2"/>
          <w:lang w:val="en-GB"/>
        </w:rPr>
        <w:t>IndiGo’s</w:t>
      </w:r>
      <w:proofErr w:type="spellEnd"/>
      <w:r w:rsidRPr="00335FEB">
        <w:rPr>
          <w:spacing w:val="-2"/>
          <w:lang w:val="en-GB"/>
        </w:rPr>
        <w:t xml:space="preserve"> competitors had struggled to even recover the</w:t>
      </w:r>
      <w:r>
        <w:rPr>
          <w:spacing w:val="-2"/>
          <w:lang w:val="en-GB"/>
        </w:rPr>
        <w:t>ir</w:t>
      </w:r>
      <w:r w:rsidRPr="00335FEB">
        <w:rPr>
          <w:spacing w:val="-2"/>
          <w:lang w:val="en-GB"/>
        </w:rPr>
        <w:t xml:space="preserve"> operational cost</w:t>
      </w:r>
      <w:r>
        <w:rPr>
          <w:spacing w:val="-2"/>
          <w:lang w:val="en-GB"/>
        </w:rPr>
        <w:t>s</w:t>
      </w:r>
      <w:r w:rsidRPr="00335FEB">
        <w:rPr>
          <w:spacing w:val="-2"/>
          <w:lang w:val="en-GB"/>
        </w:rPr>
        <w:t xml:space="preserve">, and continued to operate under losses. </w:t>
      </w:r>
      <w:r w:rsidRPr="00335FEB">
        <w:rPr>
          <w:lang w:val="en-GB"/>
        </w:rPr>
        <w:t xml:space="preserve">Despite the aviation industry in India being in a financial mess, </w:t>
      </w:r>
      <w:proofErr w:type="spellStart"/>
      <w:r w:rsidRPr="00335FEB">
        <w:rPr>
          <w:lang w:val="en-GB"/>
        </w:rPr>
        <w:t>IndiGo</w:t>
      </w:r>
      <w:proofErr w:type="spellEnd"/>
      <w:r w:rsidRPr="00335FEB">
        <w:rPr>
          <w:lang w:val="en-GB"/>
        </w:rPr>
        <w:t xml:space="preserve"> had consistently managed to emerge as the sole profit-making airline, which it achieved by introducing unique and innovative strategies, thereby winning the confidence of all stakeholders including the regulatory authorities. While its competitors were grappling with losses, </w:t>
      </w:r>
      <w:proofErr w:type="spellStart"/>
      <w:r w:rsidRPr="00335FEB">
        <w:rPr>
          <w:lang w:val="en-GB"/>
        </w:rPr>
        <w:t>IndiGo</w:t>
      </w:r>
      <w:proofErr w:type="spellEnd"/>
      <w:r w:rsidRPr="00335FEB">
        <w:rPr>
          <w:lang w:val="en-GB"/>
        </w:rPr>
        <w:t xml:space="preserve"> had experienced a dream run since it commenced operations, taking the largest market share in the civil aviation industry in India.</w:t>
      </w:r>
      <w:r w:rsidRPr="00335FEB">
        <w:rPr>
          <w:rStyle w:val="EndnoteReference"/>
          <w:lang w:val="en-GB"/>
        </w:rPr>
        <w:endnoteReference w:id="7"/>
      </w:r>
    </w:p>
    <w:p w14:paraId="4A058DA0" w14:textId="77777777" w:rsidR="00D054CC" w:rsidRPr="00335FEB" w:rsidRDefault="00D054CC" w:rsidP="00BA207D">
      <w:pPr>
        <w:pStyle w:val="BodyTextMain"/>
        <w:rPr>
          <w:lang w:val="en-GB"/>
        </w:rPr>
      </w:pPr>
    </w:p>
    <w:p w14:paraId="414B4526" w14:textId="324BCC70" w:rsidR="00D054CC" w:rsidRPr="00335FEB" w:rsidRDefault="00D054CC" w:rsidP="00BA207D">
      <w:pPr>
        <w:pStyle w:val="BodyTextMain"/>
        <w:rPr>
          <w:lang w:val="en-GB"/>
        </w:rPr>
      </w:pPr>
      <w:r w:rsidRPr="00335FEB">
        <w:rPr>
          <w:lang w:val="en-GB"/>
        </w:rPr>
        <w:t xml:space="preserve">However, despite its success in an otherwise loss-making aviation industry, the airline struggled to meet market expectations. In April 2016, even though the company had reported a record profit and had announced a dividend of </w:t>
      </w:r>
      <w:r w:rsidRPr="00335FEB">
        <w:rPr>
          <w:rFonts w:ascii="Arial" w:hAnsi="Arial" w:cs="Arial"/>
          <w:sz w:val="20"/>
          <w:szCs w:val="20"/>
          <w:lang w:val="en-GB"/>
        </w:rPr>
        <w:t>₹</w:t>
      </w:r>
      <w:r w:rsidRPr="00335FEB">
        <w:rPr>
          <w:lang w:val="en-GB"/>
        </w:rPr>
        <w:t>15 per share, its stock price dropped by 4.83 per cent following the announcement.</w:t>
      </w:r>
      <w:r w:rsidRPr="00335FEB">
        <w:rPr>
          <w:rStyle w:val="EndnoteReference"/>
          <w:lang w:val="en-GB"/>
        </w:rPr>
        <w:endnoteReference w:id="8"/>
      </w:r>
      <w:r w:rsidRPr="00335FEB">
        <w:rPr>
          <w:lang w:val="en-GB"/>
        </w:rPr>
        <w:t xml:space="preserve"> </w:t>
      </w:r>
      <w:proofErr w:type="spellStart"/>
      <w:r w:rsidRPr="00335FEB">
        <w:rPr>
          <w:lang w:val="en-GB"/>
        </w:rPr>
        <w:t>IndiGo</w:t>
      </w:r>
      <w:proofErr w:type="spellEnd"/>
      <w:r w:rsidRPr="00335FEB">
        <w:rPr>
          <w:lang w:val="en-GB"/>
        </w:rPr>
        <w:t xml:space="preserve"> had little control over pricing</w:t>
      </w:r>
      <w:r>
        <w:rPr>
          <w:lang w:val="en-GB"/>
        </w:rPr>
        <w:t>,</w:t>
      </w:r>
      <w:r w:rsidRPr="00335FEB">
        <w:rPr>
          <w:lang w:val="en-GB"/>
        </w:rPr>
        <w:t xml:space="preserve"> given the fierce competition in the sector. Also, the rise of new entrants in Indian skies, such as </w:t>
      </w:r>
      <w:proofErr w:type="spellStart"/>
      <w:r w:rsidRPr="00335FEB">
        <w:rPr>
          <w:lang w:val="en-GB"/>
        </w:rPr>
        <w:t>Vistara</w:t>
      </w:r>
      <w:proofErr w:type="spellEnd"/>
      <w:r w:rsidRPr="00335FEB">
        <w:rPr>
          <w:lang w:val="en-GB"/>
        </w:rPr>
        <w:t xml:space="preserve">, </w:t>
      </w:r>
      <w:r>
        <w:rPr>
          <w:lang w:val="en-GB"/>
        </w:rPr>
        <w:t xml:space="preserve">had </w:t>
      </w:r>
      <w:r w:rsidRPr="00335FEB">
        <w:rPr>
          <w:lang w:val="en-GB"/>
        </w:rPr>
        <w:t>raised consumers’ expectations, and the ensuing competition made operations difficult for all.</w:t>
      </w:r>
      <w:r w:rsidRPr="00335FEB">
        <w:rPr>
          <w:rStyle w:val="EndnoteReference"/>
          <w:lang w:val="en-GB"/>
        </w:rPr>
        <w:endnoteReference w:id="9"/>
      </w:r>
      <w:r w:rsidRPr="00335FEB">
        <w:rPr>
          <w:lang w:val="en-GB"/>
        </w:rPr>
        <w:t xml:space="preserve"> </w:t>
      </w:r>
      <w:proofErr w:type="spellStart"/>
      <w:r w:rsidRPr="00335FEB">
        <w:rPr>
          <w:lang w:val="en-GB"/>
        </w:rPr>
        <w:t>IndiGo’s</w:t>
      </w:r>
      <w:proofErr w:type="spellEnd"/>
      <w:r w:rsidRPr="00335FEB">
        <w:rPr>
          <w:lang w:val="en-GB"/>
        </w:rPr>
        <w:t xml:space="preserve"> top management faced two critical questions. First, how could </w:t>
      </w:r>
      <w:proofErr w:type="spellStart"/>
      <w:r w:rsidRPr="00335FEB">
        <w:rPr>
          <w:lang w:val="en-GB"/>
        </w:rPr>
        <w:t>IndiGo</w:t>
      </w:r>
      <w:proofErr w:type="spellEnd"/>
      <w:r w:rsidRPr="00335FEB">
        <w:rPr>
          <w:lang w:val="en-GB"/>
        </w:rPr>
        <w:t xml:space="preserve"> sustain its market leader position in the Indian civil aviation industry over the long term? Second, would the company be able to innovate to such an extent that it could replicate its success </w:t>
      </w:r>
      <w:r>
        <w:rPr>
          <w:lang w:val="en-GB"/>
        </w:rPr>
        <w:t xml:space="preserve">in </w:t>
      </w:r>
      <w:r w:rsidRPr="00335FEB">
        <w:rPr>
          <w:lang w:val="en-GB"/>
        </w:rPr>
        <w:t xml:space="preserve">its </w:t>
      </w:r>
      <w:r>
        <w:rPr>
          <w:lang w:val="en-GB"/>
        </w:rPr>
        <w:t>domestic</w:t>
      </w:r>
      <w:r w:rsidRPr="00335FEB">
        <w:rPr>
          <w:lang w:val="en-GB"/>
        </w:rPr>
        <w:t xml:space="preserve"> operations and continue to post higher profits in line with market expectations? </w:t>
      </w:r>
    </w:p>
    <w:p w14:paraId="7FA88C3B" w14:textId="77777777" w:rsidR="00D054CC" w:rsidRPr="00335FEB" w:rsidRDefault="00D054CC" w:rsidP="00BA207D">
      <w:pPr>
        <w:pStyle w:val="BodyTextMain"/>
        <w:rPr>
          <w:sz w:val="20"/>
          <w:szCs w:val="24"/>
          <w:lang w:val="en-GB"/>
        </w:rPr>
      </w:pPr>
    </w:p>
    <w:p w14:paraId="167F9D6E" w14:textId="77777777" w:rsidR="00D054CC" w:rsidRPr="00335FEB" w:rsidRDefault="00D054CC" w:rsidP="00BA207D">
      <w:pPr>
        <w:pStyle w:val="BodyTextMain"/>
        <w:rPr>
          <w:sz w:val="20"/>
          <w:szCs w:val="24"/>
          <w:lang w:val="en-GB"/>
        </w:rPr>
      </w:pPr>
    </w:p>
    <w:p w14:paraId="4EBBC572" w14:textId="77777777" w:rsidR="00D054CC" w:rsidRPr="00335FEB" w:rsidRDefault="00D054CC" w:rsidP="00BA207D">
      <w:pPr>
        <w:pStyle w:val="Casehead1"/>
        <w:rPr>
          <w:lang w:val="en-GB"/>
        </w:rPr>
      </w:pPr>
      <w:r w:rsidRPr="00335FEB">
        <w:rPr>
          <w:lang w:val="en-GB"/>
        </w:rPr>
        <w:t>OVERVIEW OF THE INDIAN CIVIL AVIATION MARKET</w:t>
      </w:r>
    </w:p>
    <w:p w14:paraId="1492764B" w14:textId="77777777" w:rsidR="00D054CC" w:rsidRPr="00335FEB" w:rsidRDefault="00D054CC" w:rsidP="00BA207D">
      <w:pPr>
        <w:pStyle w:val="BodyTextMain"/>
        <w:rPr>
          <w:sz w:val="20"/>
          <w:lang w:val="en-GB"/>
        </w:rPr>
      </w:pPr>
    </w:p>
    <w:p w14:paraId="51D0CE1F" w14:textId="4626F3A4" w:rsidR="00D054CC" w:rsidRPr="00335FEB" w:rsidRDefault="00D054CC" w:rsidP="00BA207D">
      <w:pPr>
        <w:pStyle w:val="BodyTextMain"/>
        <w:rPr>
          <w:lang w:val="en-GB"/>
        </w:rPr>
      </w:pPr>
      <w:r w:rsidRPr="00335FEB">
        <w:rPr>
          <w:lang w:val="en-GB"/>
        </w:rPr>
        <w:t xml:space="preserve">The Indian civil aviation industry was opened in 1991 with the introduction of the Open Skies Policy. </w:t>
      </w:r>
      <w:r>
        <w:rPr>
          <w:lang w:val="en-GB"/>
        </w:rPr>
        <w:t>Previously</w:t>
      </w:r>
      <w:r w:rsidRPr="00335FEB">
        <w:rPr>
          <w:lang w:val="en-GB"/>
        </w:rPr>
        <w:t xml:space="preserve">, the Indian government had owned Indian Airlines, and Air India </w:t>
      </w:r>
      <w:r>
        <w:rPr>
          <w:lang w:val="en-GB"/>
        </w:rPr>
        <w:t xml:space="preserve">had </w:t>
      </w:r>
      <w:r w:rsidRPr="00335FEB">
        <w:rPr>
          <w:lang w:val="en-GB"/>
        </w:rPr>
        <w:t>enjoyed a monopoly in the Indian market, which was highly regulated.</w:t>
      </w:r>
      <w:r w:rsidRPr="00335FEB">
        <w:rPr>
          <w:rStyle w:val="EndnoteReference"/>
          <w:lang w:val="en-GB"/>
        </w:rPr>
        <w:endnoteReference w:id="10"/>
      </w:r>
      <w:r w:rsidRPr="00335FEB">
        <w:rPr>
          <w:lang w:val="en-GB"/>
        </w:rPr>
        <w:t xml:space="preserve"> Subsequent to the liberalization, many players had </w:t>
      </w:r>
      <w:r w:rsidRPr="00335FEB">
        <w:rPr>
          <w:lang w:val="en-GB"/>
        </w:rPr>
        <w:lastRenderedPageBreak/>
        <w:t>attempted to enter the aviation market, but until 2002</w:t>
      </w:r>
      <w:r>
        <w:rPr>
          <w:lang w:val="en-GB"/>
        </w:rPr>
        <w:t>,</w:t>
      </w:r>
      <w:r w:rsidRPr="00335FEB">
        <w:rPr>
          <w:lang w:val="en-GB"/>
        </w:rPr>
        <w:t xml:space="preserve"> Indian Airlines had enjoyed a near monopoly status in the domestic aviation market. In 2018, the Indian aviation market was </w:t>
      </w:r>
      <w:r>
        <w:rPr>
          <w:lang w:val="en-GB"/>
        </w:rPr>
        <w:t xml:space="preserve">the </w:t>
      </w:r>
      <w:r w:rsidRPr="00335FEB">
        <w:rPr>
          <w:lang w:val="en-GB"/>
        </w:rPr>
        <w:t>seventh</w:t>
      </w:r>
      <w:r>
        <w:rPr>
          <w:lang w:val="en-GB"/>
        </w:rPr>
        <w:t>-</w:t>
      </w:r>
      <w:r w:rsidRPr="00335FEB">
        <w:rPr>
          <w:lang w:val="en-GB"/>
        </w:rPr>
        <w:t xml:space="preserve">largest in the world in terms of passengers carried (see Exhibit 1). However, it was a mere one-ninth the size of the US aviation market, </w:t>
      </w:r>
      <w:r>
        <w:rPr>
          <w:lang w:val="en-GB"/>
        </w:rPr>
        <w:t>al</w:t>
      </w:r>
      <w:r w:rsidRPr="00335FEB">
        <w:rPr>
          <w:lang w:val="en-GB"/>
        </w:rPr>
        <w:t xml:space="preserve">though </w:t>
      </w:r>
      <w:r>
        <w:rPr>
          <w:lang w:val="en-GB"/>
        </w:rPr>
        <w:t>India’s</w:t>
      </w:r>
      <w:r w:rsidRPr="00335FEB">
        <w:rPr>
          <w:lang w:val="en-GB"/>
        </w:rPr>
        <w:t xml:space="preserve"> population was more than four times greater. In India, the domestic aviation sector had been the fastest growing in the world, driven by its population of 1.3 billion and </w:t>
      </w:r>
      <w:r>
        <w:rPr>
          <w:lang w:val="en-GB"/>
        </w:rPr>
        <w:t>the aviation market’s</w:t>
      </w:r>
      <w:r w:rsidRPr="00335FEB">
        <w:rPr>
          <w:lang w:val="en-GB"/>
        </w:rPr>
        <w:t xml:space="preserve"> low penetration </w:t>
      </w:r>
      <w:r>
        <w:rPr>
          <w:lang w:val="en-GB"/>
        </w:rPr>
        <w:t>in India—fewer</w:t>
      </w:r>
      <w:r w:rsidRPr="00335FEB">
        <w:rPr>
          <w:lang w:val="en-GB"/>
        </w:rPr>
        <w:t xml:space="preserve"> than 62 </w:t>
      </w:r>
      <w:r>
        <w:rPr>
          <w:lang w:val="en-GB"/>
        </w:rPr>
        <w:t>air passengers</w:t>
      </w:r>
      <w:r w:rsidRPr="00335FEB">
        <w:rPr>
          <w:lang w:val="en-GB"/>
        </w:rPr>
        <w:t xml:space="preserve"> per 1,000 people (see Exhibit 1). A rising per</w:t>
      </w:r>
      <w:r>
        <w:rPr>
          <w:lang w:val="en-GB"/>
        </w:rPr>
        <w:t xml:space="preserve"> </w:t>
      </w:r>
      <w:r w:rsidRPr="00335FEB">
        <w:rPr>
          <w:lang w:val="en-GB"/>
        </w:rPr>
        <w:t>capita income was a major reason why the aviation market had grown more than 10 times in terms of passenger volumes since the mid-1980s (see Exhibit 2). Due to its very low fares,</w:t>
      </w:r>
      <w:r w:rsidRPr="00335FEB">
        <w:rPr>
          <w:vertAlign w:val="superscript"/>
          <w:lang w:val="en-GB"/>
        </w:rPr>
        <w:endnoteReference w:id="11"/>
      </w:r>
      <w:r w:rsidRPr="00335FEB">
        <w:rPr>
          <w:lang w:val="en-GB"/>
        </w:rPr>
        <w:t xml:space="preserve"> Air Deccan, a low-cost carrier (LCC), contributed significantly to the air traffic in India. Apart from Air Deccan, Kingfisher Airlines (now grounded), </w:t>
      </w:r>
      <w:proofErr w:type="spellStart"/>
      <w:r w:rsidRPr="00335FEB">
        <w:rPr>
          <w:lang w:val="en-GB"/>
        </w:rPr>
        <w:t>SpiceJet</w:t>
      </w:r>
      <w:proofErr w:type="spellEnd"/>
      <w:r w:rsidRPr="00335FEB">
        <w:rPr>
          <w:lang w:val="en-GB"/>
        </w:rPr>
        <w:t xml:space="preserve">, </w:t>
      </w:r>
      <w:proofErr w:type="spellStart"/>
      <w:r w:rsidRPr="00335FEB">
        <w:rPr>
          <w:lang w:val="en-GB"/>
        </w:rPr>
        <w:t>GoAir</w:t>
      </w:r>
      <w:proofErr w:type="spellEnd"/>
      <w:r w:rsidRPr="00335FEB">
        <w:rPr>
          <w:lang w:val="en-GB"/>
        </w:rPr>
        <w:t xml:space="preserve">, Paramount Airways, and </w:t>
      </w:r>
      <w:proofErr w:type="spellStart"/>
      <w:r w:rsidRPr="00335FEB">
        <w:rPr>
          <w:lang w:val="en-GB"/>
        </w:rPr>
        <w:t>IndiGo</w:t>
      </w:r>
      <w:proofErr w:type="spellEnd"/>
      <w:r w:rsidRPr="00335FEB">
        <w:rPr>
          <w:lang w:val="en-GB"/>
        </w:rPr>
        <w:t xml:space="preserve"> all started operations in the early 2000s. The competitive pricing strategy of LCCs and full-service carriers such as Jet Airways, Indian Airlines, Kingfisher Airlines, and Paramount Airways seemed to have significantly reduced the cost of air travel and enabled India’s lower middle class to take the aerial route to reach their destinations.</w:t>
      </w:r>
    </w:p>
    <w:p w14:paraId="528061EA" w14:textId="77777777" w:rsidR="00D054CC" w:rsidRPr="00335FEB" w:rsidRDefault="00D054CC" w:rsidP="00BA207D">
      <w:pPr>
        <w:pStyle w:val="BodyTextMain"/>
        <w:rPr>
          <w:sz w:val="20"/>
          <w:lang w:val="en-GB"/>
        </w:rPr>
      </w:pPr>
    </w:p>
    <w:p w14:paraId="22392201" w14:textId="35D9F0E8" w:rsidR="00D054CC" w:rsidRPr="00335FEB" w:rsidRDefault="00D054CC" w:rsidP="00BA207D">
      <w:pPr>
        <w:pStyle w:val="BodyTextMain"/>
        <w:rPr>
          <w:lang w:val="en-GB"/>
        </w:rPr>
      </w:pPr>
      <w:r w:rsidRPr="00335FEB">
        <w:rPr>
          <w:lang w:val="en-GB"/>
        </w:rPr>
        <w:t xml:space="preserve">Despite such phenomenal growth in the aviation sector, most airlines in India continued to see losses. In 2011, a financial audit conducted by the Directorate General of Civil Aviation indicated that many airlines, with the exception of </w:t>
      </w:r>
      <w:proofErr w:type="spellStart"/>
      <w:r w:rsidRPr="00335FEB">
        <w:rPr>
          <w:lang w:val="en-GB"/>
        </w:rPr>
        <w:t>IndiGo</w:t>
      </w:r>
      <w:proofErr w:type="spellEnd"/>
      <w:r w:rsidRPr="00335FEB">
        <w:rPr>
          <w:lang w:val="en-GB"/>
        </w:rPr>
        <w:t xml:space="preserve">, were suffering from significant financial problems. The combined loss of all Airlines was estimated to be US$2.5 billion–US$3 billion, with the state-run Air India accounting for close </w:t>
      </w:r>
      <w:proofErr w:type="gramStart"/>
      <w:r w:rsidRPr="00335FEB">
        <w:rPr>
          <w:lang w:val="en-GB"/>
        </w:rPr>
        <w:t>to</w:t>
      </w:r>
      <w:proofErr w:type="gramEnd"/>
      <w:r w:rsidRPr="00335FEB">
        <w:rPr>
          <w:lang w:val="en-GB"/>
        </w:rPr>
        <w:t xml:space="preserve"> US$2 billion in losses.</w:t>
      </w:r>
      <w:r w:rsidRPr="00335FEB">
        <w:rPr>
          <w:vertAlign w:val="superscript"/>
          <w:lang w:val="en-GB"/>
        </w:rPr>
        <w:endnoteReference w:id="12"/>
      </w:r>
      <w:r w:rsidRPr="00335FEB">
        <w:rPr>
          <w:vertAlign w:val="superscript"/>
          <w:lang w:val="en-GB"/>
        </w:rPr>
        <w:t xml:space="preserve"> </w:t>
      </w:r>
      <w:r w:rsidRPr="00335FEB">
        <w:rPr>
          <w:lang w:val="en-GB"/>
        </w:rPr>
        <w:t>The airlines in India faced some unique challenges, which further dampened profitability</w:t>
      </w:r>
      <w:r>
        <w:rPr>
          <w:lang w:val="en-GB"/>
        </w:rPr>
        <w:t>.</w:t>
      </w:r>
      <w:r w:rsidRPr="00335FEB">
        <w:rPr>
          <w:lang w:val="en-GB"/>
        </w:rPr>
        <w:t xml:space="preserve"> First, due to government regulations, airlines had to fly financially unattractive routes. Second, a lack of onward connectivity and an erratic occupancy rate posed major challenges to achieving operational efficiency for most players.</w:t>
      </w:r>
      <w:r w:rsidRPr="00335FEB">
        <w:rPr>
          <w:rStyle w:val="EndnoteReference"/>
          <w:lang w:val="en-GB"/>
        </w:rPr>
        <w:endnoteReference w:id="13"/>
      </w:r>
    </w:p>
    <w:p w14:paraId="04DA4B98" w14:textId="77777777" w:rsidR="00D054CC" w:rsidRPr="00335FEB" w:rsidRDefault="00D054CC" w:rsidP="00BA207D">
      <w:pPr>
        <w:pStyle w:val="BodyTextMain"/>
        <w:rPr>
          <w:sz w:val="20"/>
          <w:lang w:val="en-GB"/>
        </w:rPr>
      </w:pPr>
    </w:p>
    <w:p w14:paraId="4592C7C8" w14:textId="77777777" w:rsidR="00D054CC" w:rsidRPr="00335FEB" w:rsidRDefault="00D054CC" w:rsidP="00BA207D">
      <w:pPr>
        <w:pStyle w:val="BodyTextMain"/>
        <w:rPr>
          <w:sz w:val="20"/>
          <w:lang w:val="en-GB"/>
        </w:rPr>
      </w:pPr>
    </w:p>
    <w:p w14:paraId="2B071B06" w14:textId="77777777" w:rsidR="00D054CC" w:rsidRPr="00335FEB" w:rsidRDefault="00D054CC" w:rsidP="0049025E">
      <w:pPr>
        <w:pStyle w:val="Casehead1"/>
        <w:rPr>
          <w:lang w:val="en-GB"/>
        </w:rPr>
      </w:pPr>
      <w:r w:rsidRPr="00335FEB">
        <w:rPr>
          <w:lang w:val="en-GB"/>
        </w:rPr>
        <w:t>MAJOR PLAYERS IN INDIAN AVIATION MARKET</w:t>
      </w:r>
    </w:p>
    <w:p w14:paraId="4AA48713" w14:textId="77777777" w:rsidR="00D054CC" w:rsidRPr="00335FEB" w:rsidRDefault="00D054CC" w:rsidP="00BA207D">
      <w:pPr>
        <w:pStyle w:val="BodyTextMain"/>
        <w:rPr>
          <w:sz w:val="20"/>
          <w:szCs w:val="24"/>
          <w:lang w:val="en-GB"/>
        </w:rPr>
      </w:pPr>
    </w:p>
    <w:p w14:paraId="24DED233" w14:textId="4409AC5A" w:rsidR="00D054CC" w:rsidRPr="00335FEB" w:rsidRDefault="00D054CC" w:rsidP="0049025E">
      <w:pPr>
        <w:pStyle w:val="BodyTextMain"/>
        <w:rPr>
          <w:lang w:val="en-GB"/>
        </w:rPr>
      </w:pPr>
      <w:r w:rsidRPr="00335FEB">
        <w:rPr>
          <w:lang w:val="en-GB"/>
        </w:rPr>
        <w:t xml:space="preserve">There were many players in </w:t>
      </w:r>
      <w:r>
        <w:rPr>
          <w:lang w:val="en-GB"/>
        </w:rPr>
        <w:t xml:space="preserve">India’s </w:t>
      </w:r>
      <w:r w:rsidRPr="00335FEB">
        <w:rPr>
          <w:lang w:val="en-GB"/>
        </w:rPr>
        <w:t xml:space="preserve">civil aviation market after 2005. The industry included major full-service companies such as Jet Airways, Air India, Kingfisher Airlines, Paramount Airways, Air Sahara, and </w:t>
      </w:r>
      <w:proofErr w:type="spellStart"/>
      <w:r w:rsidRPr="00335FEB">
        <w:rPr>
          <w:lang w:val="en-GB"/>
        </w:rPr>
        <w:t>Vistara</w:t>
      </w:r>
      <w:proofErr w:type="spellEnd"/>
      <w:r w:rsidRPr="00335FEB">
        <w:rPr>
          <w:lang w:val="en-GB"/>
        </w:rPr>
        <w:t>. Air Sahara was grounded in 2006, and Kingfisher Airlines had an unceremonious exit in 2013. However, the Indian aviation market was dominated by the LCC</w:t>
      </w:r>
      <w:r>
        <w:rPr>
          <w:lang w:val="en-GB"/>
        </w:rPr>
        <w:t>s,</w:t>
      </w:r>
      <w:r w:rsidRPr="00335FEB">
        <w:rPr>
          <w:lang w:val="en-GB"/>
        </w:rPr>
        <w:t xml:space="preserve"> due to the extreme price</w:t>
      </w:r>
      <w:r>
        <w:rPr>
          <w:lang w:val="en-GB"/>
        </w:rPr>
        <w:t>-</w:t>
      </w:r>
      <w:r w:rsidRPr="00335FEB">
        <w:rPr>
          <w:lang w:val="en-GB"/>
        </w:rPr>
        <w:t xml:space="preserve">sensitivity of Indian consumers. The dominant players in the segment were </w:t>
      </w:r>
      <w:proofErr w:type="spellStart"/>
      <w:r w:rsidRPr="00335FEB">
        <w:rPr>
          <w:lang w:val="en-GB"/>
        </w:rPr>
        <w:t>IndiGo</w:t>
      </w:r>
      <w:proofErr w:type="spellEnd"/>
      <w:r w:rsidRPr="00335FEB">
        <w:rPr>
          <w:lang w:val="en-GB"/>
        </w:rPr>
        <w:t xml:space="preserve">, </w:t>
      </w:r>
      <w:proofErr w:type="spellStart"/>
      <w:r w:rsidRPr="00335FEB">
        <w:rPr>
          <w:lang w:val="en-GB"/>
        </w:rPr>
        <w:t>SpiceJet</w:t>
      </w:r>
      <w:proofErr w:type="spellEnd"/>
      <w:r w:rsidRPr="00335FEB">
        <w:rPr>
          <w:lang w:val="en-GB"/>
        </w:rPr>
        <w:t xml:space="preserve">, </w:t>
      </w:r>
      <w:proofErr w:type="spellStart"/>
      <w:r w:rsidRPr="00335FEB">
        <w:rPr>
          <w:lang w:val="en-GB"/>
        </w:rPr>
        <w:t>GoAir</w:t>
      </w:r>
      <w:proofErr w:type="spellEnd"/>
      <w:r w:rsidRPr="00335FEB">
        <w:rPr>
          <w:lang w:val="en-GB"/>
        </w:rPr>
        <w:t xml:space="preserve">, </w:t>
      </w:r>
      <w:proofErr w:type="spellStart"/>
      <w:r w:rsidRPr="00335FEB">
        <w:rPr>
          <w:lang w:val="en-GB"/>
        </w:rPr>
        <w:t>Simplifly</w:t>
      </w:r>
      <w:proofErr w:type="spellEnd"/>
      <w:r w:rsidRPr="00335FEB">
        <w:rPr>
          <w:lang w:val="en-GB"/>
        </w:rPr>
        <w:t xml:space="preserve"> Deccan (later Kingfisher Red), </w:t>
      </w:r>
      <w:proofErr w:type="spellStart"/>
      <w:r w:rsidRPr="00335FEB">
        <w:rPr>
          <w:lang w:val="en-GB"/>
        </w:rPr>
        <w:t>Jetconnect</w:t>
      </w:r>
      <w:proofErr w:type="spellEnd"/>
      <w:r w:rsidRPr="00335FEB">
        <w:rPr>
          <w:lang w:val="en-GB"/>
        </w:rPr>
        <w:t xml:space="preserve">, and AirAsia. While Kingfisher Red and </w:t>
      </w:r>
      <w:proofErr w:type="spellStart"/>
      <w:r w:rsidRPr="00335FEB">
        <w:rPr>
          <w:lang w:val="en-GB"/>
        </w:rPr>
        <w:t>Jetconnect</w:t>
      </w:r>
      <w:proofErr w:type="spellEnd"/>
      <w:r w:rsidRPr="00335FEB">
        <w:rPr>
          <w:lang w:val="en-GB"/>
        </w:rPr>
        <w:t xml:space="preserve"> were grounded in 2013 and 2014, respectively, the remaining LCCs shared more than 67 per cent of the domestic market share (see Exhibit 3 for trends in </w:t>
      </w:r>
      <w:r>
        <w:rPr>
          <w:lang w:val="en-GB"/>
        </w:rPr>
        <w:t xml:space="preserve">the market share of </w:t>
      </w:r>
      <w:proofErr w:type="spellStart"/>
      <w:r w:rsidRPr="00335FEB">
        <w:rPr>
          <w:lang w:val="en-GB"/>
        </w:rPr>
        <w:t>IndiGo</w:t>
      </w:r>
      <w:proofErr w:type="spellEnd"/>
      <w:r w:rsidRPr="00335FEB">
        <w:rPr>
          <w:lang w:val="en-GB"/>
        </w:rPr>
        <w:t xml:space="preserve"> and its competitors). Although many players had started operations around 2005, </w:t>
      </w:r>
      <w:proofErr w:type="spellStart"/>
      <w:r w:rsidRPr="00335FEB">
        <w:rPr>
          <w:lang w:val="en-GB"/>
        </w:rPr>
        <w:t>IndiGo</w:t>
      </w:r>
      <w:proofErr w:type="spellEnd"/>
      <w:r w:rsidRPr="00335FEB">
        <w:rPr>
          <w:lang w:val="en-GB"/>
        </w:rPr>
        <w:t xml:space="preserve"> had grown from its modest 5</w:t>
      </w:r>
      <w:r>
        <w:rPr>
          <w:lang w:val="en-GB"/>
        </w:rPr>
        <w:t xml:space="preserve"> </w:t>
      </w:r>
      <w:r w:rsidRPr="00335FEB">
        <w:rPr>
          <w:lang w:val="en-GB"/>
        </w:rPr>
        <w:t>per</w:t>
      </w:r>
      <w:r>
        <w:rPr>
          <w:lang w:val="en-GB"/>
        </w:rPr>
        <w:t xml:space="preserve"> </w:t>
      </w:r>
      <w:r w:rsidRPr="00335FEB">
        <w:rPr>
          <w:lang w:val="en-GB"/>
        </w:rPr>
        <w:t>cent market share in 2006 to emerge as the largest player in the aviation market with a 40</w:t>
      </w:r>
      <w:r>
        <w:rPr>
          <w:lang w:val="en-GB"/>
        </w:rPr>
        <w:t xml:space="preserve"> </w:t>
      </w:r>
      <w:r w:rsidRPr="00335FEB">
        <w:rPr>
          <w:lang w:val="en-GB"/>
        </w:rPr>
        <w:t>per</w:t>
      </w:r>
      <w:r>
        <w:rPr>
          <w:lang w:val="en-GB"/>
        </w:rPr>
        <w:t xml:space="preserve"> </w:t>
      </w:r>
      <w:r w:rsidRPr="00335FEB">
        <w:rPr>
          <w:lang w:val="en-GB"/>
        </w:rPr>
        <w:t>cent market share in 2018.</w:t>
      </w:r>
    </w:p>
    <w:p w14:paraId="53CBE55B" w14:textId="77777777" w:rsidR="00D054CC" w:rsidRPr="00335FEB" w:rsidRDefault="00D054CC" w:rsidP="0049025E">
      <w:pPr>
        <w:pStyle w:val="BodyTextMain"/>
        <w:rPr>
          <w:lang w:val="en-GB"/>
        </w:rPr>
      </w:pPr>
    </w:p>
    <w:p w14:paraId="502AA3EE" w14:textId="77777777" w:rsidR="00D054CC" w:rsidRPr="00335FEB" w:rsidRDefault="00D054CC" w:rsidP="0049025E">
      <w:pPr>
        <w:pStyle w:val="BodyTextMain"/>
        <w:rPr>
          <w:lang w:val="en-GB"/>
        </w:rPr>
      </w:pPr>
    </w:p>
    <w:p w14:paraId="62BEE7AA" w14:textId="77777777" w:rsidR="00D054CC" w:rsidRPr="00335FEB" w:rsidRDefault="00D054CC" w:rsidP="0049025E">
      <w:pPr>
        <w:pStyle w:val="Casehead1"/>
        <w:rPr>
          <w:lang w:val="en-GB"/>
        </w:rPr>
      </w:pPr>
      <w:r w:rsidRPr="00335FEB">
        <w:rPr>
          <w:lang w:val="en-GB"/>
        </w:rPr>
        <w:t xml:space="preserve">INDIGO: THE COMPANY </w:t>
      </w:r>
    </w:p>
    <w:p w14:paraId="50CA548D" w14:textId="77777777" w:rsidR="00D054CC" w:rsidRPr="00335FEB" w:rsidRDefault="00D054CC" w:rsidP="00BA207D">
      <w:pPr>
        <w:pStyle w:val="BodyTextMain"/>
        <w:rPr>
          <w:sz w:val="20"/>
          <w:szCs w:val="24"/>
          <w:lang w:val="en-GB"/>
        </w:rPr>
      </w:pPr>
    </w:p>
    <w:p w14:paraId="7D1A7F5C" w14:textId="68FAA566" w:rsidR="00D054CC" w:rsidRPr="00335FEB" w:rsidRDefault="00D054CC" w:rsidP="002A3354">
      <w:pPr>
        <w:pStyle w:val="BodyTextMain"/>
        <w:rPr>
          <w:lang w:val="en-GB"/>
        </w:rPr>
      </w:pPr>
      <w:r w:rsidRPr="00335FEB">
        <w:rPr>
          <w:lang w:val="en-GB"/>
        </w:rPr>
        <w:t xml:space="preserve">Founded in 2006, </w:t>
      </w:r>
      <w:proofErr w:type="spellStart"/>
      <w:r w:rsidRPr="00335FEB">
        <w:rPr>
          <w:lang w:val="en-GB"/>
        </w:rPr>
        <w:t>IndiGo</w:t>
      </w:r>
      <w:proofErr w:type="spellEnd"/>
      <w:r w:rsidRPr="00335FEB">
        <w:rPr>
          <w:lang w:val="en-GB"/>
        </w:rPr>
        <w:t xml:space="preserve"> made a modest entry into the Indian civil aviation market after taking delivery of just a single aircraft. As of 2016, the company had headquarters in Delhi and operating bases in Chennai, Delhi, Bangalore, Mumbai, Nagpur, Kolkata, and Hyderabad. Over the years, </w:t>
      </w:r>
      <w:proofErr w:type="spellStart"/>
      <w:r w:rsidRPr="00335FEB">
        <w:rPr>
          <w:lang w:val="en-GB"/>
        </w:rPr>
        <w:t>IndiGo</w:t>
      </w:r>
      <w:proofErr w:type="spellEnd"/>
      <w:r w:rsidRPr="00335FEB">
        <w:rPr>
          <w:lang w:val="en-GB"/>
        </w:rPr>
        <w:t xml:space="preserve"> had developed a fleet of 161 aircrafts. In 2015, it operated 818 daily flights across 40 Indian cities and five international destinations. Since its entry, </w:t>
      </w:r>
      <w:proofErr w:type="spellStart"/>
      <w:r w:rsidRPr="00335FEB">
        <w:rPr>
          <w:lang w:val="en-GB"/>
        </w:rPr>
        <w:t>IndiGo</w:t>
      </w:r>
      <w:proofErr w:type="spellEnd"/>
      <w:r w:rsidRPr="00335FEB">
        <w:rPr>
          <w:lang w:val="en-GB"/>
        </w:rPr>
        <w:t xml:space="preserve"> had used a single-class configuration</w:t>
      </w:r>
      <w:r w:rsidRPr="00335FEB">
        <w:rPr>
          <w:vertAlign w:val="superscript"/>
          <w:lang w:val="en-GB"/>
        </w:rPr>
        <w:endnoteReference w:id="14"/>
      </w:r>
      <w:r w:rsidRPr="00335FEB">
        <w:rPr>
          <w:lang w:val="en-GB"/>
        </w:rPr>
        <w:t xml:space="preserve"> aircraft—the 180-seat Airbus A320-200.</w:t>
      </w:r>
      <w:r w:rsidRPr="00335FEB">
        <w:rPr>
          <w:vertAlign w:val="superscript"/>
          <w:lang w:val="en-GB"/>
        </w:rPr>
        <w:endnoteReference w:id="15"/>
      </w:r>
      <w:r w:rsidRPr="00335FEB">
        <w:rPr>
          <w:lang w:val="en-GB"/>
        </w:rPr>
        <w:t xml:space="preserve"> The </w:t>
      </w:r>
      <w:r>
        <w:rPr>
          <w:lang w:val="en-GB"/>
        </w:rPr>
        <w:t xml:space="preserve">company’s </w:t>
      </w:r>
      <w:r w:rsidRPr="00335FEB">
        <w:rPr>
          <w:lang w:val="en-GB"/>
        </w:rPr>
        <w:t>unique selling proposition was to offer the lowest airfares, professional customer service, and honesty in dealing with delays and cancellations.</w:t>
      </w:r>
      <w:r w:rsidRPr="00335FEB">
        <w:rPr>
          <w:vertAlign w:val="superscript"/>
          <w:lang w:val="en-GB"/>
        </w:rPr>
        <w:endnoteReference w:id="16"/>
      </w:r>
      <w:r w:rsidRPr="00335FEB">
        <w:rPr>
          <w:lang w:val="en-GB"/>
        </w:rPr>
        <w:t xml:space="preserve"> </w:t>
      </w:r>
      <w:proofErr w:type="spellStart"/>
      <w:r w:rsidRPr="00335FEB">
        <w:rPr>
          <w:lang w:val="en-GB"/>
        </w:rPr>
        <w:t>IndiGo</w:t>
      </w:r>
      <w:proofErr w:type="spellEnd"/>
      <w:r w:rsidRPr="00335FEB">
        <w:rPr>
          <w:lang w:val="en-GB"/>
        </w:rPr>
        <w:t xml:space="preserve"> believed in product homogeneity and focused on one type of airplane</w:t>
      </w:r>
      <w:r>
        <w:rPr>
          <w:lang w:val="en-GB"/>
        </w:rPr>
        <w:t>, which</w:t>
      </w:r>
      <w:r w:rsidRPr="00335FEB">
        <w:rPr>
          <w:lang w:val="en-GB"/>
        </w:rPr>
        <w:t xml:space="preserve"> decreased ambiguity and inefficiency in a fiercely competitive service sector. </w:t>
      </w:r>
      <w:proofErr w:type="spellStart"/>
      <w:r w:rsidRPr="00335FEB">
        <w:rPr>
          <w:lang w:val="en-GB"/>
        </w:rPr>
        <w:t>IndiGo</w:t>
      </w:r>
      <w:proofErr w:type="spellEnd"/>
      <w:r w:rsidRPr="00335FEB">
        <w:rPr>
          <w:lang w:val="en-GB"/>
        </w:rPr>
        <w:t xml:space="preserve"> emphasized its tag line</w:t>
      </w:r>
      <w:r>
        <w:rPr>
          <w:lang w:val="en-GB"/>
        </w:rPr>
        <w:t>,</w:t>
      </w:r>
      <w:r w:rsidRPr="00335FEB">
        <w:rPr>
          <w:lang w:val="en-GB"/>
        </w:rPr>
        <w:t xml:space="preserve"> “On time is a wonderful thing”</w:t>
      </w:r>
      <w:r w:rsidRPr="00335FEB">
        <w:rPr>
          <w:vertAlign w:val="superscript"/>
          <w:lang w:val="en-GB"/>
        </w:rPr>
        <w:endnoteReference w:id="17"/>
      </w:r>
      <w:r w:rsidRPr="00335FEB">
        <w:rPr>
          <w:lang w:val="en-GB"/>
        </w:rPr>
        <w:t xml:space="preserve"> and ensured </w:t>
      </w:r>
      <w:r>
        <w:rPr>
          <w:lang w:val="en-GB"/>
        </w:rPr>
        <w:t xml:space="preserve">it had </w:t>
      </w:r>
      <w:r w:rsidRPr="00335FEB">
        <w:rPr>
          <w:lang w:val="en-GB"/>
        </w:rPr>
        <w:t>more than 95</w:t>
      </w:r>
      <w:r>
        <w:rPr>
          <w:lang w:val="en-GB"/>
        </w:rPr>
        <w:t xml:space="preserve"> </w:t>
      </w:r>
      <w:r w:rsidRPr="00335FEB">
        <w:rPr>
          <w:lang w:val="en-GB"/>
        </w:rPr>
        <w:t>per</w:t>
      </w:r>
      <w:r>
        <w:rPr>
          <w:lang w:val="en-GB"/>
        </w:rPr>
        <w:t xml:space="preserve"> </w:t>
      </w:r>
      <w:r w:rsidRPr="00335FEB">
        <w:rPr>
          <w:lang w:val="en-GB"/>
        </w:rPr>
        <w:t>cent</w:t>
      </w:r>
      <w:r w:rsidRPr="00335FEB">
        <w:rPr>
          <w:vertAlign w:val="superscript"/>
          <w:lang w:val="en-GB"/>
        </w:rPr>
        <w:endnoteReference w:id="18"/>
      </w:r>
      <w:r w:rsidRPr="00335FEB">
        <w:rPr>
          <w:lang w:val="en-GB"/>
        </w:rPr>
        <w:t xml:space="preserve"> on-time performance in arrival and departures, making the company a market </w:t>
      </w:r>
      <w:r w:rsidRPr="00335FEB">
        <w:rPr>
          <w:lang w:val="en-GB"/>
        </w:rPr>
        <w:lastRenderedPageBreak/>
        <w:t xml:space="preserve">leader. </w:t>
      </w:r>
      <w:proofErr w:type="spellStart"/>
      <w:r w:rsidRPr="00335FEB">
        <w:rPr>
          <w:lang w:val="en-GB"/>
        </w:rPr>
        <w:t>IndiGo</w:t>
      </w:r>
      <w:proofErr w:type="spellEnd"/>
      <w:r w:rsidRPr="00335FEB">
        <w:rPr>
          <w:lang w:val="en-GB"/>
        </w:rPr>
        <w:t xml:space="preserve"> also boasted the lowest flight cancellation rate (just 0.38 per cent) among all of its competitors. In 2015, </w:t>
      </w:r>
      <w:proofErr w:type="spellStart"/>
      <w:r w:rsidRPr="00335FEB">
        <w:rPr>
          <w:lang w:val="en-GB"/>
        </w:rPr>
        <w:t>IndiGo</w:t>
      </w:r>
      <w:proofErr w:type="spellEnd"/>
      <w:r w:rsidRPr="00335FEB">
        <w:rPr>
          <w:lang w:val="en-GB"/>
        </w:rPr>
        <w:t xml:space="preserve"> was awarded “Low Cost Airline of the Year” by the Centre for Asia Pacific Aviation as part of its Aviation Awards for Excelle</w:t>
      </w:r>
      <w:r>
        <w:rPr>
          <w:lang w:val="en-GB"/>
        </w:rPr>
        <w:t>nce.</w:t>
      </w:r>
      <w:r>
        <w:rPr>
          <w:rStyle w:val="EndnoteReference"/>
          <w:lang w:val="en-GB"/>
        </w:rPr>
        <w:endnoteReference w:id="19"/>
      </w:r>
    </w:p>
    <w:p w14:paraId="7C94D9F7" w14:textId="77777777" w:rsidR="00D054CC" w:rsidRPr="00335FEB" w:rsidRDefault="00D054CC" w:rsidP="002A3354">
      <w:pPr>
        <w:pStyle w:val="BodyTextMain"/>
        <w:rPr>
          <w:sz w:val="20"/>
          <w:lang w:val="en-GB"/>
        </w:rPr>
      </w:pPr>
    </w:p>
    <w:p w14:paraId="757AC825" w14:textId="50603BD1" w:rsidR="00D054CC" w:rsidRPr="00335FEB" w:rsidRDefault="00D054CC" w:rsidP="002A3354">
      <w:pPr>
        <w:pStyle w:val="BodyTextMain"/>
        <w:rPr>
          <w:spacing w:val="-2"/>
          <w:lang w:val="en-GB"/>
        </w:rPr>
      </w:pPr>
      <w:proofErr w:type="spellStart"/>
      <w:r w:rsidRPr="00335FEB">
        <w:rPr>
          <w:spacing w:val="-2"/>
          <w:lang w:val="en-GB"/>
        </w:rPr>
        <w:t>IndiGo</w:t>
      </w:r>
      <w:proofErr w:type="spellEnd"/>
      <w:r w:rsidRPr="00335FEB">
        <w:rPr>
          <w:spacing w:val="-2"/>
          <w:lang w:val="en-GB"/>
        </w:rPr>
        <w:t xml:space="preserve"> focused on four key strategies to achieve profitability. First and foremost, its pricing strategy was very competitive. Due to a dynamic pricing (DP) model and the dominance of ticketing aggregators</w:t>
      </w:r>
      <w:r w:rsidRPr="00335FEB">
        <w:rPr>
          <w:spacing w:val="-2"/>
          <w:vertAlign w:val="superscript"/>
          <w:lang w:val="en-GB"/>
        </w:rPr>
        <w:endnoteReference w:id="20"/>
      </w:r>
      <w:r w:rsidRPr="00335FEB">
        <w:rPr>
          <w:spacing w:val="-2"/>
          <w:lang w:val="en-GB"/>
        </w:rPr>
        <w:t xml:space="preserve"> </w:t>
      </w:r>
      <w:r>
        <w:rPr>
          <w:spacing w:val="-2"/>
          <w:lang w:val="en-GB"/>
        </w:rPr>
        <w:t>such as</w:t>
      </w:r>
      <w:r w:rsidRPr="00335FEB">
        <w:rPr>
          <w:spacing w:val="-2"/>
          <w:lang w:val="en-GB"/>
        </w:rPr>
        <w:t xml:space="preserve"> cleartrip.com, yatra.com, and goibibo.com, the differences in price for any given route varied a great deal depending on the time of booking and how many days in advance the ticket was booked. For example, for the Delhi–Mumbai sector (route), an </w:t>
      </w:r>
      <w:proofErr w:type="spellStart"/>
      <w:r w:rsidRPr="00335FEB">
        <w:rPr>
          <w:spacing w:val="-2"/>
          <w:lang w:val="en-GB"/>
        </w:rPr>
        <w:t>IndiGo</w:t>
      </w:r>
      <w:proofErr w:type="spellEnd"/>
      <w:r w:rsidRPr="00335FEB">
        <w:rPr>
          <w:spacing w:val="-2"/>
          <w:lang w:val="en-GB"/>
        </w:rPr>
        <w:t xml:space="preserve"> ticket purchased seven days in advance sold for much higher than a ticket from Air India, which was a full-service carrier (see Exhibit 4). However, in all dominant sectors, </w:t>
      </w:r>
      <w:proofErr w:type="spellStart"/>
      <w:r w:rsidRPr="00335FEB">
        <w:rPr>
          <w:spacing w:val="-2"/>
          <w:lang w:val="en-GB"/>
        </w:rPr>
        <w:t>IndiGo</w:t>
      </w:r>
      <w:proofErr w:type="spellEnd"/>
      <w:r w:rsidRPr="00335FEB">
        <w:rPr>
          <w:spacing w:val="-2"/>
          <w:lang w:val="en-GB"/>
        </w:rPr>
        <w:t xml:space="preserve"> tickets were </w:t>
      </w:r>
      <w:r>
        <w:rPr>
          <w:spacing w:val="-2"/>
          <w:lang w:val="en-GB"/>
        </w:rPr>
        <w:t xml:space="preserve">most often </w:t>
      </w:r>
      <w:r w:rsidRPr="00335FEB">
        <w:rPr>
          <w:spacing w:val="-2"/>
          <w:lang w:val="en-GB"/>
        </w:rPr>
        <w:t xml:space="preserve">priced 1–20 per cent lower than other airlines, including LCCs (see Exhibit 4). Second, </w:t>
      </w:r>
      <w:proofErr w:type="spellStart"/>
      <w:r w:rsidRPr="00335FEB">
        <w:rPr>
          <w:spacing w:val="-2"/>
          <w:lang w:val="en-GB"/>
        </w:rPr>
        <w:t>IndiGo</w:t>
      </w:r>
      <w:proofErr w:type="spellEnd"/>
      <w:r w:rsidRPr="00335FEB">
        <w:rPr>
          <w:spacing w:val="-2"/>
          <w:lang w:val="en-GB"/>
        </w:rPr>
        <w:t xml:space="preserve"> had innovated its aircraft management strategy. The company operated on a leaseback model </w:t>
      </w:r>
      <w:r>
        <w:rPr>
          <w:spacing w:val="-2"/>
          <w:lang w:val="en-GB"/>
        </w:rPr>
        <w:t xml:space="preserve">that ensured </w:t>
      </w:r>
      <w:r w:rsidRPr="00335FEB">
        <w:rPr>
          <w:spacing w:val="-2"/>
          <w:lang w:val="en-GB"/>
        </w:rPr>
        <w:t xml:space="preserve">it </w:t>
      </w:r>
      <w:r>
        <w:rPr>
          <w:spacing w:val="-2"/>
          <w:lang w:val="en-GB"/>
        </w:rPr>
        <w:t>w</w:t>
      </w:r>
      <w:r w:rsidRPr="00335FEB">
        <w:rPr>
          <w:spacing w:val="-2"/>
          <w:lang w:val="en-GB"/>
        </w:rPr>
        <w:t xml:space="preserve">ould </w:t>
      </w:r>
      <w:r>
        <w:rPr>
          <w:spacing w:val="-2"/>
          <w:lang w:val="en-GB"/>
        </w:rPr>
        <w:t>receive</w:t>
      </w:r>
      <w:r w:rsidRPr="00335FEB">
        <w:rPr>
          <w:spacing w:val="-2"/>
          <w:lang w:val="en-GB"/>
        </w:rPr>
        <w:t xml:space="preserve"> a new fleet every three</w:t>
      </w:r>
      <w:r>
        <w:rPr>
          <w:spacing w:val="-2"/>
          <w:lang w:val="en-GB"/>
        </w:rPr>
        <w:t xml:space="preserve"> to </w:t>
      </w:r>
      <w:r w:rsidRPr="00335FEB">
        <w:rPr>
          <w:spacing w:val="-2"/>
          <w:lang w:val="en-GB"/>
        </w:rPr>
        <w:t>four years and that until 2032</w:t>
      </w:r>
      <w:r>
        <w:rPr>
          <w:spacing w:val="-2"/>
          <w:lang w:val="en-GB"/>
        </w:rPr>
        <w:t>,</w:t>
      </w:r>
      <w:r w:rsidRPr="00335FEB">
        <w:rPr>
          <w:spacing w:val="-2"/>
          <w:lang w:val="en-GB"/>
        </w:rPr>
        <w:t xml:space="preserve"> its fleet</w:t>
      </w:r>
      <w:r>
        <w:rPr>
          <w:spacing w:val="-2"/>
          <w:lang w:val="en-GB"/>
        </w:rPr>
        <w:t>’s average age</w:t>
      </w:r>
      <w:r w:rsidRPr="00335FEB">
        <w:rPr>
          <w:spacing w:val="-2"/>
          <w:lang w:val="en-GB"/>
        </w:rPr>
        <w:t xml:space="preserve"> would </w:t>
      </w:r>
      <w:r>
        <w:rPr>
          <w:spacing w:val="-2"/>
          <w:lang w:val="en-GB"/>
        </w:rPr>
        <w:t>be</w:t>
      </w:r>
      <w:r w:rsidRPr="00335FEB">
        <w:rPr>
          <w:spacing w:val="-2"/>
          <w:lang w:val="en-GB"/>
        </w:rPr>
        <w:t xml:space="preserve"> four years,</w:t>
      </w:r>
      <w:r w:rsidRPr="00335FEB">
        <w:rPr>
          <w:spacing w:val="-2"/>
          <w:vertAlign w:val="superscript"/>
          <w:lang w:val="en-GB"/>
        </w:rPr>
        <w:endnoteReference w:id="21"/>
      </w:r>
      <w:r w:rsidRPr="00335FEB">
        <w:rPr>
          <w:spacing w:val="-2"/>
          <w:lang w:val="en-GB"/>
        </w:rPr>
        <w:t xml:space="preserve"> which was significantly lower than other airlines. Also, maintaining a single-configuration aircraft helped </w:t>
      </w:r>
      <w:proofErr w:type="spellStart"/>
      <w:r w:rsidRPr="00335FEB">
        <w:rPr>
          <w:spacing w:val="-2"/>
          <w:lang w:val="en-GB"/>
        </w:rPr>
        <w:t>IndiGo</w:t>
      </w:r>
      <w:proofErr w:type="spellEnd"/>
      <w:r w:rsidRPr="00335FEB">
        <w:rPr>
          <w:spacing w:val="-2"/>
          <w:lang w:val="en-GB"/>
        </w:rPr>
        <w:t xml:space="preserve"> reduce </w:t>
      </w:r>
      <w:r>
        <w:rPr>
          <w:spacing w:val="-2"/>
          <w:lang w:val="en-GB"/>
        </w:rPr>
        <w:t xml:space="preserve">its </w:t>
      </w:r>
      <w:r w:rsidRPr="00335FEB">
        <w:rPr>
          <w:spacing w:val="-2"/>
          <w:lang w:val="en-GB"/>
        </w:rPr>
        <w:t xml:space="preserve">training and maintenance costs. Third, </w:t>
      </w:r>
      <w:proofErr w:type="spellStart"/>
      <w:r w:rsidRPr="00335FEB">
        <w:rPr>
          <w:spacing w:val="-2"/>
          <w:lang w:val="en-GB"/>
        </w:rPr>
        <w:t>IndiGo</w:t>
      </w:r>
      <w:proofErr w:type="spellEnd"/>
      <w:r w:rsidRPr="00335FEB">
        <w:rPr>
          <w:spacing w:val="-2"/>
          <w:lang w:val="en-GB"/>
        </w:rPr>
        <w:t xml:space="preserve"> had a unique expansion strategy. While other airlines ordered aircraft in bulk to connect many cities in one go, </w:t>
      </w:r>
      <w:proofErr w:type="spellStart"/>
      <w:r w:rsidRPr="00335FEB">
        <w:rPr>
          <w:spacing w:val="-2"/>
          <w:lang w:val="en-GB"/>
        </w:rPr>
        <w:t>IndiGo</w:t>
      </w:r>
      <w:proofErr w:type="spellEnd"/>
      <w:r w:rsidRPr="00335FEB">
        <w:rPr>
          <w:spacing w:val="-2"/>
          <w:lang w:val="en-GB"/>
        </w:rPr>
        <w:t xml:space="preserve"> started with just one aircraft and then added one more to its fleet every six weeks.</w:t>
      </w:r>
      <w:r w:rsidRPr="00335FEB">
        <w:rPr>
          <w:rStyle w:val="EndnoteReference"/>
          <w:spacing w:val="-2"/>
          <w:lang w:val="en-GB"/>
        </w:rPr>
        <w:endnoteReference w:id="22"/>
      </w:r>
      <w:r w:rsidRPr="00335FEB">
        <w:rPr>
          <w:spacing w:val="-2"/>
          <w:lang w:val="en-GB"/>
        </w:rPr>
        <w:t xml:space="preserve"> </w:t>
      </w:r>
      <w:proofErr w:type="spellStart"/>
      <w:r w:rsidRPr="00335FEB">
        <w:rPr>
          <w:spacing w:val="-2"/>
          <w:lang w:val="en-GB"/>
        </w:rPr>
        <w:t>IndiGo</w:t>
      </w:r>
      <w:proofErr w:type="spellEnd"/>
      <w:r w:rsidRPr="00335FEB">
        <w:rPr>
          <w:spacing w:val="-2"/>
          <w:lang w:val="en-GB"/>
        </w:rPr>
        <w:t xml:space="preserve"> first tested one route for operational and financial viability, and having established a foothold in that route, expanded to other sectors. However, to take advantage of </w:t>
      </w:r>
      <w:r>
        <w:rPr>
          <w:spacing w:val="-2"/>
          <w:lang w:val="en-GB"/>
        </w:rPr>
        <w:t xml:space="preserve">the </w:t>
      </w:r>
      <w:r w:rsidRPr="00335FEB">
        <w:rPr>
          <w:spacing w:val="-2"/>
          <w:lang w:val="en-GB"/>
        </w:rPr>
        <w:t xml:space="preserve">lower prices in bulk purchase ordering, </w:t>
      </w:r>
      <w:proofErr w:type="spellStart"/>
      <w:r w:rsidRPr="00335FEB">
        <w:rPr>
          <w:spacing w:val="-2"/>
          <w:lang w:val="en-GB"/>
        </w:rPr>
        <w:t>IndiGo</w:t>
      </w:r>
      <w:proofErr w:type="spellEnd"/>
      <w:r w:rsidRPr="00335FEB">
        <w:rPr>
          <w:spacing w:val="-2"/>
          <w:lang w:val="en-GB"/>
        </w:rPr>
        <w:t xml:space="preserve"> made history by ordering 100 Airbus 320</w:t>
      </w:r>
      <w:r>
        <w:rPr>
          <w:spacing w:val="-2"/>
          <w:lang w:val="en-GB"/>
        </w:rPr>
        <w:t xml:space="preserve"> aircraft</w:t>
      </w:r>
      <w:r w:rsidRPr="00335FEB">
        <w:rPr>
          <w:spacing w:val="-2"/>
          <w:lang w:val="en-GB"/>
        </w:rPr>
        <w:t xml:space="preserve">, which were gradually delivered in a phased manner. Fourth, </w:t>
      </w:r>
      <w:proofErr w:type="spellStart"/>
      <w:r w:rsidRPr="00335FEB">
        <w:rPr>
          <w:spacing w:val="-2"/>
          <w:lang w:val="en-GB"/>
        </w:rPr>
        <w:t>IndiGo</w:t>
      </w:r>
      <w:proofErr w:type="spellEnd"/>
      <w:r w:rsidRPr="00335FEB">
        <w:rPr>
          <w:spacing w:val="-2"/>
          <w:lang w:val="en-GB"/>
        </w:rPr>
        <w:t xml:space="preserve"> realized the importance of punctuality, good connectivity, and consistent services in making customers loyal to an airline in the aviation sector. </w:t>
      </w:r>
      <w:proofErr w:type="spellStart"/>
      <w:r w:rsidRPr="00335FEB">
        <w:rPr>
          <w:spacing w:val="-2"/>
          <w:lang w:val="en-GB"/>
        </w:rPr>
        <w:t>IndiGo</w:t>
      </w:r>
      <w:proofErr w:type="spellEnd"/>
      <w:r w:rsidRPr="00335FEB">
        <w:rPr>
          <w:spacing w:val="-2"/>
          <w:lang w:val="en-GB"/>
        </w:rPr>
        <w:t xml:space="preserve"> focused on these parameters and gained publicity by word of mouth. </w:t>
      </w:r>
      <w:proofErr w:type="spellStart"/>
      <w:r w:rsidRPr="00335FEB">
        <w:rPr>
          <w:spacing w:val="-2"/>
          <w:lang w:val="en-GB"/>
        </w:rPr>
        <w:t>IndiGo</w:t>
      </w:r>
      <w:proofErr w:type="spellEnd"/>
      <w:r w:rsidRPr="00335FEB">
        <w:rPr>
          <w:spacing w:val="-2"/>
          <w:lang w:val="en-GB"/>
        </w:rPr>
        <w:t xml:space="preserve"> slowly but steadily earned a reputation for on-time performance. To ensure transparency, </w:t>
      </w:r>
      <w:proofErr w:type="spellStart"/>
      <w:r w:rsidRPr="00335FEB">
        <w:rPr>
          <w:spacing w:val="-2"/>
          <w:lang w:val="en-GB"/>
        </w:rPr>
        <w:t>IndiGo</w:t>
      </w:r>
      <w:proofErr w:type="spellEnd"/>
      <w:r w:rsidRPr="00335FEB">
        <w:rPr>
          <w:spacing w:val="-2"/>
          <w:lang w:val="en-GB"/>
        </w:rPr>
        <w:t xml:space="preserve"> used the Aircraft Communications Addressing and Reporting System, which automatically monitored the arrival and departure time</w:t>
      </w:r>
      <w:r>
        <w:rPr>
          <w:spacing w:val="-2"/>
          <w:lang w:val="en-GB"/>
        </w:rPr>
        <w:t>s</w:t>
      </w:r>
      <w:r w:rsidRPr="00335FEB">
        <w:rPr>
          <w:spacing w:val="-2"/>
          <w:lang w:val="en-GB"/>
        </w:rPr>
        <w:t xml:space="preserve"> of </w:t>
      </w:r>
      <w:proofErr w:type="spellStart"/>
      <w:r w:rsidRPr="00335FEB">
        <w:rPr>
          <w:spacing w:val="-2"/>
          <w:lang w:val="en-GB"/>
        </w:rPr>
        <w:t>IndiGo</w:t>
      </w:r>
      <w:proofErr w:type="spellEnd"/>
      <w:r w:rsidRPr="00335FEB">
        <w:rPr>
          <w:spacing w:val="-2"/>
          <w:lang w:val="en-GB"/>
        </w:rPr>
        <w:t xml:space="preserve"> aircraft.</w:t>
      </w:r>
      <w:r w:rsidRPr="00335FEB">
        <w:rPr>
          <w:spacing w:val="-2"/>
          <w:vertAlign w:val="superscript"/>
          <w:lang w:val="en-GB"/>
        </w:rPr>
        <w:endnoteReference w:id="23"/>
      </w:r>
      <w:r w:rsidRPr="00335FEB">
        <w:rPr>
          <w:spacing w:val="-2"/>
          <w:lang w:val="en-GB"/>
        </w:rPr>
        <w:t xml:space="preserve"> In the Indian aviation market, the only service that distinguished LCCs from full</w:t>
      </w:r>
      <w:r>
        <w:rPr>
          <w:spacing w:val="-2"/>
          <w:lang w:val="en-GB"/>
        </w:rPr>
        <w:t>-</w:t>
      </w:r>
      <w:r w:rsidRPr="00335FEB">
        <w:rPr>
          <w:spacing w:val="-2"/>
          <w:lang w:val="en-GB"/>
        </w:rPr>
        <w:t xml:space="preserve">service airlines’ economy class was in-flight meals. Since most of </w:t>
      </w:r>
      <w:proofErr w:type="spellStart"/>
      <w:r w:rsidRPr="00335FEB">
        <w:rPr>
          <w:spacing w:val="-2"/>
          <w:lang w:val="en-GB"/>
        </w:rPr>
        <w:t>IndiGo’s</w:t>
      </w:r>
      <w:proofErr w:type="spellEnd"/>
      <w:r w:rsidRPr="00335FEB">
        <w:rPr>
          <w:spacing w:val="-2"/>
          <w:lang w:val="en-GB"/>
        </w:rPr>
        <w:t xml:space="preserve"> </w:t>
      </w:r>
      <w:r>
        <w:rPr>
          <w:spacing w:val="-2"/>
          <w:lang w:val="en-GB"/>
        </w:rPr>
        <w:t>route</w:t>
      </w:r>
      <w:r w:rsidRPr="00335FEB">
        <w:rPr>
          <w:spacing w:val="-2"/>
          <w:lang w:val="en-GB"/>
        </w:rPr>
        <w:t>s were short-haul</w:t>
      </w:r>
      <w:r>
        <w:rPr>
          <w:spacing w:val="-2"/>
          <w:lang w:val="en-GB"/>
        </w:rPr>
        <w:t xml:space="preserve"> flights</w:t>
      </w:r>
      <w:r w:rsidRPr="00335FEB">
        <w:rPr>
          <w:spacing w:val="-2"/>
          <w:lang w:val="en-GB"/>
        </w:rPr>
        <w:t>,</w:t>
      </w:r>
      <w:r w:rsidRPr="00335FEB">
        <w:rPr>
          <w:spacing w:val="-2"/>
          <w:vertAlign w:val="superscript"/>
          <w:lang w:val="en-GB"/>
        </w:rPr>
        <w:endnoteReference w:id="24"/>
      </w:r>
      <w:r w:rsidRPr="00335FEB">
        <w:rPr>
          <w:spacing w:val="-2"/>
          <w:lang w:val="en-GB"/>
        </w:rPr>
        <w:t xml:space="preserve"> customers did not mind paying extra for food. For Indian travellers, who were very price</w:t>
      </w:r>
      <w:r>
        <w:rPr>
          <w:spacing w:val="-2"/>
          <w:lang w:val="en-GB"/>
        </w:rPr>
        <w:t>-</w:t>
      </w:r>
      <w:r w:rsidRPr="00335FEB">
        <w:rPr>
          <w:spacing w:val="-2"/>
          <w:lang w:val="en-GB"/>
        </w:rPr>
        <w:t xml:space="preserve">sensitive, </w:t>
      </w:r>
      <w:proofErr w:type="spellStart"/>
      <w:r w:rsidRPr="00335FEB">
        <w:rPr>
          <w:spacing w:val="-2"/>
          <w:lang w:val="en-GB"/>
        </w:rPr>
        <w:t>IndiGo</w:t>
      </w:r>
      <w:proofErr w:type="spellEnd"/>
      <w:r w:rsidRPr="00335FEB">
        <w:rPr>
          <w:spacing w:val="-2"/>
          <w:lang w:val="en-GB"/>
        </w:rPr>
        <w:t xml:space="preserve"> became the preferred choice of airline because of its reputation of on-time performance </w:t>
      </w:r>
      <w:r>
        <w:rPr>
          <w:spacing w:val="-2"/>
          <w:lang w:val="en-GB"/>
        </w:rPr>
        <w:t>and</w:t>
      </w:r>
      <w:r w:rsidRPr="00335FEB">
        <w:rPr>
          <w:spacing w:val="-2"/>
          <w:lang w:val="en-GB"/>
        </w:rPr>
        <w:t xml:space="preserve"> the great psychological boost it gave to their self-esteem with its offer of classless yet efficient services during boarding and off-boarding.</w:t>
      </w:r>
      <w:r w:rsidRPr="00335FEB">
        <w:rPr>
          <w:rStyle w:val="EndnoteReference"/>
          <w:spacing w:val="-2"/>
          <w:lang w:val="en-GB"/>
        </w:rPr>
        <w:endnoteReference w:id="25"/>
      </w:r>
    </w:p>
    <w:p w14:paraId="025D378B" w14:textId="77777777" w:rsidR="00D054CC" w:rsidRPr="00335FEB" w:rsidRDefault="00D054CC" w:rsidP="00BA207D">
      <w:pPr>
        <w:pStyle w:val="BodyTextMain"/>
        <w:rPr>
          <w:sz w:val="20"/>
          <w:szCs w:val="24"/>
          <w:lang w:val="en-GB"/>
        </w:rPr>
      </w:pPr>
    </w:p>
    <w:p w14:paraId="4D288BF6" w14:textId="77777777" w:rsidR="00D054CC" w:rsidRPr="00335FEB" w:rsidRDefault="00D054CC" w:rsidP="00BA207D">
      <w:pPr>
        <w:pStyle w:val="BodyTextMain"/>
        <w:rPr>
          <w:sz w:val="20"/>
          <w:szCs w:val="24"/>
          <w:lang w:val="en-GB"/>
        </w:rPr>
      </w:pPr>
    </w:p>
    <w:p w14:paraId="278E4C9D" w14:textId="77777777" w:rsidR="00D054CC" w:rsidRPr="00335FEB" w:rsidRDefault="00D054CC" w:rsidP="002A3354">
      <w:pPr>
        <w:pStyle w:val="Casehead1"/>
        <w:rPr>
          <w:lang w:val="en-GB"/>
        </w:rPr>
      </w:pPr>
      <w:r w:rsidRPr="00335FEB">
        <w:rPr>
          <w:lang w:val="en-GB"/>
        </w:rPr>
        <w:t>DYNAMIC PRICING AND INTENSE COMPETITION</w:t>
      </w:r>
    </w:p>
    <w:p w14:paraId="191DF143" w14:textId="77777777" w:rsidR="00D054CC" w:rsidRPr="00335FEB" w:rsidRDefault="00D054CC" w:rsidP="002A3354">
      <w:pPr>
        <w:pStyle w:val="BodyTextMain"/>
        <w:rPr>
          <w:sz w:val="20"/>
          <w:lang w:val="en-GB"/>
        </w:rPr>
      </w:pPr>
    </w:p>
    <w:p w14:paraId="371C3818" w14:textId="2DEFA109" w:rsidR="00D054CC" w:rsidRPr="006B2310" w:rsidRDefault="00D054CC" w:rsidP="002A3354">
      <w:pPr>
        <w:pStyle w:val="BodyTextMain"/>
        <w:rPr>
          <w:spacing w:val="-2"/>
          <w:lang w:val="en-GB"/>
        </w:rPr>
      </w:pPr>
      <w:r w:rsidRPr="006B2310">
        <w:rPr>
          <w:spacing w:val="-2"/>
          <w:lang w:val="en-GB"/>
        </w:rPr>
        <w:t>DP allowed prices for the same service to change according to customer, time, aggregate demand, and other situation-specific parameters such as occupied seats in the aircraft for a particular route. The airlines used the posted prices</w:t>
      </w:r>
      <w:r w:rsidRPr="006B2310">
        <w:rPr>
          <w:spacing w:val="-2"/>
          <w:vertAlign w:val="superscript"/>
          <w:lang w:val="en-GB"/>
        </w:rPr>
        <w:endnoteReference w:id="26"/>
      </w:r>
      <w:r w:rsidRPr="006B2310">
        <w:rPr>
          <w:spacing w:val="-2"/>
          <w:lang w:val="en-GB"/>
        </w:rPr>
        <w:t xml:space="preserve"> that customers could see prior to deciding to purchase a ticket. In the civil aviation industry, customer loyalty was minimal due to product homogeneity; thus, dynamic price discrimination was primarily driven by customer dynamics, where even a ticket cheaper by just a few cents attracted customers from competitors. The most important factor of price discrimination through DP was not to extract more money from the consumer, but to address the ever-shifting loyalty of customers in order to attain a higher occupancy rate in advance.</w:t>
      </w:r>
      <w:r w:rsidRPr="006B2310">
        <w:rPr>
          <w:spacing w:val="-2"/>
          <w:vertAlign w:val="superscript"/>
          <w:lang w:val="en-GB"/>
        </w:rPr>
        <w:endnoteReference w:id="27"/>
      </w:r>
      <w:r w:rsidRPr="006B2310">
        <w:rPr>
          <w:spacing w:val="-2"/>
          <w:lang w:val="en-GB"/>
        </w:rPr>
        <w:t xml:space="preserve"> Airlines all over the world used DP,</w:t>
      </w:r>
      <w:r w:rsidRPr="006B2310">
        <w:rPr>
          <w:rStyle w:val="EndnoteReference"/>
          <w:spacing w:val="-2"/>
          <w:lang w:val="en-GB"/>
        </w:rPr>
        <w:endnoteReference w:id="28"/>
      </w:r>
      <w:r w:rsidRPr="006B2310">
        <w:rPr>
          <w:spacing w:val="-2"/>
          <w:lang w:val="en-GB"/>
        </w:rPr>
        <w:t xml:space="preserve"> given the large number of customers and the number of real-time online transactions, which was essential for using such a pricing mechanism. For most products and services, because of higher customer involvement in purchases with heterogeneity in perceived valuation for the same service, the firm could use DP to reallocate and manage demand for various routes in the aviation market. As was evident to most players in the Indian aviation market, the higher a company’s need to sell excess or reassigned inventory, the greater the potential role for DP.</w:t>
      </w:r>
      <w:r w:rsidRPr="006B2310">
        <w:rPr>
          <w:spacing w:val="-2"/>
          <w:vertAlign w:val="superscript"/>
          <w:lang w:val="en-GB"/>
        </w:rPr>
        <w:endnoteReference w:id="29"/>
      </w:r>
      <w:r w:rsidRPr="006B2310">
        <w:rPr>
          <w:spacing w:val="-2"/>
          <w:lang w:val="en-GB"/>
        </w:rPr>
        <w:t xml:space="preserve"> </w:t>
      </w:r>
    </w:p>
    <w:p w14:paraId="426DEE4C" w14:textId="77777777" w:rsidR="00D054CC" w:rsidRDefault="00D054CC" w:rsidP="002A3354">
      <w:pPr>
        <w:pStyle w:val="BodyTextMain"/>
        <w:rPr>
          <w:lang w:val="en-GB"/>
        </w:rPr>
      </w:pPr>
    </w:p>
    <w:p w14:paraId="2CBD6318" w14:textId="71946159" w:rsidR="00D054CC" w:rsidRPr="00335FEB" w:rsidRDefault="00D054CC" w:rsidP="002A3354">
      <w:pPr>
        <w:pStyle w:val="BodyTextMain"/>
        <w:rPr>
          <w:lang w:val="en-GB"/>
        </w:rPr>
      </w:pPr>
      <w:r w:rsidRPr="00335FEB">
        <w:rPr>
          <w:lang w:val="en-GB"/>
        </w:rPr>
        <w:t xml:space="preserve">Like most </w:t>
      </w:r>
      <w:r>
        <w:rPr>
          <w:lang w:val="en-GB"/>
        </w:rPr>
        <w:t>usages</w:t>
      </w:r>
      <w:r w:rsidRPr="00335FEB">
        <w:rPr>
          <w:lang w:val="en-GB"/>
        </w:rPr>
        <w:t xml:space="preserve"> of DP, airlines in India focused on price acceptance specifically in economy-class services.</w:t>
      </w:r>
      <w:r w:rsidRPr="00335FEB">
        <w:rPr>
          <w:rStyle w:val="EndnoteReference"/>
          <w:lang w:val="en-GB"/>
        </w:rPr>
        <w:endnoteReference w:id="30"/>
      </w:r>
      <w:r w:rsidRPr="00335FEB">
        <w:rPr>
          <w:lang w:val="en-GB"/>
        </w:rPr>
        <w:t xml:space="preserve"> Despite increasing price transparency brought about by access to the Internet, customers were willing to pay different prices for the same product for several reasons, including prior experience in the category, their personal tastes (in the case of products), situational exigencies, and differ</w:t>
      </w:r>
      <w:r>
        <w:rPr>
          <w:lang w:val="en-GB"/>
        </w:rPr>
        <w:t>ing</w:t>
      </w:r>
      <w:r w:rsidRPr="00335FEB">
        <w:rPr>
          <w:lang w:val="en-GB"/>
        </w:rPr>
        <w:t xml:space="preserve"> levels of price</w:t>
      </w:r>
      <w:r>
        <w:rPr>
          <w:lang w:val="en-GB"/>
        </w:rPr>
        <w:t>-</w:t>
      </w:r>
      <w:r w:rsidRPr="00335FEB">
        <w:rPr>
          <w:lang w:val="en-GB"/>
        </w:rPr>
        <w:t>consciousness.</w:t>
      </w:r>
      <w:r w:rsidRPr="00335FEB">
        <w:rPr>
          <w:vertAlign w:val="superscript"/>
          <w:lang w:val="en-GB"/>
        </w:rPr>
        <w:endnoteReference w:id="31"/>
      </w:r>
      <w:r w:rsidRPr="00335FEB">
        <w:rPr>
          <w:lang w:val="en-GB"/>
        </w:rPr>
        <w:t xml:space="preserve"> </w:t>
      </w:r>
      <w:proofErr w:type="spellStart"/>
      <w:r w:rsidRPr="00335FEB">
        <w:rPr>
          <w:lang w:val="en-GB"/>
        </w:rPr>
        <w:t>IndiGo</w:t>
      </w:r>
      <w:proofErr w:type="spellEnd"/>
      <w:r w:rsidRPr="00335FEB">
        <w:rPr>
          <w:lang w:val="en-GB"/>
        </w:rPr>
        <w:t xml:space="preserve"> leveraged the benefits of DP to take advantage of </w:t>
      </w:r>
      <w:r>
        <w:rPr>
          <w:lang w:val="en-GB"/>
        </w:rPr>
        <w:t>highl</w:t>
      </w:r>
      <w:r w:rsidRPr="00335FEB">
        <w:rPr>
          <w:lang w:val="en-GB"/>
        </w:rPr>
        <w:t>y price-conscious customers in the Indian aviation market, where demand was still inelastic given the low penetration rates.</w:t>
      </w:r>
      <w:r w:rsidRPr="00335FEB">
        <w:rPr>
          <w:rStyle w:val="EndnoteReference"/>
          <w:lang w:val="en-GB"/>
        </w:rPr>
        <w:endnoteReference w:id="32"/>
      </w:r>
      <w:r w:rsidRPr="00335FEB">
        <w:rPr>
          <w:lang w:val="en-GB"/>
        </w:rPr>
        <w:t xml:space="preserve"> </w:t>
      </w:r>
      <w:proofErr w:type="spellStart"/>
      <w:r w:rsidRPr="00335FEB">
        <w:rPr>
          <w:lang w:val="en-GB"/>
        </w:rPr>
        <w:t>IndiGo</w:t>
      </w:r>
      <w:proofErr w:type="spellEnd"/>
      <w:r w:rsidRPr="00335FEB">
        <w:rPr>
          <w:lang w:val="en-GB"/>
        </w:rPr>
        <w:t xml:space="preserve"> </w:t>
      </w:r>
      <w:r>
        <w:rPr>
          <w:lang w:val="en-GB"/>
        </w:rPr>
        <w:t xml:space="preserve">aimed to </w:t>
      </w:r>
      <w:r w:rsidRPr="00335FEB">
        <w:rPr>
          <w:lang w:val="en-GB"/>
        </w:rPr>
        <w:t>offer competitive prices to attract more customers and attain a larger market share.</w:t>
      </w:r>
      <w:r w:rsidRPr="00335FEB">
        <w:rPr>
          <w:vertAlign w:val="superscript"/>
          <w:lang w:val="en-GB"/>
        </w:rPr>
        <w:endnoteReference w:id="33"/>
      </w:r>
      <w:r w:rsidRPr="00335FEB">
        <w:rPr>
          <w:lang w:val="en-GB"/>
        </w:rPr>
        <w:t xml:space="preserve"> </w:t>
      </w:r>
      <w:proofErr w:type="spellStart"/>
      <w:r w:rsidRPr="00335FEB">
        <w:rPr>
          <w:lang w:val="en-GB"/>
        </w:rPr>
        <w:t>IndiGo’s</w:t>
      </w:r>
      <w:proofErr w:type="spellEnd"/>
      <w:r w:rsidRPr="00335FEB">
        <w:rPr>
          <w:lang w:val="en-GB"/>
        </w:rPr>
        <w:t xml:space="preserve"> ability and efficacy in executing efficient DP models</w:t>
      </w:r>
      <w:r>
        <w:rPr>
          <w:rStyle w:val="EndnoteReference"/>
          <w:lang w:val="en-GB"/>
        </w:rPr>
        <w:endnoteReference w:id="34"/>
      </w:r>
      <w:r w:rsidRPr="00335FEB">
        <w:rPr>
          <w:lang w:val="en-GB"/>
        </w:rPr>
        <w:t xml:space="preserve"> had resulted in an increase of 68 per cent in its operating revenue per 1,000 passenger kilometres since 2007–08 (see Exhibit 5). During the same period, all other airlines </w:t>
      </w:r>
      <w:r>
        <w:rPr>
          <w:lang w:val="en-GB"/>
        </w:rPr>
        <w:t xml:space="preserve">had </w:t>
      </w:r>
      <w:r w:rsidRPr="00335FEB">
        <w:rPr>
          <w:lang w:val="en-GB"/>
        </w:rPr>
        <w:t>adopted similar DP models.</w:t>
      </w:r>
      <w:r>
        <w:rPr>
          <w:rStyle w:val="EndnoteReference"/>
          <w:lang w:val="en-GB"/>
        </w:rPr>
        <w:endnoteReference w:id="35"/>
      </w:r>
      <w:r w:rsidRPr="00335FEB">
        <w:rPr>
          <w:lang w:val="en-GB"/>
        </w:rPr>
        <w:t xml:space="preserve"> While </w:t>
      </w:r>
      <w:proofErr w:type="spellStart"/>
      <w:r w:rsidRPr="00335FEB">
        <w:rPr>
          <w:lang w:val="en-GB"/>
        </w:rPr>
        <w:t>SpiceJet</w:t>
      </w:r>
      <w:proofErr w:type="spellEnd"/>
      <w:r w:rsidRPr="00335FEB">
        <w:rPr>
          <w:lang w:val="en-GB"/>
        </w:rPr>
        <w:t xml:space="preserve"> and </w:t>
      </w:r>
      <w:proofErr w:type="spellStart"/>
      <w:r w:rsidRPr="00335FEB">
        <w:rPr>
          <w:lang w:val="en-GB"/>
        </w:rPr>
        <w:t>GoAir</w:t>
      </w:r>
      <w:proofErr w:type="spellEnd"/>
      <w:r w:rsidRPr="00335FEB">
        <w:rPr>
          <w:lang w:val="en-GB"/>
        </w:rPr>
        <w:t xml:space="preserve"> attained increases of 61.7 and 48 per cent, respectively, Jet Airways and Air India achieved an increase of less than 10 per cent in operating revenue per 1,000 passenger kilometres since 2007–08. </w:t>
      </w:r>
      <w:proofErr w:type="spellStart"/>
      <w:r>
        <w:rPr>
          <w:lang w:val="en-GB"/>
        </w:rPr>
        <w:t>IndiGo’s</w:t>
      </w:r>
      <w:proofErr w:type="spellEnd"/>
      <w:r w:rsidRPr="00335FEB">
        <w:rPr>
          <w:lang w:val="en-GB"/>
        </w:rPr>
        <w:t xml:space="preserve"> average revenue hovered around </w:t>
      </w:r>
      <w:r w:rsidRPr="00335FEB">
        <w:rPr>
          <w:rFonts w:ascii="Arial" w:hAnsi="Arial" w:cs="Arial"/>
          <w:sz w:val="20"/>
          <w:szCs w:val="20"/>
          <w:lang w:val="en-GB"/>
        </w:rPr>
        <w:t>₹</w:t>
      </w:r>
      <w:r w:rsidRPr="00335FEB">
        <w:rPr>
          <w:lang w:val="en-GB"/>
        </w:rPr>
        <w:t xml:space="preserve">3,600 per 1,000 kilometres until 2011, and increased </w:t>
      </w:r>
      <w:r>
        <w:rPr>
          <w:lang w:val="en-GB"/>
        </w:rPr>
        <w:t xml:space="preserve">in 2012–13 </w:t>
      </w:r>
      <w:r w:rsidRPr="00335FEB">
        <w:rPr>
          <w:lang w:val="en-GB"/>
        </w:rPr>
        <w:t xml:space="preserve">to </w:t>
      </w:r>
      <w:r w:rsidRPr="00335FEB">
        <w:rPr>
          <w:rFonts w:ascii="Arial" w:hAnsi="Arial" w:cs="Arial"/>
          <w:sz w:val="20"/>
          <w:szCs w:val="20"/>
          <w:lang w:val="en-GB"/>
        </w:rPr>
        <w:t>₹</w:t>
      </w:r>
      <w:r w:rsidRPr="00335FEB">
        <w:rPr>
          <w:lang w:val="en-GB"/>
        </w:rPr>
        <w:t xml:space="preserve">4,600 because of a hike in ticket prices, which was necessitated by a stiff rise in costs over those years (see Exhibit 5). All of the airlines in India, including the state-run Air India, increased ticket prices by 20–30 per cent across sectors, despite the stiff competition (see Exhibit 5). The efficacy of </w:t>
      </w:r>
      <w:proofErr w:type="spellStart"/>
      <w:r>
        <w:rPr>
          <w:lang w:val="en-GB"/>
        </w:rPr>
        <w:t>IndiGo’s</w:t>
      </w:r>
      <w:proofErr w:type="spellEnd"/>
      <w:r w:rsidRPr="00335FEB">
        <w:rPr>
          <w:lang w:val="en-GB"/>
        </w:rPr>
        <w:t xml:space="preserve"> DP contributed to </w:t>
      </w:r>
      <w:r>
        <w:rPr>
          <w:lang w:val="en-GB"/>
        </w:rPr>
        <w:t>its</w:t>
      </w:r>
      <w:r w:rsidRPr="00335FEB">
        <w:rPr>
          <w:lang w:val="en-GB"/>
        </w:rPr>
        <w:t xml:space="preserve"> rising market share and </w:t>
      </w:r>
      <w:r>
        <w:rPr>
          <w:lang w:val="en-GB"/>
        </w:rPr>
        <w:t xml:space="preserve">average </w:t>
      </w:r>
      <w:r w:rsidRPr="00335FEB">
        <w:rPr>
          <w:lang w:val="en-GB"/>
        </w:rPr>
        <w:t>operating revenue per passenger kilometre. Th</w:t>
      </w:r>
      <w:r>
        <w:rPr>
          <w:lang w:val="en-GB"/>
        </w:rPr>
        <w:t>ese increases</w:t>
      </w:r>
      <w:r w:rsidRPr="00335FEB">
        <w:rPr>
          <w:lang w:val="en-GB"/>
        </w:rPr>
        <w:t xml:space="preserve"> helped </w:t>
      </w:r>
      <w:proofErr w:type="spellStart"/>
      <w:r w:rsidRPr="00335FEB">
        <w:rPr>
          <w:lang w:val="en-GB"/>
        </w:rPr>
        <w:t>IndiGo</w:t>
      </w:r>
      <w:proofErr w:type="spellEnd"/>
      <w:r w:rsidRPr="00335FEB">
        <w:rPr>
          <w:lang w:val="en-GB"/>
        </w:rPr>
        <w:t xml:space="preserve"> to post huge profits while its competitors struggled to minimize their losses.</w:t>
      </w:r>
    </w:p>
    <w:p w14:paraId="788F5BB1" w14:textId="77777777" w:rsidR="00D054CC" w:rsidRPr="00335FEB" w:rsidRDefault="00D054CC" w:rsidP="002A3354">
      <w:pPr>
        <w:pStyle w:val="BodyTextMain"/>
        <w:rPr>
          <w:sz w:val="20"/>
          <w:lang w:val="en-GB"/>
        </w:rPr>
      </w:pPr>
    </w:p>
    <w:p w14:paraId="4159EB07" w14:textId="77777777" w:rsidR="00D054CC" w:rsidRPr="00335FEB" w:rsidRDefault="00D054CC" w:rsidP="002A3354">
      <w:pPr>
        <w:pStyle w:val="BodyTextMain"/>
        <w:rPr>
          <w:sz w:val="20"/>
          <w:lang w:val="en-GB"/>
        </w:rPr>
      </w:pPr>
    </w:p>
    <w:p w14:paraId="2EBD9C8C" w14:textId="77777777" w:rsidR="00D054CC" w:rsidRPr="00335FEB" w:rsidRDefault="00D054CC" w:rsidP="002A3354">
      <w:pPr>
        <w:pStyle w:val="Casehead1"/>
        <w:rPr>
          <w:lang w:val="en-GB"/>
        </w:rPr>
      </w:pPr>
      <w:r w:rsidRPr="00335FEB">
        <w:rPr>
          <w:lang w:val="en-GB"/>
        </w:rPr>
        <w:t>INPUT COSTS</w:t>
      </w:r>
    </w:p>
    <w:p w14:paraId="3B2B7B74" w14:textId="77777777" w:rsidR="00D054CC" w:rsidRPr="00335FEB" w:rsidRDefault="00D054CC" w:rsidP="002A3354">
      <w:pPr>
        <w:pStyle w:val="BodyTextMain"/>
        <w:rPr>
          <w:sz w:val="20"/>
          <w:lang w:val="en-GB"/>
        </w:rPr>
      </w:pPr>
    </w:p>
    <w:p w14:paraId="0E2BEDC1" w14:textId="2166CFFF" w:rsidR="00D054CC" w:rsidRPr="00335FEB" w:rsidRDefault="00D054CC" w:rsidP="002A3354">
      <w:pPr>
        <w:pStyle w:val="BodyTextMain"/>
        <w:rPr>
          <w:lang w:val="en-GB"/>
        </w:rPr>
      </w:pPr>
      <w:r w:rsidRPr="00335FEB">
        <w:rPr>
          <w:lang w:val="en-GB"/>
        </w:rPr>
        <w:t>The prices of all inputs in the aviation sector had been steadily increasing for the past 10 years (see Exhibit 6). In the Indian domestic aviation sector, fuel accounted for 48 per cent of the total operational cost and labour for 35 per cent.</w:t>
      </w:r>
      <w:r w:rsidRPr="00335FEB">
        <w:rPr>
          <w:vertAlign w:val="superscript"/>
          <w:lang w:val="en-GB"/>
        </w:rPr>
        <w:endnoteReference w:id="36"/>
      </w:r>
      <w:r w:rsidRPr="00335FEB">
        <w:rPr>
          <w:lang w:val="en-GB"/>
        </w:rPr>
        <w:t xml:space="preserve"> The remaining factors essential for operation included maintenance, passenger services, promotion, and airport charges. Although the prices of all inputs had increased significantly over those 10 years, as evident from Exhibit 6, aviation turbine fuel (ATF) prices had risen only marginally, which helped all airlines remain in operation. The cost of logistics had also risen, by 40 per cent over the last 12 years. However, owing to the stickiness of ticket prices, average prices for all routes for all airlines, including </w:t>
      </w:r>
      <w:proofErr w:type="spellStart"/>
      <w:r w:rsidRPr="00335FEB">
        <w:rPr>
          <w:lang w:val="en-GB"/>
        </w:rPr>
        <w:t>IndiGo</w:t>
      </w:r>
      <w:proofErr w:type="spellEnd"/>
      <w:r w:rsidRPr="00335FEB">
        <w:rPr>
          <w:lang w:val="en-GB"/>
        </w:rPr>
        <w:t>, had remained stagnant since 2006–07.</w:t>
      </w:r>
      <w:r w:rsidRPr="00335FEB">
        <w:rPr>
          <w:rStyle w:val="EndnoteReference"/>
          <w:lang w:val="en-GB"/>
        </w:rPr>
        <w:endnoteReference w:id="37"/>
      </w:r>
    </w:p>
    <w:p w14:paraId="04205BC2" w14:textId="77777777" w:rsidR="00D054CC" w:rsidRPr="00335FEB" w:rsidRDefault="00D054CC" w:rsidP="002A3354">
      <w:pPr>
        <w:pStyle w:val="BodyTextMain"/>
        <w:rPr>
          <w:sz w:val="20"/>
          <w:lang w:val="en-GB"/>
        </w:rPr>
      </w:pPr>
    </w:p>
    <w:p w14:paraId="686CDBD8" w14:textId="77777777" w:rsidR="00D054CC" w:rsidRPr="00335FEB" w:rsidRDefault="00D054CC" w:rsidP="002A3354">
      <w:pPr>
        <w:pStyle w:val="BodyTextMain"/>
        <w:rPr>
          <w:sz w:val="20"/>
          <w:lang w:val="en-GB"/>
        </w:rPr>
      </w:pPr>
    </w:p>
    <w:p w14:paraId="0B3DA8E8" w14:textId="54763A82" w:rsidR="00D054CC" w:rsidRPr="00335FEB" w:rsidRDefault="00D054CC" w:rsidP="009F04A8">
      <w:pPr>
        <w:pStyle w:val="Casehead2"/>
        <w:rPr>
          <w:lang w:val="en-GB"/>
        </w:rPr>
      </w:pPr>
      <w:r w:rsidRPr="00335FEB">
        <w:rPr>
          <w:lang w:val="en-GB"/>
        </w:rPr>
        <w:t>Personnel Costs</w:t>
      </w:r>
    </w:p>
    <w:p w14:paraId="57858201" w14:textId="77777777" w:rsidR="00D054CC" w:rsidRPr="00335FEB" w:rsidRDefault="00D054CC" w:rsidP="002A3354">
      <w:pPr>
        <w:pStyle w:val="BodyTextMain"/>
        <w:rPr>
          <w:sz w:val="20"/>
          <w:lang w:val="en-GB"/>
        </w:rPr>
      </w:pPr>
    </w:p>
    <w:p w14:paraId="37D94345" w14:textId="0046218A" w:rsidR="00D054CC" w:rsidRPr="00335FEB" w:rsidRDefault="00D054CC" w:rsidP="002A3354">
      <w:pPr>
        <w:pStyle w:val="BodyTextMain"/>
        <w:rPr>
          <w:spacing w:val="-2"/>
          <w:lang w:val="en-GB"/>
        </w:rPr>
      </w:pPr>
      <w:r w:rsidRPr="00335FEB">
        <w:rPr>
          <w:spacing w:val="-2"/>
          <w:lang w:val="en-GB"/>
        </w:rPr>
        <w:t>The civil aviation industry in India had witnessed a steep rise in personnel costs soon after the entry of Kingfisher Airlines; even though all airlines in India were experiencing significant losses, the hiring costs of personnel, including ground staff, were not deterred. The expansion plans of the airlines and the intense competition in this sector had ensured a significant increase in salaries, especially for commercial pilots and cabin crews. The high retail inflation rate (</w:t>
      </w:r>
      <w:r>
        <w:rPr>
          <w:spacing w:val="-2"/>
          <w:lang w:val="en-GB"/>
        </w:rPr>
        <w:t xml:space="preserve">i.e., the </w:t>
      </w:r>
      <w:r w:rsidRPr="00335FEB">
        <w:rPr>
          <w:spacing w:val="-2"/>
          <w:lang w:val="en-GB"/>
        </w:rPr>
        <w:t xml:space="preserve">consumer price index) and </w:t>
      </w:r>
      <w:r>
        <w:rPr>
          <w:spacing w:val="-2"/>
          <w:lang w:val="en-GB"/>
        </w:rPr>
        <w:t xml:space="preserve">the </w:t>
      </w:r>
      <w:r w:rsidRPr="00335FEB">
        <w:rPr>
          <w:spacing w:val="-2"/>
          <w:lang w:val="en-GB"/>
        </w:rPr>
        <w:t xml:space="preserve">rising cost of living had led to an increase in salaries across the board, and personnel costs constituted </w:t>
      </w:r>
      <w:r>
        <w:rPr>
          <w:spacing w:val="-2"/>
          <w:lang w:val="en-GB"/>
        </w:rPr>
        <w:t>approximately</w:t>
      </w:r>
      <w:r w:rsidRPr="00335FEB">
        <w:rPr>
          <w:spacing w:val="-2"/>
          <w:lang w:val="en-GB"/>
        </w:rPr>
        <w:t xml:space="preserve"> 35 per cent of airlines’ total cost</w:t>
      </w:r>
      <w:r>
        <w:rPr>
          <w:spacing w:val="-2"/>
          <w:lang w:val="en-GB"/>
        </w:rPr>
        <w:t>s</w:t>
      </w:r>
      <w:r w:rsidRPr="00335FEB">
        <w:rPr>
          <w:spacing w:val="-2"/>
          <w:lang w:val="en-GB"/>
        </w:rPr>
        <w:t>.</w:t>
      </w:r>
      <w:r w:rsidRPr="00335FEB">
        <w:rPr>
          <w:rStyle w:val="EndnoteReference"/>
          <w:spacing w:val="-2"/>
          <w:lang w:val="en-GB"/>
        </w:rPr>
        <w:endnoteReference w:id="38"/>
      </w:r>
    </w:p>
    <w:p w14:paraId="24F67EEA" w14:textId="77777777" w:rsidR="00D054CC" w:rsidRPr="00335FEB" w:rsidRDefault="00D054CC" w:rsidP="002A3354">
      <w:pPr>
        <w:pStyle w:val="BodyTextMain"/>
        <w:rPr>
          <w:sz w:val="20"/>
          <w:lang w:val="en-GB"/>
        </w:rPr>
      </w:pPr>
    </w:p>
    <w:p w14:paraId="1F6FB079" w14:textId="77777777" w:rsidR="00D054CC" w:rsidRPr="00335FEB" w:rsidRDefault="00D054CC" w:rsidP="002A3354">
      <w:pPr>
        <w:pStyle w:val="BodyTextMain"/>
        <w:rPr>
          <w:sz w:val="20"/>
          <w:lang w:val="en-GB"/>
        </w:rPr>
      </w:pPr>
    </w:p>
    <w:p w14:paraId="1AD1E727" w14:textId="1B7E2F58" w:rsidR="00D054CC" w:rsidRPr="00335FEB" w:rsidRDefault="00D054CC" w:rsidP="009F04A8">
      <w:pPr>
        <w:pStyle w:val="Casehead1"/>
        <w:rPr>
          <w:lang w:val="en-GB"/>
        </w:rPr>
      </w:pPr>
      <w:r w:rsidRPr="00335FEB">
        <w:rPr>
          <w:lang w:val="en-GB"/>
        </w:rPr>
        <w:t>KEEPING COSTS down</w:t>
      </w:r>
    </w:p>
    <w:p w14:paraId="019D8ACE" w14:textId="77777777" w:rsidR="00D054CC" w:rsidRPr="00335FEB" w:rsidRDefault="00D054CC" w:rsidP="002A3354">
      <w:pPr>
        <w:pStyle w:val="BodyTextMain"/>
        <w:rPr>
          <w:sz w:val="20"/>
          <w:lang w:val="en-GB"/>
        </w:rPr>
      </w:pPr>
    </w:p>
    <w:p w14:paraId="13E2A6D4" w14:textId="07B34443" w:rsidR="00D054CC" w:rsidRPr="00335FEB" w:rsidRDefault="00D054CC" w:rsidP="002A3354">
      <w:pPr>
        <w:pStyle w:val="BodyTextMain"/>
        <w:rPr>
          <w:spacing w:val="-2"/>
          <w:lang w:val="en-GB"/>
        </w:rPr>
      </w:pPr>
      <w:r w:rsidRPr="00335FEB">
        <w:rPr>
          <w:spacing w:val="-2"/>
          <w:lang w:val="en-GB"/>
        </w:rPr>
        <w:t>The aviation industry in India was in a difficult situation with the cost of inputs and personnel continuing to increase substantially without a corresponding increase in the price of flight tickets.</w:t>
      </w:r>
      <w:r w:rsidRPr="00335FEB">
        <w:rPr>
          <w:spacing w:val="-2"/>
          <w:vertAlign w:val="superscript"/>
          <w:lang w:val="en-GB"/>
        </w:rPr>
        <w:endnoteReference w:id="39"/>
      </w:r>
      <w:r w:rsidRPr="00335FEB">
        <w:rPr>
          <w:spacing w:val="-2"/>
          <w:lang w:val="en-GB"/>
        </w:rPr>
        <w:t xml:space="preserve"> For many companies in this sector, it was very difficult to meet operational costs, let alone sustain profit levels to meet the expectations of stakeholders and the market.</w:t>
      </w:r>
      <w:r w:rsidRPr="00335FEB">
        <w:rPr>
          <w:rStyle w:val="EndnoteReference"/>
          <w:spacing w:val="-2"/>
          <w:lang w:val="en-GB"/>
        </w:rPr>
        <w:endnoteReference w:id="40"/>
      </w:r>
      <w:r w:rsidRPr="00335FEB">
        <w:rPr>
          <w:spacing w:val="-2"/>
          <w:lang w:val="en-GB"/>
        </w:rPr>
        <w:t xml:space="preserve"> </w:t>
      </w:r>
      <w:r>
        <w:rPr>
          <w:spacing w:val="-2"/>
          <w:lang w:val="en-GB"/>
        </w:rPr>
        <w:t>T</w:t>
      </w:r>
      <w:r w:rsidRPr="00335FEB">
        <w:rPr>
          <w:spacing w:val="-2"/>
          <w:lang w:val="en-GB"/>
        </w:rPr>
        <w:t xml:space="preserve">he solution </w:t>
      </w:r>
      <w:r>
        <w:rPr>
          <w:spacing w:val="-2"/>
          <w:lang w:val="en-GB"/>
        </w:rPr>
        <w:t>seemed to lie</w:t>
      </w:r>
      <w:r w:rsidRPr="00335FEB">
        <w:rPr>
          <w:spacing w:val="-2"/>
          <w:lang w:val="en-GB"/>
        </w:rPr>
        <w:t xml:space="preserve"> in the implementation of more efficient operations by achieving the highest possible occupancy rate in each sector. </w:t>
      </w:r>
      <w:proofErr w:type="spellStart"/>
      <w:r w:rsidRPr="00335FEB">
        <w:rPr>
          <w:spacing w:val="-2"/>
          <w:lang w:val="en-GB"/>
        </w:rPr>
        <w:t>IndiGo</w:t>
      </w:r>
      <w:proofErr w:type="spellEnd"/>
      <w:r w:rsidRPr="00335FEB">
        <w:rPr>
          <w:spacing w:val="-2"/>
          <w:lang w:val="en-GB"/>
        </w:rPr>
        <w:t xml:space="preserve"> and its competitors had seen significant gains from a fall in crude prices since 2013 (see Exhibit 6), but the personnel and overhead costs continued rising due to inflation. As prices remained sticky for an extended period and costs kept rising, companies needed to innovate to bring costs down. Most airlines continued to add new features to their services, and in the process discovered cost-cutting measures. </w:t>
      </w:r>
      <w:proofErr w:type="spellStart"/>
      <w:r w:rsidRPr="00335FEB">
        <w:rPr>
          <w:spacing w:val="-2"/>
          <w:lang w:val="en-GB"/>
        </w:rPr>
        <w:t>IndiGo</w:t>
      </w:r>
      <w:proofErr w:type="spellEnd"/>
      <w:r w:rsidRPr="00335FEB">
        <w:rPr>
          <w:spacing w:val="-2"/>
          <w:lang w:val="en-GB"/>
        </w:rPr>
        <w:t xml:space="preserve"> had been successfully </w:t>
      </w:r>
      <w:r>
        <w:rPr>
          <w:spacing w:val="-2"/>
          <w:lang w:val="en-GB"/>
        </w:rPr>
        <w:t xml:space="preserve">following this strategy </w:t>
      </w:r>
      <w:r w:rsidRPr="00335FEB">
        <w:rPr>
          <w:spacing w:val="-2"/>
          <w:lang w:val="en-GB"/>
        </w:rPr>
        <w:t>for the past 12 years</w:t>
      </w:r>
      <w:r>
        <w:rPr>
          <w:spacing w:val="-2"/>
          <w:lang w:val="en-GB"/>
        </w:rPr>
        <w:t>,</w:t>
      </w:r>
      <w:r w:rsidRPr="00335FEB">
        <w:rPr>
          <w:spacing w:val="-2"/>
          <w:lang w:val="en-GB"/>
        </w:rPr>
        <w:t xml:space="preserve"> by modifying its services to cut down on costs yet still keeping customers loyal and happy. However, </w:t>
      </w:r>
      <w:r>
        <w:rPr>
          <w:spacing w:val="-2"/>
          <w:lang w:val="en-GB"/>
        </w:rPr>
        <w:t>amid</w:t>
      </w:r>
      <w:r w:rsidRPr="00335FEB">
        <w:rPr>
          <w:spacing w:val="-2"/>
          <w:lang w:val="en-GB"/>
        </w:rPr>
        <w:t xml:space="preserve"> rising costs, the company faced major challenges, as </w:t>
      </w:r>
      <w:r>
        <w:rPr>
          <w:spacing w:val="-2"/>
          <w:lang w:val="en-GB"/>
        </w:rPr>
        <w:t>it lacked a</w:t>
      </w:r>
      <w:r w:rsidRPr="00335FEB">
        <w:rPr>
          <w:spacing w:val="-2"/>
          <w:lang w:val="en-GB"/>
        </w:rPr>
        <w:t xml:space="preserve"> cushion </w:t>
      </w:r>
      <w:r>
        <w:rPr>
          <w:spacing w:val="-2"/>
          <w:lang w:val="en-GB"/>
        </w:rPr>
        <w:t xml:space="preserve">that would </w:t>
      </w:r>
      <w:r w:rsidRPr="00335FEB">
        <w:rPr>
          <w:spacing w:val="-2"/>
          <w:lang w:val="en-GB"/>
        </w:rPr>
        <w:t xml:space="preserve">allow it to pass the burden </w:t>
      </w:r>
      <w:r>
        <w:rPr>
          <w:spacing w:val="-2"/>
          <w:lang w:val="en-GB"/>
        </w:rPr>
        <w:t xml:space="preserve">on </w:t>
      </w:r>
      <w:r w:rsidRPr="00335FEB">
        <w:rPr>
          <w:spacing w:val="-2"/>
          <w:lang w:val="en-GB"/>
        </w:rPr>
        <w:t xml:space="preserve">to consumers. Any attempt on </w:t>
      </w:r>
      <w:proofErr w:type="spellStart"/>
      <w:r w:rsidRPr="00335FEB">
        <w:rPr>
          <w:spacing w:val="-2"/>
          <w:lang w:val="en-GB"/>
        </w:rPr>
        <w:t>IndiGo’s</w:t>
      </w:r>
      <w:proofErr w:type="spellEnd"/>
      <w:r w:rsidRPr="00335FEB">
        <w:rPr>
          <w:spacing w:val="-2"/>
          <w:lang w:val="en-GB"/>
        </w:rPr>
        <w:t xml:space="preserve"> part to raise prices was met with instantaneous price cuts by its rivals, since all of them followed DP. Yet, the rival firms were facing the same challenges; in fact, the challenges were worse for them than for </w:t>
      </w:r>
      <w:proofErr w:type="spellStart"/>
      <w:r w:rsidRPr="00335FEB">
        <w:rPr>
          <w:spacing w:val="-2"/>
          <w:lang w:val="en-GB"/>
        </w:rPr>
        <w:t>IndiGo</w:t>
      </w:r>
      <w:proofErr w:type="spellEnd"/>
      <w:r w:rsidRPr="00335FEB">
        <w:rPr>
          <w:spacing w:val="-2"/>
          <w:lang w:val="en-GB"/>
        </w:rPr>
        <w:t>, as they also face</w:t>
      </w:r>
      <w:r>
        <w:rPr>
          <w:spacing w:val="-2"/>
          <w:lang w:val="en-GB"/>
        </w:rPr>
        <w:t>d</w:t>
      </w:r>
      <w:r w:rsidRPr="00335FEB">
        <w:rPr>
          <w:spacing w:val="-2"/>
          <w:lang w:val="en-GB"/>
        </w:rPr>
        <w:t xml:space="preserve"> increasing losses. The </w:t>
      </w:r>
      <w:r>
        <w:rPr>
          <w:spacing w:val="-2"/>
          <w:lang w:val="en-GB"/>
        </w:rPr>
        <w:t xml:space="preserve">airlines’ </w:t>
      </w:r>
      <w:r w:rsidRPr="00335FEB">
        <w:rPr>
          <w:spacing w:val="-2"/>
          <w:lang w:val="en-GB"/>
        </w:rPr>
        <w:t>only alternative was to keep the</w:t>
      </w:r>
      <w:r>
        <w:rPr>
          <w:spacing w:val="-2"/>
          <w:lang w:val="en-GB"/>
        </w:rPr>
        <w:t>ir</w:t>
      </w:r>
      <w:r w:rsidRPr="00335FEB">
        <w:rPr>
          <w:spacing w:val="-2"/>
          <w:lang w:val="en-GB"/>
        </w:rPr>
        <w:t xml:space="preserve"> operation costs down through increased efficiency. </w:t>
      </w:r>
      <w:r>
        <w:rPr>
          <w:spacing w:val="-2"/>
          <w:lang w:val="en-GB"/>
        </w:rPr>
        <w:t>Because</w:t>
      </w:r>
      <w:r w:rsidRPr="00335FEB">
        <w:rPr>
          <w:spacing w:val="-2"/>
          <w:lang w:val="en-GB"/>
        </w:rPr>
        <w:t xml:space="preserve"> increasing the price of tickets was out of the question</w:t>
      </w:r>
      <w:r>
        <w:rPr>
          <w:spacing w:val="-2"/>
          <w:lang w:val="en-GB"/>
        </w:rPr>
        <w:t xml:space="preserve"> </w:t>
      </w:r>
      <w:r w:rsidRPr="00335FEB">
        <w:rPr>
          <w:spacing w:val="-2"/>
          <w:lang w:val="en-GB"/>
        </w:rPr>
        <w:t xml:space="preserve">for most routes, the only solution </w:t>
      </w:r>
      <w:r>
        <w:rPr>
          <w:spacing w:val="-2"/>
          <w:lang w:val="en-GB"/>
        </w:rPr>
        <w:t>was to</w:t>
      </w:r>
      <w:r w:rsidRPr="00335FEB">
        <w:rPr>
          <w:spacing w:val="-2"/>
          <w:lang w:val="en-GB"/>
        </w:rPr>
        <w:t xml:space="preserve"> achiev</w:t>
      </w:r>
      <w:r>
        <w:rPr>
          <w:spacing w:val="-2"/>
          <w:lang w:val="en-GB"/>
        </w:rPr>
        <w:t>e</w:t>
      </w:r>
      <w:r w:rsidRPr="00335FEB">
        <w:rPr>
          <w:spacing w:val="-2"/>
          <w:lang w:val="en-GB"/>
        </w:rPr>
        <w:t xml:space="preserve"> technical efficiency and economies of scale. The gap between the average cost and the ticket price was quickly shrinking for each route operated by </w:t>
      </w:r>
      <w:proofErr w:type="spellStart"/>
      <w:r w:rsidRPr="00335FEB">
        <w:rPr>
          <w:spacing w:val="-2"/>
          <w:lang w:val="en-GB"/>
        </w:rPr>
        <w:t>IndiGo</w:t>
      </w:r>
      <w:proofErr w:type="spellEnd"/>
      <w:r w:rsidRPr="00335FEB">
        <w:rPr>
          <w:spacing w:val="-2"/>
          <w:lang w:val="en-GB"/>
        </w:rPr>
        <w:t xml:space="preserve">. Therefore, to remain relevant in the financial market, </w:t>
      </w:r>
      <w:proofErr w:type="spellStart"/>
      <w:r w:rsidRPr="00335FEB">
        <w:rPr>
          <w:spacing w:val="-2"/>
          <w:lang w:val="en-GB"/>
        </w:rPr>
        <w:t>IndiGo</w:t>
      </w:r>
      <w:proofErr w:type="spellEnd"/>
      <w:r w:rsidRPr="00335FEB">
        <w:rPr>
          <w:spacing w:val="-2"/>
          <w:lang w:val="en-GB"/>
        </w:rPr>
        <w:t xml:space="preserve"> </w:t>
      </w:r>
      <w:r>
        <w:rPr>
          <w:spacing w:val="-2"/>
          <w:lang w:val="en-GB"/>
        </w:rPr>
        <w:t>needed</w:t>
      </w:r>
      <w:r w:rsidRPr="00335FEB">
        <w:rPr>
          <w:spacing w:val="-2"/>
          <w:lang w:val="en-GB"/>
        </w:rPr>
        <w:t xml:space="preserve"> to constantly innovate to cut costs </w:t>
      </w:r>
      <w:r>
        <w:rPr>
          <w:spacing w:val="-2"/>
          <w:lang w:val="en-GB"/>
        </w:rPr>
        <w:t xml:space="preserve">and </w:t>
      </w:r>
      <w:r w:rsidRPr="00335FEB">
        <w:rPr>
          <w:spacing w:val="-2"/>
          <w:lang w:val="en-GB"/>
        </w:rPr>
        <w:t>achiev</w:t>
      </w:r>
      <w:r>
        <w:rPr>
          <w:spacing w:val="-2"/>
          <w:lang w:val="en-GB"/>
        </w:rPr>
        <w:t>e</w:t>
      </w:r>
      <w:r w:rsidRPr="00335FEB">
        <w:rPr>
          <w:spacing w:val="-2"/>
          <w:lang w:val="en-GB"/>
        </w:rPr>
        <w:t xml:space="preserve"> the right mix of operational schedules on all routes.</w:t>
      </w:r>
      <w:r w:rsidRPr="00335FEB">
        <w:rPr>
          <w:rStyle w:val="EndnoteReference"/>
          <w:spacing w:val="-2"/>
          <w:lang w:val="en-GB"/>
        </w:rPr>
        <w:endnoteReference w:id="41"/>
      </w:r>
    </w:p>
    <w:p w14:paraId="7926CA03" w14:textId="77777777" w:rsidR="00D054CC" w:rsidRPr="00335FEB" w:rsidRDefault="00D054CC" w:rsidP="002A3354">
      <w:pPr>
        <w:pStyle w:val="BodyTextMain"/>
        <w:rPr>
          <w:sz w:val="20"/>
          <w:lang w:val="en-GB"/>
        </w:rPr>
      </w:pPr>
    </w:p>
    <w:p w14:paraId="6020C6DE" w14:textId="77777777" w:rsidR="00D054CC" w:rsidRPr="00335FEB" w:rsidRDefault="00D054CC" w:rsidP="002A3354">
      <w:pPr>
        <w:pStyle w:val="BodyTextMain"/>
        <w:rPr>
          <w:sz w:val="20"/>
          <w:lang w:val="en-GB"/>
        </w:rPr>
      </w:pPr>
    </w:p>
    <w:p w14:paraId="647A18EC" w14:textId="124C009D" w:rsidR="00D054CC" w:rsidRPr="00335FEB" w:rsidRDefault="00D054CC" w:rsidP="009F04A8">
      <w:pPr>
        <w:pStyle w:val="Casehead1"/>
        <w:rPr>
          <w:lang w:val="en-GB"/>
        </w:rPr>
      </w:pPr>
      <w:r w:rsidRPr="00335FEB">
        <w:rPr>
          <w:lang w:val="en-GB"/>
        </w:rPr>
        <w:t>COMPET</w:t>
      </w:r>
      <w:r w:rsidR="001106CA">
        <w:rPr>
          <w:lang w:val="en-GB"/>
        </w:rPr>
        <w:t>it</w:t>
      </w:r>
      <w:r w:rsidRPr="00335FEB">
        <w:rPr>
          <w:lang w:val="en-GB"/>
        </w:rPr>
        <w:t>ION FROM SURFACE TRANSPORT</w:t>
      </w:r>
    </w:p>
    <w:p w14:paraId="3B1B139D" w14:textId="77777777" w:rsidR="00D054CC" w:rsidRPr="00335FEB" w:rsidRDefault="00D054CC" w:rsidP="002A3354">
      <w:pPr>
        <w:pStyle w:val="BodyTextMain"/>
        <w:rPr>
          <w:sz w:val="20"/>
          <w:lang w:val="en-GB"/>
        </w:rPr>
      </w:pPr>
    </w:p>
    <w:p w14:paraId="18CC4DDF" w14:textId="42D62C28" w:rsidR="00D054CC" w:rsidRPr="006B2310" w:rsidRDefault="00D054CC" w:rsidP="002A3354">
      <w:pPr>
        <w:pStyle w:val="BodyTextMain"/>
        <w:rPr>
          <w:spacing w:val="-4"/>
          <w:lang w:val="en-GB"/>
        </w:rPr>
      </w:pPr>
      <w:r w:rsidRPr="006B2310">
        <w:rPr>
          <w:spacing w:val="-4"/>
          <w:lang w:val="en-GB"/>
        </w:rPr>
        <w:t>The introduction of Air Deccan, with its very low prices, attracted train passengers to the aviation sector.</w:t>
      </w:r>
      <w:r w:rsidRPr="006B2310">
        <w:rPr>
          <w:rStyle w:val="EndnoteReference"/>
          <w:spacing w:val="-4"/>
          <w:lang w:val="en-GB"/>
        </w:rPr>
        <w:endnoteReference w:id="42"/>
      </w:r>
      <w:r w:rsidRPr="006B2310">
        <w:rPr>
          <w:spacing w:val="-4"/>
          <w:lang w:val="en-GB"/>
        </w:rPr>
        <w:t xml:space="preserve"> In fact, a typical ticket for a 24- to 30-hour air-conditioned (AC) train journey (2nd class AC) was priced only 5–10 per cent lower than the flight price offered by Air Deccan. Consumers quickly shifted to the aerial route for their travel to save time and to enjoy the flying experience. This trend boosted the aviation sector—the number of passengers rose many times after 2003. Air Deccan’s pricing strategy forced all other operators to reduce their fares, and the aviation sector witnessed a price war after 2003. The airlines faced stiff competition from unexpected quarters </w:t>
      </w:r>
      <w:r>
        <w:rPr>
          <w:spacing w:val="-4"/>
          <w:lang w:val="en-GB"/>
        </w:rPr>
        <w:t>(</w:t>
      </w:r>
      <w:r w:rsidRPr="006B2310">
        <w:rPr>
          <w:spacing w:val="-4"/>
          <w:lang w:val="en-GB"/>
        </w:rPr>
        <w:t>i.e., stagnant prices in Indian Railways for a prolonged period, from 2002 to 2014.</w:t>
      </w:r>
      <w:r>
        <w:rPr>
          <w:spacing w:val="-4"/>
          <w:lang w:val="en-GB"/>
        </w:rPr>
        <w:t>)</w:t>
      </w:r>
      <w:r w:rsidRPr="006B2310">
        <w:rPr>
          <w:spacing w:val="-4"/>
          <w:lang w:val="en-GB"/>
        </w:rPr>
        <w:t xml:space="preserve"> The populist government policy</w:t>
      </w:r>
      <w:r w:rsidRPr="006B2310">
        <w:rPr>
          <w:spacing w:val="-4"/>
          <w:vertAlign w:val="superscript"/>
          <w:lang w:val="en-GB"/>
        </w:rPr>
        <w:endnoteReference w:id="43"/>
      </w:r>
      <w:r w:rsidRPr="006B2310">
        <w:rPr>
          <w:spacing w:val="-4"/>
          <w:lang w:val="en-GB"/>
        </w:rPr>
        <w:t xml:space="preserve"> ensured that train ticket prices never rose; rather, prices fell by 2–5 per cent for brief periods. This situation, along with a rise in the price of crude oil, had not helped the aviation sector in India. The price of ATF was deregulated in India and was linked to crude oil prices. Apart from the rise in crude oil prices, local taxes on petroleum products were very high in India, which further raised prices. After 2007, all of the airlines linked their fares to ATF prices by imposing a dynamic fuel surcharge to combat their losses; however, this strategy raised fares significantly and greatly affected the aggregate demand for air travel.</w:t>
      </w:r>
      <w:r w:rsidRPr="006B2310">
        <w:rPr>
          <w:rStyle w:val="EndnoteReference"/>
          <w:spacing w:val="-4"/>
          <w:lang w:val="en-GB"/>
        </w:rPr>
        <w:endnoteReference w:id="44"/>
      </w:r>
    </w:p>
    <w:p w14:paraId="70D423B3" w14:textId="77777777" w:rsidR="00D054CC" w:rsidRPr="00335FEB" w:rsidRDefault="00D054CC" w:rsidP="002A3354">
      <w:pPr>
        <w:pStyle w:val="BodyTextMain"/>
        <w:rPr>
          <w:sz w:val="20"/>
          <w:lang w:val="en-GB"/>
        </w:rPr>
      </w:pPr>
    </w:p>
    <w:p w14:paraId="156A7301" w14:textId="77777777" w:rsidR="00D054CC" w:rsidRPr="00335FEB" w:rsidRDefault="00D054CC" w:rsidP="002A3354">
      <w:pPr>
        <w:pStyle w:val="BodyTextMain"/>
        <w:rPr>
          <w:sz w:val="20"/>
          <w:lang w:val="en-GB"/>
        </w:rPr>
      </w:pPr>
    </w:p>
    <w:p w14:paraId="2FCAB346" w14:textId="77777777" w:rsidR="00D054CC" w:rsidRPr="00335FEB" w:rsidRDefault="00D054CC" w:rsidP="009F04A8">
      <w:pPr>
        <w:pStyle w:val="Casehead1"/>
        <w:rPr>
          <w:lang w:val="en-GB"/>
        </w:rPr>
      </w:pPr>
      <w:r w:rsidRPr="00335FEB">
        <w:rPr>
          <w:lang w:val="en-GB"/>
        </w:rPr>
        <w:t>PROFITABILITY</w:t>
      </w:r>
    </w:p>
    <w:p w14:paraId="0E4C49F7" w14:textId="77777777" w:rsidR="00D054CC" w:rsidRPr="00335FEB" w:rsidRDefault="00D054CC" w:rsidP="002A3354">
      <w:pPr>
        <w:pStyle w:val="BodyTextMain"/>
        <w:rPr>
          <w:sz w:val="20"/>
          <w:lang w:val="en-GB"/>
        </w:rPr>
      </w:pPr>
    </w:p>
    <w:p w14:paraId="44612747" w14:textId="2308B88D" w:rsidR="009F04A8" w:rsidRPr="00335FEB" w:rsidRDefault="00D054CC" w:rsidP="00D01513">
      <w:pPr>
        <w:pStyle w:val="BodyTextMain"/>
        <w:rPr>
          <w:spacing w:val="-2"/>
          <w:lang w:val="en-GB"/>
        </w:rPr>
      </w:pPr>
      <w:proofErr w:type="spellStart"/>
      <w:r w:rsidRPr="00335FEB">
        <w:rPr>
          <w:spacing w:val="-2"/>
          <w:lang w:val="en-GB"/>
        </w:rPr>
        <w:t>IndiGo</w:t>
      </w:r>
      <w:proofErr w:type="spellEnd"/>
      <w:r w:rsidRPr="00335FEB">
        <w:rPr>
          <w:spacing w:val="-2"/>
          <w:lang w:val="en-GB"/>
        </w:rPr>
        <w:t xml:space="preserve"> had been able to maintain a steady increase in profits despite challenges that were beyond its control, such as the increased costs and fuel prices that had affected the entire aviation sector. In 2008, </w:t>
      </w:r>
      <w:r>
        <w:rPr>
          <w:spacing w:val="-2"/>
          <w:lang w:val="en-GB"/>
        </w:rPr>
        <w:t xml:space="preserve">which was </w:t>
      </w:r>
      <w:r w:rsidRPr="00335FEB">
        <w:rPr>
          <w:spacing w:val="-2"/>
          <w:lang w:val="en-GB"/>
        </w:rPr>
        <w:t xml:space="preserve">considered to be </w:t>
      </w:r>
      <w:r>
        <w:rPr>
          <w:spacing w:val="-2"/>
          <w:lang w:val="en-GB"/>
        </w:rPr>
        <w:t xml:space="preserve">the </w:t>
      </w:r>
      <w:r w:rsidRPr="00335FEB">
        <w:rPr>
          <w:spacing w:val="-2"/>
          <w:lang w:val="en-GB"/>
        </w:rPr>
        <w:t xml:space="preserve">worst </w:t>
      </w:r>
      <w:r>
        <w:rPr>
          <w:spacing w:val="-2"/>
          <w:lang w:val="en-GB"/>
        </w:rPr>
        <w:t xml:space="preserve">year </w:t>
      </w:r>
      <w:r w:rsidRPr="00335FEB">
        <w:rPr>
          <w:spacing w:val="-2"/>
          <w:lang w:val="en-GB"/>
        </w:rPr>
        <w:t xml:space="preserve">for the Indian civil aviation industry, the company posted a net profit of </w:t>
      </w:r>
      <w:r w:rsidRPr="00335FEB">
        <w:rPr>
          <w:rFonts w:ascii="Arial" w:hAnsi="Arial" w:cs="Arial"/>
          <w:spacing w:val="-2"/>
          <w:sz w:val="20"/>
          <w:szCs w:val="20"/>
          <w:lang w:val="en-GB"/>
        </w:rPr>
        <w:t>₹</w:t>
      </w:r>
      <w:r w:rsidRPr="00335FEB">
        <w:rPr>
          <w:spacing w:val="-2"/>
          <w:lang w:val="en-GB"/>
        </w:rPr>
        <w:t>8</w:t>
      </w:r>
      <w:r>
        <w:rPr>
          <w:spacing w:val="-2"/>
          <w:lang w:val="en-GB"/>
        </w:rPr>
        <w:t>0</w:t>
      </w:r>
      <w:r w:rsidRPr="00335FEB">
        <w:rPr>
          <w:spacing w:val="-2"/>
          <w:lang w:val="en-GB"/>
        </w:rPr>
        <w:t xml:space="preserve"> </w:t>
      </w:r>
      <w:r>
        <w:rPr>
          <w:spacing w:val="-2"/>
          <w:lang w:val="en-GB"/>
        </w:rPr>
        <w:t>m</w:t>
      </w:r>
      <w:r w:rsidRPr="00335FEB">
        <w:rPr>
          <w:spacing w:val="-2"/>
          <w:lang w:val="en-GB"/>
        </w:rPr>
        <w:t>illion while its competitors reported losses.</w:t>
      </w:r>
      <w:r w:rsidRPr="00335FEB">
        <w:rPr>
          <w:rStyle w:val="EndnoteReference"/>
          <w:spacing w:val="-2"/>
          <w:lang w:val="en-GB"/>
        </w:rPr>
        <w:endnoteReference w:id="45"/>
      </w:r>
      <w:r w:rsidRPr="00335FEB">
        <w:rPr>
          <w:spacing w:val="-2"/>
          <w:lang w:val="en-GB"/>
        </w:rPr>
        <w:t xml:space="preserve"> In 2018, </w:t>
      </w:r>
      <w:proofErr w:type="spellStart"/>
      <w:r w:rsidRPr="00335FEB">
        <w:rPr>
          <w:spacing w:val="-2"/>
          <w:lang w:val="en-GB"/>
        </w:rPr>
        <w:t>IndiGo’s</w:t>
      </w:r>
      <w:proofErr w:type="spellEnd"/>
      <w:r w:rsidRPr="00335FEB">
        <w:rPr>
          <w:spacing w:val="-2"/>
          <w:lang w:val="en-GB"/>
        </w:rPr>
        <w:t xml:space="preserve"> net profits rose to </w:t>
      </w:r>
      <w:r w:rsidRPr="00335FEB">
        <w:rPr>
          <w:rFonts w:ascii="Arial" w:hAnsi="Arial" w:cs="Arial"/>
          <w:spacing w:val="-2"/>
          <w:sz w:val="20"/>
          <w:szCs w:val="20"/>
          <w:lang w:val="en-GB"/>
        </w:rPr>
        <w:t>₹</w:t>
      </w:r>
      <w:r w:rsidRPr="00335FEB">
        <w:rPr>
          <w:spacing w:val="-2"/>
          <w:lang w:val="en-GB"/>
        </w:rPr>
        <w:t>22.4 billion</w:t>
      </w:r>
      <w:r w:rsidRPr="00335FEB">
        <w:rPr>
          <w:spacing w:val="-2"/>
          <w:vertAlign w:val="superscript"/>
          <w:lang w:val="en-GB"/>
        </w:rPr>
        <w:endnoteReference w:id="46"/>
      </w:r>
      <w:r w:rsidRPr="00335FEB">
        <w:rPr>
          <w:spacing w:val="-2"/>
          <w:lang w:val="en-GB"/>
        </w:rPr>
        <w:t xml:space="preserve"> and it had a 40</w:t>
      </w:r>
      <w:r>
        <w:rPr>
          <w:spacing w:val="-2"/>
          <w:lang w:val="en-GB"/>
        </w:rPr>
        <w:t xml:space="preserve"> </w:t>
      </w:r>
      <w:r w:rsidRPr="00335FEB">
        <w:rPr>
          <w:spacing w:val="-2"/>
          <w:lang w:val="en-GB"/>
        </w:rPr>
        <w:t>per</w:t>
      </w:r>
      <w:r>
        <w:rPr>
          <w:spacing w:val="-2"/>
          <w:lang w:val="en-GB"/>
        </w:rPr>
        <w:t xml:space="preserve"> </w:t>
      </w:r>
      <w:r w:rsidRPr="00335FEB">
        <w:rPr>
          <w:spacing w:val="-2"/>
          <w:lang w:val="en-GB"/>
        </w:rPr>
        <w:t xml:space="preserve">cent market share (see Exhibit 3). However, a fall in profits for the last quarter of 2017–18 resulted in a drop in its stock price </w:t>
      </w:r>
      <w:r>
        <w:rPr>
          <w:spacing w:val="-2"/>
          <w:lang w:val="en-GB"/>
        </w:rPr>
        <w:t>on the</w:t>
      </w:r>
      <w:r w:rsidRPr="00335FEB">
        <w:rPr>
          <w:spacing w:val="-2"/>
          <w:lang w:val="en-GB"/>
        </w:rPr>
        <w:t xml:space="preserve"> Indian stock exchanges.</w:t>
      </w:r>
      <w:r>
        <w:rPr>
          <w:rStyle w:val="EndnoteReference"/>
          <w:spacing w:val="-2"/>
          <w:lang w:val="en-GB"/>
        </w:rPr>
        <w:endnoteReference w:id="47"/>
      </w:r>
      <w:r w:rsidRPr="00335FEB">
        <w:rPr>
          <w:spacing w:val="-2"/>
          <w:lang w:val="en-GB"/>
        </w:rPr>
        <w:t xml:space="preserve"> Despite </w:t>
      </w:r>
      <w:proofErr w:type="spellStart"/>
      <w:proofErr w:type="gramStart"/>
      <w:r w:rsidRPr="00335FEB">
        <w:rPr>
          <w:spacing w:val="-2"/>
          <w:lang w:val="en-GB"/>
        </w:rPr>
        <w:t>IndiGo</w:t>
      </w:r>
      <w:proofErr w:type="spellEnd"/>
      <w:proofErr w:type="gramEnd"/>
      <w:r w:rsidRPr="00335FEB">
        <w:rPr>
          <w:spacing w:val="-2"/>
          <w:lang w:val="en-GB"/>
        </w:rPr>
        <w:t xml:space="preserve"> reporting such huge profits, with each passing year its financial results had not exceeded market expectations (which were reflected by the response of financial markets soon after the company published its quarterly reports).</w:t>
      </w:r>
      <w:r>
        <w:rPr>
          <w:rStyle w:val="EndnoteReference"/>
          <w:spacing w:val="-2"/>
          <w:lang w:val="en-GB"/>
        </w:rPr>
        <w:endnoteReference w:id="48"/>
      </w:r>
      <w:r w:rsidRPr="00335FEB">
        <w:rPr>
          <w:spacing w:val="-2"/>
          <w:lang w:val="en-GB"/>
        </w:rPr>
        <w:t xml:space="preserve"> </w:t>
      </w:r>
      <w:r w:rsidR="00BA207D" w:rsidRPr="00335FEB">
        <w:rPr>
          <w:spacing w:val="-2"/>
          <w:lang w:val="en-GB"/>
        </w:rPr>
        <w:t xml:space="preserve">Could </w:t>
      </w:r>
      <w:r w:rsidR="00BE3ED9" w:rsidRPr="00335FEB">
        <w:rPr>
          <w:spacing w:val="-2"/>
          <w:lang w:val="en-GB"/>
        </w:rPr>
        <w:t xml:space="preserve">Rahul </w:t>
      </w:r>
      <w:r w:rsidR="00BA207D" w:rsidRPr="00335FEB">
        <w:rPr>
          <w:spacing w:val="-2"/>
          <w:lang w:val="en-GB"/>
        </w:rPr>
        <w:t xml:space="preserve">Bhatia, </w:t>
      </w:r>
      <w:proofErr w:type="spellStart"/>
      <w:r w:rsidR="00BE3ED9" w:rsidRPr="00335FEB">
        <w:rPr>
          <w:spacing w:val="-2"/>
          <w:lang w:val="en-GB"/>
        </w:rPr>
        <w:t>IndiGo’s</w:t>
      </w:r>
      <w:proofErr w:type="spellEnd"/>
      <w:r w:rsidR="00BA207D" w:rsidRPr="00335FEB">
        <w:rPr>
          <w:spacing w:val="-2"/>
          <w:lang w:val="en-GB"/>
        </w:rPr>
        <w:t xml:space="preserve"> </w:t>
      </w:r>
      <w:r w:rsidR="00BE3ED9" w:rsidRPr="00335FEB">
        <w:rPr>
          <w:spacing w:val="-2"/>
          <w:lang w:val="en-GB"/>
        </w:rPr>
        <w:t>chief executive officer</w:t>
      </w:r>
      <w:r w:rsidR="00BA207D" w:rsidRPr="00335FEB">
        <w:rPr>
          <w:spacing w:val="-2"/>
          <w:lang w:val="en-GB"/>
        </w:rPr>
        <w:t>, find a way to increase prices to achieve higher profitability</w:t>
      </w:r>
      <w:r w:rsidR="00BE3ED9" w:rsidRPr="00335FEB">
        <w:rPr>
          <w:spacing w:val="-2"/>
          <w:lang w:val="en-GB"/>
        </w:rPr>
        <w:t>,</w:t>
      </w:r>
      <w:r w:rsidR="00BA207D" w:rsidRPr="00335FEB">
        <w:rPr>
          <w:spacing w:val="-2"/>
          <w:lang w:val="en-GB"/>
        </w:rPr>
        <w:t xml:space="preserve"> without compromising </w:t>
      </w:r>
      <w:r w:rsidR="00BE3ED9" w:rsidRPr="00335FEB">
        <w:rPr>
          <w:spacing w:val="-2"/>
          <w:lang w:val="en-GB"/>
        </w:rPr>
        <w:t>the airline’s</w:t>
      </w:r>
      <w:r w:rsidR="00BA207D" w:rsidRPr="00335FEB">
        <w:rPr>
          <w:spacing w:val="-2"/>
          <w:lang w:val="en-GB"/>
        </w:rPr>
        <w:t xml:space="preserve"> position as domestic market leader in India? Would the company be able to </w:t>
      </w:r>
      <w:r w:rsidR="00BE3ED9" w:rsidRPr="00335FEB">
        <w:rPr>
          <w:spacing w:val="-2"/>
          <w:lang w:val="en-GB"/>
        </w:rPr>
        <w:t xml:space="preserve">sufficiently </w:t>
      </w:r>
      <w:r w:rsidR="00BA207D" w:rsidRPr="00335FEB">
        <w:rPr>
          <w:spacing w:val="-2"/>
          <w:lang w:val="en-GB"/>
        </w:rPr>
        <w:t xml:space="preserve">innovate and strengthen its </w:t>
      </w:r>
      <w:r w:rsidR="00B643DB">
        <w:rPr>
          <w:spacing w:val="-2"/>
          <w:lang w:val="en-GB"/>
        </w:rPr>
        <w:t>domestic</w:t>
      </w:r>
      <w:r w:rsidR="00B643DB" w:rsidRPr="00335FEB">
        <w:rPr>
          <w:spacing w:val="-2"/>
          <w:lang w:val="en-GB"/>
        </w:rPr>
        <w:t xml:space="preserve"> </w:t>
      </w:r>
      <w:r w:rsidR="00BA207D" w:rsidRPr="00335FEB">
        <w:rPr>
          <w:spacing w:val="-2"/>
          <w:lang w:val="en-GB"/>
        </w:rPr>
        <w:t xml:space="preserve">operations to replicate its success from domestic operations </w:t>
      </w:r>
      <w:r w:rsidR="00BE3ED9" w:rsidRPr="00335FEB">
        <w:rPr>
          <w:spacing w:val="-2"/>
          <w:lang w:val="en-GB"/>
        </w:rPr>
        <w:t>and</w:t>
      </w:r>
      <w:r w:rsidR="00BA207D" w:rsidRPr="00335FEB">
        <w:rPr>
          <w:spacing w:val="-2"/>
          <w:lang w:val="en-GB"/>
        </w:rPr>
        <w:t xml:space="preserve"> meet </w:t>
      </w:r>
      <w:r w:rsidR="00BE3ED9" w:rsidRPr="00335FEB">
        <w:rPr>
          <w:spacing w:val="-2"/>
          <w:lang w:val="en-GB"/>
        </w:rPr>
        <w:t xml:space="preserve">stakeholders’ </w:t>
      </w:r>
      <w:r w:rsidR="00BA207D" w:rsidRPr="00335FEB">
        <w:rPr>
          <w:spacing w:val="-2"/>
          <w:lang w:val="en-GB"/>
        </w:rPr>
        <w:t>expectations?</w:t>
      </w:r>
      <w:r w:rsidR="009F04A8" w:rsidRPr="00335FEB">
        <w:rPr>
          <w:spacing w:val="-2"/>
          <w:lang w:val="en-GB"/>
        </w:rPr>
        <w:t xml:space="preserve"> </w:t>
      </w:r>
      <w:r w:rsidR="00BA207D" w:rsidRPr="00335FEB">
        <w:rPr>
          <w:spacing w:val="-2"/>
          <w:lang w:val="en-GB"/>
        </w:rPr>
        <w:t xml:space="preserve">Should </w:t>
      </w:r>
      <w:proofErr w:type="spellStart"/>
      <w:r w:rsidR="00BA207D" w:rsidRPr="00335FEB">
        <w:rPr>
          <w:spacing w:val="-2"/>
          <w:lang w:val="en-GB"/>
        </w:rPr>
        <w:t>Indi</w:t>
      </w:r>
      <w:r w:rsidR="00512983" w:rsidRPr="00335FEB">
        <w:rPr>
          <w:spacing w:val="-2"/>
          <w:lang w:val="en-GB"/>
        </w:rPr>
        <w:t>G</w:t>
      </w:r>
      <w:r w:rsidR="00BA207D" w:rsidRPr="00335FEB">
        <w:rPr>
          <w:spacing w:val="-2"/>
          <w:lang w:val="en-GB"/>
        </w:rPr>
        <w:t>o</w:t>
      </w:r>
      <w:proofErr w:type="spellEnd"/>
      <w:r w:rsidR="00BA207D" w:rsidRPr="00335FEB">
        <w:rPr>
          <w:spacing w:val="-2"/>
          <w:lang w:val="en-GB"/>
        </w:rPr>
        <w:t xml:space="preserve"> buy the state-run Air India to further expand its market share</w:t>
      </w:r>
      <w:r w:rsidR="00BE3ED9" w:rsidRPr="00335FEB">
        <w:rPr>
          <w:spacing w:val="-2"/>
          <w:lang w:val="en-GB"/>
        </w:rPr>
        <w:t>,</w:t>
      </w:r>
      <w:r w:rsidR="00BA207D" w:rsidRPr="00335FEB">
        <w:rPr>
          <w:spacing w:val="-2"/>
          <w:lang w:val="en-GB"/>
        </w:rPr>
        <w:t xml:space="preserve"> monopolize the Indian sky</w:t>
      </w:r>
      <w:r w:rsidR="00BE3ED9" w:rsidRPr="00335FEB">
        <w:rPr>
          <w:spacing w:val="-2"/>
          <w:lang w:val="en-GB"/>
        </w:rPr>
        <w:t>,</w:t>
      </w:r>
      <w:r w:rsidR="00BA207D" w:rsidRPr="00335FEB">
        <w:rPr>
          <w:spacing w:val="-2"/>
          <w:lang w:val="en-GB"/>
        </w:rPr>
        <w:t xml:space="preserve"> and enjoy further economies of scale to sustain its profits?</w:t>
      </w:r>
      <w:r w:rsidR="009F04A8" w:rsidRPr="00335FEB">
        <w:rPr>
          <w:spacing w:val="-2"/>
          <w:lang w:val="en-GB"/>
        </w:rPr>
        <w:br w:type="page"/>
      </w:r>
    </w:p>
    <w:p w14:paraId="12BFF22A" w14:textId="09C29559" w:rsidR="009F04A8" w:rsidRPr="00335FEB" w:rsidRDefault="009F04A8" w:rsidP="009F04A8">
      <w:pPr>
        <w:pStyle w:val="ExhibitHeading"/>
        <w:rPr>
          <w:lang w:val="en-GB"/>
        </w:rPr>
      </w:pPr>
      <w:r w:rsidRPr="00335FEB">
        <w:rPr>
          <w:lang w:val="en-GB"/>
        </w:rPr>
        <w:t>Exhibit 1: CIVIL AVIATION MARKET, AIR CONNECTIVITY, AND PER</w:t>
      </w:r>
      <w:r w:rsidR="00A92461">
        <w:rPr>
          <w:lang w:val="en-GB"/>
        </w:rPr>
        <w:t xml:space="preserve"> </w:t>
      </w:r>
      <w:r w:rsidRPr="00335FEB">
        <w:rPr>
          <w:lang w:val="en-GB"/>
        </w:rPr>
        <w:t>CAPITA INCOME OF SELECT</w:t>
      </w:r>
      <w:r w:rsidR="00A92461">
        <w:rPr>
          <w:lang w:val="en-GB"/>
        </w:rPr>
        <w:t>ed</w:t>
      </w:r>
      <w:r w:rsidRPr="00335FEB">
        <w:rPr>
          <w:lang w:val="en-GB"/>
        </w:rPr>
        <w:t xml:space="preserve"> COUNTRIES</w:t>
      </w:r>
    </w:p>
    <w:p w14:paraId="68B9DFBD" w14:textId="77777777" w:rsidR="009F04A8" w:rsidRPr="00335FEB" w:rsidRDefault="009F04A8" w:rsidP="009F04A8">
      <w:pPr>
        <w:pStyle w:val="BodyTextMain"/>
        <w:rPr>
          <w:lang w:val="en-GB"/>
        </w:rPr>
      </w:pPr>
    </w:p>
    <w:tbl>
      <w:tblPr>
        <w:tblStyle w:val="TableGrid1"/>
        <w:tblW w:w="8820" w:type="dxa"/>
        <w:jc w:val="center"/>
        <w:tblLayout w:type="fixed"/>
        <w:tblLook w:val="04A0" w:firstRow="1" w:lastRow="0" w:firstColumn="1" w:lastColumn="0" w:noHBand="0" w:noVBand="1"/>
      </w:tblPr>
      <w:tblGrid>
        <w:gridCol w:w="1800"/>
        <w:gridCol w:w="1620"/>
        <w:gridCol w:w="1440"/>
        <w:gridCol w:w="1350"/>
        <w:gridCol w:w="1260"/>
        <w:gridCol w:w="1350"/>
      </w:tblGrid>
      <w:tr w:rsidR="009F04A8" w:rsidRPr="00335FEB" w14:paraId="7C5C7B35" w14:textId="77777777" w:rsidTr="00551EE7">
        <w:trPr>
          <w:jc w:val="center"/>
        </w:trPr>
        <w:tc>
          <w:tcPr>
            <w:tcW w:w="1800" w:type="dxa"/>
            <w:vAlign w:val="center"/>
          </w:tcPr>
          <w:p w14:paraId="3DC9557D" w14:textId="77777777" w:rsidR="009F04A8" w:rsidRPr="00335FEB" w:rsidRDefault="009F04A8" w:rsidP="00D01513">
            <w:pPr>
              <w:pStyle w:val="ExhibitText"/>
              <w:jc w:val="center"/>
              <w:rPr>
                <w:lang w:val="en-GB"/>
              </w:rPr>
            </w:pPr>
            <w:r w:rsidRPr="00335FEB">
              <w:rPr>
                <w:lang w:val="en-GB"/>
              </w:rPr>
              <w:t>Country</w:t>
            </w:r>
          </w:p>
        </w:tc>
        <w:tc>
          <w:tcPr>
            <w:tcW w:w="1620" w:type="dxa"/>
            <w:vAlign w:val="center"/>
          </w:tcPr>
          <w:p w14:paraId="6FE1719A" w14:textId="44B84A6C" w:rsidR="009F04A8" w:rsidRPr="00335FEB" w:rsidRDefault="009F04A8" w:rsidP="00F56A7E">
            <w:pPr>
              <w:pStyle w:val="ExhibitText"/>
              <w:jc w:val="center"/>
              <w:rPr>
                <w:lang w:val="en-GB"/>
              </w:rPr>
            </w:pPr>
            <w:r w:rsidRPr="00335FEB">
              <w:rPr>
                <w:lang w:val="en-GB"/>
              </w:rPr>
              <w:t>Size of Aviation Market (</w:t>
            </w:r>
            <w:r w:rsidR="00205478" w:rsidRPr="00335FEB">
              <w:rPr>
                <w:lang w:val="en-GB"/>
              </w:rPr>
              <w:t>P</w:t>
            </w:r>
            <w:r w:rsidRPr="00335FEB">
              <w:rPr>
                <w:lang w:val="en-GB"/>
              </w:rPr>
              <w:t>assenger</w:t>
            </w:r>
            <w:r w:rsidR="00205478" w:rsidRPr="00335FEB">
              <w:rPr>
                <w:lang w:val="en-GB"/>
              </w:rPr>
              <w:t>s</w:t>
            </w:r>
            <w:r w:rsidRPr="00335FEB">
              <w:rPr>
                <w:lang w:val="en-GB"/>
              </w:rPr>
              <w:t xml:space="preserve"> Carried)</w:t>
            </w:r>
          </w:p>
        </w:tc>
        <w:tc>
          <w:tcPr>
            <w:tcW w:w="1440" w:type="dxa"/>
            <w:vAlign w:val="center"/>
          </w:tcPr>
          <w:p w14:paraId="66D9FFE7" w14:textId="6D0BD86A" w:rsidR="009F04A8" w:rsidRPr="00335FEB" w:rsidRDefault="009F04A8" w:rsidP="00DF47E5">
            <w:pPr>
              <w:pStyle w:val="ExhibitText"/>
              <w:jc w:val="center"/>
              <w:rPr>
                <w:lang w:val="en-GB"/>
              </w:rPr>
            </w:pPr>
            <w:r w:rsidRPr="00335FEB">
              <w:rPr>
                <w:lang w:val="en-GB"/>
              </w:rPr>
              <w:t>Geographical Area (in Square Kilomet</w:t>
            </w:r>
            <w:r w:rsidR="00205478" w:rsidRPr="00335FEB">
              <w:rPr>
                <w:lang w:val="en-GB"/>
              </w:rPr>
              <w:t>r</w:t>
            </w:r>
            <w:r w:rsidRPr="00335FEB">
              <w:rPr>
                <w:lang w:val="en-GB"/>
              </w:rPr>
              <w:t>es)</w:t>
            </w:r>
          </w:p>
        </w:tc>
        <w:tc>
          <w:tcPr>
            <w:tcW w:w="1350" w:type="dxa"/>
            <w:vAlign w:val="center"/>
          </w:tcPr>
          <w:p w14:paraId="543B1E47" w14:textId="3681886E" w:rsidR="009F04A8" w:rsidRPr="00335FEB" w:rsidRDefault="009F04A8" w:rsidP="00715AB7">
            <w:pPr>
              <w:pStyle w:val="ExhibitText"/>
              <w:jc w:val="center"/>
              <w:rPr>
                <w:lang w:val="en-GB"/>
              </w:rPr>
            </w:pPr>
            <w:r w:rsidRPr="00335FEB">
              <w:rPr>
                <w:lang w:val="en-GB"/>
              </w:rPr>
              <w:t xml:space="preserve">Number of Cities </w:t>
            </w:r>
            <w:r w:rsidR="00205478" w:rsidRPr="00335FEB">
              <w:rPr>
                <w:lang w:val="en-GB"/>
              </w:rPr>
              <w:t>w</w:t>
            </w:r>
            <w:r w:rsidRPr="00335FEB">
              <w:rPr>
                <w:lang w:val="en-GB"/>
              </w:rPr>
              <w:t xml:space="preserve">ith </w:t>
            </w:r>
            <w:r w:rsidR="00205478" w:rsidRPr="00335FEB">
              <w:rPr>
                <w:lang w:val="en-GB"/>
              </w:rPr>
              <w:t xml:space="preserve">a </w:t>
            </w:r>
            <w:r w:rsidR="00715AB7" w:rsidRPr="00335FEB">
              <w:rPr>
                <w:lang w:val="en-GB"/>
              </w:rPr>
              <w:t xml:space="preserve">Population of </w:t>
            </w:r>
            <w:r w:rsidRPr="00335FEB">
              <w:rPr>
                <w:lang w:val="en-GB"/>
              </w:rPr>
              <w:t>500,000</w:t>
            </w:r>
            <w:r w:rsidR="00205478" w:rsidRPr="00335FEB">
              <w:rPr>
                <w:lang w:val="en-GB"/>
              </w:rPr>
              <w:t>+</w:t>
            </w:r>
            <w:r w:rsidRPr="00335FEB">
              <w:rPr>
                <w:lang w:val="en-GB"/>
              </w:rPr>
              <w:t xml:space="preserve"> </w:t>
            </w:r>
          </w:p>
        </w:tc>
        <w:tc>
          <w:tcPr>
            <w:tcW w:w="1260" w:type="dxa"/>
            <w:vAlign w:val="center"/>
          </w:tcPr>
          <w:p w14:paraId="1AA93A0F" w14:textId="08E82292" w:rsidR="009F04A8" w:rsidRPr="00335FEB" w:rsidRDefault="009F04A8" w:rsidP="00715AB7">
            <w:pPr>
              <w:pStyle w:val="ExhibitText"/>
              <w:jc w:val="center"/>
              <w:rPr>
                <w:lang w:val="en-GB"/>
              </w:rPr>
            </w:pPr>
            <w:r w:rsidRPr="00335FEB">
              <w:rPr>
                <w:lang w:val="en-GB"/>
              </w:rPr>
              <w:t xml:space="preserve">Per Capita Income </w:t>
            </w:r>
            <w:r w:rsidR="00715AB7" w:rsidRPr="00335FEB">
              <w:rPr>
                <w:lang w:val="en-GB"/>
              </w:rPr>
              <w:t>i</w:t>
            </w:r>
            <w:r w:rsidRPr="00335FEB">
              <w:rPr>
                <w:lang w:val="en-GB"/>
              </w:rPr>
              <w:t>n US$PPP</w:t>
            </w:r>
            <w:r w:rsidR="00335FEB" w:rsidRPr="00335FEB">
              <w:rPr>
                <w:lang w:val="en-GB"/>
              </w:rPr>
              <w:t xml:space="preserve"> </w:t>
            </w:r>
            <w:r w:rsidRPr="00335FEB">
              <w:rPr>
                <w:lang w:val="en-GB"/>
              </w:rPr>
              <w:t>2017</w:t>
            </w:r>
            <w:r w:rsidR="00205478" w:rsidRPr="00335FEB">
              <w:rPr>
                <w:lang w:val="en-GB"/>
              </w:rPr>
              <w:t>–</w:t>
            </w:r>
            <w:r w:rsidRPr="00335FEB">
              <w:rPr>
                <w:lang w:val="en-GB"/>
              </w:rPr>
              <w:t>18</w:t>
            </w:r>
            <w:r w:rsidR="00715AB7" w:rsidRPr="00335FEB">
              <w:rPr>
                <w:lang w:val="en-GB"/>
              </w:rPr>
              <w:t xml:space="preserve"> </w:t>
            </w:r>
          </w:p>
        </w:tc>
        <w:tc>
          <w:tcPr>
            <w:tcW w:w="1350" w:type="dxa"/>
            <w:vAlign w:val="center"/>
          </w:tcPr>
          <w:p w14:paraId="4D20BF6C" w14:textId="08EEEFA8" w:rsidR="009F04A8" w:rsidRPr="00335FEB" w:rsidRDefault="009F04A8" w:rsidP="00DF47E5">
            <w:pPr>
              <w:pStyle w:val="ExhibitText"/>
              <w:jc w:val="center"/>
              <w:rPr>
                <w:lang w:val="en-GB"/>
              </w:rPr>
            </w:pPr>
            <w:r w:rsidRPr="00335FEB">
              <w:rPr>
                <w:lang w:val="en-GB"/>
              </w:rPr>
              <w:t>Population (</w:t>
            </w:r>
            <w:r w:rsidR="00F56A7E" w:rsidRPr="00335FEB">
              <w:rPr>
                <w:lang w:val="en-GB"/>
              </w:rPr>
              <w:t>T</w:t>
            </w:r>
            <w:r w:rsidRPr="00335FEB">
              <w:rPr>
                <w:lang w:val="en-GB"/>
              </w:rPr>
              <w:t>housands)</w:t>
            </w:r>
          </w:p>
        </w:tc>
      </w:tr>
      <w:tr w:rsidR="00B643DB" w:rsidRPr="00335FEB" w14:paraId="0040A481" w14:textId="77777777" w:rsidTr="00551EE7">
        <w:trPr>
          <w:jc w:val="center"/>
        </w:trPr>
        <w:tc>
          <w:tcPr>
            <w:tcW w:w="1800" w:type="dxa"/>
          </w:tcPr>
          <w:p w14:paraId="13FBC3AE" w14:textId="1B533E47" w:rsidR="00B643DB" w:rsidRPr="00335FEB" w:rsidRDefault="00B643DB" w:rsidP="00B643DB">
            <w:pPr>
              <w:pStyle w:val="ExhibitText"/>
              <w:jc w:val="left"/>
              <w:rPr>
                <w:lang w:val="en-GB"/>
              </w:rPr>
            </w:pPr>
            <w:r w:rsidRPr="00335FEB">
              <w:rPr>
                <w:lang w:val="en-GB"/>
              </w:rPr>
              <w:t>United States</w:t>
            </w:r>
          </w:p>
        </w:tc>
        <w:tc>
          <w:tcPr>
            <w:tcW w:w="1620" w:type="dxa"/>
          </w:tcPr>
          <w:p w14:paraId="3C8EB477" w14:textId="6388DB65" w:rsidR="00B643DB" w:rsidRPr="00335FEB" w:rsidRDefault="00B643DB" w:rsidP="00B643DB">
            <w:pPr>
              <w:pStyle w:val="ExhibitText"/>
              <w:jc w:val="right"/>
              <w:rPr>
                <w:lang w:val="en-GB"/>
              </w:rPr>
            </w:pPr>
            <w:r w:rsidRPr="00335FEB">
              <w:rPr>
                <w:lang w:val="en-GB"/>
              </w:rPr>
              <w:t>762,560,000</w:t>
            </w:r>
          </w:p>
        </w:tc>
        <w:tc>
          <w:tcPr>
            <w:tcW w:w="1440" w:type="dxa"/>
          </w:tcPr>
          <w:p w14:paraId="49AE134B" w14:textId="145594F9" w:rsidR="00B643DB" w:rsidRPr="00335FEB" w:rsidRDefault="00B643DB" w:rsidP="00B643DB">
            <w:pPr>
              <w:pStyle w:val="ExhibitText"/>
              <w:jc w:val="right"/>
              <w:rPr>
                <w:lang w:val="en-GB"/>
              </w:rPr>
            </w:pPr>
            <w:r w:rsidRPr="00335FEB">
              <w:rPr>
                <w:lang w:val="en-GB"/>
              </w:rPr>
              <w:t>9,526,468</w:t>
            </w:r>
          </w:p>
        </w:tc>
        <w:tc>
          <w:tcPr>
            <w:tcW w:w="1350" w:type="dxa"/>
          </w:tcPr>
          <w:p w14:paraId="36270AD3" w14:textId="3240E1C9" w:rsidR="00B643DB" w:rsidRPr="00335FEB" w:rsidRDefault="00B643DB" w:rsidP="00B643DB">
            <w:pPr>
              <w:pStyle w:val="ExhibitText"/>
              <w:jc w:val="right"/>
              <w:rPr>
                <w:lang w:val="en-GB"/>
              </w:rPr>
            </w:pPr>
            <w:r w:rsidRPr="00335FEB">
              <w:rPr>
                <w:lang w:val="en-GB"/>
              </w:rPr>
              <w:t>34</w:t>
            </w:r>
          </w:p>
        </w:tc>
        <w:tc>
          <w:tcPr>
            <w:tcW w:w="1260" w:type="dxa"/>
          </w:tcPr>
          <w:p w14:paraId="12D70DAF" w14:textId="7E22A0E0" w:rsidR="00B643DB" w:rsidRPr="00335FEB" w:rsidRDefault="00B643DB" w:rsidP="00B643DB">
            <w:pPr>
              <w:pStyle w:val="ExhibitText"/>
              <w:jc w:val="right"/>
              <w:rPr>
                <w:lang w:val="en-GB"/>
              </w:rPr>
            </w:pPr>
            <w:r w:rsidRPr="00335FEB">
              <w:rPr>
                <w:lang w:val="en-GB"/>
              </w:rPr>
              <w:t>$62,152</w:t>
            </w:r>
          </w:p>
        </w:tc>
        <w:tc>
          <w:tcPr>
            <w:tcW w:w="1350" w:type="dxa"/>
          </w:tcPr>
          <w:p w14:paraId="5F349B8F" w14:textId="1182AECF" w:rsidR="00B643DB" w:rsidRPr="00335FEB" w:rsidRDefault="00B643DB" w:rsidP="00B643DB">
            <w:pPr>
              <w:pStyle w:val="ExhibitText"/>
              <w:jc w:val="right"/>
              <w:rPr>
                <w:lang w:val="en-GB"/>
              </w:rPr>
            </w:pPr>
            <w:r w:rsidRPr="00335FEB">
              <w:rPr>
                <w:lang w:val="en-GB"/>
              </w:rPr>
              <w:t>328,434</w:t>
            </w:r>
          </w:p>
        </w:tc>
      </w:tr>
      <w:tr w:rsidR="00B643DB" w:rsidRPr="00335FEB" w14:paraId="6E92E4C9" w14:textId="77777777" w:rsidTr="00551EE7">
        <w:trPr>
          <w:jc w:val="center"/>
        </w:trPr>
        <w:tc>
          <w:tcPr>
            <w:tcW w:w="1800" w:type="dxa"/>
          </w:tcPr>
          <w:p w14:paraId="30E755F5" w14:textId="473D830E" w:rsidR="00B643DB" w:rsidRPr="00335FEB" w:rsidRDefault="00B643DB" w:rsidP="00B643DB">
            <w:pPr>
              <w:pStyle w:val="ExhibitText"/>
              <w:jc w:val="left"/>
              <w:rPr>
                <w:lang w:val="en-GB"/>
              </w:rPr>
            </w:pPr>
            <w:r w:rsidRPr="00335FEB">
              <w:rPr>
                <w:lang w:val="en-GB"/>
              </w:rPr>
              <w:t>China</w:t>
            </w:r>
          </w:p>
        </w:tc>
        <w:tc>
          <w:tcPr>
            <w:tcW w:w="1620" w:type="dxa"/>
          </w:tcPr>
          <w:p w14:paraId="35D953DF" w14:textId="1DD9983D" w:rsidR="00B643DB" w:rsidRPr="00335FEB" w:rsidRDefault="00B643DB" w:rsidP="00B643DB">
            <w:pPr>
              <w:pStyle w:val="ExhibitText"/>
              <w:jc w:val="right"/>
              <w:rPr>
                <w:lang w:val="en-GB"/>
              </w:rPr>
            </w:pPr>
            <w:r w:rsidRPr="00335FEB">
              <w:rPr>
                <w:lang w:val="en-GB"/>
              </w:rPr>
              <w:t>390,878,784</w:t>
            </w:r>
          </w:p>
        </w:tc>
        <w:tc>
          <w:tcPr>
            <w:tcW w:w="1440" w:type="dxa"/>
          </w:tcPr>
          <w:p w14:paraId="6D7370DE" w14:textId="3FB22212" w:rsidR="00B643DB" w:rsidRPr="00335FEB" w:rsidRDefault="00B643DB" w:rsidP="00B643DB">
            <w:pPr>
              <w:pStyle w:val="ExhibitText"/>
              <w:jc w:val="right"/>
              <w:rPr>
                <w:lang w:val="en-GB"/>
              </w:rPr>
            </w:pPr>
            <w:r w:rsidRPr="00335FEB">
              <w:rPr>
                <w:lang w:val="en-GB"/>
              </w:rPr>
              <w:t>9,572,900</w:t>
            </w:r>
          </w:p>
        </w:tc>
        <w:tc>
          <w:tcPr>
            <w:tcW w:w="1350" w:type="dxa"/>
          </w:tcPr>
          <w:p w14:paraId="00BDF335" w14:textId="2FD1D213" w:rsidR="00B643DB" w:rsidRPr="00335FEB" w:rsidRDefault="00B643DB" w:rsidP="00B643DB">
            <w:pPr>
              <w:pStyle w:val="ExhibitText"/>
              <w:jc w:val="right"/>
              <w:rPr>
                <w:lang w:val="en-GB"/>
              </w:rPr>
            </w:pPr>
            <w:r w:rsidRPr="00335FEB">
              <w:rPr>
                <w:lang w:val="en-GB"/>
              </w:rPr>
              <w:t>197</w:t>
            </w:r>
          </w:p>
        </w:tc>
        <w:tc>
          <w:tcPr>
            <w:tcW w:w="1260" w:type="dxa"/>
          </w:tcPr>
          <w:p w14:paraId="1227E3CA" w14:textId="1F74EBF6" w:rsidR="00B643DB" w:rsidRPr="00335FEB" w:rsidRDefault="00B643DB" w:rsidP="00B643DB">
            <w:pPr>
              <w:pStyle w:val="ExhibitText"/>
              <w:jc w:val="right"/>
              <w:rPr>
                <w:lang w:val="en-GB"/>
              </w:rPr>
            </w:pPr>
            <w:r w:rsidRPr="00335FEB">
              <w:rPr>
                <w:lang w:val="en-GB"/>
              </w:rPr>
              <w:t>$18,066</w:t>
            </w:r>
          </w:p>
        </w:tc>
        <w:tc>
          <w:tcPr>
            <w:tcW w:w="1350" w:type="dxa"/>
          </w:tcPr>
          <w:p w14:paraId="1F5A8451" w14:textId="638CF3AA" w:rsidR="00B643DB" w:rsidRPr="00335FEB" w:rsidRDefault="00B643DB" w:rsidP="00B643DB">
            <w:pPr>
              <w:pStyle w:val="ExhibitText"/>
              <w:jc w:val="right"/>
              <w:rPr>
                <w:lang w:val="en-GB"/>
              </w:rPr>
            </w:pPr>
            <w:r w:rsidRPr="00335FEB">
              <w:rPr>
                <w:lang w:val="en-GB"/>
              </w:rPr>
              <w:t>1,396,982</w:t>
            </w:r>
          </w:p>
        </w:tc>
      </w:tr>
      <w:tr w:rsidR="00B643DB" w:rsidRPr="00335FEB" w14:paraId="7CEFDD36" w14:textId="77777777" w:rsidTr="00B643DB">
        <w:trPr>
          <w:jc w:val="center"/>
        </w:trPr>
        <w:tc>
          <w:tcPr>
            <w:tcW w:w="1800" w:type="dxa"/>
          </w:tcPr>
          <w:p w14:paraId="15DD1CA4" w14:textId="77777777" w:rsidR="00B643DB" w:rsidRPr="00335FEB" w:rsidRDefault="00B643DB" w:rsidP="00B643DB">
            <w:pPr>
              <w:pStyle w:val="ExhibitText"/>
              <w:jc w:val="left"/>
              <w:rPr>
                <w:lang w:val="en-GB"/>
              </w:rPr>
            </w:pPr>
            <w:r w:rsidRPr="00335FEB">
              <w:rPr>
                <w:lang w:val="en-GB"/>
              </w:rPr>
              <w:t>United Kingdom</w:t>
            </w:r>
          </w:p>
        </w:tc>
        <w:tc>
          <w:tcPr>
            <w:tcW w:w="1620" w:type="dxa"/>
          </w:tcPr>
          <w:p w14:paraId="5EA08AE1" w14:textId="77777777" w:rsidR="00B643DB" w:rsidRPr="00335FEB" w:rsidRDefault="00B643DB" w:rsidP="00B643DB">
            <w:pPr>
              <w:pStyle w:val="ExhibitText"/>
              <w:jc w:val="right"/>
              <w:rPr>
                <w:lang w:val="en-GB"/>
              </w:rPr>
            </w:pPr>
            <w:r w:rsidRPr="00335FEB">
              <w:rPr>
                <w:lang w:val="en-GB"/>
              </w:rPr>
              <w:t>125,068,988</w:t>
            </w:r>
          </w:p>
        </w:tc>
        <w:tc>
          <w:tcPr>
            <w:tcW w:w="1440" w:type="dxa"/>
          </w:tcPr>
          <w:p w14:paraId="4FFCC8A2" w14:textId="77777777" w:rsidR="00B643DB" w:rsidRPr="00335FEB" w:rsidRDefault="00B643DB" w:rsidP="00B643DB">
            <w:pPr>
              <w:pStyle w:val="ExhibitText"/>
              <w:jc w:val="right"/>
              <w:rPr>
                <w:lang w:val="en-GB"/>
              </w:rPr>
            </w:pPr>
            <w:r w:rsidRPr="00335FEB">
              <w:rPr>
                <w:lang w:val="en-GB"/>
              </w:rPr>
              <w:t>242,495</w:t>
            </w:r>
          </w:p>
        </w:tc>
        <w:tc>
          <w:tcPr>
            <w:tcW w:w="1350" w:type="dxa"/>
          </w:tcPr>
          <w:p w14:paraId="2FA9C219" w14:textId="77777777" w:rsidR="00B643DB" w:rsidRPr="00335FEB" w:rsidRDefault="00B643DB" w:rsidP="00B643DB">
            <w:pPr>
              <w:pStyle w:val="ExhibitText"/>
              <w:jc w:val="right"/>
              <w:rPr>
                <w:lang w:val="en-GB"/>
              </w:rPr>
            </w:pPr>
            <w:r w:rsidRPr="00335FEB">
              <w:rPr>
                <w:lang w:val="en-GB"/>
              </w:rPr>
              <w:t>13</w:t>
            </w:r>
          </w:p>
        </w:tc>
        <w:tc>
          <w:tcPr>
            <w:tcW w:w="1260" w:type="dxa"/>
          </w:tcPr>
          <w:p w14:paraId="1E880B5B" w14:textId="77777777" w:rsidR="00B643DB" w:rsidRPr="00335FEB" w:rsidRDefault="00B643DB" w:rsidP="00B643DB">
            <w:pPr>
              <w:pStyle w:val="ExhibitText"/>
              <w:jc w:val="right"/>
              <w:rPr>
                <w:lang w:val="en-GB"/>
              </w:rPr>
            </w:pPr>
            <w:r w:rsidRPr="00335FEB">
              <w:rPr>
                <w:lang w:val="en-GB"/>
              </w:rPr>
              <w:t>$45,565</w:t>
            </w:r>
          </w:p>
        </w:tc>
        <w:tc>
          <w:tcPr>
            <w:tcW w:w="1350" w:type="dxa"/>
          </w:tcPr>
          <w:p w14:paraId="64286677" w14:textId="77777777" w:rsidR="00B643DB" w:rsidRPr="00335FEB" w:rsidRDefault="00B643DB" w:rsidP="00B643DB">
            <w:pPr>
              <w:pStyle w:val="ExhibitText"/>
              <w:jc w:val="right"/>
              <w:rPr>
                <w:lang w:val="en-GB"/>
              </w:rPr>
            </w:pPr>
            <w:r w:rsidRPr="00335FEB">
              <w:rPr>
                <w:lang w:val="en-GB"/>
              </w:rPr>
              <w:t>66,466</w:t>
            </w:r>
          </w:p>
        </w:tc>
      </w:tr>
      <w:tr w:rsidR="00B643DB" w:rsidRPr="00335FEB" w14:paraId="68C68EBD" w14:textId="77777777" w:rsidTr="00B643DB">
        <w:trPr>
          <w:jc w:val="center"/>
        </w:trPr>
        <w:tc>
          <w:tcPr>
            <w:tcW w:w="1800" w:type="dxa"/>
          </w:tcPr>
          <w:p w14:paraId="08692567" w14:textId="77777777" w:rsidR="00B643DB" w:rsidRPr="00335FEB" w:rsidRDefault="00B643DB" w:rsidP="00B643DB">
            <w:pPr>
              <w:pStyle w:val="ExhibitText"/>
              <w:jc w:val="left"/>
              <w:rPr>
                <w:lang w:val="en-GB"/>
              </w:rPr>
            </w:pPr>
            <w:r w:rsidRPr="00335FEB">
              <w:rPr>
                <w:lang w:val="en-GB"/>
              </w:rPr>
              <w:t xml:space="preserve">Japan </w:t>
            </w:r>
          </w:p>
        </w:tc>
        <w:tc>
          <w:tcPr>
            <w:tcW w:w="1620" w:type="dxa"/>
          </w:tcPr>
          <w:p w14:paraId="44CC98EA" w14:textId="77777777" w:rsidR="00B643DB" w:rsidRPr="00335FEB" w:rsidRDefault="00B643DB" w:rsidP="00B643DB">
            <w:pPr>
              <w:pStyle w:val="ExhibitText"/>
              <w:jc w:val="right"/>
              <w:rPr>
                <w:lang w:val="en-GB"/>
              </w:rPr>
            </w:pPr>
            <w:r w:rsidRPr="00335FEB">
              <w:rPr>
                <w:lang w:val="en-GB"/>
              </w:rPr>
              <w:t>110,544,000</w:t>
            </w:r>
          </w:p>
        </w:tc>
        <w:tc>
          <w:tcPr>
            <w:tcW w:w="1440" w:type="dxa"/>
          </w:tcPr>
          <w:p w14:paraId="78132132" w14:textId="77777777" w:rsidR="00B643DB" w:rsidRPr="00335FEB" w:rsidRDefault="00B643DB" w:rsidP="00B643DB">
            <w:pPr>
              <w:pStyle w:val="ExhibitText"/>
              <w:jc w:val="right"/>
              <w:rPr>
                <w:lang w:val="en-GB"/>
              </w:rPr>
            </w:pPr>
            <w:r w:rsidRPr="00335FEB">
              <w:rPr>
                <w:lang w:val="en-GB"/>
              </w:rPr>
              <w:t>377,930</w:t>
            </w:r>
          </w:p>
        </w:tc>
        <w:tc>
          <w:tcPr>
            <w:tcW w:w="1350" w:type="dxa"/>
          </w:tcPr>
          <w:p w14:paraId="10ED735A" w14:textId="77777777" w:rsidR="00B643DB" w:rsidRPr="00335FEB" w:rsidRDefault="00B643DB" w:rsidP="00B643DB">
            <w:pPr>
              <w:pStyle w:val="ExhibitText"/>
              <w:jc w:val="right"/>
              <w:rPr>
                <w:lang w:val="en-GB"/>
              </w:rPr>
            </w:pPr>
            <w:r w:rsidRPr="00335FEB">
              <w:rPr>
                <w:lang w:val="en-GB"/>
              </w:rPr>
              <w:t>28</w:t>
            </w:r>
          </w:p>
        </w:tc>
        <w:tc>
          <w:tcPr>
            <w:tcW w:w="1260" w:type="dxa"/>
          </w:tcPr>
          <w:p w14:paraId="006F04AA" w14:textId="77777777" w:rsidR="00B643DB" w:rsidRPr="00335FEB" w:rsidRDefault="00B643DB" w:rsidP="00B643DB">
            <w:pPr>
              <w:pStyle w:val="ExhibitText"/>
              <w:jc w:val="right"/>
              <w:rPr>
                <w:lang w:val="en-GB"/>
              </w:rPr>
            </w:pPr>
            <w:r w:rsidRPr="00335FEB">
              <w:rPr>
                <w:lang w:val="en-GB"/>
              </w:rPr>
              <w:t>$44,426</w:t>
            </w:r>
          </w:p>
        </w:tc>
        <w:tc>
          <w:tcPr>
            <w:tcW w:w="1350" w:type="dxa"/>
          </w:tcPr>
          <w:p w14:paraId="3E128D61" w14:textId="77777777" w:rsidR="00B643DB" w:rsidRPr="00335FEB" w:rsidRDefault="00B643DB" w:rsidP="00B643DB">
            <w:pPr>
              <w:pStyle w:val="ExhibitText"/>
              <w:jc w:val="right"/>
              <w:rPr>
                <w:lang w:val="en-GB"/>
              </w:rPr>
            </w:pPr>
            <w:r w:rsidRPr="00335FEB">
              <w:rPr>
                <w:lang w:val="en-GB"/>
              </w:rPr>
              <w:t>126,491</w:t>
            </w:r>
          </w:p>
        </w:tc>
      </w:tr>
      <w:tr w:rsidR="00B643DB" w:rsidRPr="00335FEB" w14:paraId="60C3A9A6" w14:textId="77777777" w:rsidTr="00551EE7">
        <w:trPr>
          <w:jc w:val="center"/>
        </w:trPr>
        <w:tc>
          <w:tcPr>
            <w:tcW w:w="1800" w:type="dxa"/>
          </w:tcPr>
          <w:p w14:paraId="4AFFBA53" w14:textId="6406E1EE" w:rsidR="00B643DB" w:rsidRPr="00335FEB" w:rsidRDefault="00B643DB" w:rsidP="00B643DB">
            <w:pPr>
              <w:pStyle w:val="ExhibitText"/>
              <w:jc w:val="left"/>
              <w:rPr>
                <w:lang w:val="en-GB"/>
              </w:rPr>
            </w:pPr>
            <w:r w:rsidRPr="00335FEB">
              <w:rPr>
                <w:lang w:val="en-GB"/>
              </w:rPr>
              <w:t>Germany</w:t>
            </w:r>
          </w:p>
        </w:tc>
        <w:tc>
          <w:tcPr>
            <w:tcW w:w="1620" w:type="dxa"/>
          </w:tcPr>
          <w:p w14:paraId="4F9BE79B" w14:textId="77166231" w:rsidR="00B643DB" w:rsidRPr="00335FEB" w:rsidRDefault="00B643DB" w:rsidP="00B643DB">
            <w:pPr>
              <w:pStyle w:val="ExhibitText"/>
              <w:jc w:val="right"/>
              <w:rPr>
                <w:lang w:val="en-GB"/>
              </w:rPr>
            </w:pPr>
            <w:r w:rsidRPr="00335FEB">
              <w:rPr>
                <w:lang w:val="en-GB"/>
              </w:rPr>
              <w:t>107,587,503</w:t>
            </w:r>
          </w:p>
        </w:tc>
        <w:tc>
          <w:tcPr>
            <w:tcW w:w="1440" w:type="dxa"/>
          </w:tcPr>
          <w:p w14:paraId="2B10FCE7" w14:textId="30C1DFDF" w:rsidR="00B643DB" w:rsidRPr="00335FEB" w:rsidRDefault="00B643DB" w:rsidP="00B643DB">
            <w:pPr>
              <w:pStyle w:val="ExhibitText"/>
              <w:jc w:val="right"/>
              <w:rPr>
                <w:lang w:val="en-GB"/>
              </w:rPr>
            </w:pPr>
            <w:r w:rsidRPr="00335FEB">
              <w:rPr>
                <w:lang w:val="en-GB"/>
              </w:rPr>
              <w:t>357,114</w:t>
            </w:r>
          </w:p>
        </w:tc>
        <w:tc>
          <w:tcPr>
            <w:tcW w:w="1350" w:type="dxa"/>
          </w:tcPr>
          <w:p w14:paraId="45C2EA5B" w14:textId="18B64169" w:rsidR="00B643DB" w:rsidRPr="00335FEB" w:rsidRDefault="00B643DB" w:rsidP="00B643DB">
            <w:pPr>
              <w:pStyle w:val="ExhibitText"/>
              <w:jc w:val="right"/>
              <w:rPr>
                <w:lang w:val="en-GB"/>
              </w:rPr>
            </w:pPr>
            <w:r w:rsidRPr="00335FEB">
              <w:rPr>
                <w:lang w:val="en-GB"/>
              </w:rPr>
              <w:t>12</w:t>
            </w:r>
          </w:p>
        </w:tc>
        <w:tc>
          <w:tcPr>
            <w:tcW w:w="1260" w:type="dxa"/>
          </w:tcPr>
          <w:p w14:paraId="61A586FD" w14:textId="22F812FE" w:rsidR="00B643DB" w:rsidRPr="00335FEB" w:rsidRDefault="00B643DB" w:rsidP="00B643DB">
            <w:pPr>
              <w:pStyle w:val="ExhibitText"/>
              <w:jc w:val="right"/>
              <w:rPr>
                <w:lang w:val="en-GB"/>
              </w:rPr>
            </w:pPr>
            <w:r w:rsidRPr="00335FEB">
              <w:rPr>
                <w:lang w:val="en-GB"/>
              </w:rPr>
              <w:t>$52,801</w:t>
            </w:r>
          </w:p>
        </w:tc>
        <w:tc>
          <w:tcPr>
            <w:tcW w:w="1350" w:type="dxa"/>
          </w:tcPr>
          <w:p w14:paraId="26388143" w14:textId="21FD5671" w:rsidR="00B643DB" w:rsidRPr="00335FEB" w:rsidRDefault="00B643DB" w:rsidP="00B643DB">
            <w:pPr>
              <w:pStyle w:val="ExhibitText"/>
              <w:jc w:val="right"/>
              <w:rPr>
                <w:lang w:val="en-GB"/>
              </w:rPr>
            </w:pPr>
            <w:r w:rsidRPr="00335FEB">
              <w:rPr>
                <w:lang w:val="en-GB"/>
              </w:rPr>
              <w:t>82,838</w:t>
            </w:r>
          </w:p>
        </w:tc>
      </w:tr>
      <w:tr w:rsidR="00E94244" w:rsidRPr="00335FEB" w14:paraId="49D1964A" w14:textId="77777777" w:rsidTr="00551EE7">
        <w:trPr>
          <w:jc w:val="center"/>
        </w:trPr>
        <w:tc>
          <w:tcPr>
            <w:tcW w:w="1800" w:type="dxa"/>
          </w:tcPr>
          <w:p w14:paraId="395DCCA6" w14:textId="4E863E41" w:rsidR="00E94244" w:rsidRPr="00335FEB" w:rsidRDefault="00E94244" w:rsidP="00E94244">
            <w:pPr>
              <w:pStyle w:val="ExhibitText"/>
              <w:jc w:val="left"/>
              <w:rPr>
                <w:lang w:val="en-GB"/>
              </w:rPr>
            </w:pPr>
            <w:r w:rsidRPr="00335FEB">
              <w:rPr>
                <w:lang w:val="en-GB"/>
              </w:rPr>
              <w:t>Brazil</w:t>
            </w:r>
          </w:p>
        </w:tc>
        <w:tc>
          <w:tcPr>
            <w:tcW w:w="1620" w:type="dxa"/>
          </w:tcPr>
          <w:p w14:paraId="5E80BF97" w14:textId="0F0F34E8" w:rsidR="00E94244" w:rsidRPr="00335FEB" w:rsidRDefault="00E94244" w:rsidP="00E94244">
            <w:pPr>
              <w:pStyle w:val="ExhibitText"/>
              <w:jc w:val="right"/>
              <w:rPr>
                <w:lang w:val="en-GB"/>
              </w:rPr>
            </w:pPr>
            <w:r w:rsidRPr="00335FEB">
              <w:rPr>
                <w:lang w:val="en-GB"/>
              </w:rPr>
              <w:t>100,403,628</w:t>
            </w:r>
          </w:p>
        </w:tc>
        <w:tc>
          <w:tcPr>
            <w:tcW w:w="1440" w:type="dxa"/>
          </w:tcPr>
          <w:p w14:paraId="0C42E20B" w14:textId="556D7455" w:rsidR="00E94244" w:rsidRPr="00335FEB" w:rsidRDefault="00E94244" w:rsidP="00E94244">
            <w:pPr>
              <w:pStyle w:val="ExhibitText"/>
              <w:jc w:val="right"/>
              <w:rPr>
                <w:lang w:val="en-GB"/>
              </w:rPr>
            </w:pPr>
            <w:r w:rsidRPr="00335FEB">
              <w:rPr>
                <w:lang w:val="en-GB"/>
              </w:rPr>
              <w:t>8,515,767</w:t>
            </w:r>
          </w:p>
        </w:tc>
        <w:tc>
          <w:tcPr>
            <w:tcW w:w="1350" w:type="dxa"/>
          </w:tcPr>
          <w:p w14:paraId="7CE67FD5" w14:textId="6314C8BA" w:rsidR="00E94244" w:rsidRPr="00335FEB" w:rsidRDefault="00E94244" w:rsidP="00E94244">
            <w:pPr>
              <w:pStyle w:val="ExhibitText"/>
              <w:jc w:val="right"/>
              <w:rPr>
                <w:lang w:val="en-GB"/>
              </w:rPr>
            </w:pPr>
            <w:r w:rsidRPr="00335FEB">
              <w:rPr>
                <w:lang w:val="en-GB"/>
              </w:rPr>
              <w:t>40</w:t>
            </w:r>
          </w:p>
        </w:tc>
        <w:tc>
          <w:tcPr>
            <w:tcW w:w="1260" w:type="dxa"/>
          </w:tcPr>
          <w:p w14:paraId="31C3054B" w14:textId="2F657E55" w:rsidR="00E94244" w:rsidRPr="00335FEB" w:rsidRDefault="00E94244" w:rsidP="00E94244">
            <w:pPr>
              <w:pStyle w:val="ExhibitText"/>
              <w:jc w:val="right"/>
              <w:rPr>
                <w:lang w:val="en-GB"/>
              </w:rPr>
            </w:pPr>
            <w:r w:rsidRPr="00335FEB">
              <w:rPr>
                <w:lang w:val="en-GB"/>
              </w:rPr>
              <w:t>$16,199</w:t>
            </w:r>
          </w:p>
        </w:tc>
        <w:tc>
          <w:tcPr>
            <w:tcW w:w="1350" w:type="dxa"/>
          </w:tcPr>
          <w:p w14:paraId="21AECBEA" w14:textId="63AC58E5" w:rsidR="00E94244" w:rsidRPr="00335FEB" w:rsidRDefault="00E94244" w:rsidP="00E94244">
            <w:pPr>
              <w:pStyle w:val="ExhibitText"/>
              <w:jc w:val="right"/>
              <w:rPr>
                <w:lang w:val="en-GB"/>
              </w:rPr>
            </w:pPr>
            <w:r w:rsidRPr="00335FEB">
              <w:rPr>
                <w:lang w:val="en-GB"/>
              </w:rPr>
              <w:t>209,205</w:t>
            </w:r>
          </w:p>
        </w:tc>
      </w:tr>
      <w:tr w:rsidR="00B643DB" w:rsidRPr="00335FEB" w14:paraId="564188AE" w14:textId="77777777" w:rsidTr="00551EE7">
        <w:trPr>
          <w:jc w:val="center"/>
        </w:trPr>
        <w:tc>
          <w:tcPr>
            <w:tcW w:w="1800" w:type="dxa"/>
          </w:tcPr>
          <w:p w14:paraId="02EF8C74" w14:textId="77777777" w:rsidR="00B643DB" w:rsidRPr="00335FEB" w:rsidRDefault="00B643DB" w:rsidP="00B643DB">
            <w:pPr>
              <w:pStyle w:val="ExhibitText"/>
              <w:jc w:val="left"/>
              <w:rPr>
                <w:lang w:val="en-GB"/>
              </w:rPr>
            </w:pPr>
            <w:r w:rsidRPr="00335FEB">
              <w:rPr>
                <w:lang w:val="en-GB"/>
              </w:rPr>
              <w:t>India</w:t>
            </w:r>
          </w:p>
        </w:tc>
        <w:tc>
          <w:tcPr>
            <w:tcW w:w="1620" w:type="dxa"/>
          </w:tcPr>
          <w:p w14:paraId="3AEBFCB5" w14:textId="77777777" w:rsidR="00B643DB" w:rsidRPr="00335FEB" w:rsidRDefault="00B643DB" w:rsidP="00B643DB">
            <w:pPr>
              <w:pStyle w:val="ExhibitText"/>
              <w:jc w:val="right"/>
              <w:rPr>
                <w:lang w:val="en-GB"/>
              </w:rPr>
            </w:pPr>
            <w:r w:rsidRPr="00335FEB">
              <w:rPr>
                <w:lang w:val="en-GB"/>
              </w:rPr>
              <w:t>82,751,555</w:t>
            </w:r>
          </w:p>
        </w:tc>
        <w:tc>
          <w:tcPr>
            <w:tcW w:w="1440" w:type="dxa"/>
          </w:tcPr>
          <w:p w14:paraId="0A4A78F0" w14:textId="77777777" w:rsidR="00B643DB" w:rsidRPr="00335FEB" w:rsidRDefault="00B643DB" w:rsidP="00B643DB">
            <w:pPr>
              <w:pStyle w:val="ExhibitText"/>
              <w:jc w:val="right"/>
              <w:rPr>
                <w:lang w:val="en-GB"/>
              </w:rPr>
            </w:pPr>
            <w:r w:rsidRPr="00335FEB">
              <w:rPr>
                <w:lang w:val="en-GB"/>
              </w:rPr>
              <w:t>3,287,263</w:t>
            </w:r>
          </w:p>
        </w:tc>
        <w:tc>
          <w:tcPr>
            <w:tcW w:w="1350" w:type="dxa"/>
          </w:tcPr>
          <w:p w14:paraId="660E36BF" w14:textId="77777777" w:rsidR="00B643DB" w:rsidRPr="00335FEB" w:rsidRDefault="00B643DB" w:rsidP="00B643DB">
            <w:pPr>
              <w:pStyle w:val="ExhibitText"/>
              <w:jc w:val="right"/>
              <w:rPr>
                <w:lang w:val="en-GB"/>
              </w:rPr>
            </w:pPr>
            <w:r w:rsidRPr="00335FEB">
              <w:rPr>
                <w:lang w:val="en-GB"/>
              </w:rPr>
              <w:t>93</w:t>
            </w:r>
          </w:p>
        </w:tc>
        <w:tc>
          <w:tcPr>
            <w:tcW w:w="1260" w:type="dxa"/>
          </w:tcPr>
          <w:p w14:paraId="4A5739FE" w14:textId="77777777" w:rsidR="00B643DB" w:rsidRPr="00335FEB" w:rsidRDefault="00B643DB" w:rsidP="00B643DB">
            <w:pPr>
              <w:pStyle w:val="ExhibitText"/>
              <w:jc w:val="right"/>
              <w:rPr>
                <w:lang w:val="en-GB"/>
              </w:rPr>
            </w:pPr>
            <w:r w:rsidRPr="00335FEB">
              <w:rPr>
                <w:lang w:val="en-GB"/>
              </w:rPr>
              <w:t>$7,783</w:t>
            </w:r>
          </w:p>
        </w:tc>
        <w:tc>
          <w:tcPr>
            <w:tcW w:w="1350" w:type="dxa"/>
          </w:tcPr>
          <w:p w14:paraId="0F58A1BD" w14:textId="77777777" w:rsidR="00B643DB" w:rsidRPr="00335FEB" w:rsidRDefault="00B643DB" w:rsidP="00B643DB">
            <w:pPr>
              <w:pStyle w:val="ExhibitText"/>
              <w:jc w:val="right"/>
              <w:rPr>
                <w:lang w:val="en-GB"/>
              </w:rPr>
            </w:pPr>
            <w:r w:rsidRPr="00335FEB">
              <w:rPr>
                <w:lang w:val="en-GB"/>
              </w:rPr>
              <w:t>1,334,221</w:t>
            </w:r>
          </w:p>
        </w:tc>
      </w:tr>
      <w:tr w:rsidR="00B643DB" w:rsidRPr="00335FEB" w14:paraId="0ED7D632" w14:textId="77777777" w:rsidTr="00551EE7">
        <w:trPr>
          <w:jc w:val="center"/>
        </w:trPr>
        <w:tc>
          <w:tcPr>
            <w:tcW w:w="1800" w:type="dxa"/>
          </w:tcPr>
          <w:p w14:paraId="3938F3AB" w14:textId="77777777" w:rsidR="00B643DB" w:rsidRPr="00335FEB" w:rsidRDefault="00B643DB" w:rsidP="00B643DB">
            <w:pPr>
              <w:pStyle w:val="ExhibitText"/>
              <w:jc w:val="left"/>
              <w:rPr>
                <w:lang w:val="en-GB"/>
              </w:rPr>
            </w:pPr>
            <w:r w:rsidRPr="00335FEB">
              <w:rPr>
                <w:lang w:val="en-GB"/>
              </w:rPr>
              <w:t>Russia</w:t>
            </w:r>
          </w:p>
        </w:tc>
        <w:tc>
          <w:tcPr>
            <w:tcW w:w="1620" w:type="dxa"/>
          </w:tcPr>
          <w:p w14:paraId="58E8BF9C" w14:textId="77777777" w:rsidR="00B643DB" w:rsidRPr="00335FEB" w:rsidRDefault="00B643DB" w:rsidP="00B643DB">
            <w:pPr>
              <w:pStyle w:val="ExhibitText"/>
              <w:jc w:val="right"/>
              <w:rPr>
                <w:lang w:val="en-GB"/>
              </w:rPr>
            </w:pPr>
            <w:r w:rsidRPr="00335FEB">
              <w:rPr>
                <w:lang w:val="en-GB"/>
              </w:rPr>
              <w:t>72,189,961</w:t>
            </w:r>
          </w:p>
        </w:tc>
        <w:tc>
          <w:tcPr>
            <w:tcW w:w="1440" w:type="dxa"/>
          </w:tcPr>
          <w:p w14:paraId="740BB15D" w14:textId="77777777" w:rsidR="00B643DB" w:rsidRPr="00335FEB" w:rsidRDefault="00B643DB" w:rsidP="00B643DB">
            <w:pPr>
              <w:pStyle w:val="ExhibitText"/>
              <w:jc w:val="right"/>
              <w:rPr>
                <w:lang w:val="en-GB"/>
              </w:rPr>
            </w:pPr>
            <w:r w:rsidRPr="00335FEB">
              <w:rPr>
                <w:lang w:val="en-GB"/>
              </w:rPr>
              <w:t>17,098,246</w:t>
            </w:r>
          </w:p>
        </w:tc>
        <w:tc>
          <w:tcPr>
            <w:tcW w:w="1350" w:type="dxa"/>
          </w:tcPr>
          <w:p w14:paraId="7FA039FD" w14:textId="77777777" w:rsidR="00B643DB" w:rsidRPr="00335FEB" w:rsidRDefault="00B643DB" w:rsidP="00B643DB">
            <w:pPr>
              <w:pStyle w:val="ExhibitText"/>
              <w:jc w:val="right"/>
              <w:rPr>
                <w:lang w:val="en-GB"/>
              </w:rPr>
            </w:pPr>
            <w:r w:rsidRPr="00335FEB">
              <w:rPr>
                <w:lang w:val="en-GB"/>
              </w:rPr>
              <w:t>37</w:t>
            </w:r>
          </w:p>
        </w:tc>
        <w:tc>
          <w:tcPr>
            <w:tcW w:w="1260" w:type="dxa"/>
          </w:tcPr>
          <w:p w14:paraId="40DD8CD5" w14:textId="77777777" w:rsidR="00B643DB" w:rsidRPr="00335FEB" w:rsidRDefault="00B643DB" w:rsidP="00B643DB">
            <w:pPr>
              <w:pStyle w:val="ExhibitText"/>
              <w:jc w:val="right"/>
              <w:rPr>
                <w:lang w:val="en-GB"/>
              </w:rPr>
            </w:pPr>
            <w:r w:rsidRPr="00335FEB">
              <w:rPr>
                <w:lang w:val="en-GB"/>
              </w:rPr>
              <w:t>$28,957</w:t>
            </w:r>
          </w:p>
        </w:tc>
        <w:tc>
          <w:tcPr>
            <w:tcW w:w="1350" w:type="dxa"/>
          </w:tcPr>
          <w:p w14:paraId="0E708CD7" w14:textId="77777777" w:rsidR="00B643DB" w:rsidRPr="00335FEB" w:rsidRDefault="00B643DB" w:rsidP="00B643DB">
            <w:pPr>
              <w:pStyle w:val="ExhibitText"/>
              <w:jc w:val="right"/>
              <w:rPr>
                <w:lang w:val="en-GB"/>
              </w:rPr>
            </w:pPr>
            <w:r w:rsidRPr="00335FEB">
              <w:rPr>
                <w:lang w:val="en-GB"/>
              </w:rPr>
              <w:t>143,965</w:t>
            </w:r>
          </w:p>
        </w:tc>
      </w:tr>
      <w:tr w:rsidR="00B643DB" w:rsidRPr="00335FEB" w14:paraId="19EE0AE0" w14:textId="77777777" w:rsidTr="00551EE7">
        <w:trPr>
          <w:jc w:val="center"/>
        </w:trPr>
        <w:tc>
          <w:tcPr>
            <w:tcW w:w="1800" w:type="dxa"/>
          </w:tcPr>
          <w:p w14:paraId="50B50BB5" w14:textId="77777777" w:rsidR="00B643DB" w:rsidRPr="00335FEB" w:rsidRDefault="00B643DB" w:rsidP="00B643DB">
            <w:pPr>
              <w:pStyle w:val="ExhibitText"/>
              <w:jc w:val="left"/>
              <w:rPr>
                <w:lang w:val="en-GB"/>
              </w:rPr>
            </w:pPr>
            <w:r w:rsidRPr="00335FEB">
              <w:rPr>
                <w:lang w:val="en-GB"/>
              </w:rPr>
              <w:t>France</w:t>
            </w:r>
          </w:p>
        </w:tc>
        <w:tc>
          <w:tcPr>
            <w:tcW w:w="1620" w:type="dxa"/>
          </w:tcPr>
          <w:p w14:paraId="4C8F0149" w14:textId="77777777" w:rsidR="00B643DB" w:rsidRPr="00335FEB" w:rsidRDefault="00B643DB" w:rsidP="00B643DB">
            <w:pPr>
              <w:pStyle w:val="ExhibitText"/>
              <w:jc w:val="right"/>
              <w:rPr>
                <w:lang w:val="en-GB"/>
              </w:rPr>
            </w:pPr>
            <w:r w:rsidRPr="00335FEB">
              <w:rPr>
                <w:lang w:val="en-GB"/>
              </w:rPr>
              <w:t>63,434,263</w:t>
            </w:r>
          </w:p>
        </w:tc>
        <w:tc>
          <w:tcPr>
            <w:tcW w:w="1440" w:type="dxa"/>
          </w:tcPr>
          <w:p w14:paraId="253121E4" w14:textId="77777777" w:rsidR="00B643DB" w:rsidRPr="00335FEB" w:rsidRDefault="00B643DB" w:rsidP="00B643DB">
            <w:pPr>
              <w:pStyle w:val="ExhibitText"/>
              <w:jc w:val="right"/>
              <w:rPr>
                <w:lang w:val="en-GB"/>
              </w:rPr>
            </w:pPr>
            <w:r w:rsidRPr="00335FEB">
              <w:rPr>
                <w:lang w:val="en-GB"/>
              </w:rPr>
              <w:t>640,679</w:t>
            </w:r>
          </w:p>
        </w:tc>
        <w:tc>
          <w:tcPr>
            <w:tcW w:w="1350" w:type="dxa"/>
          </w:tcPr>
          <w:p w14:paraId="68EDEF88" w14:textId="77777777" w:rsidR="00B643DB" w:rsidRPr="00335FEB" w:rsidRDefault="00B643DB" w:rsidP="00B643DB">
            <w:pPr>
              <w:pStyle w:val="ExhibitText"/>
              <w:jc w:val="right"/>
              <w:rPr>
                <w:lang w:val="en-GB"/>
              </w:rPr>
            </w:pPr>
            <w:r w:rsidRPr="00335FEB">
              <w:rPr>
                <w:lang w:val="en-GB"/>
              </w:rPr>
              <w:t>3</w:t>
            </w:r>
          </w:p>
        </w:tc>
        <w:tc>
          <w:tcPr>
            <w:tcW w:w="1260" w:type="dxa"/>
          </w:tcPr>
          <w:p w14:paraId="0B0B2E18" w14:textId="77777777" w:rsidR="00B643DB" w:rsidRPr="00335FEB" w:rsidRDefault="00B643DB" w:rsidP="00B643DB">
            <w:pPr>
              <w:pStyle w:val="ExhibitText"/>
              <w:jc w:val="right"/>
              <w:rPr>
                <w:lang w:val="en-GB"/>
              </w:rPr>
            </w:pPr>
            <w:r w:rsidRPr="00335FEB">
              <w:rPr>
                <w:lang w:val="en-GB"/>
              </w:rPr>
              <w:t>$45,473</w:t>
            </w:r>
          </w:p>
        </w:tc>
        <w:tc>
          <w:tcPr>
            <w:tcW w:w="1350" w:type="dxa"/>
          </w:tcPr>
          <w:p w14:paraId="46F40198" w14:textId="77777777" w:rsidR="00B643DB" w:rsidRPr="00335FEB" w:rsidRDefault="00B643DB" w:rsidP="00B643DB">
            <w:pPr>
              <w:pStyle w:val="ExhibitText"/>
              <w:jc w:val="right"/>
              <w:rPr>
                <w:lang w:val="en-GB"/>
              </w:rPr>
            </w:pPr>
            <w:r w:rsidRPr="00335FEB">
              <w:rPr>
                <w:lang w:val="en-GB"/>
              </w:rPr>
              <w:t>65,098</w:t>
            </w:r>
          </w:p>
        </w:tc>
      </w:tr>
    </w:tbl>
    <w:p w14:paraId="58EBE8F8" w14:textId="77777777" w:rsidR="009F04A8" w:rsidRPr="00335FEB" w:rsidRDefault="009F04A8" w:rsidP="009F04A8">
      <w:pPr>
        <w:ind w:left="90"/>
        <w:jc w:val="both"/>
        <w:rPr>
          <w:sz w:val="22"/>
          <w:szCs w:val="24"/>
          <w:lang w:val="en-GB"/>
        </w:rPr>
      </w:pPr>
    </w:p>
    <w:p w14:paraId="400A110C" w14:textId="2B3DC342" w:rsidR="00715AB7" w:rsidRPr="00335FEB" w:rsidRDefault="00715AB7">
      <w:pPr>
        <w:pStyle w:val="Footnote"/>
        <w:rPr>
          <w:lang w:val="en-GB"/>
        </w:rPr>
      </w:pPr>
      <w:r w:rsidRPr="00335FEB">
        <w:rPr>
          <w:lang w:val="en-GB"/>
        </w:rPr>
        <w:t xml:space="preserve">Note: PPP = purchasing power parity; </w:t>
      </w:r>
      <w:r w:rsidR="009F04A8" w:rsidRPr="00335FEB">
        <w:rPr>
          <w:lang w:val="en-GB"/>
        </w:rPr>
        <w:t xml:space="preserve">*Per Capita Income </w:t>
      </w:r>
      <w:r w:rsidRPr="00335FEB">
        <w:rPr>
          <w:lang w:val="en-GB"/>
        </w:rPr>
        <w:t>US$</w:t>
      </w:r>
      <w:r w:rsidR="009F04A8" w:rsidRPr="00335FEB">
        <w:rPr>
          <w:lang w:val="en-GB"/>
        </w:rPr>
        <w:t xml:space="preserve">PPP refers to </w:t>
      </w:r>
      <w:r w:rsidR="00992B33">
        <w:rPr>
          <w:lang w:val="en-GB"/>
        </w:rPr>
        <w:t>the number of</w:t>
      </w:r>
      <w:r w:rsidR="009F04A8" w:rsidRPr="00335FEB">
        <w:rPr>
          <w:lang w:val="en-GB"/>
        </w:rPr>
        <w:t xml:space="preserve"> US</w:t>
      </w:r>
      <w:r w:rsidR="00F56A7E" w:rsidRPr="00335FEB">
        <w:rPr>
          <w:lang w:val="en-GB"/>
        </w:rPr>
        <w:t xml:space="preserve"> dollars</w:t>
      </w:r>
      <w:r w:rsidR="009F04A8" w:rsidRPr="00335FEB">
        <w:rPr>
          <w:lang w:val="en-GB"/>
        </w:rPr>
        <w:t xml:space="preserve"> required to buy a predefined basket of commodities in different countries. It </w:t>
      </w:r>
      <w:r w:rsidR="00992B33" w:rsidRPr="00335FEB">
        <w:rPr>
          <w:lang w:val="en-GB"/>
        </w:rPr>
        <w:t>differ</w:t>
      </w:r>
      <w:r w:rsidR="00992B33">
        <w:rPr>
          <w:lang w:val="en-GB"/>
        </w:rPr>
        <w:t>s</w:t>
      </w:r>
      <w:r w:rsidR="00992B33" w:rsidRPr="00335FEB">
        <w:rPr>
          <w:lang w:val="en-GB"/>
        </w:rPr>
        <w:t xml:space="preserve"> </w:t>
      </w:r>
      <w:r w:rsidR="00992B33">
        <w:rPr>
          <w:lang w:val="en-GB"/>
        </w:rPr>
        <w:t xml:space="preserve">both </w:t>
      </w:r>
      <w:r w:rsidR="009F04A8" w:rsidRPr="00335FEB">
        <w:rPr>
          <w:lang w:val="en-GB"/>
        </w:rPr>
        <w:t>from the official exchange rate conversion of per</w:t>
      </w:r>
      <w:r w:rsidRPr="00335FEB">
        <w:rPr>
          <w:lang w:val="en-GB"/>
        </w:rPr>
        <w:t xml:space="preserve"> </w:t>
      </w:r>
      <w:r w:rsidR="009F04A8" w:rsidRPr="00335FEB">
        <w:rPr>
          <w:lang w:val="en-GB"/>
        </w:rPr>
        <w:t xml:space="preserve">capita </w:t>
      </w:r>
      <w:r w:rsidRPr="00335FEB">
        <w:rPr>
          <w:lang w:val="en-GB"/>
        </w:rPr>
        <w:t>i</w:t>
      </w:r>
      <w:r w:rsidR="009F04A8" w:rsidRPr="00335FEB">
        <w:rPr>
          <w:lang w:val="en-GB"/>
        </w:rPr>
        <w:t>ncome</w:t>
      </w:r>
      <w:r w:rsidRPr="00335FEB">
        <w:rPr>
          <w:lang w:val="en-GB"/>
        </w:rPr>
        <w:t xml:space="preserve"> and</w:t>
      </w:r>
      <w:r w:rsidR="009F04A8" w:rsidRPr="00335FEB">
        <w:rPr>
          <w:lang w:val="en-GB"/>
        </w:rPr>
        <w:t xml:space="preserve"> from country to country</w:t>
      </w:r>
      <w:r w:rsidR="00992B33">
        <w:rPr>
          <w:lang w:val="en-GB"/>
        </w:rPr>
        <w:t>,</w:t>
      </w:r>
      <w:r w:rsidR="009F04A8" w:rsidRPr="00335FEB">
        <w:rPr>
          <w:lang w:val="en-GB"/>
        </w:rPr>
        <w:t xml:space="preserve"> based on the purchasing power of a currency in the domestic economy. For example, if US$100 </w:t>
      </w:r>
      <w:r w:rsidR="00992B33">
        <w:rPr>
          <w:lang w:val="en-GB"/>
        </w:rPr>
        <w:t>is requir</w:t>
      </w:r>
      <w:r w:rsidR="00C5551D">
        <w:rPr>
          <w:lang w:val="en-GB"/>
        </w:rPr>
        <w:t>e</w:t>
      </w:r>
      <w:r w:rsidR="00992B33">
        <w:rPr>
          <w:lang w:val="en-GB"/>
        </w:rPr>
        <w:t xml:space="preserve">d to buy a predefined basket of commodities in the United States </w:t>
      </w:r>
      <w:r w:rsidR="009F04A8" w:rsidRPr="00335FEB">
        <w:rPr>
          <w:lang w:val="en-GB"/>
        </w:rPr>
        <w:t xml:space="preserve">and the same basket can be purchased in India for </w:t>
      </w:r>
      <w:r w:rsidR="007332B9" w:rsidRPr="00335FEB">
        <w:rPr>
          <w:sz w:val="20"/>
          <w:szCs w:val="20"/>
          <w:lang w:val="en-GB"/>
        </w:rPr>
        <w:t>₹</w:t>
      </w:r>
      <w:r w:rsidR="009F04A8" w:rsidRPr="00335FEB">
        <w:rPr>
          <w:lang w:val="en-GB"/>
        </w:rPr>
        <w:t>4</w:t>
      </w:r>
      <w:r w:rsidR="007332B9" w:rsidRPr="00335FEB">
        <w:rPr>
          <w:lang w:val="en-GB"/>
        </w:rPr>
        <w:t>,</w:t>
      </w:r>
      <w:r w:rsidR="009F04A8" w:rsidRPr="00335FEB">
        <w:rPr>
          <w:lang w:val="en-GB"/>
        </w:rPr>
        <w:t xml:space="preserve">000, then the PPP exchange rate is </w:t>
      </w:r>
      <w:r w:rsidR="007332B9" w:rsidRPr="00335FEB">
        <w:rPr>
          <w:sz w:val="20"/>
          <w:szCs w:val="20"/>
          <w:lang w:val="en-GB"/>
        </w:rPr>
        <w:t>₹</w:t>
      </w:r>
      <w:r w:rsidR="009F04A8" w:rsidRPr="00335FEB">
        <w:rPr>
          <w:lang w:val="en-GB"/>
        </w:rPr>
        <w:t>40/US$</w:t>
      </w:r>
      <w:r w:rsidRPr="00335FEB">
        <w:rPr>
          <w:lang w:val="en-GB"/>
        </w:rPr>
        <w:t>1,</w:t>
      </w:r>
      <w:r w:rsidR="009F04A8" w:rsidRPr="00335FEB">
        <w:rPr>
          <w:lang w:val="en-GB"/>
        </w:rPr>
        <w:t xml:space="preserve"> whereas the official exchange rate is </w:t>
      </w:r>
      <w:r w:rsidR="00992B33">
        <w:rPr>
          <w:lang w:val="en-GB"/>
        </w:rPr>
        <w:t>approximately</w:t>
      </w:r>
      <w:r w:rsidR="00992B33" w:rsidRPr="00335FEB">
        <w:rPr>
          <w:lang w:val="en-GB"/>
        </w:rPr>
        <w:t xml:space="preserve"> </w:t>
      </w:r>
      <w:r w:rsidR="007332B9" w:rsidRPr="00335FEB">
        <w:rPr>
          <w:sz w:val="20"/>
          <w:szCs w:val="20"/>
          <w:lang w:val="en-GB"/>
        </w:rPr>
        <w:t>₹</w:t>
      </w:r>
      <w:r w:rsidR="009F04A8" w:rsidRPr="00335FEB">
        <w:rPr>
          <w:lang w:val="en-GB"/>
        </w:rPr>
        <w:t>60/US$</w:t>
      </w:r>
      <w:r w:rsidRPr="00335FEB">
        <w:rPr>
          <w:lang w:val="en-GB"/>
        </w:rPr>
        <w:t>1</w:t>
      </w:r>
      <w:r w:rsidR="009F04A8" w:rsidRPr="00335FEB">
        <w:rPr>
          <w:lang w:val="en-GB"/>
        </w:rPr>
        <w:t xml:space="preserve">. Per capita income in US$PPP is a better indicator of the affordability of air travel </w:t>
      </w:r>
      <w:r w:rsidR="00992B33">
        <w:rPr>
          <w:lang w:val="en-GB"/>
        </w:rPr>
        <w:t>than</w:t>
      </w:r>
      <w:r w:rsidR="009F04A8" w:rsidRPr="00335FEB">
        <w:rPr>
          <w:lang w:val="en-GB"/>
        </w:rPr>
        <w:t xml:space="preserve"> nominal per capita income. </w:t>
      </w:r>
      <w:r w:rsidRPr="00335FEB">
        <w:rPr>
          <w:lang w:val="en-GB"/>
        </w:rPr>
        <w:t>P</w:t>
      </w:r>
      <w:r w:rsidR="009F04A8" w:rsidRPr="00335FEB">
        <w:rPr>
          <w:lang w:val="en-GB"/>
        </w:rPr>
        <w:t xml:space="preserve">opulation figures </w:t>
      </w:r>
      <w:r w:rsidRPr="00335FEB">
        <w:rPr>
          <w:lang w:val="en-GB"/>
        </w:rPr>
        <w:t xml:space="preserve">are </w:t>
      </w:r>
      <w:r w:rsidR="009F04A8" w:rsidRPr="00335FEB">
        <w:rPr>
          <w:lang w:val="en-GB"/>
        </w:rPr>
        <w:t xml:space="preserve">as on May </w:t>
      </w:r>
      <w:r w:rsidRPr="00335FEB">
        <w:rPr>
          <w:lang w:val="en-GB"/>
        </w:rPr>
        <w:t xml:space="preserve">14, </w:t>
      </w:r>
      <w:r w:rsidR="009F04A8" w:rsidRPr="00335FEB">
        <w:rPr>
          <w:lang w:val="en-GB"/>
        </w:rPr>
        <w:t>2018</w:t>
      </w:r>
    </w:p>
    <w:p w14:paraId="1EB4216B" w14:textId="41B2B85B" w:rsidR="00715AB7" w:rsidRPr="00335FEB" w:rsidRDefault="00715AB7" w:rsidP="00715AB7">
      <w:pPr>
        <w:pStyle w:val="Footnote"/>
        <w:rPr>
          <w:lang w:val="en-GB"/>
        </w:rPr>
      </w:pPr>
      <w:r w:rsidRPr="00335FEB">
        <w:rPr>
          <w:lang w:val="en-GB"/>
        </w:rPr>
        <w:t>Source: “World Economic and Financial Surveys: World Economic Outlook Database,”</w:t>
      </w:r>
      <w:r w:rsidR="009F04A8" w:rsidRPr="00335FEB">
        <w:rPr>
          <w:lang w:val="en-GB"/>
        </w:rPr>
        <w:t xml:space="preserve"> I</w:t>
      </w:r>
      <w:r w:rsidRPr="00335FEB">
        <w:rPr>
          <w:lang w:val="en-GB"/>
        </w:rPr>
        <w:t xml:space="preserve">nternational </w:t>
      </w:r>
      <w:r w:rsidR="009F04A8" w:rsidRPr="00335FEB">
        <w:rPr>
          <w:lang w:val="en-GB"/>
        </w:rPr>
        <w:t>M</w:t>
      </w:r>
      <w:r w:rsidRPr="00335FEB">
        <w:rPr>
          <w:lang w:val="en-GB"/>
        </w:rPr>
        <w:t xml:space="preserve">onetary </w:t>
      </w:r>
      <w:r w:rsidR="009F04A8" w:rsidRPr="00335FEB">
        <w:rPr>
          <w:lang w:val="en-GB"/>
        </w:rPr>
        <w:t>F</w:t>
      </w:r>
      <w:r w:rsidRPr="00335FEB">
        <w:rPr>
          <w:lang w:val="en-GB"/>
        </w:rPr>
        <w:t>und,</w:t>
      </w:r>
      <w:r w:rsidR="009F04A8" w:rsidRPr="00335FEB">
        <w:rPr>
          <w:lang w:val="en-GB"/>
        </w:rPr>
        <w:t xml:space="preserve"> </w:t>
      </w:r>
      <w:r w:rsidRPr="00335FEB">
        <w:rPr>
          <w:lang w:val="en-GB"/>
        </w:rPr>
        <w:t>a</w:t>
      </w:r>
      <w:r w:rsidR="009F04A8" w:rsidRPr="00335FEB">
        <w:rPr>
          <w:lang w:val="en-GB"/>
        </w:rPr>
        <w:t>ccessed May 14, 2018</w:t>
      </w:r>
      <w:r w:rsidR="00C66EE0" w:rsidRPr="00335FEB">
        <w:rPr>
          <w:lang w:val="en-GB"/>
        </w:rPr>
        <w:t>, www.imf.org/external/pubs/ft/weo/2018/01/weodata/weorept.aspx?sy=2018&amp;ey=2018&amp;scsm</w:t>
      </w:r>
      <w:r w:rsidRPr="00335FEB">
        <w:rPr>
          <w:lang w:val="en-GB"/>
        </w:rPr>
        <w:t xml:space="preserve">; International Civil Aviation Organization, Civil Aviation Statistics of the World and ICAO Staff Estimates, “Air Transport, Passengers Carried,” </w:t>
      </w:r>
      <w:r w:rsidR="00EA3BCB" w:rsidRPr="00335FEB">
        <w:rPr>
          <w:lang w:val="en-GB"/>
        </w:rPr>
        <w:t xml:space="preserve">The World Bank, accessed </w:t>
      </w:r>
      <w:r w:rsidR="000627B0" w:rsidRPr="00335FEB">
        <w:rPr>
          <w:lang w:val="en-GB"/>
        </w:rPr>
        <w:t>May 16, 2016</w:t>
      </w:r>
      <w:r w:rsidR="00EA3BCB" w:rsidRPr="00335FEB">
        <w:rPr>
          <w:lang w:val="en-GB"/>
        </w:rPr>
        <w:t xml:space="preserve">, </w:t>
      </w:r>
      <w:hyperlink r:id="rId9" w:history="1">
        <w:r w:rsidRPr="00335FEB">
          <w:rPr>
            <w:lang w:val="en-GB"/>
          </w:rPr>
          <w:t>http://data.worldbank.org/indicator/IS.AIR.PSGR</w:t>
        </w:r>
      </w:hyperlink>
    </w:p>
    <w:p w14:paraId="4A446ECB" w14:textId="209DF318" w:rsidR="00C66EE0" w:rsidRPr="00E94244" w:rsidRDefault="00C66EE0" w:rsidP="00551EE7">
      <w:pPr>
        <w:pStyle w:val="BodyTextMain"/>
        <w:rPr>
          <w:sz w:val="18"/>
          <w:lang w:val="en-GB"/>
        </w:rPr>
      </w:pPr>
    </w:p>
    <w:p w14:paraId="668392BE" w14:textId="77777777" w:rsidR="00551EE7" w:rsidRPr="00E94244" w:rsidRDefault="00551EE7" w:rsidP="00551EE7">
      <w:pPr>
        <w:pStyle w:val="BodyTextMain"/>
        <w:rPr>
          <w:sz w:val="18"/>
          <w:lang w:val="en-GB"/>
        </w:rPr>
      </w:pPr>
    </w:p>
    <w:p w14:paraId="5E280F95" w14:textId="77777777" w:rsidR="00992B33" w:rsidRDefault="00C66EE0" w:rsidP="00C66EE0">
      <w:pPr>
        <w:pStyle w:val="ExhibitHeading"/>
        <w:rPr>
          <w:lang w:val="en-GB"/>
        </w:rPr>
      </w:pPr>
      <w:r w:rsidRPr="00335FEB">
        <w:rPr>
          <w:lang w:val="en-GB"/>
        </w:rPr>
        <w:t>Exhibit 2: GROWTH IN DOMESTIC PASSENGER TRAFFIC IN INDIA</w:t>
      </w:r>
      <w:r w:rsidR="00992B33">
        <w:rPr>
          <w:lang w:val="en-GB"/>
        </w:rPr>
        <w:t xml:space="preserve">, 2006–2018 </w:t>
      </w:r>
    </w:p>
    <w:p w14:paraId="3B83C0FE" w14:textId="0DD3A633" w:rsidR="00C66EE0" w:rsidRPr="00335FEB" w:rsidRDefault="00C66EE0" w:rsidP="00C66EE0">
      <w:pPr>
        <w:pStyle w:val="ExhibitHeading"/>
        <w:rPr>
          <w:lang w:val="en-GB"/>
        </w:rPr>
      </w:pPr>
    </w:p>
    <w:p w14:paraId="6B538CE4" w14:textId="77777777" w:rsidR="00DF47E5" w:rsidRPr="00335FEB" w:rsidRDefault="00DF47E5" w:rsidP="00C66EE0">
      <w:pPr>
        <w:pStyle w:val="ExhibitHeading"/>
        <w:rPr>
          <w:lang w:val="en-GB"/>
        </w:rPr>
      </w:pPr>
    </w:p>
    <w:p w14:paraId="71F67971" w14:textId="030721DB" w:rsidR="006163CA" w:rsidRPr="00335FEB" w:rsidRDefault="006163CA" w:rsidP="00C66EE0">
      <w:pPr>
        <w:pStyle w:val="ExhibitHeading"/>
        <w:rPr>
          <w:lang w:val="en-GB"/>
        </w:rPr>
      </w:pPr>
      <w:r w:rsidRPr="00335FEB">
        <w:rPr>
          <w:noProof/>
        </w:rPr>
        <w:drawing>
          <wp:inline distT="0" distB="0" distL="0" distR="0" wp14:anchorId="43AA8E3F" wp14:editId="171A5A22">
            <wp:extent cx="5303520" cy="2814762"/>
            <wp:effectExtent l="0" t="0" r="11430" b="508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107DF9B" w14:textId="77777777" w:rsidR="00C66EE0" w:rsidRPr="00335FEB" w:rsidRDefault="00C66EE0" w:rsidP="00C66EE0">
      <w:pPr>
        <w:pStyle w:val="ExhibitHeading"/>
        <w:rPr>
          <w:lang w:val="en-GB"/>
        </w:rPr>
      </w:pPr>
    </w:p>
    <w:p w14:paraId="26AD680E" w14:textId="74D3BF1C" w:rsidR="00C66EE0" w:rsidRPr="00335FEB" w:rsidRDefault="00C66EE0" w:rsidP="00C66EE0">
      <w:pPr>
        <w:pStyle w:val="Footnote"/>
        <w:rPr>
          <w:noProof/>
          <w:color w:val="000000" w:themeColor="text1"/>
          <w:lang w:val="en-GB"/>
        </w:rPr>
      </w:pPr>
      <w:r w:rsidRPr="00335FEB">
        <w:rPr>
          <w:color w:val="000000" w:themeColor="text1"/>
          <w:lang w:val="en-GB"/>
        </w:rPr>
        <w:t xml:space="preserve">Source: </w:t>
      </w:r>
      <w:r w:rsidR="00DF47E5" w:rsidRPr="00335FEB">
        <w:rPr>
          <w:color w:val="000000" w:themeColor="text1"/>
          <w:lang w:val="en-GB"/>
        </w:rPr>
        <w:t xml:space="preserve">“Yearly Statistics,” </w:t>
      </w:r>
      <w:r w:rsidRPr="00335FEB">
        <w:rPr>
          <w:color w:val="000000" w:themeColor="text1"/>
          <w:lang w:val="en-GB"/>
        </w:rPr>
        <w:t>D</w:t>
      </w:r>
      <w:r w:rsidR="00992B33">
        <w:rPr>
          <w:color w:val="000000" w:themeColor="text1"/>
          <w:lang w:val="en-GB"/>
        </w:rPr>
        <w:t xml:space="preserve">irectorate </w:t>
      </w:r>
      <w:r w:rsidRPr="00335FEB">
        <w:rPr>
          <w:color w:val="000000" w:themeColor="text1"/>
          <w:lang w:val="en-GB"/>
        </w:rPr>
        <w:t>G</w:t>
      </w:r>
      <w:r w:rsidR="00992B33">
        <w:rPr>
          <w:color w:val="000000" w:themeColor="text1"/>
          <w:lang w:val="en-GB"/>
        </w:rPr>
        <w:t xml:space="preserve">eneral of </w:t>
      </w:r>
      <w:r w:rsidRPr="00335FEB">
        <w:rPr>
          <w:color w:val="000000" w:themeColor="text1"/>
          <w:lang w:val="en-GB"/>
        </w:rPr>
        <w:t>C</w:t>
      </w:r>
      <w:r w:rsidR="00992B33">
        <w:rPr>
          <w:color w:val="000000" w:themeColor="text1"/>
          <w:lang w:val="en-GB"/>
        </w:rPr>
        <w:t xml:space="preserve">ivil </w:t>
      </w:r>
      <w:r w:rsidRPr="00335FEB">
        <w:rPr>
          <w:color w:val="000000" w:themeColor="text1"/>
          <w:lang w:val="en-GB"/>
        </w:rPr>
        <w:t>A</w:t>
      </w:r>
      <w:r w:rsidR="00992B33">
        <w:rPr>
          <w:color w:val="000000" w:themeColor="text1"/>
          <w:lang w:val="en-GB"/>
        </w:rPr>
        <w:t>viation</w:t>
      </w:r>
      <w:r w:rsidR="00DF47E5" w:rsidRPr="00335FEB">
        <w:rPr>
          <w:color w:val="000000" w:themeColor="text1"/>
          <w:lang w:val="en-GB"/>
        </w:rPr>
        <w:t xml:space="preserve"> India</w:t>
      </w:r>
      <w:r w:rsidRPr="00335FEB">
        <w:rPr>
          <w:color w:val="000000" w:themeColor="text1"/>
          <w:lang w:val="en-GB"/>
        </w:rPr>
        <w:t xml:space="preserve">, </w:t>
      </w:r>
      <w:r w:rsidR="00E94244">
        <w:rPr>
          <w:color w:val="000000" w:themeColor="text1"/>
          <w:lang w:val="en-GB"/>
        </w:rPr>
        <w:t xml:space="preserve">accessed May 23, 2019, </w:t>
      </w:r>
      <w:hyperlink r:id="rId11" w:history="1">
        <w:r w:rsidRPr="00335FEB">
          <w:rPr>
            <w:rStyle w:val="Hyperlink"/>
            <w:noProof/>
            <w:color w:val="000000" w:themeColor="text1"/>
            <w:u w:val="none"/>
            <w:lang w:val="en-GB"/>
          </w:rPr>
          <w:t>http://dgca.gov.in/reports/stat-ind.htm</w:t>
        </w:r>
      </w:hyperlink>
      <w:r w:rsidRPr="00335FEB">
        <w:rPr>
          <w:noProof/>
          <w:color w:val="000000" w:themeColor="text1"/>
          <w:lang w:val="en-GB"/>
        </w:rPr>
        <w:t xml:space="preserve">. </w:t>
      </w:r>
    </w:p>
    <w:p w14:paraId="35992058" w14:textId="76CFB2A8" w:rsidR="00992B33" w:rsidRDefault="00C66EE0" w:rsidP="00C66EE0">
      <w:pPr>
        <w:pStyle w:val="ExhibitHeading"/>
        <w:rPr>
          <w:lang w:val="en-GB"/>
        </w:rPr>
      </w:pPr>
      <w:r w:rsidRPr="00335FEB">
        <w:rPr>
          <w:lang w:val="en-GB"/>
        </w:rPr>
        <w:t>Exhibit 3: TR</w:t>
      </w:r>
      <w:r w:rsidR="00E65827">
        <w:rPr>
          <w:lang w:val="en-GB"/>
        </w:rPr>
        <w:tab/>
      </w:r>
      <w:r w:rsidRPr="00335FEB">
        <w:rPr>
          <w:lang w:val="en-GB"/>
        </w:rPr>
        <w:t xml:space="preserve">ENDS IN MARKET SHARE OF INDIGO AND </w:t>
      </w:r>
      <w:proofErr w:type="gramStart"/>
      <w:r w:rsidRPr="00335FEB">
        <w:rPr>
          <w:lang w:val="en-GB"/>
        </w:rPr>
        <w:t>ITS</w:t>
      </w:r>
      <w:proofErr w:type="gramEnd"/>
      <w:r w:rsidRPr="00335FEB">
        <w:rPr>
          <w:lang w:val="en-GB"/>
        </w:rPr>
        <w:t xml:space="preserve"> COMPETITORS</w:t>
      </w:r>
      <w:r w:rsidR="00992B33">
        <w:rPr>
          <w:lang w:val="en-GB"/>
        </w:rPr>
        <w:t>, 2006–2018</w:t>
      </w:r>
      <w:r w:rsidRPr="00335FEB">
        <w:rPr>
          <w:lang w:val="en-GB"/>
        </w:rPr>
        <w:t xml:space="preserve"> </w:t>
      </w:r>
    </w:p>
    <w:p w14:paraId="2EC59A17" w14:textId="0D920366" w:rsidR="00C66EE0" w:rsidRPr="00335FEB" w:rsidRDefault="00C66EE0" w:rsidP="00C66EE0">
      <w:pPr>
        <w:pStyle w:val="ExhibitHeading"/>
        <w:rPr>
          <w:lang w:val="en-GB"/>
        </w:rPr>
      </w:pPr>
      <w:r w:rsidRPr="00335FEB">
        <w:rPr>
          <w:lang w:val="en-GB"/>
        </w:rPr>
        <w:t>(</w:t>
      </w:r>
      <w:r w:rsidR="00DF47E5" w:rsidRPr="00335FEB">
        <w:rPr>
          <w:lang w:val="en-GB"/>
        </w:rPr>
        <w:t xml:space="preserve">% </w:t>
      </w:r>
      <w:r w:rsidRPr="00335FEB">
        <w:rPr>
          <w:lang w:val="en-GB"/>
        </w:rPr>
        <w:t>Market Share from Domestic Operations)</w:t>
      </w:r>
    </w:p>
    <w:p w14:paraId="6DB52491" w14:textId="77777777" w:rsidR="00C66EE0" w:rsidRPr="00335FEB" w:rsidRDefault="00C66EE0" w:rsidP="00C66EE0">
      <w:pPr>
        <w:ind w:left="90"/>
        <w:jc w:val="both"/>
        <w:rPr>
          <w:sz w:val="22"/>
          <w:szCs w:val="24"/>
          <w:lang w:val="en-GB"/>
        </w:rPr>
      </w:pPr>
    </w:p>
    <w:tbl>
      <w:tblPr>
        <w:tblStyle w:val="TableGrid2"/>
        <w:tblW w:w="7877" w:type="dxa"/>
        <w:jc w:val="center"/>
        <w:tblLayout w:type="fixed"/>
        <w:tblLook w:val="04A0" w:firstRow="1" w:lastRow="0" w:firstColumn="1" w:lastColumn="0" w:noHBand="0" w:noVBand="1"/>
      </w:tblPr>
      <w:tblGrid>
        <w:gridCol w:w="900"/>
        <w:gridCol w:w="996"/>
        <w:gridCol w:w="997"/>
        <w:gridCol w:w="997"/>
        <w:gridCol w:w="996"/>
        <w:gridCol w:w="1049"/>
        <w:gridCol w:w="945"/>
        <w:gridCol w:w="997"/>
      </w:tblGrid>
      <w:tr w:rsidR="00C66EE0" w:rsidRPr="00335FEB" w14:paraId="688E387F" w14:textId="77777777" w:rsidTr="00E65827">
        <w:trPr>
          <w:jc w:val="center"/>
        </w:trPr>
        <w:tc>
          <w:tcPr>
            <w:tcW w:w="900" w:type="dxa"/>
          </w:tcPr>
          <w:p w14:paraId="5948C210" w14:textId="1A84B0E7" w:rsidR="00C66EE0" w:rsidRPr="00335FEB" w:rsidRDefault="00C66EE0" w:rsidP="00D01513">
            <w:pPr>
              <w:pStyle w:val="ExhibitText"/>
              <w:jc w:val="center"/>
              <w:rPr>
                <w:sz w:val="18"/>
                <w:szCs w:val="18"/>
                <w:lang w:val="en-GB"/>
              </w:rPr>
            </w:pPr>
            <w:r w:rsidRPr="00335FEB">
              <w:rPr>
                <w:sz w:val="18"/>
                <w:szCs w:val="18"/>
                <w:lang w:val="en-GB"/>
              </w:rPr>
              <w:t>Year</w:t>
            </w:r>
          </w:p>
        </w:tc>
        <w:tc>
          <w:tcPr>
            <w:tcW w:w="996" w:type="dxa"/>
          </w:tcPr>
          <w:p w14:paraId="5749D586" w14:textId="457F7CCF" w:rsidR="00C66EE0" w:rsidRPr="00335FEB" w:rsidRDefault="00C66EE0" w:rsidP="00D01513">
            <w:pPr>
              <w:pStyle w:val="ExhibitText"/>
              <w:jc w:val="center"/>
              <w:rPr>
                <w:sz w:val="18"/>
                <w:szCs w:val="18"/>
                <w:lang w:val="en-GB"/>
              </w:rPr>
            </w:pPr>
            <w:proofErr w:type="spellStart"/>
            <w:r w:rsidRPr="00335FEB">
              <w:rPr>
                <w:sz w:val="18"/>
                <w:szCs w:val="18"/>
                <w:lang w:val="en-GB"/>
              </w:rPr>
              <w:t>Indi</w:t>
            </w:r>
            <w:r w:rsidR="00512983" w:rsidRPr="00335FEB">
              <w:rPr>
                <w:sz w:val="18"/>
                <w:szCs w:val="18"/>
                <w:lang w:val="en-GB"/>
              </w:rPr>
              <w:t>G</w:t>
            </w:r>
            <w:r w:rsidRPr="00335FEB">
              <w:rPr>
                <w:sz w:val="18"/>
                <w:szCs w:val="18"/>
                <w:lang w:val="en-GB"/>
              </w:rPr>
              <w:t>o</w:t>
            </w:r>
            <w:proofErr w:type="spellEnd"/>
          </w:p>
        </w:tc>
        <w:tc>
          <w:tcPr>
            <w:tcW w:w="997" w:type="dxa"/>
          </w:tcPr>
          <w:p w14:paraId="46915D3B" w14:textId="77777777" w:rsidR="00C66EE0" w:rsidRPr="00335FEB" w:rsidRDefault="00C66EE0" w:rsidP="00D01513">
            <w:pPr>
              <w:pStyle w:val="ExhibitText"/>
              <w:jc w:val="center"/>
              <w:rPr>
                <w:sz w:val="18"/>
                <w:szCs w:val="18"/>
                <w:lang w:val="en-GB"/>
              </w:rPr>
            </w:pPr>
            <w:r w:rsidRPr="00335FEB">
              <w:rPr>
                <w:sz w:val="18"/>
                <w:szCs w:val="18"/>
                <w:lang w:val="en-GB"/>
              </w:rPr>
              <w:t>Jet Airways</w:t>
            </w:r>
          </w:p>
        </w:tc>
        <w:tc>
          <w:tcPr>
            <w:tcW w:w="997" w:type="dxa"/>
          </w:tcPr>
          <w:p w14:paraId="51B27B52" w14:textId="46E3F8E6" w:rsidR="00C66EE0" w:rsidRPr="00335FEB" w:rsidRDefault="00C66EE0" w:rsidP="00D01513">
            <w:pPr>
              <w:pStyle w:val="ExhibitText"/>
              <w:jc w:val="center"/>
              <w:rPr>
                <w:sz w:val="18"/>
                <w:szCs w:val="18"/>
                <w:lang w:val="en-GB"/>
              </w:rPr>
            </w:pPr>
            <w:proofErr w:type="spellStart"/>
            <w:r w:rsidRPr="00335FEB">
              <w:rPr>
                <w:sz w:val="18"/>
                <w:szCs w:val="18"/>
                <w:lang w:val="en-GB"/>
              </w:rPr>
              <w:t>Spice</w:t>
            </w:r>
            <w:r w:rsidR="00512983" w:rsidRPr="00335FEB">
              <w:rPr>
                <w:sz w:val="18"/>
                <w:szCs w:val="18"/>
                <w:lang w:val="en-GB"/>
              </w:rPr>
              <w:t>J</w:t>
            </w:r>
            <w:r w:rsidRPr="00335FEB">
              <w:rPr>
                <w:sz w:val="18"/>
                <w:szCs w:val="18"/>
                <w:lang w:val="en-GB"/>
              </w:rPr>
              <w:t>et</w:t>
            </w:r>
            <w:proofErr w:type="spellEnd"/>
          </w:p>
        </w:tc>
        <w:tc>
          <w:tcPr>
            <w:tcW w:w="996" w:type="dxa"/>
          </w:tcPr>
          <w:p w14:paraId="4731DF4A" w14:textId="77777777" w:rsidR="00C66EE0" w:rsidRPr="00335FEB" w:rsidRDefault="00C66EE0" w:rsidP="00D01513">
            <w:pPr>
              <w:pStyle w:val="ExhibitText"/>
              <w:jc w:val="center"/>
              <w:rPr>
                <w:sz w:val="18"/>
                <w:szCs w:val="18"/>
                <w:lang w:val="en-GB"/>
              </w:rPr>
            </w:pPr>
            <w:r w:rsidRPr="00335FEB">
              <w:rPr>
                <w:sz w:val="18"/>
                <w:szCs w:val="18"/>
                <w:lang w:val="en-GB"/>
              </w:rPr>
              <w:t>Air India</w:t>
            </w:r>
          </w:p>
        </w:tc>
        <w:tc>
          <w:tcPr>
            <w:tcW w:w="1049" w:type="dxa"/>
          </w:tcPr>
          <w:p w14:paraId="5F50064D" w14:textId="7B210601" w:rsidR="00C66EE0" w:rsidRPr="00335FEB" w:rsidRDefault="00C66EE0" w:rsidP="00D01513">
            <w:pPr>
              <w:pStyle w:val="ExhibitText"/>
              <w:jc w:val="center"/>
              <w:rPr>
                <w:sz w:val="18"/>
                <w:szCs w:val="18"/>
                <w:lang w:val="en-GB"/>
              </w:rPr>
            </w:pPr>
            <w:r w:rsidRPr="00335FEB">
              <w:rPr>
                <w:sz w:val="18"/>
                <w:szCs w:val="18"/>
                <w:lang w:val="en-GB"/>
              </w:rPr>
              <w:t>Kingfisher</w:t>
            </w:r>
            <w:r w:rsidR="00DF47E5" w:rsidRPr="00335FEB">
              <w:rPr>
                <w:sz w:val="18"/>
                <w:szCs w:val="18"/>
                <w:lang w:val="en-GB"/>
              </w:rPr>
              <w:t xml:space="preserve"> Airlines</w:t>
            </w:r>
          </w:p>
        </w:tc>
        <w:tc>
          <w:tcPr>
            <w:tcW w:w="945" w:type="dxa"/>
          </w:tcPr>
          <w:p w14:paraId="1C0EB1CF" w14:textId="77777777" w:rsidR="00C66EE0" w:rsidRPr="00335FEB" w:rsidRDefault="00C66EE0" w:rsidP="00D01513">
            <w:pPr>
              <w:pStyle w:val="ExhibitText"/>
              <w:jc w:val="center"/>
              <w:rPr>
                <w:sz w:val="18"/>
                <w:szCs w:val="18"/>
                <w:lang w:val="en-GB"/>
              </w:rPr>
            </w:pPr>
            <w:proofErr w:type="spellStart"/>
            <w:r w:rsidRPr="00335FEB">
              <w:rPr>
                <w:sz w:val="18"/>
                <w:szCs w:val="18"/>
                <w:lang w:val="en-GB"/>
              </w:rPr>
              <w:t>GoAir</w:t>
            </w:r>
            <w:proofErr w:type="spellEnd"/>
          </w:p>
        </w:tc>
        <w:tc>
          <w:tcPr>
            <w:tcW w:w="997" w:type="dxa"/>
          </w:tcPr>
          <w:p w14:paraId="7AC81302" w14:textId="77777777" w:rsidR="00C66EE0" w:rsidRPr="00335FEB" w:rsidRDefault="00C66EE0" w:rsidP="00D01513">
            <w:pPr>
              <w:pStyle w:val="ExhibitText"/>
              <w:jc w:val="center"/>
              <w:rPr>
                <w:sz w:val="18"/>
                <w:szCs w:val="18"/>
                <w:lang w:val="en-GB"/>
              </w:rPr>
            </w:pPr>
            <w:r w:rsidRPr="00335FEB">
              <w:rPr>
                <w:sz w:val="18"/>
                <w:szCs w:val="18"/>
                <w:lang w:val="en-GB"/>
              </w:rPr>
              <w:t>Others</w:t>
            </w:r>
          </w:p>
        </w:tc>
      </w:tr>
      <w:tr w:rsidR="00C66EE0" w:rsidRPr="00335FEB" w14:paraId="617CB8E3" w14:textId="77777777" w:rsidTr="00E65827">
        <w:trPr>
          <w:jc w:val="center"/>
        </w:trPr>
        <w:tc>
          <w:tcPr>
            <w:tcW w:w="900" w:type="dxa"/>
          </w:tcPr>
          <w:p w14:paraId="331A5B3F" w14:textId="77777777" w:rsidR="00C66EE0" w:rsidRPr="00335FEB" w:rsidRDefault="00C66EE0" w:rsidP="00C66EE0">
            <w:pPr>
              <w:pStyle w:val="ExhibitText"/>
              <w:rPr>
                <w:sz w:val="18"/>
                <w:szCs w:val="18"/>
                <w:lang w:val="en-GB"/>
              </w:rPr>
            </w:pPr>
            <w:r w:rsidRPr="00335FEB">
              <w:rPr>
                <w:sz w:val="18"/>
                <w:szCs w:val="18"/>
                <w:lang w:val="en-GB"/>
              </w:rPr>
              <w:t>2006</w:t>
            </w:r>
          </w:p>
        </w:tc>
        <w:tc>
          <w:tcPr>
            <w:tcW w:w="996" w:type="dxa"/>
          </w:tcPr>
          <w:p w14:paraId="152B4413" w14:textId="77777777" w:rsidR="00C66EE0" w:rsidRPr="00335FEB" w:rsidRDefault="00C66EE0" w:rsidP="00E65827">
            <w:pPr>
              <w:pStyle w:val="ExhibitText"/>
              <w:tabs>
                <w:tab w:val="decimal" w:pos="514"/>
              </w:tabs>
              <w:rPr>
                <w:sz w:val="18"/>
                <w:szCs w:val="18"/>
                <w:lang w:val="en-GB"/>
              </w:rPr>
            </w:pPr>
            <w:r w:rsidRPr="00335FEB">
              <w:rPr>
                <w:sz w:val="18"/>
                <w:szCs w:val="18"/>
                <w:lang w:val="en-GB"/>
              </w:rPr>
              <w:t>5</w:t>
            </w:r>
          </w:p>
        </w:tc>
        <w:tc>
          <w:tcPr>
            <w:tcW w:w="997" w:type="dxa"/>
          </w:tcPr>
          <w:p w14:paraId="37DF4B9E" w14:textId="77777777" w:rsidR="00C66EE0" w:rsidRPr="00335FEB" w:rsidRDefault="00C66EE0" w:rsidP="00D01513">
            <w:pPr>
              <w:pStyle w:val="ExhibitText"/>
              <w:jc w:val="center"/>
              <w:rPr>
                <w:sz w:val="18"/>
                <w:szCs w:val="18"/>
                <w:lang w:val="en-GB"/>
              </w:rPr>
            </w:pPr>
            <w:r w:rsidRPr="00335FEB">
              <w:rPr>
                <w:sz w:val="18"/>
                <w:szCs w:val="18"/>
                <w:lang w:val="en-GB"/>
              </w:rPr>
              <w:t>34</w:t>
            </w:r>
          </w:p>
        </w:tc>
        <w:tc>
          <w:tcPr>
            <w:tcW w:w="997" w:type="dxa"/>
          </w:tcPr>
          <w:p w14:paraId="0C64C784" w14:textId="77777777" w:rsidR="00C66EE0" w:rsidRPr="00335FEB" w:rsidRDefault="00C66EE0" w:rsidP="00E65827">
            <w:pPr>
              <w:pStyle w:val="ExhibitText"/>
              <w:tabs>
                <w:tab w:val="decimal" w:pos="454"/>
              </w:tabs>
              <w:rPr>
                <w:sz w:val="18"/>
                <w:szCs w:val="18"/>
                <w:lang w:val="en-GB"/>
              </w:rPr>
            </w:pPr>
            <w:r w:rsidRPr="00335FEB">
              <w:rPr>
                <w:sz w:val="18"/>
                <w:szCs w:val="18"/>
                <w:lang w:val="en-GB"/>
              </w:rPr>
              <w:t>6</w:t>
            </w:r>
          </w:p>
        </w:tc>
        <w:tc>
          <w:tcPr>
            <w:tcW w:w="996" w:type="dxa"/>
          </w:tcPr>
          <w:p w14:paraId="1146C1A3" w14:textId="77777777" w:rsidR="00C66EE0" w:rsidRPr="00335FEB" w:rsidRDefault="00C66EE0" w:rsidP="00D01513">
            <w:pPr>
              <w:pStyle w:val="ExhibitText"/>
              <w:jc w:val="center"/>
              <w:rPr>
                <w:sz w:val="18"/>
                <w:szCs w:val="18"/>
                <w:lang w:val="en-GB"/>
              </w:rPr>
            </w:pPr>
            <w:r w:rsidRPr="00335FEB">
              <w:rPr>
                <w:sz w:val="18"/>
                <w:szCs w:val="18"/>
                <w:lang w:val="en-GB"/>
              </w:rPr>
              <w:t>21</w:t>
            </w:r>
          </w:p>
        </w:tc>
        <w:tc>
          <w:tcPr>
            <w:tcW w:w="1049" w:type="dxa"/>
          </w:tcPr>
          <w:p w14:paraId="627F43E8" w14:textId="77777777" w:rsidR="00C66EE0" w:rsidRPr="00335FEB" w:rsidRDefault="00C66EE0" w:rsidP="00E65827">
            <w:pPr>
              <w:pStyle w:val="ExhibitText"/>
              <w:tabs>
                <w:tab w:val="decimal" w:pos="554"/>
              </w:tabs>
              <w:rPr>
                <w:sz w:val="18"/>
                <w:szCs w:val="18"/>
                <w:lang w:val="en-GB"/>
              </w:rPr>
            </w:pPr>
            <w:r w:rsidRPr="00335FEB">
              <w:rPr>
                <w:sz w:val="18"/>
                <w:szCs w:val="18"/>
                <w:lang w:val="en-GB"/>
              </w:rPr>
              <w:t>8</w:t>
            </w:r>
          </w:p>
        </w:tc>
        <w:tc>
          <w:tcPr>
            <w:tcW w:w="945" w:type="dxa"/>
          </w:tcPr>
          <w:p w14:paraId="475D163D" w14:textId="77777777" w:rsidR="00C66EE0" w:rsidRPr="00335FEB" w:rsidRDefault="00C66EE0" w:rsidP="00D01513">
            <w:pPr>
              <w:pStyle w:val="ExhibitText"/>
              <w:jc w:val="center"/>
              <w:rPr>
                <w:sz w:val="18"/>
                <w:szCs w:val="18"/>
                <w:lang w:val="en-GB"/>
              </w:rPr>
            </w:pPr>
            <w:r w:rsidRPr="00335FEB">
              <w:rPr>
                <w:sz w:val="18"/>
                <w:szCs w:val="18"/>
                <w:lang w:val="en-GB"/>
              </w:rPr>
              <w:t>2</w:t>
            </w:r>
          </w:p>
        </w:tc>
        <w:tc>
          <w:tcPr>
            <w:tcW w:w="997" w:type="dxa"/>
          </w:tcPr>
          <w:p w14:paraId="592AFEC5" w14:textId="32D07861" w:rsidR="00C66EE0" w:rsidRPr="00335FEB" w:rsidRDefault="00C66EE0" w:rsidP="00E65827">
            <w:pPr>
              <w:pStyle w:val="ExhibitText"/>
              <w:tabs>
                <w:tab w:val="decimal" w:pos="424"/>
              </w:tabs>
              <w:rPr>
                <w:sz w:val="18"/>
                <w:szCs w:val="18"/>
                <w:lang w:val="en-GB"/>
              </w:rPr>
            </w:pPr>
            <w:r w:rsidRPr="00335FEB">
              <w:rPr>
                <w:sz w:val="18"/>
                <w:szCs w:val="18"/>
                <w:lang w:val="en-GB"/>
              </w:rPr>
              <w:t>24</w:t>
            </w:r>
            <w:r w:rsidR="00DF47E5" w:rsidRPr="00335FEB">
              <w:rPr>
                <w:sz w:val="18"/>
                <w:szCs w:val="18"/>
                <w:lang w:val="en-GB"/>
              </w:rPr>
              <w:t>*</w:t>
            </w:r>
          </w:p>
        </w:tc>
      </w:tr>
      <w:tr w:rsidR="00C66EE0" w:rsidRPr="00335FEB" w14:paraId="06E48411" w14:textId="77777777" w:rsidTr="00E65827">
        <w:trPr>
          <w:jc w:val="center"/>
        </w:trPr>
        <w:tc>
          <w:tcPr>
            <w:tcW w:w="900" w:type="dxa"/>
          </w:tcPr>
          <w:p w14:paraId="08CDB6D5" w14:textId="77777777" w:rsidR="00C66EE0" w:rsidRPr="00335FEB" w:rsidRDefault="00C66EE0" w:rsidP="00C66EE0">
            <w:pPr>
              <w:pStyle w:val="ExhibitText"/>
              <w:rPr>
                <w:sz w:val="18"/>
                <w:szCs w:val="18"/>
                <w:lang w:val="en-GB"/>
              </w:rPr>
            </w:pPr>
            <w:r w:rsidRPr="00335FEB">
              <w:rPr>
                <w:sz w:val="18"/>
                <w:szCs w:val="18"/>
                <w:lang w:val="en-GB"/>
              </w:rPr>
              <w:t>2007</w:t>
            </w:r>
          </w:p>
        </w:tc>
        <w:tc>
          <w:tcPr>
            <w:tcW w:w="996" w:type="dxa"/>
          </w:tcPr>
          <w:p w14:paraId="56EBBF1A" w14:textId="77777777" w:rsidR="00C66EE0" w:rsidRPr="00335FEB" w:rsidRDefault="00C66EE0" w:rsidP="00E65827">
            <w:pPr>
              <w:pStyle w:val="ExhibitText"/>
              <w:tabs>
                <w:tab w:val="decimal" w:pos="514"/>
              </w:tabs>
              <w:rPr>
                <w:sz w:val="18"/>
                <w:szCs w:val="18"/>
                <w:lang w:val="en-GB"/>
              </w:rPr>
            </w:pPr>
            <w:r w:rsidRPr="00335FEB">
              <w:rPr>
                <w:sz w:val="18"/>
                <w:szCs w:val="18"/>
                <w:lang w:val="en-GB"/>
              </w:rPr>
              <w:t>9</w:t>
            </w:r>
          </w:p>
        </w:tc>
        <w:tc>
          <w:tcPr>
            <w:tcW w:w="997" w:type="dxa"/>
          </w:tcPr>
          <w:p w14:paraId="2D0F2B5A" w14:textId="77777777" w:rsidR="00C66EE0" w:rsidRPr="00335FEB" w:rsidRDefault="00C66EE0" w:rsidP="00D01513">
            <w:pPr>
              <w:pStyle w:val="ExhibitText"/>
              <w:jc w:val="center"/>
              <w:rPr>
                <w:sz w:val="18"/>
                <w:szCs w:val="18"/>
                <w:lang w:val="en-GB"/>
              </w:rPr>
            </w:pPr>
            <w:r w:rsidRPr="00335FEB">
              <w:rPr>
                <w:sz w:val="18"/>
                <w:szCs w:val="18"/>
                <w:lang w:val="en-GB"/>
              </w:rPr>
              <w:t>24</w:t>
            </w:r>
          </w:p>
        </w:tc>
        <w:tc>
          <w:tcPr>
            <w:tcW w:w="997" w:type="dxa"/>
          </w:tcPr>
          <w:p w14:paraId="39FEEC8B" w14:textId="77777777" w:rsidR="00C66EE0" w:rsidRPr="00335FEB" w:rsidRDefault="00C66EE0" w:rsidP="00E65827">
            <w:pPr>
              <w:pStyle w:val="ExhibitText"/>
              <w:tabs>
                <w:tab w:val="decimal" w:pos="454"/>
              </w:tabs>
              <w:rPr>
                <w:sz w:val="18"/>
                <w:szCs w:val="18"/>
                <w:lang w:val="en-GB"/>
              </w:rPr>
            </w:pPr>
            <w:r w:rsidRPr="00335FEB">
              <w:rPr>
                <w:sz w:val="18"/>
                <w:szCs w:val="18"/>
                <w:lang w:val="en-GB"/>
              </w:rPr>
              <w:t>8</w:t>
            </w:r>
          </w:p>
        </w:tc>
        <w:tc>
          <w:tcPr>
            <w:tcW w:w="996" w:type="dxa"/>
          </w:tcPr>
          <w:p w14:paraId="03C569F7" w14:textId="77777777" w:rsidR="00C66EE0" w:rsidRPr="00335FEB" w:rsidRDefault="00C66EE0" w:rsidP="00D01513">
            <w:pPr>
              <w:pStyle w:val="ExhibitText"/>
              <w:jc w:val="center"/>
              <w:rPr>
                <w:sz w:val="18"/>
                <w:szCs w:val="18"/>
                <w:lang w:val="en-GB"/>
              </w:rPr>
            </w:pPr>
            <w:r w:rsidRPr="00335FEB">
              <w:rPr>
                <w:sz w:val="18"/>
                <w:szCs w:val="18"/>
                <w:lang w:val="en-GB"/>
              </w:rPr>
              <w:t>19</w:t>
            </w:r>
          </w:p>
        </w:tc>
        <w:tc>
          <w:tcPr>
            <w:tcW w:w="1049" w:type="dxa"/>
          </w:tcPr>
          <w:p w14:paraId="477ED78F" w14:textId="77777777" w:rsidR="00C66EE0" w:rsidRPr="00335FEB" w:rsidRDefault="00C66EE0" w:rsidP="00E65827">
            <w:pPr>
              <w:pStyle w:val="ExhibitText"/>
              <w:tabs>
                <w:tab w:val="decimal" w:pos="554"/>
              </w:tabs>
              <w:rPr>
                <w:sz w:val="18"/>
                <w:szCs w:val="18"/>
                <w:lang w:val="en-GB"/>
              </w:rPr>
            </w:pPr>
            <w:r w:rsidRPr="00335FEB">
              <w:rPr>
                <w:sz w:val="18"/>
                <w:szCs w:val="18"/>
                <w:lang w:val="en-GB"/>
              </w:rPr>
              <w:t>27</w:t>
            </w:r>
          </w:p>
        </w:tc>
        <w:tc>
          <w:tcPr>
            <w:tcW w:w="945" w:type="dxa"/>
          </w:tcPr>
          <w:p w14:paraId="682076F1" w14:textId="77777777" w:rsidR="00C66EE0" w:rsidRPr="00335FEB" w:rsidRDefault="00C66EE0" w:rsidP="00D01513">
            <w:pPr>
              <w:pStyle w:val="ExhibitText"/>
              <w:jc w:val="center"/>
              <w:rPr>
                <w:sz w:val="18"/>
                <w:szCs w:val="18"/>
                <w:lang w:val="en-GB"/>
              </w:rPr>
            </w:pPr>
            <w:r w:rsidRPr="00335FEB">
              <w:rPr>
                <w:sz w:val="18"/>
                <w:szCs w:val="18"/>
                <w:lang w:val="en-GB"/>
              </w:rPr>
              <w:t>4</w:t>
            </w:r>
          </w:p>
        </w:tc>
        <w:tc>
          <w:tcPr>
            <w:tcW w:w="997" w:type="dxa"/>
          </w:tcPr>
          <w:p w14:paraId="407FEE44" w14:textId="77777777" w:rsidR="00C66EE0" w:rsidRPr="00335FEB" w:rsidRDefault="00C66EE0" w:rsidP="00E65827">
            <w:pPr>
              <w:pStyle w:val="ExhibitText"/>
              <w:tabs>
                <w:tab w:val="decimal" w:pos="424"/>
              </w:tabs>
              <w:rPr>
                <w:sz w:val="18"/>
                <w:szCs w:val="18"/>
                <w:lang w:val="en-GB"/>
              </w:rPr>
            </w:pPr>
            <w:r w:rsidRPr="00335FEB">
              <w:rPr>
                <w:sz w:val="18"/>
                <w:szCs w:val="18"/>
                <w:lang w:val="en-GB"/>
              </w:rPr>
              <w:t>9</w:t>
            </w:r>
          </w:p>
        </w:tc>
      </w:tr>
      <w:tr w:rsidR="00C66EE0" w:rsidRPr="00335FEB" w14:paraId="30506701" w14:textId="77777777" w:rsidTr="00E65827">
        <w:trPr>
          <w:jc w:val="center"/>
        </w:trPr>
        <w:tc>
          <w:tcPr>
            <w:tcW w:w="900" w:type="dxa"/>
          </w:tcPr>
          <w:p w14:paraId="07AB4018" w14:textId="77777777" w:rsidR="00C66EE0" w:rsidRPr="00335FEB" w:rsidRDefault="00C66EE0" w:rsidP="00C66EE0">
            <w:pPr>
              <w:pStyle w:val="ExhibitText"/>
              <w:rPr>
                <w:sz w:val="18"/>
                <w:szCs w:val="18"/>
                <w:lang w:val="en-GB"/>
              </w:rPr>
            </w:pPr>
            <w:r w:rsidRPr="00335FEB">
              <w:rPr>
                <w:sz w:val="18"/>
                <w:szCs w:val="18"/>
                <w:lang w:val="en-GB"/>
              </w:rPr>
              <w:t>2008</w:t>
            </w:r>
          </w:p>
        </w:tc>
        <w:tc>
          <w:tcPr>
            <w:tcW w:w="996" w:type="dxa"/>
          </w:tcPr>
          <w:p w14:paraId="4FC689DF" w14:textId="77777777" w:rsidR="00C66EE0" w:rsidRPr="00335FEB" w:rsidRDefault="00C66EE0" w:rsidP="00E65827">
            <w:pPr>
              <w:pStyle w:val="ExhibitText"/>
              <w:tabs>
                <w:tab w:val="decimal" w:pos="514"/>
              </w:tabs>
              <w:rPr>
                <w:sz w:val="18"/>
                <w:szCs w:val="18"/>
                <w:lang w:val="en-GB"/>
              </w:rPr>
            </w:pPr>
            <w:r w:rsidRPr="00335FEB">
              <w:rPr>
                <w:sz w:val="18"/>
                <w:szCs w:val="18"/>
                <w:lang w:val="en-GB"/>
              </w:rPr>
              <w:t>13</w:t>
            </w:r>
          </w:p>
        </w:tc>
        <w:tc>
          <w:tcPr>
            <w:tcW w:w="997" w:type="dxa"/>
          </w:tcPr>
          <w:p w14:paraId="0EA40FD9" w14:textId="77777777" w:rsidR="00C66EE0" w:rsidRPr="00335FEB" w:rsidRDefault="00C66EE0" w:rsidP="00D01513">
            <w:pPr>
              <w:pStyle w:val="ExhibitText"/>
              <w:jc w:val="center"/>
              <w:rPr>
                <w:sz w:val="18"/>
                <w:szCs w:val="18"/>
                <w:lang w:val="en-GB"/>
              </w:rPr>
            </w:pPr>
            <w:r w:rsidRPr="00335FEB">
              <w:rPr>
                <w:sz w:val="18"/>
                <w:szCs w:val="18"/>
                <w:lang w:val="en-GB"/>
              </w:rPr>
              <w:t>18</w:t>
            </w:r>
          </w:p>
        </w:tc>
        <w:tc>
          <w:tcPr>
            <w:tcW w:w="997" w:type="dxa"/>
          </w:tcPr>
          <w:p w14:paraId="4700B785"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13</w:t>
            </w:r>
          </w:p>
        </w:tc>
        <w:tc>
          <w:tcPr>
            <w:tcW w:w="996" w:type="dxa"/>
          </w:tcPr>
          <w:p w14:paraId="018D524C"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1049" w:type="dxa"/>
          </w:tcPr>
          <w:p w14:paraId="259ACD15" w14:textId="77777777" w:rsidR="00C66EE0" w:rsidRPr="00335FEB" w:rsidRDefault="00C66EE0" w:rsidP="00E65827">
            <w:pPr>
              <w:pStyle w:val="ExhibitText"/>
              <w:tabs>
                <w:tab w:val="decimal" w:pos="554"/>
              </w:tabs>
              <w:rPr>
                <w:sz w:val="18"/>
                <w:szCs w:val="18"/>
                <w:lang w:val="en-GB"/>
              </w:rPr>
            </w:pPr>
            <w:r w:rsidRPr="00335FEB">
              <w:rPr>
                <w:sz w:val="18"/>
                <w:szCs w:val="18"/>
                <w:lang w:val="en-GB"/>
              </w:rPr>
              <w:t>26</w:t>
            </w:r>
          </w:p>
        </w:tc>
        <w:tc>
          <w:tcPr>
            <w:tcW w:w="945" w:type="dxa"/>
          </w:tcPr>
          <w:p w14:paraId="3EBA5D32" w14:textId="77777777" w:rsidR="00C66EE0" w:rsidRPr="00335FEB" w:rsidRDefault="00C66EE0" w:rsidP="00D01513">
            <w:pPr>
              <w:pStyle w:val="ExhibitText"/>
              <w:jc w:val="center"/>
              <w:rPr>
                <w:sz w:val="18"/>
                <w:szCs w:val="18"/>
                <w:lang w:val="en-GB"/>
              </w:rPr>
            </w:pPr>
            <w:r w:rsidRPr="00335FEB">
              <w:rPr>
                <w:sz w:val="18"/>
                <w:szCs w:val="18"/>
                <w:lang w:val="en-GB"/>
              </w:rPr>
              <w:t>3</w:t>
            </w:r>
          </w:p>
        </w:tc>
        <w:tc>
          <w:tcPr>
            <w:tcW w:w="997" w:type="dxa"/>
          </w:tcPr>
          <w:p w14:paraId="0E961FD8" w14:textId="77777777" w:rsidR="00C66EE0" w:rsidRPr="00335FEB" w:rsidRDefault="00C66EE0" w:rsidP="00E65827">
            <w:pPr>
              <w:pStyle w:val="ExhibitText"/>
              <w:tabs>
                <w:tab w:val="decimal" w:pos="424"/>
              </w:tabs>
              <w:rPr>
                <w:sz w:val="18"/>
                <w:szCs w:val="18"/>
                <w:lang w:val="en-GB"/>
              </w:rPr>
            </w:pPr>
            <w:r w:rsidRPr="00335FEB">
              <w:rPr>
                <w:sz w:val="18"/>
                <w:szCs w:val="18"/>
                <w:lang w:val="en-GB"/>
              </w:rPr>
              <w:t>10</w:t>
            </w:r>
          </w:p>
        </w:tc>
      </w:tr>
      <w:tr w:rsidR="00C66EE0" w:rsidRPr="00335FEB" w14:paraId="2784B104" w14:textId="77777777" w:rsidTr="00E65827">
        <w:trPr>
          <w:jc w:val="center"/>
        </w:trPr>
        <w:tc>
          <w:tcPr>
            <w:tcW w:w="900" w:type="dxa"/>
          </w:tcPr>
          <w:p w14:paraId="178C5A6C" w14:textId="77777777" w:rsidR="00C66EE0" w:rsidRPr="00335FEB" w:rsidRDefault="00C66EE0" w:rsidP="00C66EE0">
            <w:pPr>
              <w:pStyle w:val="ExhibitText"/>
              <w:rPr>
                <w:sz w:val="18"/>
                <w:szCs w:val="18"/>
                <w:lang w:val="en-GB"/>
              </w:rPr>
            </w:pPr>
            <w:r w:rsidRPr="00335FEB">
              <w:rPr>
                <w:sz w:val="18"/>
                <w:szCs w:val="18"/>
                <w:lang w:val="en-GB"/>
              </w:rPr>
              <w:t>2009</w:t>
            </w:r>
          </w:p>
        </w:tc>
        <w:tc>
          <w:tcPr>
            <w:tcW w:w="996" w:type="dxa"/>
          </w:tcPr>
          <w:p w14:paraId="7E759887" w14:textId="77777777" w:rsidR="00C66EE0" w:rsidRPr="00335FEB" w:rsidRDefault="00C66EE0" w:rsidP="00E65827">
            <w:pPr>
              <w:pStyle w:val="ExhibitText"/>
              <w:tabs>
                <w:tab w:val="decimal" w:pos="514"/>
              </w:tabs>
              <w:rPr>
                <w:sz w:val="18"/>
                <w:szCs w:val="18"/>
                <w:lang w:val="en-GB"/>
              </w:rPr>
            </w:pPr>
            <w:r w:rsidRPr="00335FEB">
              <w:rPr>
                <w:sz w:val="18"/>
                <w:szCs w:val="18"/>
                <w:lang w:val="en-GB"/>
              </w:rPr>
              <w:t>17</w:t>
            </w:r>
          </w:p>
        </w:tc>
        <w:tc>
          <w:tcPr>
            <w:tcW w:w="997" w:type="dxa"/>
          </w:tcPr>
          <w:p w14:paraId="00697533" w14:textId="77777777" w:rsidR="00C66EE0" w:rsidRPr="00335FEB" w:rsidRDefault="00C66EE0" w:rsidP="00D01513">
            <w:pPr>
              <w:pStyle w:val="ExhibitText"/>
              <w:jc w:val="center"/>
              <w:rPr>
                <w:sz w:val="18"/>
                <w:szCs w:val="18"/>
                <w:lang w:val="en-GB"/>
              </w:rPr>
            </w:pPr>
            <w:r w:rsidRPr="00335FEB">
              <w:rPr>
                <w:sz w:val="18"/>
                <w:szCs w:val="18"/>
                <w:lang w:val="en-GB"/>
              </w:rPr>
              <w:t>16</w:t>
            </w:r>
          </w:p>
        </w:tc>
        <w:tc>
          <w:tcPr>
            <w:tcW w:w="997" w:type="dxa"/>
          </w:tcPr>
          <w:p w14:paraId="68C1C645"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15</w:t>
            </w:r>
          </w:p>
        </w:tc>
        <w:tc>
          <w:tcPr>
            <w:tcW w:w="996" w:type="dxa"/>
          </w:tcPr>
          <w:p w14:paraId="6CE02D5E"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1049" w:type="dxa"/>
          </w:tcPr>
          <w:p w14:paraId="6F395160" w14:textId="77777777" w:rsidR="00C66EE0" w:rsidRPr="00335FEB" w:rsidRDefault="00C66EE0" w:rsidP="00E65827">
            <w:pPr>
              <w:pStyle w:val="ExhibitText"/>
              <w:tabs>
                <w:tab w:val="decimal" w:pos="554"/>
              </w:tabs>
              <w:rPr>
                <w:sz w:val="18"/>
                <w:szCs w:val="18"/>
                <w:lang w:val="en-GB"/>
              </w:rPr>
            </w:pPr>
            <w:r w:rsidRPr="00335FEB">
              <w:rPr>
                <w:sz w:val="18"/>
                <w:szCs w:val="18"/>
                <w:lang w:val="en-GB"/>
              </w:rPr>
              <w:t>20</w:t>
            </w:r>
          </w:p>
        </w:tc>
        <w:tc>
          <w:tcPr>
            <w:tcW w:w="945" w:type="dxa"/>
          </w:tcPr>
          <w:p w14:paraId="04F3D52D" w14:textId="77777777" w:rsidR="00C66EE0" w:rsidRPr="00335FEB" w:rsidRDefault="00C66EE0" w:rsidP="00D01513">
            <w:pPr>
              <w:pStyle w:val="ExhibitText"/>
              <w:jc w:val="center"/>
              <w:rPr>
                <w:sz w:val="18"/>
                <w:szCs w:val="18"/>
                <w:lang w:val="en-GB"/>
              </w:rPr>
            </w:pPr>
            <w:r w:rsidRPr="00335FEB">
              <w:rPr>
                <w:sz w:val="18"/>
                <w:szCs w:val="18"/>
                <w:lang w:val="en-GB"/>
              </w:rPr>
              <w:t>5</w:t>
            </w:r>
          </w:p>
        </w:tc>
        <w:tc>
          <w:tcPr>
            <w:tcW w:w="997" w:type="dxa"/>
          </w:tcPr>
          <w:p w14:paraId="1945D839" w14:textId="77777777" w:rsidR="00C66EE0" w:rsidRPr="00335FEB" w:rsidRDefault="00C66EE0" w:rsidP="00E65827">
            <w:pPr>
              <w:pStyle w:val="ExhibitText"/>
              <w:tabs>
                <w:tab w:val="decimal" w:pos="424"/>
              </w:tabs>
              <w:rPr>
                <w:sz w:val="18"/>
                <w:szCs w:val="18"/>
                <w:lang w:val="en-GB"/>
              </w:rPr>
            </w:pPr>
            <w:r w:rsidRPr="00335FEB">
              <w:rPr>
                <w:sz w:val="18"/>
                <w:szCs w:val="18"/>
                <w:lang w:val="en-GB"/>
              </w:rPr>
              <w:t>10</w:t>
            </w:r>
          </w:p>
        </w:tc>
      </w:tr>
      <w:tr w:rsidR="00C66EE0" w:rsidRPr="00335FEB" w14:paraId="528457CD" w14:textId="77777777" w:rsidTr="00E65827">
        <w:trPr>
          <w:jc w:val="center"/>
        </w:trPr>
        <w:tc>
          <w:tcPr>
            <w:tcW w:w="900" w:type="dxa"/>
          </w:tcPr>
          <w:p w14:paraId="2887A3AC" w14:textId="77777777" w:rsidR="00C66EE0" w:rsidRPr="00335FEB" w:rsidRDefault="00C66EE0" w:rsidP="00C66EE0">
            <w:pPr>
              <w:pStyle w:val="ExhibitText"/>
              <w:rPr>
                <w:sz w:val="18"/>
                <w:szCs w:val="18"/>
                <w:lang w:val="en-GB"/>
              </w:rPr>
            </w:pPr>
            <w:r w:rsidRPr="00335FEB">
              <w:rPr>
                <w:sz w:val="18"/>
                <w:szCs w:val="18"/>
                <w:lang w:val="en-GB"/>
              </w:rPr>
              <w:t>2010</w:t>
            </w:r>
          </w:p>
        </w:tc>
        <w:tc>
          <w:tcPr>
            <w:tcW w:w="996" w:type="dxa"/>
          </w:tcPr>
          <w:p w14:paraId="769EC051" w14:textId="77777777" w:rsidR="00C66EE0" w:rsidRPr="00335FEB" w:rsidRDefault="00C66EE0" w:rsidP="00E65827">
            <w:pPr>
              <w:pStyle w:val="ExhibitText"/>
              <w:tabs>
                <w:tab w:val="decimal" w:pos="514"/>
              </w:tabs>
              <w:rPr>
                <w:sz w:val="18"/>
                <w:szCs w:val="18"/>
                <w:lang w:val="en-GB"/>
              </w:rPr>
            </w:pPr>
            <w:r w:rsidRPr="00335FEB">
              <w:rPr>
                <w:sz w:val="18"/>
                <w:szCs w:val="18"/>
                <w:lang w:val="en-GB"/>
              </w:rPr>
              <w:t>20</w:t>
            </w:r>
          </w:p>
        </w:tc>
        <w:tc>
          <w:tcPr>
            <w:tcW w:w="997" w:type="dxa"/>
          </w:tcPr>
          <w:p w14:paraId="4344E487"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997" w:type="dxa"/>
          </w:tcPr>
          <w:p w14:paraId="44FFE7AF"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16</w:t>
            </w:r>
          </w:p>
        </w:tc>
        <w:tc>
          <w:tcPr>
            <w:tcW w:w="996" w:type="dxa"/>
          </w:tcPr>
          <w:p w14:paraId="2867F9D8" w14:textId="77777777" w:rsidR="00C66EE0" w:rsidRPr="00335FEB" w:rsidRDefault="00C66EE0" w:rsidP="00D01513">
            <w:pPr>
              <w:pStyle w:val="ExhibitText"/>
              <w:jc w:val="center"/>
              <w:rPr>
                <w:sz w:val="18"/>
                <w:szCs w:val="18"/>
                <w:lang w:val="en-GB"/>
              </w:rPr>
            </w:pPr>
            <w:r w:rsidRPr="00335FEB">
              <w:rPr>
                <w:sz w:val="18"/>
                <w:szCs w:val="18"/>
                <w:lang w:val="en-GB"/>
              </w:rPr>
              <w:t>16</w:t>
            </w:r>
          </w:p>
        </w:tc>
        <w:tc>
          <w:tcPr>
            <w:tcW w:w="1049" w:type="dxa"/>
          </w:tcPr>
          <w:p w14:paraId="37E8A212" w14:textId="77777777" w:rsidR="00C66EE0" w:rsidRPr="00335FEB" w:rsidRDefault="00C66EE0" w:rsidP="00E65827">
            <w:pPr>
              <w:pStyle w:val="ExhibitText"/>
              <w:tabs>
                <w:tab w:val="decimal" w:pos="554"/>
              </w:tabs>
              <w:rPr>
                <w:sz w:val="18"/>
                <w:szCs w:val="18"/>
                <w:lang w:val="en-GB"/>
              </w:rPr>
            </w:pPr>
            <w:r w:rsidRPr="00335FEB">
              <w:rPr>
                <w:sz w:val="18"/>
                <w:szCs w:val="18"/>
                <w:lang w:val="en-GB"/>
              </w:rPr>
              <w:t>17</w:t>
            </w:r>
          </w:p>
        </w:tc>
        <w:tc>
          <w:tcPr>
            <w:tcW w:w="945" w:type="dxa"/>
          </w:tcPr>
          <w:p w14:paraId="729E54C4" w14:textId="77777777" w:rsidR="00C66EE0" w:rsidRPr="00335FEB" w:rsidRDefault="00C66EE0" w:rsidP="00D01513">
            <w:pPr>
              <w:pStyle w:val="ExhibitText"/>
              <w:jc w:val="center"/>
              <w:rPr>
                <w:sz w:val="18"/>
                <w:szCs w:val="18"/>
                <w:lang w:val="en-GB"/>
              </w:rPr>
            </w:pPr>
            <w:r w:rsidRPr="00335FEB">
              <w:rPr>
                <w:sz w:val="18"/>
                <w:szCs w:val="18"/>
                <w:lang w:val="en-GB"/>
              </w:rPr>
              <w:t>6</w:t>
            </w:r>
          </w:p>
        </w:tc>
        <w:tc>
          <w:tcPr>
            <w:tcW w:w="997" w:type="dxa"/>
          </w:tcPr>
          <w:p w14:paraId="3F26E74D" w14:textId="77777777" w:rsidR="00C66EE0" w:rsidRPr="00335FEB" w:rsidRDefault="00C66EE0" w:rsidP="00E65827">
            <w:pPr>
              <w:pStyle w:val="ExhibitText"/>
              <w:tabs>
                <w:tab w:val="decimal" w:pos="424"/>
              </w:tabs>
              <w:rPr>
                <w:sz w:val="18"/>
                <w:szCs w:val="18"/>
                <w:lang w:val="en-GB"/>
              </w:rPr>
            </w:pPr>
            <w:r w:rsidRPr="00335FEB">
              <w:rPr>
                <w:sz w:val="18"/>
                <w:szCs w:val="18"/>
                <w:lang w:val="en-GB"/>
              </w:rPr>
              <w:t>8</w:t>
            </w:r>
          </w:p>
        </w:tc>
      </w:tr>
      <w:tr w:rsidR="00C66EE0" w:rsidRPr="00335FEB" w14:paraId="257C294A" w14:textId="77777777" w:rsidTr="00E65827">
        <w:trPr>
          <w:jc w:val="center"/>
        </w:trPr>
        <w:tc>
          <w:tcPr>
            <w:tcW w:w="900" w:type="dxa"/>
          </w:tcPr>
          <w:p w14:paraId="3A2943B7" w14:textId="77777777" w:rsidR="00C66EE0" w:rsidRPr="00335FEB" w:rsidRDefault="00C66EE0" w:rsidP="00C66EE0">
            <w:pPr>
              <w:pStyle w:val="ExhibitText"/>
              <w:rPr>
                <w:sz w:val="18"/>
                <w:szCs w:val="18"/>
                <w:lang w:val="en-GB"/>
              </w:rPr>
            </w:pPr>
            <w:r w:rsidRPr="00335FEB">
              <w:rPr>
                <w:sz w:val="18"/>
                <w:szCs w:val="18"/>
                <w:lang w:val="en-GB"/>
              </w:rPr>
              <w:t>2011</w:t>
            </w:r>
          </w:p>
        </w:tc>
        <w:tc>
          <w:tcPr>
            <w:tcW w:w="996" w:type="dxa"/>
          </w:tcPr>
          <w:p w14:paraId="5C17A111" w14:textId="77777777" w:rsidR="00C66EE0" w:rsidRPr="00335FEB" w:rsidRDefault="00C66EE0" w:rsidP="00E65827">
            <w:pPr>
              <w:pStyle w:val="ExhibitText"/>
              <w:tabs>
                <w:tab w:val="decimal" w:pos="514"/>
              </w:tabs>
              <w:rPr>
                <w:sz w:val="18"/>
                <w:szCs w:val="18"/>
                <w:lang w:val="en-GB"/>
              </w:rPr>
            </w:pPr>
            <w:r w:rsidRPr="00335FEB">
              <w:rPr>
                <w:sz w:val="18"/>
                <w:szCs w:val="18"/>
                <w:lang w:val="en-GB"/>
              </w:rPr>
              <w:t>23</w:t>
            </w:r>
          </w:p>
        </w:tc>
        <w:tc>
          <w:tcPr>
            <w:tcW w:w="997" w:type="dxa"/>
          </w:tcPr>
          <w:p w14:paraId="118ADDFF"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997" w:type="dxa"/>
          </w:tcPr>
          <w:p w14:paraId="17734ACB"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17</w:t>
            </w:r>
          </w:p>
        </w:tc>
        <w:tc>
          <w:tcPr>
            <w:tcW w:w="996" w:type="dxa"/>
          </w:tcPr>
          <w:p w14:paraId="3D090857" w14:textId="77777777" w:rsidR="00C66EE0" w:rsidRPr="00335FEB" w:rsidRDefault="00C66EE0" w:rsidP="00D01513">
            <w:pPr>
              <w:pStyle w:val="ExhibitText"/>
              <w:jc w:val="center"/>
              <w:rPr>
                <w:sz w:val="18"/>
                <w:szCs w:val="18"/>
                <w:lang w:val="en-GB"/>
              </w:rPr>
            </w:pPr>
            <w:r w:rsidRPr="00335FEB">
              <w:rPr>
                <w:sz w:val="18"/>
                <w:szCs w:val="18"/>
                <w:lang w:val="en-GB"/>
              </w:rPr>
              <w:t>15</w:t>
            </w:r>
          </w:p>
        </w:tc>
        <w:tc>
          <w:tcPr>
            <w:tcW w:w="1049" w:type="dxa"/>
          </w:tcPr>
          <w:p w14:paraId="1E91CD18" w14:textId="77777777" w:rsidR="00C66EE0" w:rsidRPr="00335FEB" w:rsidRDefault="00C66EE0" w:rsidP="00E65827">
            <w:pPr>
              <w:pStyle w:val="ExhibitText"/>
              <w:tabs>
                <w:tab w:val="decimal" w:pos="554"/>
              </w:tabs>
              <w:rPr>
                <w:sz w:val="18"/>
                <w:szCs w:val="18"/>
                <w:lang w:val="en-GB"/>
              </w:rPr>
            </w:pPr>
            <w:r w:rsidRPr="00335FEB">
              <w:rPr>
                <w:sz w:val="18"/>
                <w:szCs w:val="18"/>
                <w:lang w:val="en-GB"/>
              </w:rPr>
              <w:t>14</w:t>
            </w:r>
          </w:p>
        </w:tc>
        <w:tc>
          <w:tcPr>
            <w:tcW w:w="945" w:type="dxa"/>
          </w:tcPr>
          <w:p w14:paraId="5A75E33D" w14:textId="77777777" w:rsidR="00C66EE0" w:rsidRPr="00335FEB" w:rsidRDefault="00C66EE0" w:rsidP="00D01513">
            <w:pPr>
              <w:pStyle w:val="ExhibitText"/>
              <w:jc w:val="center"/>
              <w:rPr>
                <w:sz w:val="18"/>
                <w:szCs w:val="18"/>
                <w:lang w:val="en-GB"/>
              </w:rPr>
            </w:pPr>
            <w:r w:rsidRPr="00335FEB">
              <w:rPr>
                <w:sz w:val="18"/>
                <w:szCs w:val="18"/>
                <w:lang w:val="en-GB"/>
              </w:rPr>
              <w:t>6</w:t>
            </w:r>
          </w:p>
        </w:tc>
        <w:tc>
          <w:tcPr>
            <w:tcW w:w="997" w:type="dxa"/>
          </w:tcPr>
          <w:p w14:paraId="779B8CF9" w14:textId="77777777" w:rsidR="00C66EE0" w:rsidRPr="00335FEB" w:rsidRDefault="00C66EE0" w:rsidP="00E65827">
            <w:pPr>
              <w:pStyle w:val="ExhibitText"/>
              <w:tabs>
                <w:tab w:val="decimal" w:pos="424"/>
              </w:tabs>
              <w:rPr>
                <w:sz w:val="18"/>
                <w:szCs w:val="18"/>
                <w:lang w:val="en-GB"/>
              </w:rPr>
            </w:pPr>
            <w:r w:rsidRPr="00335FEB">
              <w:rPr>
                <w:sz w:val="18"/>
                <w:szCs w:val="18"/>
                <w:lang w:val="en-GB"/>
              </w:rPr>
              <w:t>8</w:t>
            </w:r>
          </w:p>
        </w:tc>
      </w:tr>
      <w:tr w:rsidR="00C66EE0" w:rsidRPr="00335FEB" w14:paraId="245E5566" w14:textId="77777777" w:rsidTr="00E65827">
        <w:trPr>
          <w:jc w:val="center"/>
        </w:trPr>
        <w:tc>
          <w:tcPr>
            <w:tcW w:w="900" w:type="dxa"/>
          </w:tcPr>
          <w:p w14:paraId="2748C70A" w14:textId="77777777" w:rsidR="00C66EE0" w:rsidRPr="00335FEB" w:rsidRDefault="00C66EE0" w:rsidP="00C66EE0">
            <w:pPr>
              <w:pStyle w:val="ExhibitText"/>
              <w:rPr>
                <w:sz w:val="18"/>
                <w:szCs w:val="18"/>
                <w:lang w:val="en-GB"/>
              </w:rPr>
            </w:pPr>
            <w:r w:rsidRPr="00335FEB">
              <w:rPr>
                <w:sz w:val="18"/>
                <w:szCs w:val="18"/>
                <w:lang w:val="en-GB"/>
              </w:rPr>
              <w:t>2012</w:t>
            </w:r>
          </w:p>
        </w:tc>
        <w:tc>
          <w:tcPr>
            <w:tcW w:w="996" w:type="dxa"/>
          </w:tcPr>
          <w:p w14:paraId="2E08853A" w14:textId="77777777" w:rsidR="00C66EE0" w:rsidRPr="00335FEB" w:rsidRDefault="00C66EE0" w:rsidP="00E65827">
            <w:pPr>
              <w:pStyle w:val="ExhibitText"/>
              <w:tabs>
                <w:tab w:val="decimal" w:pos="514"/>
              </w:tabs>
              <w:rPr>
                <w:sz w:val="18"/>
                <w:szCs w:val="18"/>
                <w:lang w:val="en-GB"/>
              </w:rPr>
            </w:pPr>
            <w:r w:rsidRPr="00335FEB">
              <w:rPr>
                <w:sz w:val="18"/>
                <w:szCs w:val="18"/>
                <w:lang w:val="en-GB"/>
              </w:rPr>
              <w:t>30</w:t>
            </w:r>
          </w:p>
        </w:tc>
        <w:tc>
          <w:tcPr>
            <w:tcW w:w="997" w:type="dxa"/>
          </w:tcPr>
          <w:p w14:paraId="17EBDD8F"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997" w:type="dxa"/>
          </w:tcPr>
          <w:p w14:paraId="4E9F8878" w14:textId="77777777" w:rsidR="00C66EE0" w:rsidRPr="00335FEB" w:rsidRDefault="00C66EE0" w:rsidP="00E65827">
            <w:pPr>
              <w:pStyle w:val="ExhibitText"/>
              <w:tabs>
                <w:tab w:val="decimal" w:pos="454"/>
              </w:tabs>
              <w:rPr>
                <w:sz w:val="18"/>
                <w:szCs w:val="18"/>
                <w:lang w:val="en-GB"/>
              </w:rPr>
            </w:pPr>
            <w:r w:rsidRPr="00335FEB">
              <w:rPr>
                <w:sz w:val="18"/>
                <w:szCs w:val="18"/>
                <w:lang w:val="en-GB"/>
              </w:rPr>
              <w:t>20</w:t>
            </w:r>
          </w:p>
        </w:tc>
        <w:tc>
          <w:tcPr>
            <w:tcW w:w="996" w:type="dxa"/>
          </w:tcPr>
          <w:p w14:paraId="59435569"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1049" w:type="dxa"/>
          </w:tcPr>
          <w:p w14:paraId="0730739E" w14:textId="77777777" w:rsidR="00C66EE0" w:rsidRPr="00335FEB" w:rsidRDefault="00C66EE0" w:rsidP="00E65827">
            <w:pPr>
              <w:pStyle w:val="ExhibitText"/>
              <w:tabs>
                <w:tab w:val="decimal" w:pos="554"/>
              </w:tabs>
              <w:rPr>
                <w:sz w:val="18"/>
                <w:szCs w:val="18"/>
                <w:lang w:val="en-GB"/>
              </w:rPr>
            </w:pPr>
            <w:r w:rsidRPr="00335FEB">
              <w:rPr>
                <w:sz w:val="18"/>
                <w:szCs w:val="18"/>
                <w:lang w:val="en-GB"/>
              </w:rPr>
              <w:t>2</w:t>
            </w:r>
          </w:p>
        </w:tc>
        <w:tc>
          <w:tcPr>
            <w:tcW w:w="945" w:type="dxa"/>
          </w:tcPr>
          <w:p w14:paraId="68D01909" w14:textId="77777777" w:rsidR="00C66EE0" w:rsidRPr="00335FEB" w:rsidRDefault="00C66EE0" w:rsidP="00D01513">
            <w:pPr>
              <w:pStyle w:val="ExhibitText"/>
              <w:jc w:val="center"/>
              <w:rPr>
                <w:sz w:val="18"/>
                <w:szCs w:val="18"/>
                <w:lang w:val="en-GB"/>
              </w:rPr>
            </w:pPr>
            <w:r w:rsidRPr="00335FEB">
              <w:rPr>
                <w:sz w:val="18"/>
                <w:szCs w:val="18"/>
                <w:lang w:val="en-GB"/>
              </w:rPr>
              <w:t>7</w:t>
            </w:r>
          </w:p>
        </w:tc>
        <w:tc>
          <w:tcPr>
            <w:tcW w:w="997" w:type="dxa"/>
          </w:tcPr>
          <w:p w14:paraId="125D67A8" w14:textId="77777777" w:rsidR="00C66EE0" w:rsidRPr="00335FEB" w:rsidRDefault="00C66EE0" w:rsidP="00E65827">
            <w:pPr>
              <w:pStyle w:val="ExhibitText"/>
              <w:tabs>
                <w:tab w:val="decimal" w:pos="424"/>
              </w:tabs>
              <w:rPr>
                <w:sz w:val="18"/>
                <w:szCs w:val="18"/>
                <w:lang w:val="en-GB"/>
              </w:rPr>
            </w:pPr>
            <w:r w:rsidRPr="00335FEB">
              <w:rPr>
                <w:sz w:val="18"/>
                <w:szCs w:val="18"/>
                <w:lang w:val="en-GB"/>
              </w:rPr>
              <w:t>7</w:t>
            </w:r>
          </w:p>
        </w:tc>
      </w:tr>
      <w:tr w:rsidR="00C66EE0" w:rsidRPr="00335FEB" w14:paraId="2AB03BCD" w14:textId="77777777" w:rsidTr="00E65827">
        <w:trPr>
          <w:jc w:val="center"/>
        </w:trPr>
        <w:tc>
          <w:tcPr>
            <w:tcW w:w="900" w:type="dxa"/>
          </w:tcPr>
          <w:p w14:paraId="51FEFAD4" w14:textId="77777777" w:rsidR="00C66EE0" w:rsidRPr="00335FEB" w:rsidRDefault="00C66EE0" w:rsidP="00C66EE0">
            <w:pPr>
              <w:pStyle w:val="ExhibitText"/>
              <w:rPr>
                <w:sz w:val="18"/>
                <w:szCs w:val="18"/>
                <w:lang w:val="en-GB"/>
              </w:rPr>
            </w:pPr>
            <w:r w:rsidRPr="00335FEB">
              <w:rPr>
                <w:sz w:val="18"/>
                <w:szCs w:val="18"/>
                <w:lang w:val="en-GB"/>
              </w:rPr>
              <w:t>2013</w:t>
            </w:r>
          </w:p>
        </w:tc>
        <w:tc>
          <w:tcPr>
            <w:tcW w:w="996" w:type="dxa"/>
          </w:tcPr>
          <w:p w14:paraId="3DE96983" w14:textId="77777777" w:rsidR="00C66EE0" w:rsidRPr="00335FEB" w:rsidRDefault="00C66EE0" w:rsidP="00E65827">
            <w:pPr>
              <w:pStyle w:val="ExhibitText"/>
              <w:tabs>
                <w:tab w:val="decimal" w:pos="514"/>
              </w:tabs>
              <w:rPr>
                <w:sz w:val="18"/>
                <w:szCs w:val="18"/>
                <w:lang w:val="en-GB"/>
              </w:rPr>
            </w:pPr>
            <w:r w:rsidRPr="00335FEB">
              <w:rPr>
                <w:sz w:val="18"/>
                <w:szCs w:val="18"/>
                <w:lang w:val="en-GB"/>
              </w:rPr>
              <w:t>33</w:t>
            </w:r>
          </w:p>
        </w:tc>
        <w:tc>
          <w:tcPr>
            <w:tcW w:w="997" w:type="dxa"/>
          </w:tcPr>
          <w:p w14:paraId="3E819FE8" w14:textId="77777777" w:rsidR="00C66EE0" w:rsidRPr="00335FEB" w:rsidRDefault="00C66EE0" w:rsidP="00D01513">
            <w:pPr>
              <w:pStyle w:val="ExhibitText"/>
              <w:jc w:val="center"/>
              <w:rPr>
                <w:sz w:val="18"/>
                <w:szCs w:val="18"/>
                <w:lang w:val="en-GB"/>
              </w:rPr>
            </w:pPr>
            <w:r w:rsidRPr="00335FEB">
              <w:rPr>
                <w:sz w:val="18"/>
                <w:szCs w:val="18"/>
                <w:lang w:val="en-GB"/>
              </w:rPr>
              <w:t>16</w:t>
            </w:r>
          </w:p>
        </w:tc>
        <w:tc>
          <w:tcPr>
            <w:tcW w:w="997" w:type="dxa"/>
          </w:tcPr>
          <w:p w14:paraId="0DE04E8B"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19</w:t>
            </w:r>
          </w:p>
        </w:tc>
        <w:tc>
          <w:tcPr>
            <w:tcW w:w="996" w:type="dxa"/>
          </w:tcPr>
          <w:p w14:paraId="7131D401" w14:textId="77777777" w:rsidR="00C66EE0" w:rsidRPr="00335FEB" w:rsidRDefault="00C66EE0" w:rsidP="00D01513">
            <w:pPr>
              <w:pStyle w:val="ExhibitText"/>
              <w:jc w:val="center"/>
              <w:rPr>
                <w:sz w:val="18"/>
                <w:szCs w:val="18"/>
                <w:lang w:val="en-GB"/>
              </w:rPr>
            </w:pPr>
            <w:r w:rsidRPr="00335FEB">
              <w:rPr>
                <w:sz w:val="18"/>
                <w:szCs w:val="18"/>
                <w:lang w:val="en-GB"/>
              </w:rPr>
              <w:t>19</w:t>
            </w:r>
          </w:p>
        </w:tc>
        <w:tc>
          <w:tcPr>
            <w:tcW w:w="1049" w:type="dxa"/>
          </w:tcPr>
          <w:p w14:paraId="1F9F1C55"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360EA6FF" w14:textId="77777777" w:rsidR="00C66EE0" w:rsidRPr="00335FEB" w:rsidRDefault="00C66EE0" w:rsidP="00D01513">
            <w:pPr>
              <w:pStyle w:val="ExhibitText"/>
              <w:jc w:val="center"/>
              <w:rPr>
                <w:sz w:val="18"/>
                <w:szCs w:val="18"/>
                <w:lang w:val="en-GB"/>
              </w:rPr>
            </w:pPr>
            <w:r w:rsidRPr="00335FEB">
              <w:rPr>
                <w:sz w:val="18"/>
                <w:szCs w:val="18"/>
                <w:lang w:val="en-GB"/>
              </w:rPr>
              <w:t>9</w:t>
            </w:r>
          </w:p>
        </w:tc>
        <w:tc>
          <w:tcPr>
            <w:tcW w:w="997" w:type="dxa"/>
          </w:tcPr>
          <w:p w14:paraId="6B294E5D" w14:textId="77777777" w:rsidR="00C66EE0" w:rsidRPr="00335FEB" w:rsidRDefault="00C66EE0" w:rsidP="00E65827">
            <w:pPr>
              <w:pStyle w:val="ExhibitText"/>
              <w:tabs>
                <w:tab w:val="decimal" w:pos="424"/>
              </w:tabs>
              <w:rPr>
                <w:sz w:val="18"/>
                <w:szCs w:val="18"/>
                <w:lang w:val="en-GB"/>
              </w:rPr>
            </w:pPr>
            <w:r w:rsidRPr="00335FEB">
              <w:rPr>
                <w:sz w:val="18"/>
                <w:szCs w:val="18"/>
                <w:lang w:val="en-GB"/>
              </w:rPr>
              <w:t>4</w:t>
            </w:r>
          </w:p>
        </w:tc>
      </w:tr>
      <w:tr w:rsidR="00C66EE0" w:rsidRPr="00335FEB" w14:paraId="0FF8DE3A" w14:textId="77777777" w:rsidTr="00E65827">
        <w:trPr>
          <w:jc w:val="center"/>
        </w:trPr>
        <w:tc>
          <w:tcPr>
            <w:tcW w:w="900" w:type="dxa"/>
          </w:tcPr>
          <w:p w14:paraId="45F2DE3F" w14:textId="77777777" w:rsidR="00C66EE0" w:rsidRPr="00335FEB" w:rsidRDefault="00C66EE0" w:rsidP="00C66EE0">
            <w:pPr>
              <w:pStyle w:val="ExhibitText"/>
              <w:rPr>
                <w:sz w:val="18"/>
                <w:szCs w:val="18"/>
                <w:lang w:val="en-GB"/>
              </w:rPr>
            </w:pPr>
            <w:r w:rsidRPr="00335FEB">
              <w:rPr>
                <w:sz w:val="18"/>
                <w:szCs w:val="18"/>
                <w:lang w:val="en-GB"/>
              </w:rPr>
              <w:t>2014</w:t>
            </w:r>
          </w:p>
        </w:tc>
        <w:tc>
          <w:tcPr>
            <w:tcW w:w="996" w:type="dxa"/>
          </w:tcPr>
          <w:p w14:paraId="1144E843" w14:textId="77777777" w:rsidR="00C66EE0" w:rsidRPr="00335FEB" w:rsidRDefault="00C66EE0" w:rsidP="00E65827">
            <w:pPr>
              <w:pStyle w:val="ExhibitText"/>
              <w:tabs>
                <w:tab w:val="decimal" w:pos="514"/>
              </w:tabs>
              <w:rPr>
                <w:sz w:val="18"/>
                <w:szCs w:val="18"/>
                <w:lang w:val="en-GB"/>
              </w:rPr>
            </w:pPr>
            <w:r w:rsidRPr="00335FEB">
              <w:rPr>
                <w:sz w:val="18"/>
                <w:szCs w:val="18"/>
                <w:lang w:val="en-GB"/>
              </w:rPr>
              <w:t>30</w:t>
            </w:r>
          </w:p>
        </w:tc>
        <w:tc>
          <w:tcPr>
            <w:tcW w:w="997" w:type="dxa"/>
          </w:tcPr>
          <w:p w14:paraId="1B8F0FDC" w14:textId="77777777" w:rsidR="00C66EE0" w:rsidRPr="00335FEB" w:rsidRDefault="00C66EE0" w:rsidP="00D01513">
            <w:pPr>
              <w:pStyle w:val="ExhibitText"/>
              <w:jc w:val="center"/>
              <w:rPr>
                <w:sz w:val="18"/>
                <w:szCs w:val="18"/>
                <w:lang w:val="en-GB"/>
              </w:rPr>
            </w:pPr>
            <w:r w:rsidRPr="00335FEB">
              <w:rPr>
                <w:sz w:val="18"/>
                <w:szCs w:val="18"/>
                <w:lang w:val="en-GB"/>
              </w:rPr>
              <w:t>14</w:t>
            </w:r>
          </w:p>
        </w:tc>
        <w:tc>
          <w:tcPr>
            <w:tcW w:w="997" w:type="dxa"/>
          </w:tcPr>
          <w:p w14:paraId="5A602344"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19</w:t>
            </w:r>
          </w:p>
        </w:tc>
        <w:tc>
          <w:tcPr>
            <w:tcW w:w="996" w:type="dxa"/>
          </w:tcPr>
          <w:p w14:paraId="3535D852" w14:textId="77777777" w:rsidR="00C66EE0" w:rsidRPr="00335FEB" w:rsidRDefault="00C66EE0" w:rsidP="00D01513">
            <w:pPr>
              <w:pStyle w:val="ExhibitText"/>
              <w:jc w:val="center"/>
              <w:rPr>
                <w:sz w:val="18"/>
                <w:szCs w:val="18"/>
                <w:lang w:val="en-GB"/>
              </w:rPr>
            </w:pPr>
            <w:r w:rsidRPr="00335FEB">
              <w:rPr>
                <w:sz w:val="18"/>
                <w:szCs w:val="18"/>
                <w:lang w:val="en-GB"/>
              </w:rPr>
              <w:t>18</w:t>
            </w:r>
          </w:p>
        </w:tc>
        <w:tc>
          <w:tcPr>
            <w:tcW w:w="1049" w:type="dxa"/>
          </w:tcPr>
          <w:p w14:paraId="6DB89BDA"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5E3FE0C5" w14:textId="77777777" w:rsidR="00C66EE0" w:rsidRPr="00335FEB" w:rsidRDefault="00C66EE0" w:rsidP="00D01513">
            <w:pPr>
              <w:pStyle w:val="ExhibitText"/>
              <w:jc w:val="center"/>
              <w:rPr>
                <w:sz w:val="18"/>
                <w:szCs w:val="18"/>
                <w:lang w:val="en-GB"/>
              </w:rPr>
            </w:pPr>
            <w:r w:rsidRPr="00335FEB">
              <w:rPr>
                <w:sz w:val="18"/>
                <w:szCs w:val="18"/>
                <w:lang w:val="en-GB"/>
              </w:rPr>
              <w:t>9</w:t>
            </w:r>
          </w:p>
        </w:tc>
        <w:tc>
          <w:tcPr>
            <w:tcW w:w="997" w:type="dxa"/>
          </w:tcPr>
          <w:p w14:paraId="539ED908" w14:textId="77777777" w:rsidR="00C66EE0" w:rsidRPr="00335FEB" w:rsidRDefault="00C66EE0" w:rsidP="00E65827">
            <w:pPr>
              <w:pStyle w:val="ExhibitText"/>
              <w:tabs>
                <w:tab w:val="decimal" w:pos="424"/>
              </w:tabs>
              <w:rPr>
                <w:sz w:val="18"/>
                <w:szCs w:val="18"/>
                <w:lang w:val="en-GB"/>
              </w:rPr>
            </w:pPr>
            <w:r w:rsidRPr="00335FEB">
              <w:rPr>
                <w:sz w:val="18"/>
                <w:szCs w:val="18"/>
                <w:lang w:val="en-GB"/>
              </w:rPr>
              <w:t>10</w:t>
            </w:r>
          </w:p>
        </w:tc>
      </w:tr>
      <w:tr w:rsidR="00C66EE0" w:rsidRPr="00335FEB" w14:paraId="34C86C98" w14:textId="77777777" w:rsidTr="00E65827">
        <w:trPr>
          <w:jc w:val="center"/>
        </w:trPr>
        <w:tc>
          <w:tcPr>
            <w:tcW w:w="900" w:type="dxa"/>
          </w:tcPr>
          <w:p w14:paraId="59721423" w14:textId="77777777" w:rsidR="00C66EE0" w:rsidRPr="00335FEB" w:rsidRDefault="00C66EE0" w:rsidP="00C66EE0">
            <w:pPr>
              <w:pStyle w:val="ExhibitText"/>
              <w:rPr>
                <w:sz w:val="18"/>
                <w:szCs w:val="18"/>
                <w:lang w:val="en-GB"/>
              </w:rPr>
            </w:pPr>
            <w:r w:rsidRPr="00335FEB">
              <w:rPr>
                <w:sz w:val="18"/>
                <w:szCs w:val="18"/>
                <w:lang w:val="en-GB"/>
              </w:rPr>
              <w:t>2015</w:t>
            </w:r>
          </w:p>
        </w:tc>
        <w:tc>
          <w:tcPr>
            <w:tcW w:w="996" w:type="dxa"/>
          </w:tcPr>
          <w:p w14:paraId="087B5DFB" w14:textId="77777777" w:rsidR="00C66EE0" w:rsidRPr="00335FEB" w:rsidRDefault="00C66EE0" w:rsidP="00E65827">
            <w:pPr>
              <w:pStyle w:val="ExhibitText"/>
              <w:tabs>
                <w:tab w:val="decimal" w:pos="514"/>
              </w:tabs>
              <w:rPr>
                <w:sz w:val="18"/>
                <w:szCs w:val="18"/>
                <w:lang w:val="en-GB"/>
              </w:rPr>
            </w:pPr>
            <w:r w:rsidRPr="00335FEB">
              <w:rPr>
                <w:sz w:val="18"/>
                <w:szCs w:val="18"/>
                <w:lang w:val="en-GB"/>
              </w:rPr>
              <w:t>36</w:t>
            </w:r>
          </w:p>
        </w:tc>
        <w:tc>
          <w:tcPr>
            <w:tcW w:w="997" w:type="dxa"/>
          </w:tcPr>
          <w:p w14:paraId="7FD122CC" w14:textId="77777777" w:rsidR="00C66EE0" w:rsidRPr="00335FEB" w:rsidRDefault="00C66EE0" w:rsidP="00D01513">
            <w:pPr>
              <w:pStyle w:val="ExhibitText"/>
              <w:jc w:val="center"/>
              <w:rPr>
                <w:sz w:val="18"/>
                <w:szCs w:val="18"/>
                <w:lang w:val="en-GB"/>
              </w:rPr>
            </w:pPr>
            <w:r w:rsidRPr="00335FEB">
              <w:rPr>
                <w:sz w:val="18"/>
                <w:szCs w:val="18"/>
                <w:lang w:val="en-GB"/>
              </w:rPr>
              <w:t>21</w:t>
            </w:r>
          </w:p>
        </w:tc>
        <w:tc>
          <w:tcPr>
            <w:tcW w:w="997" w:type="dxa"/>
          </w:tcPr>
          <w:p w14:paraId="1530EA4B"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13</w:t>
            </w:r>
          </w:p>
        </w:tc>
        <w:tc>
          <w:tcPr>
            <w:tcW w:w="996" w:type="dxa"/>
          </w:tcPr>
          <w:p w14:paraId="1098EE3B" w14:textId="77777777" w:rsidR="00C66EE0" w:rsidRPr="00335FEB" w:rsidRDefault="00C66EE0" w:rsidP="00D01513">
            <w:pPr>
              <w:pStyle w:val="ExhibitText"/>
              <w:jc w:val="center"/>
              <w:rPr>
                <w:sz w:val="18"/>
                <w:szCs w:val="18"/>
                <w:lang w:val="en-GB"/>
              </w:rPr>
            </w:pPr>
            <w:r w:rsidRPr="00335FEB">
              <w:rPr>
                <w:sz w:val="18"/>
                <w:szCs w:val="18"/>
                <w:lang w:val="en-GB"/>
              </w:rPr>
              <w:t>16</w:t>
            </w:r>
          </w:p>
        </w:tc>
        <w:tc>
          <w:tcPr>
            <w:tcW w:w="1049" w:type="dxa"/>
          </w:tcPr>
          <w:p w14:paraId="55F7FCA3"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25A3E3B1" w14:textId="77777777" w:rsidR="00C66EE0" w:rsidRPr="00335FEB" w:rsidRDefault="00C66EE0" w:rsidP="00D01513">
            <w:pPr>
              <w:pStyle w:val="ExhibitText"/>
              <w:jc w:val="center"/>
              <w:rPr>
                <w:sz w:val="18"/>
                <w:szCs w:val="18"/>
                <w:lang w:val="en-GB"/>
              </w:rPr>
            </w:pPr>
            <w:r w:rsidRPr="00335FEB">
              <w:rPr>
                <w:sz w:val="18"/>
                <w:szCs w:val="18"/>
                <w:lang w:val="en-GB"/>
              </w:rPr>
              <w:t>8</w:t>
            </w:r>
          </w:p>
        </w:tc>
        <w:tc>
          <w:tcPr>
            <w:tcW w:w="997" w:type="dxa"/>
          </w:tcPr>
          <w:p w14:paraId="1B62B50D" w14:textId="77777777" w:rsidR="00C66EE0" w:rsidRPr="00335FEB" w:rsidRDefault="00C66EE0" w:rsidP="00E65827">
            <w:pPr>
              <w:pStyle w:val="ExhibitText"/>
              <w:tabs>
                <w:tab w:val="decimal" w:pos="424"/>
              </w:tabs>
              <w:rPr>
                <w:sz w:val="18"/>
                <w:szCs w:val="18"/>
                <w:lang w:val="en-GB"/>
              </w:rPr>
            </w:pPr>
            <w:r w:rsidRPr="00335FEB">
              <w:rPr>
                <w:sz w:val="18"/>
                <w:szCs w:val="18"/>
                <w:lang w:val="en-GB"/>
              </w:rPr>
              <w:t>6</w:t>
            </w:r>
          </w:p>
        </w:tc>
      </w:tr>
      <w:tr w:rsidR="00C66EE0" w:rsidRPr="00335FEB" w14:paraId="3E1A2337" w14:textId="77777777" w:rsidTr="00E65827">
        <w:trPr>
          <w:jc w:val="center"/>
        </w:trPr>
        <w:tc>
          <w:tcPr>
            <w:tcW w:w="900" w:type="dxa"/>
          </w:tcPr>
          <w:p w14:paraId="07FAD7E4" w14:textId="77777777" w:rsidR="00C66EE0" w:rsidRPr="00335FEB" w:rsidRDefault="00C66EE0" w:rsidP="00C66EE0">
            <w:pPr>
              <w:pStyle w:val="ExhibitText"/>
              <w:rPr>
                <w:sz w:val="18"/>
                <w:szCs w:val="18"/>
                <w:lang w:val="en-GB"/>
              </w:rPr>
            </w:pPr>
            <w:r w:rsidRPr="00335FEB">
              <w:rPr>
                <w:sz w:val="18"/>
                <w:szCs w:val="18"/>
                <w:lang w:val="en-GB"/>
              </w:rPr>
              <w:t>2016</w:t>
            </w:r>
          </w:p>
        </w:tc>
        <w:tc>
          <w:tcPr>
            <w:tcW w:w="996" w:type="dxa"/>
          </w:tcPr>
          <w:p w14:paraId="3D39030C" w14:textId="77777777" w:rsidR="00C66EE0" w:rsidRPr="00335FEB" w:rsidRDefault="00C66EE0" w:rsidP="00E65827">
            <w:pPr>
              <w:pStyle w:val="ExhibitText"/>
              <w:tabs>
                <w:tab w:val="decimal" w:pos="514"/>
              </w:tabs>
              <w:rPr>
                <w:sz w:val="18"/>
                <w:szCs w:val="18"/>
                <w:lang w:val="en-GB"/>
              </w:rPr>
            </w:pPr>
            <w:r w:rsidRPr="00335FEB">
              <w:rPr>
                <w:sz w:val="18"/>
                <w:szCs w:val="18"/>
                <w:lang w:val="en-GB"/>
              </w:rPr>
              <w:t>39</w:t>
            </w:r>
          </w:p>
        </w:tc>
        <w:tc>
          <w:tcPr>
            <w:tcW w:w="997" w:type="dxa"/>
          </w:tcPr>
          <w:p w14:paraId="4F36A632" w14:textId="77777777" w:rsidR="00C66EE0" w:rsidRPr="00335FEB" w:rsidRDefault="00C66EE0" w:rsidP="00D01513">
            <w:pPr>
              <w:pStyle w:val="ExhibitText"/>
              <w:jc w:val="center"/>
              <w:rPr>
                <w:sz w:val="18"/>
                <w:szCs w:val="18"/>
                <w:lang w:val="en-GB"/>
              </w:rPr>
            </w:pPr>
            <w:r w:rsidRPr="00335FEB">
              <w:rPr>
                <w:sz w:val="18"/>
                <w:szCs w:val="18"/>
                <w:lang w:val="en-GB"/>
              </w:rPr>
              <w:t>19</w:t>
            </w:r>
          </w:p>
        </w:tc>
        <w:tc>
          <w:tcPr>
            <w:tcW w:w="997" w:type="dxa"/>
          </w:tcPr>
          <w:p w14:paraId="7E92A6E6"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13</w:t>
            </w:r>
          </w:p>
        </w:tc>
        <w:tc>
          <w:tcPr>
            <w:tcW w:w="996" w:type="dxa"/>
          </w:tcPr>
          <w:p w14:paraId="5B19C47B" w14:textId="77777777" w:rsidR="00C66EE0" w:rsidRPr="00335FEB" w:rsidRDefault="00C66EE0" w:rsidP="00D01513">
            <w:pPr>
              <w:pStyle w:val="ExhibitText"/>
              <w:jc w:val="center"/>
              <w:rPr>
                <w:sz w:val="18"/>
                <w:szCs w:val="18"/>
                <w:lang w:val="en-GB"/>
              </w:rPr>
            </w:pPr>
            <w:r w:rsidRPr="00335FEB">
              <w:rPr>
                <w:sz w:val="18"/>
                <w:szCs w:val="18"/>
                <w:lang w:val="en-GB"/>
              </w:rPr>
              <w:t>15</w:t>
            </w:r>
          </w:p>
        </w:tc>
        <w:tc>
          <w:tcPr>
            <w:tcW w:w="1049" w:type="dxa"/>
          </w:tcPr>
          <w:p w14:paraId="06939780"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6727C3CB" w14:textId="77777777" w:rsidR="00C66EE0" w:rsidRPr="00335FEB" w:rsidRDefault="00C66EE0" w:rsidP="00D01513">
            <w:pPr>
              <w:pStyle w:val="ExhibitText"/>
              <w:jc w:val="center"/>
              <w:rPr>
                <w:sz w:val="18"/>
                <w:szCs w:val="18"/>
                <w:lang w:val="en-GB"/>
              </w:rPr>
            </w:pPr>
            <w:r w:rsidRPr="00335FEB">
              <w:rPr>
                <w:sz w:val="18"/>
                <w:szCs w:val="18"/>
                <w:lang w:val="en-GB"/>
              </w:rPr>
              <w:t>8</w:t>
            </w:r>
          </w:p>
        </w:tc>
        <w:tc>
          <w:tcPr>
            <w:tcW w:w="997" w:type="dxa"/>
          </w:tcPr>
          <w:p w14:paraId="7B8F28B8" w14:textId="77777777" w:rsidR="00C66EE0" w:rsidRPr="00335FEB" w:rsidRDefault="00C66EE0" w:rsidP="00E65827">
            <w:pPr>
              <w:pStyle w:val="ExhibitText"/>
              <w:tabs>
                <w:tab w:val="decimal" w:pos="424"/>
              </w:tabs>
              <w:rPr>
                <w:sz w:val="18"/>
                <w:szCs w:val="18"/>
                <w:lang w:val="en-GB"/>
              </w:rPr>
            </w:pPr>
            <w:r w:rsidRPr="00335FEB">
              <w:rPr>
                <w:sz w:val="18"/>
                <w:szCs w:val="18"/>
                <w:lang w:val="en-GB"/>
              </w:rPr>
              <w:t>6</w:t>
            </w:r>
          </w:p>
        </w:tc>
      </w:tr>
      <w:tr w:rsidR="00C66EE0" w:rsidRPr="00335FEB" w14:paraId="64099939" w14:textId="77777777" w:rsidTr="00E65827">
        <w:trPr>
          <w:jc w:val="center"/>
        </w:trPr>
        <w:tc>
          <w:tcPr>
            <w:tcW w:w="900" w:type="dxa"/>
          </w:tcPr>
          <w:p w14:paraId="0BC5BEF0" w14:textId="77777777" w:rsidR="00C66EE0" w:rsidRPr="00335FEB" w:rsidRDefault="00C66EE0" w:rsidP="00C66EE0">
            <w:pPr>
              <w:pStyle w:val="ExhibitText"/>
              <w:rPr>
                <w:sz w:val="18"/>
                <w:szCs w:val="18"/>
                <w:lang w:val="en-GB"/>
              </w:rPr>
            </w:pPr>
            <w:r w:rsidRPr="00335FEB">
              <w:rPr>
                <w:sz w:val="18"/>
                <w:szCs w:val="18"/>
                <w:lang w:val="en-GB"/>
              </w:rPr>
              <w:t>2017</w:t>
            </w:r>
          </w:p>
        </w:tc>
        <w:tc>
          <w:tcPr>
            <w:tcW w:w="996" w:type="dxa"/>
          </w:tcPr>
          <w:p w14:paraId="3C3ABB61" w14:textId="77777777" w:rsidR="00C66EE0" w:rsidRPr="00335FEB" w:rsidRDefault="00C66EE0" w:rsidP="00E65827">
            <w:pPr>
              <w:pStyle w:val="ExhibitText"/>
              <w:tabs>
                <w:tab w:val="decimal" w:pos="514"/>
              </w:tabs>
              <w:rPr>
                <w:sz w:val="18"/>
                <w:szCs w:val="18"/>
                <w:lang w:val="en-GB"/>
              </w:rPr>
            </w:pPr>
            <w:r w:rsidRPr="00335FEB">
              <w:rPr>
                <w:sz w:val="18"/>
                <w:szCs w:val="18"/>
                <w:lang w:val="en-GB"/>
              </w:rPr>
              <w:t>40</w:t>
            </w:r>
          </w:p>
        </w:tc>
        <w:tc>
          <w:tcPr>
            <w:tcW w:w="997" w:type="dxa"/>
          </w:tcPr>
          <w:p w14:paraId="343348F0" w14:textId="77777777" w:rsidR="00C66EE0" w:rsidRPr="00335FEB" w:rsidRDefault="00C66EE0" w:rsidP="00D01513">
            <w:pPr>
              <w:pStyle w:val="ExhibitText"/>
              <w:jc w:val="center"/>
              <w:rPr>
                <w:sz w:val="18"/>
                <w:szCs w:val="18"/>
                <w:lang w:val="en-GB"/>
              </w:rPr>
            </w:pPr>
            <w:r w:rsidRPr="00335FEB">
              <w:rPr>
                <w:sz w:val="18"/>
                <w:szCs w:val="18"/>
                <w:lang w:val="en-GB"/>
              </w:rPr>
              <w:t>18</w:t>
            </w:r>
          </w:p>
        </w:tc>
        <w:tc>
          <w:tcPr>
            <w:tcW w:w="997" w:type="dxa"/>
          </w:tcPr>
          <w:p w14:paraId="2E81EAB7"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13</w:t>
            </w:r>
          </w:p>
        </w:tc>
        <w:tc>
          <w:tcPr>
            <w:tcW w:w="996" w:type="dxa"/>
          </w:tcPr>
          <w:p w14:paraId="49164BEA" w14:textId="77777777" w:rsidR="00C66EE0" w:rsidRPr="00335FEB" w:rsidRDefault="00C66EE0" w:rsidP="00D01513">
            <w:pPr>
              <w:pStyle w:val="ExhibitText"/>
              <w:jc w:val="center"/>
              <w:rPr>
                <w:sz w:val="18"/>
                <w:szCs w:val="18"/>
                <w:lang w:val="en-GB"/>
              </w:rPr>
            </w:pPr>
            <w:r w:rsidRPr="00335FEB">
              <w:rPr>
                <w:sz w:val="18"/>
                <w:szCs w:val="18"/>
                <w:lang w:val="en-GB"/>
              </w:rPr>
              <w:t>13</w:t>
            </w:r>
          </w:p>
        </w:tc>
        <w:tc>
          <w:tcPr>
            <w:tcW w:w="1049" w:type="dxa"/>
          </w:tcPr>
          <w:p w14:paraId="776B3D40"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6819BA02" w14:textId="77777777" w:rsidR="00C66EE0" w:rsidRPr="00335FEB" w:rsidRDefault="00C66EE0" w:rsidP="00D01513">
            <w:pPr>
              <w:pStyle w:val="ExhibitText"/>
              <w:jc w:val="center"/>
              <w:rPr>
                <w:sz w:val="18"/>
                <w:szCs w:val="18"/>
                <w:lang w:val="en-GB"/>
              </w:rPr>
            </w:pPr>
            <w:r w:rsidRPr="00335FEB">
              <w:rPr>
                <w:sz w:val="18"/>
                <w:szCs w:val="18"/>
                <w:lang w:val="en-GB"/>
              </w:rPr>
              <w:t>9</w:t>
            </w:r>
          </w:p>
        </w:tc>
        <w:tc>
          <w:tcPr>
            <w:tcW w:w="997" w:type="dxa"/>
          </w:tcPr>
          <w:p w14:paraId="3E01BF03" w14:textId="77777777" w:rsidR="00C66EE0" w:rsidRPr="00335FEB" w:rsidRDefault="00C66EE0" w:rsidP="00E65827">
            <w:pPr>
              <w:pStyle w:val="ExhibitText"/>
              <w:tabs>
                <w:tab w:val="decimal" w:pos="424"/>
              </w:tabs>
              <w:rPr>
                <w:sz w:val="18"/>
                <w:szCs w:val="18"/>
                <w:lang w:val="en-GB"/>
              </w:rPr>
            </w:pPr>
            <w:r w:rsidRPr="00335FEB">
              <w:rPr>
                <w:sz w:val="18"/>
                <w:szCs w:val="18"/>
                <w:lang w:val="en-GB"/>
              </w:rPr>
              <w:t>7</w:t>
            </w:r>
          </w:p>
        </w:tc>
      </w:tr>
      <w:tr w:rsidR="00C66EE0" w:rsidRPr="00335FEB" w14:paraId="1E47CABF" w14:textId="77777777" w:rsidTr="00E65827">
        <w:trPr>
          <w:jc w:val="center"/>
        </w:trPr>
        <w:tc>
          <w:tcPr>
            <w:tcW w:w="900" w:type="dxa"/>
          </w:tcPr>
          <w:p w14:paraId="5F481651" w14:textId="5DD3D43A" w:rsidR="00C66EE0" w:rsidRPr="00335FEB" w:rsidRDefault="00C66EE0" w:rsidP="00C66EE0">
            <w:pPr>
              <w:pStyle w:val="ExhibitText"/>
              <w:rPr>
                <w:sz w:val="18"/>
                <w:szCs w:val="18"/>
                <w:lang w:val="en-GB"/>
              </w:rPr>
            </w:pPr>
            <w:r w:rsidRPr="00335FEB">
              <w:rPr>
                <w:sz w:val="18"/>
                <w:szCs w:val="18"/>
                <w:lang w:val="en-GB"/>
              </w:rPr>
              <w:t>2018*</w:t>
            </w:r>
            <w:r w:rsidR="00DF47E5" w:rsidRPr="00335FEB">
              <w:rPr>
                <w:sz w:val="18"/>
                <w:szCs w:val="18"/>
                <w:lang w:val="en-GB"/>
              </w:rPr>
              <w:t>*</w:t>
            </w:r>
          </w:p>
        </w:tc>
        <w:tc>
          <w:tcPr>
            <w:tcW w:w="996" w:type="dxa"/>
          </w:tcPr>
          <w:p w14:paraId="6B8D0FDE" w14:textId="77777777" w:rsidR="00C66EE0" w:rsidRPr="00335FEB" w:rsidRDefault="00C66EE0" w:rsidP="00E65827">
            <w:pPr>
              <w:pStyle w:val="ExhibitText"/>
              <w:tabs>
                <w:tab w:val="decimal" w:pos="514"/>
              </w:tabs>
              <w:rPr>
                <w:sz w:val="18"/>
                <w:szCs w:val="18"/>
                <w:lang w:val="en-GB"/>
              </w:rPr>
            </w:pPr>
            <w:r w:rsidRPr="00335FEB">
              <w:rPr>
                <w:sz w:val="18"/>
                <w:szCs w:val="18"/>
                <w:lang w:val="en-GB"/>
              </w:rPr>
              <w:t>40</w:t>
            </w:r>
          </w:p>
        </w:tc>
        <w:tc>
          <w:tcPr>
            <w:tcW w:w="997" w:type="dxa"/>
          </w:tcPr>
          <w:p w14:paraId="1DA6ADD0" w14:textId="77777777" w:rsidR="00C66EE0" w:rsidRPr="00335FEB" w:rsidRDefault="00C66EE0" w:rsidP="00D01513">
            <w:pPr>
              <w:pStyle w:val="ExhibitText"/>
              <w:jc w:val="center"/>
              <w:rPr>
                <w:sz w:val="18"/>
                <w:szCs w:val="18"/>
                <w:lang w:val="en-GB"/>
              </w:rPr>
            </w:pPr>
            <w:r w:rsidRPr="00335FEB">
              <w:rPr>
                <w:sz w:val="18"/>
                <w:szCs w:val="18"/>
                <w:lang w:val="en-GB"/>
              </w:rPr>
              <w:t>17</w:t>
            </w:r>
          </w:p>
        </w:tc>
        <w:tc>
          <w:tcPr>
            <w:tcW w:w="997" w:type="dxa"/>
          </w:tcPr>
          <w:p w14:paraId="1E66C946" w14:textId="77777777" w:rsidR="00C66EE0" w:rsidRPr="00335FEB" w:rsidRDefault="00C66EE0" w:rsidP="00E65827">
            <w:pPr>
              <w:pStyle w:val="ExhibitText"/>
              <w:tabs>
                <w:tab w:val="decimal" w:pos="454"/>
              </w:tabs>
              <w:rPr>
                <w:sz w:val="18"/>
                <w:szCs w:val="18"/>
                <w:lang w:val="en-GB"/>
              </w:rPr>
            </w:pPr>
            <w:r w:rsidRPr="00335FEB">
              <w:rPr>
                <w:sz w:val="18"/>
                <w:szCs w:val="18"/>
                <w:lang w:val="en-GB"/>
              </w:rPr>
              <w:t>13</w:t>
            </w:r>
          </w:p>
        </w:tc>
        <w:tc>
          <w:tcPr>
            <w:tcW w:w="996" w:type="dxa"/>
          </w:tcPr>
          <w:p w14:paraId="68444B8F" w14:textId="77777777" w:rsidR="00C66EE0" w:rsidRPr="00335FEB" w:rsidRDefault="00C66EE0" w:rsidP="00D01513">
            <w:pPr>
              <w:pStyle w:val="ExhibitText"/>
              <w:jc w:val="center"/>
              <w:rPr>
                <w:sz w:val="18"/>
                <w:szCs w:val="18"/>
                <w:lang w:val="en-GB"/>
              </w:rPr>
            </w:pPr>
            <w:r w:rsidRPr="00335FEB">
              <w:rPr>
                <w:sz w:val="18"/>
                <w:szCs w:val="18"/>
                <w:lang w:val="en-GB"/>
              </w:rPr>
              <w:t>13</w:t>
            </w:r>
          </w:p>
        </w:tc>
        <w:tc>
          <w:tcPr>
            <w:tcW w:w="1049" w:type="dxa"/>
          </w:tcPr>
          <w:p w14:paraId="1F139195" w14:textId="77777777" w:rsidR="00C66EE0" w:rsidRPr="00335FEB" w:rsidRDefault="00C66EE0" w:rsidP="00E65827">
            <w:pPr>
              <w:pStyle w:val="ExhibitText"/>
              <w:tabs>
                <w:tab w:val="decimal" w:pos="554"/>
              </w:tabs>
              <w:rPr>
                <w:sz w:val="18"/>
                <w:szCs w:val="18"/>
                <w:lang w:val="en-GB"/>
              </w:rPr>
            </w:pPr>
            <w:r w:rsidRPr="00335FEB">
              <w:rPr>
                <w:sz w:val="18"/>
                <w:szCs w:val="18"/>
                <w:lang w:val="en-GB"/>
              </w:rPr>
              <w:t>0</w:t>
            </w:r>
          </w:p>
        </w:tc>
        <w:tc>
          <w:tcPr>
            <w:tcW w:w="945" w:type="dxa"/>
          </w:tcPr>
          <w:p w14:paraId="4CC4B26E" w14:textId="77777777" w:rsidR="00C66EE0" w:rsidRPr="00335FEB" w:rsidRDefault="00C66EE0" w:rsidP="00D01513">
            <w:pPr>
              <w:pStyle w:val="ExhibitText"/>
              <w:jc w:val="center"/>
              <w:rPr>
                <w:sz w:val="18"/>
                <w:szCs w:val="18"/>
                <w:lang w:val="en-GB"/>
              </w:rPr>
            </w:pPr>
            <w:r w:rsidRPr="00335FEB">
              <w:rPr>
                <w:sz w:val="18"/>
                <w:szCs w:val="18"/>
                <w:lang w:val="en-GB"/>
              </w:rPr>
              <w:t>9</w:t>
            </w:r>
          </w:p>
        </w:tc>
        <w:tc>
          <w:tcPr>
            <w:tcW w:w="997" w:type="dxa"/>
          </w:tcPr>
          <w:p w14:paraId="30FE13BB" w14:textId="77777777" w:rsidR="00C66EE0" w:rsidRPr="00335FEB" w:rsidRDefault="00C66EE0" w:rsidP="00E65827">
            <w:pPr>
              <w:pStyle w:val="ExhibitText"/>
              <w:tabs>
                <w:tab w:val="decimal" w:pos="424"/>
              </w:tabs>
              <w:rPr>
                <w:sz w:val="18"/>
                <w:szCs w:val="18"/>
                <w:lang w:val="en-GB"/>
              </w:rPr>
            </w:pPr>
            <w:r w:rsidRPr="00335FEB">
              <w:rPr>
                <w:sz w:val="18"/>
                <w:szCs w:val="18"/>
                <w:lang w:val="en-GB"/>
              </w:rPr>
              <w:t>8</w:t>
            </w:r>
          </w:p>
        </w:tc>
      </w:tr>
    </w:tbl>
    <w:p w14:paraId="7B52C564" w14:textId="77777777" w:rsidR="00C66EE0" w:rsidRPr="00335FEB" w:rsidRDefault="00C66EE0" w:rsidP="00C66EE0">
      <w:pPr>
        <w:ind w:left="450"/>
        <w:contextualSpacing/>
        <w:jc w:val="both"/>
        <w:rPr>
          <w:sz w:val="22"/>
          <w:lang w:val="en-GB"/>
        </w:rPr>
      </w:pPr>
    </w:p>
    <w:p w14:paraId="1A3DB88B" w14:textId="0C4AB6B9" w:rsidR="00C66EE0" w:rsidRPr="00335FEB" w:rsidRDefault="00DF47E5" w:rsidP="00C66EE0">
      <w:pPr>
        <w:pStyle w:val="Footnote"/>
        <w:rPr>
          <w:lang w:val="en-GB"/>
        </w:rPr>
      </w:pPr>
      <w:r w:rsidRPr="00335FEB">
        <w:rPr>
          <w:lang w:val="en-GB"/>
        </w:rPr>
        <w:t xml:space="preserve">Note: </w:t>
      </w:r>
      <w:r w:rsidR="00B55F3A" w:rsidRPr="00335FEB">
        <w:rPr>
          <w:lang w:val="en-GB"/>
        </w:rPr>
        <w:t xml:space="preserve">Figures have been rounded. </w:t>
      </w:r>
      <w:r w:rsidRPr="00335FEB">
        <w:rPr>
          <w:lang w:val="en-GB"/>
        </w:rPr>
        <w:t>*</w:t>
      </w:r>
      <w:r w:rsidR="00C66EE0" w:rsidRPr="00335FEB">
        <w:rPr>
          <w:lang w:val="en-GB"/>
        </w:rPr>
        <w:t>Air Deccan (</w:t>
      </w:r>
      <w:r w:rsidR="005D748C" w:rsidRPr="00335FEB">
        <w:rPr>
          <w:lang w:val="en-GB"/>
        </w:rPr>
        <w:t>l</w:t>
      </w:r>
      <w:r w:rsidR="00C66EE0" w:rsidRPr="00335FEB">
        <w:rPr>
          <w:lang w:val="en-GB"/>
        </w:rPr>
        <w:t xml:space="preserve">ater </w:t>
      </w:r>
      <w:r w:rsidR="005D748C" w:rsidRPr="00335FEB">
        <w:rPr>
          <w:lang w:val="en-GB"/>
        </w:rPr>
        <w:t>a</w:t>
      </w:r>
      <w:r w:rsidR="00C66EE0" w:rsidRPr="00335FEB">
        <w:rPr>
          <w:lang w:val="en-GB"/>
        </w:rPr>
        <w:t>cquired by Kingfisher</w:t>
      </w:r>
      <w:r w:rsidRPr="00335FEB">
        <w:rPr>
          <w:lang w:val="en-GB"/>
        </w:rPr>
        <w:t xml:space="preserve"> Airlines</w:t>
      </w:r>
      <w:r w:rsidR="00C66EE0" w:rsidRPr="00335FEB">
        <w:rPr>
          <w:lang w:val="en-GB"/>
        </w:rPr>
        <w:t>) was a major player</w:t>
      </w:r>
      <w:r w:rsidR="00B55F3A" w:rsidRPr="00335FEB">
        <w:rPr>
          <w:lang w:val="en-GB"/>
        </w:rPr>
        <w:t>,</w:t>
      </w:r>
      <w:r w:rsidR="00C66EE0" w:rsidRPr="00335FEB">
        <w:rPr>
          <w:lang w:val="en-GB"/>
        </w:rPr>
        <w:t xml:space="preserve"> with </w:t>
      </w:r>
      <w:r w:rsidRPr="00335FEB">
        <w:rPr>
          <w:lang w:val="en-GB"/>
        </w:rPr>
        <w:t xml:space="preserve">a </w:t>
      </w:r>
      <w:r w:rsidR="00C66EE0" w:rsidRPr="00335FEB">
        <w:rPr>
          <w:lang w:val="en-GB"/>
        </w:rPr>
        <w:t>19</w:t>
      </w:r>
      <w:r w:rsidR="005D1E26">
        <w:rPr>
          <w:lang w:val="en-GB"/>
        </w:rPr>
        <w:t xml:space="preserve"> </w:t>
      </w:r>
      <w:r w:rsidR="00C66EE0" w:rsidRPr="00335FEB">
        <w:rPr>
          <w:lang w:val="en-GB"/>
        </w:rPr>
        <w:t>per</w:t>
      </w:r>
      <w:r w:rsidR="005D1E26">
        <w:rPr>
          <w:lang w:val="en-GB"/>
        </w:rPr>
        <w:t xml:space="preserve"> </w:t>
      </w:r>
      <w:r w:rsidR="00C66EE0" w:rsidRPr="00335FEB">
        <w:rPr>
          <w:lang w:val="en-GB"/>
        </w:rPr>
        <w:t>cent market share in 2006</w:t>
      </w:r>
      <w:r w:rsidRPr="00335FEB">
        <w:rPr>
          <w:lang w:val="en-GB"/>
        </w:rPr>
        <w:t>; **</w:t>
      </w:r>
      <w:r w:rsidR="00C66EE0" w:rsidRPr="00335FEB">
        <w:rPr>
          <w:lang w:val="en-GB"/>
        </w:rPr>
        <w:t>March 2018 data</w:t>
      </w:r>
      <w:r w:rsidR="00B55F3A" w:rsidRPr="00335FEB">
        <w:rPr>
          <w:lang w:val="en-GB"/>
        </w:rPr>
        <w:t xml:space="preserve">. </w:t>
      </w:r>
    </w:p>
    <w:p w14:paraId="0DF26A3D" w14:textId="5301DE86" w:rsidR="0089275B" w:rsidRPr="00335FEB" w:rsidRDefault="00C66EE0" w:rsidP="00C66EE0">
      <w:pPr>
        <w:pStyle w:val="Footnote"/>
        <w:rPr>
          <w:lang w:val="en-GB"/>
        </w:rPr>
      </w:pPr>
      <w:r w:rsidRPr="00335FEB">
        <w:rPr>
          <w:lang w:val="en-GB"/>
        </w:rPr>
        <w:t xml:space="preserve">Source: </w:t>
      </w:r>
      <w:r w:rsidR="00B55F3A" w:rsidRPr="00335FEB">
        <w:rPr>
          <w:lang w:val="en-GB"/>
        </w:rPr>
        <w:t xml:space="preserve">Compiled by the case author using </w:t>
      </w:r>
      <w:r w:rsidRPr="00335FEB">
        <w:rPr>
          <w:lang w:val="en-GB"/>
        </w:rPr>
        <w:t xml:space="preserve">CRISIL Report, accessed May 16, 2016, www.crisilresearch.com/CuttingEdge/Content/Economy/HeadLinePDF/Airlines.pdf; </w:t>
      </w:r>
      <w:r w:rsidR="00EA3BCB" w:rsidRPr="00335FEB">
        <w:rPr>
          <w:lang w:val="en-GB"/>
        </w:rPr>
        <w:t>t</w:t>
      </w:r>
      <w:r w:rsidRPr="00335FEB">
        <w:rPr>
          <w:lang w:val="en-GB"/>
        </w:rPr>
        <w:t>he market share</w:t>
      </w:r>
      <w:r w:rsidR="00EA3BCB" w:rsidRPr="00335FEB">
        <w:rPr>
          <w:lang w:val="en-GB"/>
        </w:rPr>
        <w:t>s</w:t>
      </w:r>
      <w:r w:rsidRPr="00335FEB">
        <w:rPr>
          <w:lang w:val="en-GB"/>
        </w:rPr>
        <w:t xml:space="preserve"> for 2016, 2017</w:t>
      </w:r>
      <w:r w:rsidR="00EA3BCB" w:rsidRPr="00335FEB">
        <w:rPr>
          <w:lang w:val="en-GB"/>
        </w:rPr>
        <w:t>,</w:t>
      </w:r>
      <w:r w:rsidRPr="00335FEB">
        <w:rPr>
          <w:lang w:val="en-GB"/>
        </w:rPr>
        <w:t xml:space="preserve"> and 2018 </w:t>
      </w:r>
      <w:r w:rsidR="005D1E26">
        <w:rPr>
          <w:lang w:val="en-GB"/>
        </w:rPr>
        <w:t>are</w:t>
      </w:r>
      <w:r w:rsidRPr="00335FEB">
        <w:rPr>
          <w:lang w:val="en-GB"/>
        </w:rPr>
        <w:t xml:space="preserve"> from </w:t>
      </w:r>
      <w:r w:rsidR="00EA3BCB" w:rsidRPr="00335FEB">
        <w:rPr>
          <w:lang w:val="en-GB"/>
        </w:rPr>
        <w:t xml:space="preserve">“Domestic Traffic Reports (as on 24-10-2018),” </w:t>
      </w:r>
      <w:r w:rsidRPr="00335FEB">
        <w:rPr>
          <w:lang w:val="en-GB"/>
        </w:rPr>
        <w:t>D</w:t>
      </w:r>
      <w:r w:rsidR="005D1E26">
        <w:rPr>
          <w:lang w:val="en-GB"/>
        </w:rPr>
        <w:t xml:space="preserve">irectorate </w:t>
      </w:r>
      <w:r w:rsidRPr="00335FEB">
        <w:rPr>
          <w:lang w:val="en-GB"/>
        </w:rPr>
        <w:t>G</w:t>
      </w:r>
      <w:r w:rsidR="005D1E26">
        <w:rPr>
          <w:lang w:val="en-GB"/>
        </w:rPr>
        <w:t xml:space="preserve">eneral of </w:t>
      </w:r>
      <w:r w:rsidRPr="00335FEB">
        <w:rPr>
          <w:lang w:val="en-GB"/>
        </w:rPr>
        <w:t>C</w:t>
      </w:r>
      <w:r w:rsidR="005D1E26">
        <w:rPr>
          <w:lang w:val="en-GB"/>
        </w:rPr>
        <w:t xml:space="preserve">ivil </w:t>
      </w:r>
      <w:r w:rsidRPr="00335FEB">
        <w:rPr>
          <w:lang w:val="en-GB"/>
        </w:rPr>
        <w:t>A</w:t>
      </w:r>
      <w:r w:rsidR="005D1E26">
        <w:rPr>
          <w:lang w:val="en-GB"/>
        </w:rPr>
        <w:t>viation</w:t>
      </w:r>
      <w:r w:rsidR="00EA3BCB" w:rsidRPr="00335FEB">
        <w:rPr>
          <w:lang w:val="en-GB"/>
        </w:rPr>
        <w:t xml:space="preserve"> India,</w:t>
      </w:r>
      <w:r w:rsidRPr="00335FEB">
        <w:rPr>
          <w:lang w:val="en-GB"/>
        </w:rPr>
        <w:t xml:space="preserve"> </w:t>
      </w:r>
      <w:r w:rsidR="00EA3BCB" w:rsidRPr="00335FEB">
        <w:rPr>
          <w:lang w:val="en-GB"/>
        </w:rPr>
        <w:t>a</w:t>
      </w:r>
      <w:r w:rsidRPr="00335FEB">
        <w:rPr>
          <w:lang w:val="en-GB"/>
        </w:rPr>
        <w:t xml:space="preserve">ccessed May 14, 2018, </w:t>
      </w:r>
      <w:hyperlink r:id="rId12" w:history="1">
        <w:r w:rsidRPr="00335FEB">
          <w:rPr>
            <w:lang w:val="en-GB"/>
          </w:rPr>
          <w:t>http://dgca.nic.in/reports/Traffic-ind.htm</w:t>
        </w:r>
      </w:hyperlink>
      <w:r w:rsidRPr="00335FEB">
        <w:rPr>
          <w:lang w:val="en-GB"/>
        </w:rPr>
        <w:t>.</w:t>
      </w:r>
    </w:p>
    <w:p w14:paraId="0DBFAF50" w14:textId="77777777" w:rsidR="0089275B" w:rsidRPr="00335FEB" w:rsidRDefault="0089275B">
      <w:pPr>
        <w:spacing w:after="200" w:line="276" w:lineRule="auto"/>
        <w:rPr>
          <w:rFonts w:ascii="Arial" w:hAnsi="Arial" w:cs="Arial"/>
          <w:sz w:val="17"/>
          <w:szCs w:val="17"/>
          <w:lang w:val="en-GB"/>
        </w:rPr>
      </w:pPr>
      <w:r w:rsidRPr="00335FEB">
        <w:rPr>
          <w:lang w:val="en-GB"/>
        </w:rPr>
        <w:br w:type="page"/>
      </w:r>
      <w:bookmarkStart w:id="0" w:name="_GoBack"/>
      <w:bookmarkEnd w:id="0"/>
    </w:p>
    <w:p w14:paraId="0B10A21B" w14:textId="4D090984" w:rsidR="00C66EE0" w:rsidRPr="00335FEB" w:rsidRDefault="00C66EE0" w:rsidP="00C66EE0">
      <w:pPr>
        <w:pStyle w:val="ExhibitHeading"/>
        <w:rPr>
          <w:lang w:val="en-GB"/>
        </w:rPr>
      </w:pPr>
      <w:r w:rsidRPr="00335FEB">
        <w:rPr>
          <w:lang w:val="en-GB"/>
        </w:rPr>
        <w:t>Exhibit 4: SECTOR-WISE PRICES OF INDIGO AND ITS COMPETITORS (</w:t>
      </w:r>
      <w:r w:rsidR="007332B9" w:rsidRPr="00335FEB">
        <w:rPr>
          <w:lang w:val="en-GB"/>
        </w:rPr>
        <w:t>₹</w:t>
      </w:r>
      <w:r w:rsidRPr="00335FEB">
        <w:rPr>
          <w:lang w:val="en-GB"/>
        </w:rPr>
        <w:t>)</w:t>
      </w:r>
    </w:p>
    <w:p w14:paraId="2B9DBA52" w14:textId="77777777" w:rsidR="00C66EE0" w:rsidRPr="00335FEB" w:rsidRDefault="00C66EE0" w:rsidP="00C66EE0">
      <w:pPr>
        <w:pStyle w:val="BodyTextMain"/>
        <w:rPr>
          <w:sz w:val="20"/>
          <w:lang w:val="en-GB"/>
        </w:rPr>
      </w:pPr>
    </w:p>
    <w:tbl>
      <w:tblPr>
        <w:tblW w:w="6565" w:type="dxa"/>
        <w:jc w:val="center"/>
        <w:tblLayout w:type="fixed"/>
        <w:tblLook w:val="04A0" w:firstRow="1" w:lastRow="0" w:firstColumn="1" w:lastColumn="0" w:noHBand="0" w:noVBand="1"/>
      </w:tblPr>
      <w:tblGrid>
        <w:gridCol w:w="1515"/>
        <w:gridCol w:w="910"/>
        <w:gridCol w:w="1170"/>
        <w:gridCol w:w="990"/>
        <w:gridCol w:w="990"/>
        <w:gridCol w:w="990"/>
      </w:tblGrid>
      <w:tr w:rsidR="00C66EE0" w:rsidRPr="00335FEB" w14:paraId="0BA3EFAF" w14:textId="77777777" w:rsidTr="00697132">
        <w:trPr>
          <w:trHeight w:val="60"/>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BC35A" w14:textId="13E3F487" w:rsidR="00C66EE0" w:rsidRPr="00335FEB" w:rsidRDefault="00C66EE0" w:rsidP="00D01513">
            <w:pPr>
              <w:pStyle w:val="ExhibitText"/>
              <w:jc w:val="center"/>
              <w:rPr>
                <w:sz w:val="18"/>
                <w:szCs w:val="18"/>
                <w:lang w:val="en-GB"/>
              </w:rPr>
            </w:pPr>
            <w:r w:rsidRPr="00335FEB">
              <w:rPr>
                <w:sz w:val="18"/>
                <w:szCs w:val="18"/>
                <w:lang w:val="en-GB"/>
              </w:rPr>
              <w:t>Sectors</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488F16E9" w14:textId="6EBEEC42" w:rsidR="00C66EE0" w:rsidRPr="00335FEB" w:rsidRDefault="00C66EE0" w:rsidP="00D01513">
            <w:pPr>
              <w:pStyle w:val="ExhibitText"/>
              <w:jc w:val="center"/>
              <w:rPr>
                <w:sz w:val="18"/>
                <w:szCs w:val="18"/>
                <w:lang w:val="en-GB"/>
              </w:rPr>
            </w:pPr>
            <w:proofErr w:type="spellStart"/>
            <w:r w:rsidRPr="00335FEB">
              <w:rPr>
                <w:sz w:val="18"/>
                <w:szCs w:val="18"/>
                <w:lang w:val="en-GB"/>
              </w:rPr>
              <w:t>Indi</w:t>
            </w:r>
            <w:r w:rsidR="00512983" w:rsidRPr="00335FEB">
              <w:rPr>
                <w:sz w:val="18"/>
                <w:szCs w:val="18"/>
                <w:lang w:val="en-GB"/>
              </w:rPr>
              <w:t>G</w:t>
            </w:r>
            <w:r w:rsidRPr="00335FEB">
              <w:rPr>
                <w:sz w:val="18"/>
                <w:szCs w:val="18"/>
                <w:lang w:val="en-GB"/>
              </w:rPr>
              <w:t>o</w:t>
            </w:r>
            <w:proofErr w:type="spellEnd"/>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9C5CE19" w14:textId="4E8F89BB" w:rsidR="00C66EE0" w:rsidRPr="00335FEB" w:rsidRDefault="00C66EE0" w:rsidP="00D01513">
            <w:pPr>
              <w:pStyle w:val="ExhibitText"/>
              <w:jc w:val="center"/>
              <w:rPr>
                <w:sz w:val="18"/>
                <w:szCs w:val="18"/>
                <w:lang w:val="en-GB"/>
              </w:rPr>
            </w:pPr>
            <w:r w:rsidRPr="00335FEB">
              <w:rPr>
                <w:sz w:val="18"/>
                <w:szCs w:val="18"/>
                <w:lang w:val="en-GB"/>
              </w:rPr>
              <w:t>Jet Airways</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B690538" w14:textId="2D7AA1FB" w:rsidR="00C66EE0" w:rsidRPr="00335FEB" w:rsidRDefault="00C66EE0" w:rsidP="00D01513">
            <w:pPr>
              <w:pStyle w:val="ExhibitText"/>
              <w:jc w:val="center"/>
              <w:rPr>
                <w:sz w:val="18"/>
                <w:szCs w:val="18"/>
                <w:lang w:val="en-GB"/>
              </w:rPr>
            </w:pPr>
            <w:proofErr w:type="spellStart"/>
            <w:r w:rsidRPr="00335FEB">
              <w:rPr>
                <w:sz w:val="18"/>
                <w:szCs w:val="18"/>
                <w:lang w:val="en-GB"/>
              </w:rPr>
              <w:t>Spice</w:t>
            </w:r>
            <w:r w:rsidR="005D748C" w:rsidRPr="00335FEB">
              <w:rPr>
                <w:sz w:val="18"/>
                <w:szCs w:val="18"/>
                <w:lang w:val="en-GB"/>
              </w:rPr>
              <w:t>J</w:t>
            </w:r>
            <w:r w:rsidRPr="00335FEB">
              <w:rPr>
                <w:sz w:val="18"/>
                <w:szCs w:val="18"/>
                <w:lang w:val="en-GB"/>
              </w:rPr>
              <w:t>et</w:t>
            </w:r>
            <w:proofErr w:type="spellEnd"/>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486B455" w14:textId="66A7A09A" w:rsidR="00C66EE0" w:rsidRPr="00335FEB" w:rsidRDefault="00C66EE0" w:rsidP="00D01513">
            <w:pPr>
              <w:pStyle w:val="ExhibitText"/>
              <w:jc w:val="center"/>
              <w:rPr>
                <w:sz w:val="18"/>
                <w:szCs w:val="18"/>
                <w:lang w:val="en-GB"/>
              </w:rPr>
            </w:pPr>
            <w:r w:rsidRPr="00335FEB">
              <w:rPr>
                <w:sz w:val="18"/>
                <w:szCs w:val="18"/>
                <w:lang w:val="en-GB"/>
              </w:rPr>
              <w:t>Air India</w:t>
            </w:r>
          </w:p>
        </w:tc>
        <w:tc>
          <w:tcPr>
            <w:tcW w:w="990" w:type="dxa"/>
            <w:tcBorders>
              <w:top w:val="single" w:sz="4" w:space="0" w:color="auto"/>
              <w:left w:val="nil"/>
              <w:bottom w:val="single" w:sz="4" w:space="0" w:color="auto"/>
              <w:right w:val="single" w:sz="4" w:space="0" w:color="auto"/>
            </w:tcBorders>
          </w:tcPr>
          <w:p w14:paraId="3128F74C" w14:textId="47C91F2B" w:rsidR="00C66EE0" w:rsidRPr="00335FEB" w:rsidRDefault="00C66EE0" w:rsidP="00D01513">
            <w:pPr>
              <w:pStyle w:val="ExhibitText"/>
              <w:jc w:val="center"/>
              <w:rPr>
                <w:sz w:val="18"/>
                <w:szCs w:val="18"/>
                <w:lang w:val="en-GB"/>
              </w:rPr>
            </w:pPr>
            <w:proofErr w:type="spellStart"/>
            <w:r w:rsidRPr="00335FEB">
              <w:rPr>
                <w:sz w:val="18"/>
                <w:szCs w:val="18"/>
                <w:lang w:val="en-GB"/>
              </w:rPr>
              <w:t>GoAir</w:t>
            </w:r>
            <w:proofErr w:type="spellEnd"/>
          </w:p>
        </w:tc>
      </w:tr>
      <w:tr w:rsidR="00C66EE0" w:rsidRPr="00335FEB" w14:paraId="6C4FFC66"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2ED495" w14:textId="54A4D35A" w:rsidR="00C66EE0" w:rsidRPr="00335FEB" w:rsidRDefault="00C66EE0" w:rsidP="00A3352B">
            <w:pPr>
              <w:pStyle w:val="ExhibitText"/>
              <w:rPr>
                <w:sz w:val="18"/>
                <w:szCs w:val="18"/>
                <w:lang w:val="en-GB"/>
              </w:rPr>
            </w:pPr>
            <w:r w:rsidRPr="00335FEB">
              <w:rPr>
                <w:sz w:val="18"/>
                <w:szCs w:val="18"/>
                <w:lang w:val="en-GB"/>
              </w:rPr>
              <w:t>Delhi</w:t>
            </w:r>
            <w:r w:rsidR="005D748C" w:rsidRPr="00335FEB">
              <w:rPr>
                <w:sz w:val="18"/>
                <w:szCs w:val="18"/>
                <w:lang w:val="en-GB"/>
              </w:rPr>
              <w:t>–</w:t>
            </w:r>
            <w:r w:rsidRPr="00335FEB">
              <w:rPr>
                <w:sz w:val="18"/>
                <w:szCs w:val="18"/>
                <w:lang w:val="en-GB"/>
              </w:rPr>
              <w:t>Mumbai</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3E9E20F6" w14:textId="2E616CE6"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742</w:t>
            </w:r>
          </w:p>
          <w:p w14:paraId="5363461F" w14:textId="6A9B9017"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983</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285FB6A" w14:textId="52A4346A"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821</w:t>
            </w:r>
          </w:p>
          <w:p w14:paraId="090AD76B" w14:textId="007BBB66"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091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FF6E967" w14:textId="37EAB857"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649</w:t>
            </w:r>
          </w:p>
          <w:p w14:paraId="3E6503D6" w14:textId="42AEB826"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649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451067A" w14:textId="46E53B41"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482</w:t>
            </w:r>
          </w:p>
          <w:p w14:paraId="73725913" w14:textId="631EFAC3"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280</w:t>
            </w:r>
          </w:p>
        </w:tc>
        <w:tc>
          <w:tcPr>
            <w:tcW w:w="990" w:type="dxa"/>
            <w:tcBorders>
              <w:top w:val="single" w:sz="4" w:space="0" w:color="auto"/>
              <w:left w:val="nil"/>
              <w:bottom w:val="single" w:sz="4" w:space="0" w:color="auto"/>
              <w:right w:val="single" w:sz="4" w:space="0" w:color="auto"/>
            </w:tcBorders>
          </w:tcPr>
          <w:p w14:paraId="04D0172E" w14:textId="4E6026C6"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651</w:t>
            </w:r>
          </w:p>
          <w:p w14:paraId="3E15FB21" w14:textId="59BC5797"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249</w:t>
            </w:r>
          </w:p>
        </w:tc>
      </w:tr>
      <w:tr w:rsidR="00C66EE0" w:rsidRPr="00335FEB" w14:paraId="06BAF854"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92C5F9" w14:textId="524D143D" w:rsidR="00C66EE0" w:rsidRPr="00335FEB" w:rsidRDefault="00C66EE0" w:rsidP="00A3352B">
            <w:pPr>
              <w:pStyle w:val="ExhibitText"/>
              <w:rPr>
                <w:sz w:val="18"/>
                <w:szCs w:val="18"/>
                <w:lang w:val="en-GB"/>
              </w:rPr>
            </w:pPr>
            <w:r w:rsidRPr="00335FEB">
              <w:rPr>
                <w:sz w:val="18"/>
                <w:szCs w:val="18"/>
                <w:lang w:val="en-GB"/>
              </w:rPr>
              <w:t>Delhi</w:t>
            </w:r>
            <w:r w:rsidR="005D748C" w:rsidRPr="00335FEB">
              <w:rPr>
                <w:sz w:val="18"/>
                <w:szCs w:val="18"/>
                <w:lang w:val="en-GB"/>
              </w:rPr>
              <w:t>–</w:t>
            </w:r>
            <w:r w:rsidRPr="00335FEB">
              <w:rPr>
                <w:sz w:val="18"/>
                <w:szCs w:val="18"/>
                <w:lang w:val="en-GB"/>
              </w:rPr>
              <w:t>Bangalore</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40C1B11B" w14:textId="6CF3A8B5"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578</w:t>
            </w:r>
          </w:p>
          <w:p w14:paraId="61B435DE" w14:textId="5A9C063D"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049</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5983766A" w14:textId="25D0F952"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673</w:t>
            </w:r>
          </w:p>
          <w:p w14:paraId="2362A883" w14:textId="5CF97A48"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228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AE76190" w14:textId="43DB5BC7"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799</w:t>
            </w:r>
          </w:p>
          <w:p w14:paraId="39969F17" w14:textId="515CB031"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499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261FDA9" w14:textId="3686F5FD"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291</w:t>
            </w:r>
          </w:p>
          <w:p w14:paraId="644D2119" w14:textId="7297BB01"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291</w:t>
            </w:r>
          </w:p>
        </w:tc>
        <w:tc>
          <w:tcPr>
            <w:tcW w:w="990" w:type="dxa"/>
            <w:tcBorders>
              <w:top w:val="single" w:sz="4" w:space="0" w:color="auto"/>
              <w:left w:val="nil"/>
              <w:bottom w:val="single" w:sz="4" w:space="0" w:color="auto"/>
              <w:right w:val="single" w:sz="4" w:space="0" w:color="auto"/>
            </w:tcBorders>
          </w:tcPr>
          <w:p w14:paraId="7DFB9AB7" w14:textId="297917A5"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584</w:t>
            </w:r>
          </w:p>
          <w:p w14:paraId="386B4821" w14:textId="258CDBFA"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246</w:t>
            </w:r>
          </w:p>
        </w:tc>
      </w:tr>
      <w:tr w:rsidR="00C66EE0" w:rsidRPr="00335FEB" w14:paraId="2EBE72DA"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D555ED" w14:textId="720E3B41" w:rsidR="00C66EE0" w:rsidRPr="00335FEB" w:rsidRDefault="00C66EE0" w:rsidP="00A3352B">
            <w:pPr>
              <w:pStyle w:val="ExhibitText"/>
              <w:rPr>
                <w:sz w:val="18"/>
                <w:szCs w:val="18"/>
                <w:lang w:val="en-GB"/>
              </w:rPr>
            </w:pPr>
            <w:r w:rsidRPr="00335FEB">
              <w:rPr>
                <w:sz w:val="18"/>
                <w:szCs w:val="18"/>
                <w:lang w:val="en-GB"/>
              </w:rPr>
              <w:t>Delhi</w:t>
            </w:r>
            <w:r w:rsidR="005D748C" w:rsidRPr="00335FEB">
              <w:rPr>
                <w:sz w:val="18"/>
                <w:szCs w:val="18"/>
                <w:lang w:val="en-GB"/>
              </w:rPr>
              <w:t>–</w:t>
            </w:r>
            <w:r w:rsidRPr="00335FEB">
              <w:rPr>
                <w:sz w:val="18"/>
                <w:szCs w:val="18"/>
                <w:lang w:val="en-GB"/>
              </w:rPr>
              <w:t>Chennai</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0C4E53C5" w14:textId="2EA82DF3"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062</w:t>
            </w:r>
          </w:p>
          <w:p w14:paraId="33F06AE8" w14:textId="04F78A50"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062</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94224EB" w14:textId="69D50A09"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144</w:t>
            </w:r>
          </w:p>
          <w:p w14:paraId="698F0EA8" w14:textId="2CEEF6C1"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144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0322138" w14:textId="6BE02BE7"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040</w:t>
            </w:r>
          </w:p>
          <w:p w14:paraId="0E312130" w14:textId="12013089"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399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DD2D8A0" w14:textId="41EE1C3C"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155</w:t>
            </w:r>
          </w:p>
          <w:p w14:paraId="6CCD2FB7" w14:textId="66BE01D6"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155</w:t>
            </w:r>
          </w:p>
        </w:tc>
        <w:tc>
          <w:tcPr>
            <w:tcW w:w="990" w:type="dxa"/>
            <w:tcBorders>
              <w:top w:val="single" w:sz="4" w:space="0" w:color="auto"/>
              <w:left w:val="nil"/>
              <w:bottom w:val="single" w:sz="4" w:space="0" w:color="auto"/>
              <w:right w:val="single" w:sz="4" w:space="0" w:color="auto"/>
            </w:tcBorders>
          </w:tcPr>
          <w:p w14:paraId="16AC6529" w14:textId="27DFC0CA" w:rsidR="00C66EE0" w:rsidRPr="00335FEB" w:rsidRDefault="00C66EE0" w:rsidP="00D01513">
            <w:pPr>
              <w:pStyle w:val="ExhibitText"/>
              <w:jc w:val="right"/>
              <w:rPr>
                <w:sz w:val="18"/>
                <w:szCs w:val="18"/>
                <w:lang w:val="en-GB"/>
              </w:rPr>
            </w:pPr>
            <w:r w:rsidRPr="00335FEB">
              <w:rPr>
                <w:sz w:val="18"/>
                <w:szCs w:val="18"/>
                <w:lang w:val="en-GB"/>
              </w:rPr>
              <w:t>10</w:t>
            </w:r>
            <w:r w:rsidR="005D748C" w:rsidRPr="00335FEB">
              <w:rPr>
                <w:sz w:val="18"/>
                <w:szCs w:val="18"/>
                <w:lang w:val="en-GB"/>
              </w:rPr>
              <w:t>,</w:t>
            </w:r>
            <w:r w:rsidRPr="00335FEB">
              <w:rPr>
                <w:sz w:val="18"/>
                <w:szCs w:val="18"/>
                <w:lang w:val="en-GB"/>
              </w:rPr>
              <w:t>765</w:t>
            </w:r>
          </w:p>
          <w:p w14:paraId="6EB19C1A" w14:textId="4DF3DD59" w:rsidR="00C66EE0" w:rsidRPr="00335FEB" w:rsidRDefault="00C66EE0" w:rsidP="00D01513">
            <w:pPr>
              <w:pStyle w:val="ExhibitText"/>
              <w:jc w:val="right"/>
              <w:rPr>
                <w:sz w:val="18"/>
                <w:szCs w:val="18"/>
                <w:lang w:val="en-GB"/>
              </w:rPr>
            </w:pPr>
            <w:r w:rsidRPr="00335FEB">
              <w:rPr>
                <w:sz w:val="18"/>
                <w:szCs w:val="18"/>
                <w:lang w:val="en-GB"/>
              </w:rPr>
              <w:t>9</w:t>
            </w:r>
            <w:r w:rsidR="005D748C" w:rsidRPr="00335FEB">
              <w:rPr>
                <w:sz w:val="18"/>
                <w:szCs w:val="18"/>
                <w:lang w:val="en-GB"/>
              </w:rPr>
              <w:t>,</w:t>
            </w:r>
            <w:r w:rsidRPr="00335FEB">
              <w:rPr>
                <w:sz w:val="18"/>
                <w:szCs w:val="18"/>
                <w:lang w:val="en-GB"/>
              </w:rPr>
              <w:t>283</w:t>
            </w:r>
          </w:p>
        </w:tc>
      </w:tr>
      <w:tr w:rsidR="00C66EE0" w:rsidRPr="00335FEB" w14:paraId="185C7169"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8F421" w14:textId="27041750" w:rsidR="00C66EE0" w:rsidRPr="00335FEB" w:rsidRDefault="00C66EE0" w:rsidP="00A3352B">
            <w:pPr>
              <w:pStyle w:val="ExhibitText"/>
              <w:rPr>
                <w:sz w:val="18"/>
                <w:szCs w:val="18"/>
                <w:lang w:val="en-GB"/>
              </w:rPr>
            </w:pPr>
            <w:r w:rsidRPr="00335FEB">
              <w:rPr>
                <w:sz w:val="18"/>
                <w:szCs w:val="18"/>
                <w:lang w:val="en-GB"/>
              </w:rPr>
              <w:t>Delhi</w:t>
            </w:r>
            <w:r w:rsidR="005D748C" w:rsidRPr="00335FEB">
              <w:rPr>
                <w:sz w:val="18"/>
                <w:szCs w:val="18"/>
                <w:lang w:val="en-GB"/>
              </w:rPr>
              <w:t>–</w:t>
            </w:r>
            <w:r w:rsidRPr="00335FEB">
              <w:rPr>
                <w:sz w:val="18"/>
                <w:szCs w:val="18"/>
                <w:lang w:val="en-GB"/>
              </w:rPr>
              <w:t>Kolkata</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18CA7526" w14:textId="2781DA08"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937</w:t>
            </w:r>
          </w:p>
          <w:p w14:paraId="29FD0082" w14:textId="3B963CDF"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409</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A093C90" w14:textId="667D0AC6"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450</w:t>
            </w:r>
          </w:p>
          <w:p w14:paraId="7F654922" w14:textId="661344C4"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652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BB3A1F9" w14:textId="52AFB5BC"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895</w:t>
            </w:r>
          </w:p>
          <w:p w14:paraId="6559BAC7" w14:textId="39DBCF74"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840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E5F3EBB" w14:textId="225958FE"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250</w:t>
            </w:r>
          </w:p>
          <w:p w14:paraId="66F66EFD" w14:textId="58B7D17A"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250</w:t>
            </w:r>
          </w:p>
        </w:tc>
        <w:tc>
          <w:tcPr>
            <w:tcW w:w="990" w:type="dxa"/>
            <w:tcBorders>
              <w:top w:val="single" w:sz="4" w:space="0" w:color="auto"/>
              <w:left w:val="nil"/>
              <w:bottom w:val="single" w:sz="4" w:space="0" w:color="auto"/>
              <w:right w:val="single" w:sz="4" w:space="0" w:color="auto"/>
            </w:tcBorders>
          </w:tcPr>
          <w:p w14:paraId="170CBEB3" w14:textId="1F7F829D"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835</w:t>
            </w:r>
          </w:p>
          <w:p w14:paraId="5EFC83E3" w14:textId="79C28E5C" w:rsidR="00C66EE0" w:rsidRPr="00335FEB" w:rsidRDefault="00C66EE0" w:rsidP="00D01513">
            <w:pPr>
              <w:pStyle w:val="ExhibitText"/>
              <w:jc w:val="right"/>
              <w:rPr>
                <w:sz w:val="18"/>
                <w:szCs w:val="18"/>
                <w:lang w:val="en-GB"/>
              </w:rPr>
            </w:pPr>
            <w:r w:rsidRPr="00335FEB">
              <w:rPr>
                <w:sz w:val="18"/>
                <w:szCs w:val="18"/>
                <w:lang w:val="en-GB"/>
              </w:rPr>
              <w:t>8</w:t>
            </w:r>
            <w:r w:rsidR="005D748C" w:rsidRPr="00335FEB">
              <w:rPr>
                <w:sz w:val="18"/>
                <w:szCs w:val="18"/>
                <w:lang w:val="en-GB"/>
              </w:rPr>
              <w:t>,</w:t>
            </w:r>
            <w:r w:rsidRPr="00335FEB">
              <w:rPr>
                <w:sz w:val="18"/>
                <w:szCs w:val="18"/>
                <w:lang w:val="en-GB"/>
              </w:rPr>
              <w:t>253</w:t>
            </w:r>
          </w:p>
        </w:tc>
      </w:tr>
      <w:tr w:rsidR="00C66EE0" w:rsidRPr="00335FEB" w14:paraId="6A638A29"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789BC" w14:textId="62FF24B6" w:rsidR="00C66EE0" w:rsidRPr="00335FEB" w:rsidRDefault="00C66EE0" w:rsidP="00A3352B">
            <w:pPr>
              <w:pStyle w:val="ExhibitText"/>
              <w:rPr>
                <w:sz w:val="18"/>
                <w:szCs w:val="18"/>
                <w:lang w:val="en-GB"/>
              </w:rPr>
            </w:pPr>
            <w:r w:rsidRPr="00335FEB">
              <w:rPr>
                <w:sz w:val="18"/>
                <w:szCs w:val="18"/>
                <w:lang w:val="en-GB"/>
              </w:rPr>
              <w:t>Delhi</w:t>
            </w:r>
            <w:r w:rsidR="005D748C" w:rsidRPr="00335FEB">
              <w:rPr>
                <w:sz w:val="18"/>
                <w:szCs w:val="18"/>
                <w:lang w:val="en-GB"/>
              </w:rPr>
              <w:t>–</w:t>
            </w:r>
            <w:r w:rsidRPr="00335FEB">
              <w:rPr>
                <w:sz w:val="18"/>
                <w:szCs w:val="18"/>
                <w:lang w:val="en-GB"/>
              </w:rPr>
              <w:t>Hyderabad</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5DEBBACD" w14:textId="0DAA1A4C"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964</w:t>
            </w:r>
          </w:p>
          <w:p w14:paraId="376A2B95" w14:textId="51BF7C92"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345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7F16B630" w14:textId="0C41F031"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297</w:t>
            </w:r>
          </w:p>
          <w:p w14:paraId="25583F15" w14:textId="58A84B3C"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610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578D4FB" w14:textId="40B26D08"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079</w:t>
            </w:r>
          </w:p>
          <w:p w14:paraId="478F7E8B" w14:textId="180DA838"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079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6F680C5" w14:textId="1EEC20EB"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878</w:t>
            </w:r>
          </w:p>
          <w:p w14:paraId="19B70373" w14:textId="63B7AAEA"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299</w:t>
            </w:r>
          </w:p>
        </w:tc>
        <w:tc>
          <w:tcPr>
            <w:tcW w:w="990" w:type="dxa"/>
            <w:tcBorders>
              <w:top w:val="single" w:sz="4" w:space="0" w:color="auto"/>
              <w:left w:val="nil"/>
              <w:bottom w:val="single" w:sz="4" w:space="0" w:color="auto"/>
              <w:right w:val="single" w:sz="4" w:space="0" w:color="auto"/>
            </w:tcBorders>
          </w:tcPr>
          <w:p w14:paraId="1D0C0C40" w14:textId="6A84EB1F" w:rsidR="00C66EE0" w:rsidRPr="00335FEB" w:rsidRDefault="00E94244" w:rsidP="00D01513">
            <w:pPr>
              <w:pStyle w:val="ExhibitText"/>
              <w:jc w:val="right"/>
              <w:rPr>
                <w:sz w:val="18"/>
                <w:szCs w:val="18"/>
                <w:lang w:val="en-GB"/>
              </w:rPr>
            </w:pPr>
            <w:r>
              <w:rPr>
                <w:sz w:val="18"/>
                <w:szCs w:val="18"/>
                <w:lang w:val="en-GB"/>
              </w:rPr>
              <w:t>*</w:t>
            </w:r>
          </w:p>
          <w:p w14:paraId="723EB2F0" w14:textId="2706A4BC" w:rsidR="00C66EE0" w:rsidRPr="00335FEB" w:rsidRDefault="00E94244" w:rsidP="00D01513">
            <w:pPr>
              <w:pStyle w:val="ExhibitText"/>
              <w:jc w:val="right"/>
              <w:rPr>
                <w:sz w:val="18"/>
                <w:szCs w:val="18"/>
                <w:lang w:val="en-GB"/>
              </w:rPr>
            </w:pPr>
            <w:r>
              <w:rPr>
                <w:sz w:val="18"/>
                <w:szCs w:val="18"/>
                <w:lang w:val="en-GB"/>
              </w:rPr>
              <w:t>*</w:t>
            </w:r>
          </w:p>
        </w:tc>
      </w:tr>
      <w:tr w:rsidR="00C66EE0" w:rsidRPr="00335FEB" w14:paraId="2D1B6692"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B8332B" w14:textId="71305359" w:rsidR="00C66EE0" w:rsidRPr="00335FEB" w:rsidRDefault="00C66EE0" w:rsidP="00A3352B">
            <w:pPr>
              <w:pStyle w:val="ExhibitText"/>
              <w:rPr>
                <w:sz w:val="18"/>
                <w:szCs w:val="18"/>
                <w:lang w:val="en-GB"/>
              </w:rPr>
            </w:pPr>
            <w:r w:rsidRPr="00335FEB">
              <w:rPr>
                <w:sz w:val="18"/>
                <w:szCs w:val="18"/>
                <w:lang w:val="en-GB"/>
              </w:rPr>
              <w:t>Mumbai</w:t>
            </w:r>
            <w:r w:rsidR="005D748C" w:rsidRPr="00335FEB">
              <w:rPr>
                <w:sz w:val="18"/>
                <w:szCs w:val="18"/>
                <w:lang w:val="en-GB"/>
              </w:rPr>
              <w:t>–</w:t>
            </w:r>
            <w:r w:rsidRPr="00335FEB">
              <w:rPr>
                <w:sz w:val="18"/>
                <w:szCs w:val="18"/>
                <w:lang w:val="en-GB"/>
              </w:rPr>
              <w:t>Bangalore</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408FBE28" w14:textId="3A1AD843"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203</w:t>
            </w:r>
          </w:p>
          <w:p w14:paraId="657ECD96" w14:textId="32E75968"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057</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CA1D127" w14:textId="4B5B28EB"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552</w:t>
            </w:r>
          </w:p>
          <w:p w14:paraId="76E1A0F4" w14:textId="033D9D56"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917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8E89E09" w14:textId="5EFB3DCA"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299</w:t>
            </w:r>
          </w:p>
          <w:p w14:paraId="1F03A09B" w14:textId="677E593A"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849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9350BE9" w14:textId="1824C128"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672</w:t>
            </w:r>
          </w:p>
          <w:p w14:paraId="3316CCED" w14:textId="5512CF75"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069</w:t>
            </w:r>
          </w:p>
        </w:tc>
        <w:tc>
          <w:tcPr>
            <w:tcW w:w="990" w:type="dxa"/>
            <w:tcBorders>
              <w:top w:val="single" w:sz="4" w:space="0" w:color="auto"/>
              <w:left w:val="nil"/>
              <w:bottom w:val="single" w:sz="4" w:space="0" w:color="auto"/>
              <w:right w:val="single" w:sz="4" w:space="0" w:color="auto"/>
            </w:tcBorders>
          </w:tcPr>
          <w:p w14:paraId="0CC06D6D" w14:textId="37DC4AA5"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047</w:t>
            </w:r>
          </w:p>
          <w:p w14:paraId="4D32B375" w14:textId="19287316"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192</w:t>
            </w:r>
          </w:p>
        </w:tc>
      </w:tr>
      <w:tr w:rsidR="00C66EE0" w:rsidRPr="00335FEB" w14:paraId="11D22BCF"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3ACB6E" w14:textId="65FA797C" w:rsidR="00C66EE0" w:rsidRPr="00335FEB" w:rsidRDefault="00C66EE0" w:rsidP="00A3352B">
            <w:pPr>
              <w:pStyle w:val="ExhibitText"/>
              <w:rPr>
                <w:sz w:val="18"/>
                <w:szCs w:val="18"/>
                <w:lang w:val="en-GB"/>
              </w:rPr>
            </w:pPr>
            <w:r w:rsidRPr="00335FEB">
              <w:rPr>
                <w:sz w:val="18"/>
                <w:szCs w:val="18"/>
                <w:lang w:val="en-GB"/>
              </w:rPr>
              <w:t>Mumbai</w:t>
            </w:r>
            <w:r w:rsidR="005D748C" w:rsidRPr="00335FEB">
              <w:rPr>
                <w:sz w:val="18"/>
                <w:szCs w:val="18"/>
                <w:lang w:val="en-GB"/>
              </w:rPr>
              <w:t>–</w:t>
            </w:r>
            <w:r w:rsidRPr="00335FEB">
              <w:rPr>
                <w:sz w:val="18"/>
                <w:szCs w:val="18"/>
                <w:lang w:val="en-GB"/>
              </w:rPr>
              <w:t>Chennai</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5D9AED03" w14:textId="705DC72A"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885</w:t>
            </w:r>
          </w:p>
          <w:p w14:paraId="1B8372D2" w14:textId="58AE9509"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797</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CD896E4" w14:textId="6DC9972C"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657</w:t>
            </w:r>
          </w:p>
          <w:p w14:paraId="3C216FF0" w14:textId="69B97642"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494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9D00C1F" w14:textId="75320705"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299</w:t>
            </w:r>
          </w:p>
          <w:p w14:paraId="6D6DFB78" w14:textId="1B443BD0"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950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F550E40" w14:textId="4DAD909F"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777</w:t>
            </w:r>
          </w:p>
          <w:p w14:paraId="6D107734" w14:textId="16920ACA"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667</w:t>
            </w:r>
          </w:p>
        </w:tc>
        <w:tc>
          <w:tcPr>
            <w:tcW w:w="990" w:type="dxa"/>
            <w:tcBorders>
              <w:top w:val="single" w:sz="4" w:space="0" w:color="auto"/>
              <w:left w:val="nil"/>
              <w:bottom w:val="single" w:sz="4" w:space="0" w:color="auto"/>
              <w:right w:val="single" w:sz="4" w:space="0" w:color="auto"/>
            </w:tcBorders>
          </w:tcPr>
          <w:p w14:paraId="2BB9EA72" w14:textId="3FD3CFFC"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891</w:t>
            </w:r>
          </w:p>
          <w:p w14:paraId="1663E844" w14:textId="3BDECAD7"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748</w:t>
            </w:r>
          </w:p>
        </w:tc>
      </w:tr>
      <w:tr w:rsidR="00C66EE0" w:rsidRPr="00335FEB" w14:paraId="2E3FE013"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6E75308" w14:textId="55138980" w:rsidR="00C66EE0" w:rsidRPr="00335FEB" w:rsidRDefault="00C66EE0" w:rsidP="00A3352B">
            <w:pPr>
              <w:pStyle w:val="ExhibitText"/>
              <w:rPr>
                <w:sz w:val="18"/>
                <w:szCs w:val="18"/>
                <w:lang w:val="en-GB"/>
              </w:rPr>
            </w:pPr>
            <w:r w:rsidRPr="00335FEB">
              <w:rPr>
                <w:sz w:val="18"/>
                <w:szCs w:val="18"/>
                <w:lang w:val="en-GB"/>
              </w:rPr>
              <w:t>Mumbai</w:t>
            </w:r>
            <w:r w:rsidR="005D748C" w:rsidRPr="00335FEB">
              <w:rPr>
                <w:sz w:val="18"/>
                <w:szCs w:val="18"/>
                <w:lang w:val="en-GB"/>
              </w:rPr>
              <w:t>–</w:t>
            </w:r>
            <w:r w:rsidRPr="00335FEB">
              <w:rPr>
                <w:sz w:val="18"/>
                <w:szCs w:val="18"/>
                <w:lang w:val="en-GB"/>
              </w:rPr>
              <w:t>Kolkata</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3369218A" w14:textId="3C9860FF" w:rsidR="00C66EE0" w:rsidRPr="00335FEB" w:rsidRDefault="00C66EE0" w:rsidP="00D01513">
            <w:pPr>
              <w:pStyle w:val="ExhibitText"/>
              <w:jc w:val="right"/>
              <w:rPr>
                <w:sz w:val="18"/>
                <w:szCs w:val="18"/>
                <w:lang w:val="en-GB"/>
              </w:rPr>
            </w:pPr>
            <w:r w:rsidRPr="00335FEB">
              <w:rPr>
                <w:sz w:val="18"/>
                <w:szCs w:val="18"/>
                <w:lang w:val="en-GB"/>
              </w:rPr>
              <w:t>8</w:t>
            </w:r>
            <w:r w:rsidR="005D748C" w:rsidRPr="00335FEB">
              <w:rPr>
                <w:sz w:val="18"/>
                <w:szCs w:val="18"/>
                <w:lang w:val="en-GB"/>
              </w:rPr>
              <w:t>,</w:t>
            </w:r>
            <w:r w:rsidRPr="00335FEB">
              <w:rPr>
                <w:sz w:val="18"/>
                <w:szCs w:val="18"/>
                <w:lang w:val="en-GB"/>
              </w:rPr>
              <w:t>164</w:t>
            </w:r>
          </w:p>
          <w:p w14:paraId="6338777C" w14:textId="3CCDF19A"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155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084CAD69" w14:textId="0AFABBE3" w:rsidR="00C66EE0" w:rsidRPr="00335FEB" w:rsidRDefault="00C66EE0" w:rsidP="00D01513">
            <w:pPr>
              <w:pStyle w:val="ExhibitText"/>
              <w:jc w:val="right"/>
              <w:rPr>
                <w:sz w:val="18"/>
                <w:szCs w:val="18"/>
                <w:lang w:val="en-GB"/>
              </w:rPr>
            </w:pPr>
            <w:r w:rsidRPr="00335FEB">
              <w:rPr>
                <w:sz w:val="18"/>
                <w:szCs w:val="18"/>
                <w:lang w:val="en-GB"/>
              </w:rPr>
              <w:t>7</w:t>
            </w:r>
            <w:r w:rsidR="005D748C" w:rsidRPr="00335FEB">
              <w:rPr>
                <w:sz w:val="18"/>
                <w:szCs w:val="18"/>
                <w:lang w:val="en-GB"/>
              </w:rPr>
              <w:t>,</w:t>
            </w:r>
            <w:r w:rsidRPr="00335FEB">
              <w:rPr>
                <w:sz w:val="18"/>
                <w:szCs w:val="18"/>
                <w:lang w:val="en-GB"/>
              </w:rPr>
              <w:t>408</w:t>
            </w:r>
          </w:p>
          <w:p w14:paraId="00A55510" w14:textId="5006BB3F"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504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1BCF7F7" w14:textId="23B74ABE"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899</w:t>
            </w:r>
          </w:p>
          <w:p w14:paraId="29819E91" w14:textId="49BB2CFF"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249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6CACEBD4" w14:textId="7BB4B7DA"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983</w:t>
            </w:r>
          </w:p>
          <w:p w14:paraId="40E004F9" w14:textId="5EFE298B"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677</w:t>
            </w:r>
          </w:p>
        </w:tc>
        <w:tc>
          <w:tcPr>
            <w:tcW w:w="990" w:type="dxa"/>
            <w:tcBorders>
              <w:top w:val="single" w:sz="4" w:space="0" w:color="auto"/>
              <w:left w:val="nil"/>
              <w:bottom w:val="single" w:sz="4" w:space="0" w:color="auto"/>
              <w:right w:val="single" w:sz="4" w:space="0" w:color="auto"/>
            </w:tcBorders>
          </w:tcPr>
          <w:p w14:paraId="6D2BA018" w14:textId="6D188134" w:rsidR="00C66EE0" w:rsidRPr="00335FEB" w:rsidRDefault="00C66EE0" w:rsidP="00D01513">
            <w:pPr>
              <w:pStyle w:val="ExhibitText"/>
              <w:jc w:val="right"/>
              <w:rPr>
                <w:sz w:val="18"/>
                <w:szCs w:val="18"/>
                <w:lang w:val="en-GB"/>
              </w:rPr>
            </w:pPr>
            <w:r w:rsidRPr="00335FEB">
              <w:rPr>
                <w:sz w:val="18"/>
                <w:szCs w:val="18"/>
                <w:lang w:val="en-GB"/>
              </w:rPr>
              <w:t>13</w:t>
            </w:r>
            <w:r w:rsidR="005D748C" w:rsidRPr="00335FEB">
              <w:rPr>
                <w:sz w:val="18"/>
                <w:szCs w:val="18"/>
                <w:lang w:val="en-GB"/>
              </w:rPr>
              <w:t>,</w:t>
            </w:r>
            <w:r w:rsidRPr="00335FEB">
              <w:rPr>
                <w:sz w:val="18"/>
                <w:szCs w:val="18"/>
                <w:lang w:val="en-GB"/>
              </w:rPr>
              <w:t>511</w:t>
            </w:r>
          </w:p>
          <w:p w14:paraId="3DA9982E" w14:textId="6021A5B2" w:rsidR="00C66EE0" w:rsidRPr="00335FEB" w:rsidRDefault="00C66EE0" w:rsidP="00D01513">
            <w:pPr>
              <w:pStyle w:val="ExhibitText"/>
              <w:jc w:val="right"/>
              <w:rPr>
                <w:sz w:val="18"/>
                <w:szCs w:val="18"/>
                <w:lang w:val="en-GB"/>
              </w:rPr>
            </w:pPr>
            <w:r w:rsidRPr="00335FEB">
              <w:rPr>
                <w:sz w:val="18"/>
                <w:szCs w:val="18"/>
                <w:lang w:val="en-GB"/>
              </w:rPr>
              <w:t>12</w:t>
            </w:r>
            <w:r w:rsidR="005D748C" w:rsidRPr="00335FEB">
              <w:rPr>
                <w:sz w:val="18"/>
                <w:szCs w:val="18"/>
                <w:lang w:val="en-GB"/>
              </w:rPr>
              <w:t>,</w:t>
            </w:r>
            <w:r w:rsidRPr="00335FEB">
              <w:rPr>
                <w:sz w:val="18"/>
                <w:szCs w:val="18"/>
                <w:lang w:val="en-GB"/>
              </w:rPr>
              <w:t>453</w:t>
            </w:r>
          </w:p>
        </w:tc>
      </w:tr>
      <w:tr w:rsidR="00C66EE0" w:rsidRPr="00335FEB" w14:paraId="3573D747"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83F7B1" w14:textId="698ECC36" w:rsidR="00C66EE0" w:rsidRPr="00335FEB" w:rsidRDefault="00C66EE0" w:rsidP="00A3352B">
            <w:pPr>
              <w:pStyle w:val="ExhibitText"/>
              <w:rPr>
                <w:sz w:val="18"/>
                <w:szCs w:val="18"/>
                <w:lang w:val="en-GB"/>
              </w:rPr>
            </w:pPr>
            <w:r w:rsidRPr="00335FEB">
              <w:rPr>
                <w:sz w:val="18"/>
                <w:szCs w:val="18"/>
                <w:lang w:val="en-GB"/>
              </w:rPr>
              <w:t>Mumbai</w:t>
            </w:r>
            <w:r w:rsidR="005D748C" w:rsidRPr="00335FEB">
              <w:rPr>
                <w:sz w:val="18"/>
                <w:szCs w:val="18"/>
                <w:lang w:val="en-GB"/>
              </w:rPr>
              <w:t>–</w:t>
            </w:r>
            <w:r w:rsidRPr="00335FEB">
              <w:rPr>
                <w:sz w:val="18"/>
                <w:szCs w:val="18"/>
                <w:lang w:val="en-GB"/>
              </w:rPr>
              <w:t>Hyderabad</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58C22361" w14:textId="43BA680D"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240</w:t>
            </w:r>
          </w:p>
          <w:p w14:paraId="2AD43787" w14:textId="6136A305"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240</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A62F01D" w14:textId="2D4A3A2D"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044</w:t>
            </w:r>
          </w:p>
          <w:p w14:paraId="30A2599C" w14:textId="13A6A578"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044</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5F547DAD" w14:textId="2CBA018A"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100</w:t>
            </w:r>
          </w:p>
          <w:p w14:paraId="4766450B" w14:textId="76D9C8DF"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100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9737FC1" w14:textId="578CA35E"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243</w:t>
            </w:r>
          </w:p>
          <w:p w14:paraId="1EF8D0E7" w14:textId="4964403D"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243</w:t>
            </w:r>
          </w:p>
        </w:tc>
        <w:tc>
          <w:tcPr>
            <w:tcW w:w="990" w:type="dxa"/>
            <w:tcBorders>
              <w:top w:val="single" w:sz="4" w:space="0" w:color="auto"/>
              <w:left w:val="nil"/>
              <w:bottom w:val="single" w:sz="4" w:space="0" w:color="auto"/>
              <w:right w:val="single" w:sz="4" w:space="0" w:color="auto"/>
            </w:tcBorders>
          </w:tcPr>
          <w:p w14:paraId="4A72F3D3" w14:textId="77777777" w:rsidR="00C66EE0" w:rsidRPr="00335FEB" w:rsidRDefault="00C66EE0" w:rsidP="00D01513">
            <w:pPr>
              <w:pStyle w:val="ExhibitText"/>
              <w:jc w:val="right"/>
              <w:rPr>
                <w:sz w:val="18"/>
                <w:szCs w:val="18"/>
                <w:lang w:val="en-GB"/>
              </w:rPr>
            </w:pPr>
            <w:r w:rsidRPr="00335FEB">
              <w:rPr>
                <w:sz w:val="18"/>
                <w:szCs w:val="18"/>
                <w:lang w:val="en-GB"/>
              </w:rPr>
              <w:t>*</w:t>
            </w:r>
          </w:p>
          <w:p w14:paraId="3700D18D"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0E9D0C27"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169C74" w14:textId="263D3638" w:rsidR="00C66EE0" w:rsidRPr="00335FEB" w:rsidRDefault="00C66EE0" w:rsidP="00A3352B">
            <w:pPr>
              <w:pStyle w:val="ExhibitText"/>
              <w:rPr>
                <w:sz w:val="18"/>
                <w:szCs w:val="18"/>
                <w:lang w:val="en-GB"/>
              </w:rPr>
            </w:pPr>
            <w:r w:rsidRPr="00335FEB">
              <w:rPr>
                <w:sz w:val="18"/>
                <w:szCs w:val="18"/>
                <w:lang w:val="en-GB"/>
              </w:rPr>
              <w:t>Bangalore</w:t>
            </w:r>
            <w:r w:rsidR="005D748C" w:rsidRPr="00335FEB">
              <w:rPr>
                <w:sz w:val="18"/>
                <w:szCs w:val="18"/>
                <w:lang w:val="en-GB"/>
              </w:rPr>
              <w:t>–</w:t>
            </w:r>
            <w:r w:rsidRPr="00335FEB">
              <w:rPr>
                <w:sz w:val="18"/>
                <w:szCs w:val="18"/>
                <w:lang w:val="en-GB"/>
              </w:rPr>
              <w:t>Chennai</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567CE9ED" w14:textId="0818F107"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400</w:t>
            </w:r>
          </w:p>
          <w:p w14:paraId="1127167F" w14:textId="3FE356D6"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461</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2396C11B" w14:textId="7B26AD41"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511</w:t>
            </w:r>
          </w:p>
          <w:p w14:paraId="697B00C6" w14:textId="15D18D74"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511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ED98F36" w14:textId="1BFC06A1"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290</w:t>
            </w:r>
          </w:p>
          <w:p w14:paraId="6B57D7F1" w14:textId="77B20B55" w:rsidR="00C66EE0" w:rsidRPr="00335FEB" w:rsidRDefault="00C66EE0" w:rsidP="00D01513">
            <w:pPr>
              <w:pStyle w:val="ExhibitText"/>
              <w:jc w:val="right"/>
              <w:rPr>
                <w:sz w:val="18"/>
                <w:szCs w:val="18"/>
                <w:lang w:val="en-GB"/>
              </w:rPr>
            </w:pPr>
            <w:r w:rsidRPr="00335FEB">
              <w:rPr>
                <w:sz w:val="18"/>
                <w:szCs w:val="18"/>
                <w:lang w:val="en-GB"/>
              </w:rPr>
              <w:t>785</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40423C6" w14:textId="26013E00"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451</w:t>
            </w:r>
          </w:p>
          <w:p w14:paraId="4DDD3A12" w14:textId="18B457AD"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451</w:t>
            </w:r>
          </w:p>
        </w:tc>
        <w:tc>
          <w:tcPr>
            <w:tcW w:w="990" w:type="dxa"/>
            <w:tcBorders>
              <w:top w:val="single" w:sz="4" w:space="0" w:color="auto"/>
              <w:left w:val="nil"/>
              <w:bottom w:val="single" w:sz="4" w:space="0" w:color="auto"/>
              <w:right w:val="single" w:sz="4" w:space="0" w:color="auto"/>
            </w:tcBorders>
          </w:tcPr>
          <w:p w14:paraId="3B09A7E5" w14:textId="77777777" w:rsidR="00C66EE0" w:rsidRPr="00335FEB" w:rsidRDefault="00C66EE0" w:rsidP="00D01513">
            <w:pPr>
              <w:pStyle w:val="ExhibitText"/>
              <w:jc w:val="right"/>
              <w:rPr>
                <w:sz w:val="18"/>
                <w:szCs w:val="18"/>
                <w:lang w:val="en-GB"/>
              </w:rPr>
            </w:pPr>
            <w:r w:rsidRPr="00335FEB">
              <w:rPr>
                <w:sz w:val="18"/>
                <w:szCs w:val="18"/>
                <w:lang w:val="en-GB"/>
              </w:rPr>
              <w:t>*</w:t>
            </w:r>
          </w:p>
          <w:p w14:paraId="7C7AD07B"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48C3D2C9"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E7E53F" w14:textId="1555CCD3" w:rsidR="00C66EE0" w:rsidRPr="00335FEB" w:rsidRDefault="00C66EE0" w:rsidP="00A3352B">
            <w:pPr>
              <w:pStyle w:val="ExhibitText"/>
              <w:rPr>
                <w:sz w:val="18"/>
                <w:szCs w:val="18"/>
                <w:lang w:val="en-GB"/>
              </w:rPr>
            </w:pPr>
            <w:r w:rsidRPr="00335FEB">
              <w:rPr>
                <w:sz w:val="18"/>
                <w:szCs w:val="18"/>
                <w:lang w:val="en-GB"/>
              </w:rPr>
              <w:t>Bangalore</w:t>
            </w:r>
            <w:r w:rsidR="005D748C" w:rsidRPr="00335FEB">
              <w:rPr>
                <w:sz w:val="18"/>
                <w:szCs w:val="18"/>
                <w:lang w:val="en-GB"/>
              </w:rPr>
              <w:t>–</w:t>
            </w:r>
            <w:r w:rsidRPr="00335FEB">
              <w:rPr>
                <w:sz w:val="18"/>
                <w:szCs w:val="18"/>
                <w:lang w:val="en-GB"/>
              </w:rPr>
              <w:t>Kolkata</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10527AC1" w14:textId="0F87198D" w:rsidR="00C66EE0" w:rsidRPr="00335FEB" w:rsidRDefault="00C66EE0" w:rsidP="00D01513">
            <w:pPr>
              <w:pStyle w:val="ExhibitText"/>
              <w:jc w:val="right"/>
              <w:rPr>
                <w:sz w:val="18"/>
                <w:szCs w:val="18"/>
                <w:lang w:val="en-GB"/>
              </w:rPr>
            </w:pPr>
            <w:r w:rsidRPr="00335FEB">
              <w:rPr>
                <w:sz w:val="18"/>
                <w:szCs w:val="18"/>
                <w:lang w:val="en-GB"/>
              </w:rPr>
              <w:t>6</w:t>
            </w:r>
            <w:r w:rsidR="005D748C" w:rsidRPr="00335FEB">
              <w:rPr>
                <w:sz w:val="18"/>
                <w:szCs w:val="18"/>
                <w:lang w:val="en-GB"/>
              </w:rPr>
              <w:t>,</w:t>
            </w:r>
            <w:r w:rsidRPr="00335FEB">
              <w:rPr>
                <w:sz w:val="18"/>
                <w:szCs w:val="18"/>
                <w:lang w:val="en-GB"/>
              </w:rPr>
              <w:t>001</w:t>
            </w:r>
          </w:p>
          <w:p w14:paraId="473C01EC" w14:textId="4CEBE67A"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155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6422A355" w14:textId="232C51EA"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293</w:t>
            </w:r>
          </w:p>
          <w:p w14:paraId="1FE0E399" w14:textId="764F4F60"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293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118837C1" w14:textId="0469B917"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749</w:t>
            </w:r>
          </w:p>
          <w:p w14:paraId="31CFB26B" w14:textId="66EE488C"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491</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7FC7B68" w14:textId="59943ADF"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074</w:t>
            </w:r>
          </w:p>
          <w:p w14:paraId="7C16F1A9" w14:textId="26A3719A"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074</w:t>
            </w:r>
          </w:p>
        </w:tc>
        <w:tc>
          <w:tcPr>
            <w:tcW w:w="990" w:type="dxa"/>
            <w:tcBorders>
              <w:top w:val="single" w:sz="4" w:space="0" w:color="auto"/>
              <w:left w:val="nil"/>
              <w:bottom w:val="single" w:sz="4" w:space="0" w:color="auto"/>
              <w:right w:val="single" w:sz="4" w:space="0" w:color="auto"/>
            </w:tcBorders>
          </w:tcPr>
          <w:p w14:paraId="1741D908" w14:textId="77777777" w:rsidR="00C66EE0" w:rsidRPr="00335FEB" w:rsidRDefault="00C66EE0" w:rsidP="00D01513">
            <w:pPr>
              <w:pStyle w:val="ExhibitText"/>
              <w:jc w:val="right"/>
              <w:rPr>
                <w:sz w:val="18"/>
                <w:szCs w:val="18"/>
                <w:lang w:val="en-GB"/>
              </w:rPr>
            </w:pPr>
            <w:r w:rsidRPr="00335FEB">
              <w:rPr>
                <w:sz w:val="18"/>
                <w:szCs w:val="18"/>
                <w:lang w:val="en-GB"/>
              </w:rPr>
              <w:t>*</w:t>
            </w:r>
          </w:p>
          <w:p w14:paraId="542FCC77"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1E06897F"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7A55E5" w14:textId="179F8343" w:rsidR="00C66EE0" w:rsidRPr="00335FEB" w:rsidRDefault="00C66EE0" w:rsidP="00A3352B">
            <w:pPr>
              <w:pStyle w:val="ExhibitText"/>
              <w:rPr>
                <w:sz w:val="18"/>
                <w:szCs w:val="18"/>
                <w:lang w:val="en-GB"/>
              </w:rPr>
            </w:pPr>
            <w:r w:rsidRPr="00335FEB">
              <w:rPr>
                <w:sz w:val="18"/>
                <w:szCs w:val="18"/>
                <w:lang w:val="en-GB"/>
              </w:rPr>
              <w:t>Bangalore</w:t>
            </w:r>
            <w:r w:rsidR="005D748C" w:rsidRPr="00335FEB">
              <w:rPr>
                <w:sz w:val="18"/>
                <w:szCs w:val="18"/>
                <w:lang w:val="en-GB"/>
              </w:rPr>
              <w:t>–</w:t>
            </w:r>
            <w:r w:rsidRPr="00335FEB">
              <w:rPr>
                <w:sz w:val="18"/>
                <w:szCs w:val="18"/>
                <w:lang w:val="en-GB"/>
              </w:rPr>
              <w:t>Hyderabad</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3F3DE2BF" w14:textId="10F5AF43"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087</w:t>
            </w:r>
          </w:p>
          <w:p w14:paraId="443087D6" w14:textId="3C51681E"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769</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4D7FD67" w14:textId="5BA5201E"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781</w:t>
            </w:r>
          </w:p>
          <w:p w14:paraId="3D211808" w14:textId="68CDFDAE"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252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9A3CCEA" w14:textId="5E620E9B"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197</w:t>
            </w:r>
          </w:p>
          <w:p w14:paraId="5BF8F6F6" w14:textId="72D731CA"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197</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9271FEB" w14:textId="6749ECB2"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361</w:t>
            </w:r>
          </w:p>
          <w:p w14:paraId="6D00716E" w14:textId="1A0A5B02"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361</w:t>
            </w:r>
          </w:p>
        </w:tc>
        <w:tc>
          <w:tcPr>
            <w:tcW w:w="990" w:type="dxa"/>
            <w:tcBorders>
              <w:top w:val="single" w:sz="4" w:space="0" w:color="auto"/>
              <w:left w:val="nil"/>
              <w:bottom w:val="single" w:sz="4" w:space="0" w:color="auto"/>
              <w:right w:val="single" w:sz="4" w:space="0" w:color="auto"/>
            </w:tcBorders>
          </w:tcPr>
          <w:p w14:paraId="450C7AED" w14:textId="77777777" w:rsidR="00C66EE0" w:rsidRPr="00335FEB" w:rsidRDefault="00C66EE0" w:rsidP="00D01513">
            <w:pPr>
              <w:pStyle w:val="ExhibitText"/>
              <w:jc w:val="right"/>
              <w:rPr>
                <w:sz w:val="18"/>
                <w:szCs w:val="18"/>
                <w:lang w:val="en-GB"/>
              </w:rPr>
            </w:pPr>
            <w:r w:rsidRPr="00335FEB">
              <w:rPr>
                <w:sz w:val="18"/>
                <w:szCs w:val="18"/>
                <w:lang w:val="en-GB"/>
              </w:rPr>
              <w:t>*</w:t>
            </w:r>
          </w:p>
          <w:p w14:paraId="0AD4BA94"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181A309A"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BD59CC8" w14:textId="5D7B5530" w:rsidR="00C66EE0" w:rsidRPr="00335FEB" w:rsidRDefault="00C66EE0" w:rsidP="00A3352B">
            <w:pPr>
              <w:pStyle w:val="ExhibitText"/>
              <w:rPr>
                <w:sz w:val="18"/>
                <w:szCs w:val="18"/>
                <w:lang w:val="en-GB"/>
              </w:rPr>
            </w:pPr>
            <w:r w:rsidRPr="00335FEB">
              <w:rPr>
                <w:sz w:val="18"/>
                <w:szCs w:val="18"/>
                <w:lang w:val="en-GB"/>
              </w:rPr>
              <w:t>Chennai</w:t>
            </w:r>
            <w:r w:rsidR="005D748C" w:rsidRPr="00335FEB">
              <w:rPr>
                <w:sz w:val="18"/>
                <w:szCs w:val="18"/>
                <w:lang w:val="en-GB"/>
              </w:rPr>
              <w:t>–</w:t>
            </w:r>
            <w:r w:rsidRPr="00335FEB">
              <w:rPr>
                <w:sz w:val="18"/>
                <w:szCs w:val="18"/>
                <w:lang w:val="en-GB"/>
              </w:rPr>
              <w:t>Kolkata</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4CECA814" w14:textId="1A142B61"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360</w:t>
            </w:r>
          </w:p>
          <w:p w14:paraId="2DF8F82F" w14:textId="12D0F1F9" w:rsidR="00C66EE0" w:rsidRPr="00335FEB" w:rsidRDefault="00C66EE0" w:rsidP="00D01513">
            <w:pPr>
              <w:pStyle w:val="ExhibitText"/>
              <w:jc w:val="right"/>
              <w:rPr>
                <w:sz w:val="18"/>
                <w:szCs w:val="18"/>
                <w:lang w:val="en-GB"/>
              </w:rPr>
            </w:pPr>
            <w:r w:rsidRPr="00335FEB">
              <w:rPr>
                <w:sz w:val="18"/>
                <w:szCs w:val="18"/>
                <w:lang w:val="en-GB"/>
              </w:rPr>
              <w:t>3</w:t>
            </w:r>
            <w:r w:rsidR="005D748C" w:rsidRPr="00335FEB">
              <w:rPr>
                <w:sz w:val="18"/>
                <w:szCs w:val="18"/>
                <w:lang w:val="en-GB"/>
              </w:rPr>
              <w:t>,</w:t>
            </w:r>
            <w:r w:rsidRPr="00335FEB">
              <w:rPr>
                <w:sz w:val="18"/>
                <w:szCs w:val="18"/>
                <w:lang w:val="en-GB"/>
              </w:rPr>
              <w:t>885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355F2A6" w14:textId="4189F3CC"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472</w:t>
            </w:r>
          </w:p>
          <w:p w14:paraId="534AA065" w14:textId="645AAF0D"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732</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0F83794" w14:textId="449DF849"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949</w:t>
            </w:r>
          </w:p>
          <w:p w14:paraId="7D791063" w14:textId="7B4AE38E"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249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2876AE43" w14:textId="1A521640" w:rsidR="00C66EE0" w:rsidRPr="00335FEB" w:rsidRDefault="00C66EE0" w:rsidP="00D01513">
            <w:pPr>
              <w:pStyle w:val="ExhibitText"/>
              <w:jc w:val="right"/>
              <w:rPr>
                <w:sz w:val="18"/>
                <w:szCs w:val="18"/>
                <w:lang w:val="en-GB"/>
              </w:rPr>
            </w:pPr>
            <w:r w:rsidRPr="00335FEB">
              <w:rPr>
                <w:sz w:val="18"/>
                <w:szCs w:val="18"/>
                <w:lang w:val="en-GB"/>
              </w:rPr>
              <w:t>8</w:t>
            </w:r>
            <w:r w:rsidR="005D748C" w:rsidRPr="00335FEB">
              <w:rPr>
                <w:sz w:val="18"/>
                <w:szCs w:val="18"/>
                <w:lang w:val="en-GB"/>
              </w:rPr>
              <w:t>,</w:t>
            </w:r>
            <w:r w:rsidRPr="00335FEB">
              <w:rPr>
                <w:sz w:val="18"/>
                <w:szCs w:val="18"/>
                <w:lang w:val="en-GB"/>
              </w:rPr>
              <w:t>231</w:t>
            </w:r>
          </w:p>
          <w:p w14:paraId="6C080366" w14:textId="5A2C4368"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709</w:t>
            </w:r>
          </w:p>
        </w:tc>
        <w:tc>
          <w:tcPr>
            <w:tcW w:w="990" w:type="dxa"/>
            <w:tcBorders>
              <w:top w:val="single" w:sz="4" w:space="0" w:color="auto"/>
              <w:left w:val="nil"/>
              <w:bottom w:val="single" w:sz="4" w:space="0" w:color="auto"/>
              <w:right w:val="single" w:sz="4" w:space="0" w:color="auto"/>
            </w:tcBorders>
          </w:tcPr>
          <w:p w14:paraId="0A774FB4" w14:textId="77777777" w:rsidR="00C66EE0" w:rsidRPr="00335FEB" w:rsidRDefault="00C66EE0" w:rsidP="00D01513">
            <w:pPr>
              <w:pStyle w:val="ExhibitText"/>
              <w:jc w:val="right"/>
              <w:rPr>
                <w:sz w:val="18"/>
                <w:szCs w:val="18"/>
                <w:lang w:val="en-GB"/>
              </w:rPr>
            </w:pPr>
            <w:r w:rsidRPr="00335FEB">
              <w:rPr>
                <w:sz w:val="18"/>
                <w:szCs w:val="18"/>
                <w:lang w:val="en-GB"/>
              </w:rPr>
              <w:t>*</w:t>
            </w:r>
          </w:p>
          <w:p w14:paraId="1E395262"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6BCFAE8C"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C743DC" w14:textId="5F8006F3" w:rsidR="00C66EE0" w:rsidRPr="00335FEB" w:rsidRDefault="00C66EE0" w:rsidP="00A3352B">
            <w:pPr>
              <w:pStyle w:val="ExhibitText"/>
              <w:rPr>
                <w:sz w:val="18"/>
                <w:szCs w:val="18"/>
                <w:lang w:val="en-GB"/>
              </w:rPr>
            </w:pPr>
            <w:r w:rsidRPr="00335FEB">
              <w:rPr>
                <w:sz w:val="18"/>
                <w:szCs w:val="18"/>
                <w:lang w:val="en-GB"/>
              </w:rPr>
              <w:t>Chennai</w:t>
            </w:r>
            <w:r w:rsidR="005D748C" w:rsidRPr="00335FEB">
              <w:rPr>
                <w:sz w:val="18"/>
                <w:szCs w:val="18"/>
                <w:lang w:val="en-GB"/>
              </w:rPr>
              <w:t>–</w:t>
            </w:r>
            <w:r w:rsidRPr="00335FEB">
              <w:rPr>
                <w:sz w:val="18"/>
                <w:szCs w:val="18"/>
                <w:lang w:val="en-GB"/>
              </w:rPr>
              <w:t>Hyderabad</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5A832670" w14:textId="74DF86BD"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716</w:t>
            </w:r>
          </w:p>
          <w:p w14:paraId="74667685" w14:textId="3E410416"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716</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19DDB25F" w14:textId="05FA6CAE"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271</w:t>
            </w:r>
          </w:p>
          <w:p w14:paraId="6910A945" w14:textId="7327F259"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108</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F3AB633" w14:textId="0308B307"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799</w:t>
            </w:r>
          </w:p>
          <w:p w14:paraId="4A6C9F37" w14:textId="7FC8D181"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799</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4424CEE8" w14:textId="6F22C26C"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965</w:t>
            </w:r>
          </w:p>
          <w:p w14:paraId="53227086" w14:textId="23899AAE" w:rsidR="00C66EE0" w:rsidRPr="00335FEB" w:rsidRDefault="00C66EE0" w:rsidP="00D01513">
            <w:pPr>
              <w:pStyle w:val="ExhibitText"/>
              <w:jc w:val="right"/>
              <w:rPr>
                <w:sz w:val="18"/>
                <w:szCs w:val="18"/>
                <w:lang w:val="en-GB"/>
              </w:rPr>
            </w:pPr>
            <w:r w:rsidRPr="00335FEB">
              <w:rPr>
                <w:sz w:val="18"/>
                <w:szCs w:val="18"/>
                <w:lang w:val="en-GB"/>
              </w:rPr>
              <w:t>1</w:t>
            </w:r>
            <w:r w:rsidR="005D748C" w:rsidRPr="00335FEB">
              <w:rPr>
                <w:sz w:val="18"/>
                <w:szCs w:val="18"/>
                <w:lang w:val="en-GB"/>
              </w:rPr>
              <w:t>,</w:t>
            </w:r>
            <w:r w:rsidRPr="00335FEB">
              <w:rPr>
                <w:sz w:val="18"/>
                <w:szCs w:val="18"/>
                <w:lang w:val="en-GB"/>
              </w:rPr>
              <w:t>965</w:t>
            </w:r>
          </w:p>
        </w:tc>
        <w:tc>
          <w:tcPr>
            <w:tcW w:w="990" w:type="dxa"/>
            <w:tcBorders>
              <w:top w:val="single" w:sz="4" w:space="0" w:color="auto"/>
              <w:left w:val="nil"/>
              <w:bottom w:val="single" w:sz="4" w:space="0" w:color="auto"/>
              <w:right w:val="single" w:sz="4" w:space="0" w:color="auto"/>
            </w:tcBorders>
          </w:tcPr>
          <w:p w14:paraId="6B43A124" w14:textId="77777777" w:rsidR="00C66EE0" w:rsidRPr="00335FEB" w:rsidRDefault="00C66EE0" w:rsidP="00D01513">
            <w:pPr>
              <w:pStyle w:val="ExhibitText"/>
              <w:jc w:val="right"/>
              <w:rPr>
                <w:sz w:val="18"/>
                <w:szCs w:val="18"/>
                <w:lang w:val="en-GB"/>
              </w:rPr>
            </w:pPr>
            <w:r w:rsidRPr="00335FEB">
              <w:rPr>
                <w:sz w:val="18"/>
                <w:szCs w:val="18"/>
                <w:lang w:val="en-GB"/>
              </w:rPr>
              <w:t>*</w:t>
            </w:r>
          </w:p>
          <w:p w14:paraId="1C89C177" w14:textId="77777777" w:rsidR="00C66EE0" w:rsidRPr="00335FEB" w:rsidRDefault="00C66EE0" w:rsidP="00D01513">
            <w:pPr>
              <w:pStyle w:val="ExhibitText"/>
              <w:jc w:val="right"/>
              <w:rPr>
                <w:sz w:val="18"/>
                <w:szCs w:val="18"/>
                <w:lang w:val="en-GB"/>
              </w:rPr>
            </w:pPr>
            <w:r w:rsidRPr="00335FEB">
              <w:rPr>
                <w:sz w:val="18"/>
                <w:szCs w:val="18"/>
                <w:lang w:val="en-GB"/>
              </w:rPr>
              <w:t>*</w:t>
            </w:r>
          </w:p>
        </w:tc>
      </w:tr>
      <w:tr w:rsidR="00C66EE0" w:rsidRPr="00335FEB" w14:paraId="31294BD0" w14:textId="77777777" w:rsidTr="00697132">
        <w:trPr>
          <w:trHeight w:val="315"/>
          <w:jc w:val="center"/>
        </w:trPr>
        <w:tc>
          <w:tcPr>
            <w:tcW w:w="151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68132B" w14:textId="4D97836D" w:rsidR="00C66EE0" w:rsidRPr="00335FEB" w:rsidRDefault="00C66EE0" w:rsidP="00A3352B">
            <w:pPr>
              <w:pStyle w:val="ExhibitText"/>
              <w:rPr>
                <w:sz w:val="18"/>
                <w:szCs w:val="18"/>
                <w:lang w:val="en-GB"/>
              </w:rPr>
            </w:pPr>
            <w:r w:rsidRPr="00335FEB">
              <w:rPr>
                <w:sz w:val="18"/>
                <w:szCs w:val="18"/>
                <w:lang w:val="en-GB"/>
              </w:rPr>
              <w:t>Kolkata</w:t>
            </w:r>
            <w:r w:rsidR="005D748C" w:rsidRPr="00335FEB">
              <w:rPr>
                <w:sz w:val="18"/>
                <w:szCs w:val="18"/>
                <w:lang w:val="en-GB"/>
              </w:rPr>
              <w:t>–</w:t>
            </w:r>
            <w:r w:rsidRPr="00335FEB">
              <w:rPr>
                <w:sz w:val="18"/>
                <w:szCs w:val="18"/>
                <w:lang w:val="en-GB"/>
              </w:rPr>
              <w:t>Hyderabad</w:t>
            </w:r>
          </w:p>
        </w:tc>
        <w:tc>
          <w:tcPr>
            <w:tcW w:w="910" w:type="dxa"/>
            <w:tcBorders>
              <w:top w:val="single" w:sz="4" w:space="0" w:color="auto"/>
              <w:left w:val="nil"/>
              <w:bottom w:val="single" w:sz="4" w:space="0" w:color="auto"/>
              <w:right w:val="single" w:sz="4" w:space="0" w:color="auto"/>
            </w:tcBorders>
            <w:shd w:val="clear" w:color="auto" w:fill="auto"/>
            <w:noWrap/>
            <w:vAlign w:val="bottom"/>
            <w:hideMark/>
          </w:tcPr>
          <w:p w14:paraId="48B41816" w14:textId="5F468A8B"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515</w:t>
            </w:r>
          </w:p>
          <w:p w14:paraId="400CD810" w14:textId="303DEC6F" w:rsidR="00C66EE0" w:rsidRPr="00335FEB" w:rsidRDefault="00C66EE0" w:rsidP="00D01513">
            <w:pPr>
              <w:pStyle w:val="ExhibitText"/>
              <w:jc w:val="right"/>
              <w:rPr>
                <w:sz w:val="18"/>
                <w:szCs w:val="18"/>
                <w:lang w:val="en-GB"/>
              </w:rPr>
            </w:pPr>
            <w:r w:rsidRPr="00335FEB">
              <w:rPr>
                <w:sz w:val="18"/>
                <w:szCs w:val="18"/>
                <w:lang w:val="en-GB"/>
              </w:rPr>
              <w:t>4</w:t>
            </w:r>
            <w:r w:rsidR="005D748C" w:rsidRPr="00335FEB">
              <w:rPr>
                <w:sz w:val="18"/>
                <w:szCs w:val="18"/>
                <w:lang w:val="en-GB"/>
              </w:rPr>
              <w:t>,</w:t>
            </w:r>
            <w:r w:rsidRPr="00335FEB">
              <w:rPr>
                <w:sz w:val="18"/>
                <w:szCs w:val="18"/>
                <w:lang w:val="en-GB"/>
              </w:rPr>
              <w:t>515</w:t>
            </w:r>
          </w:p>
        </w:tc>
        <w:tc>
          <w:tcPr>
            <w:tcW w:w="1170" w:type="dxa"/>
            <w:tcBorders>
              <w:top w:val="single" w:sz="4" w:space="0" w:color="auto"/>
              <w:left w:val="nil"/>
              <w:bottom w:val="single" w:sz="4" w:space="0" w:color="auto"/>
              <w:right w:val="single" w:sz="4" w:space="0" w:color="auto"/>
            </w:tcBorders>
            <w:shd w:val="clear" w:color="auto" w:fill="auto"/>
            <w:noWrap/>
            <w:vAlign w:val="bottom"/>
            <w:hideMark/>
          </w:tcPr>
          <w:p w14:paraId="47C9B002" w14:textId="5E8947CD" w:rsidR="00C66EE0" w:rsidRPr="00335FEB" w:rsidRDefault="00C66EE0" w:rsidP="00D01513">
            <w:pPr>
              <w:pStyle w:val="ExhibitText"/>
              <w:jc w:val="right"/>
              <w:rPr>
                <w:sz w:val="18"/>
                <w:szCs w:val="18"/>
                <w:lang w:val="en-GB"/>
              </w:rPr>
            </w:pPr>
            <w:r w:rsidRPr="00335FEB">
              <w:rPr>
                <w:sz w:val="18"/>
                <w:szCs w:val="18"/>
                <w:lang w:val="en-GB"/>
              </w:rPr>
              <w:t>7</w:t>
            </w:r>
            <w:r w:rsidR="005D748C" w:rsidRPr="00335FEB">
              <w:rPr>
                <w:sz w:val="18"/>
                <w:szCs w:val="18"/>
                <w:lang w:val="en-GB"/>
              </w:rPr>
              <w:t>,</w:t>
            </w:r>
            <w:r w:rsidRPr="00335FEB">
              <w:rPr>
                <w:sz w:val="18"/>
                <w:szCs w:val="18"/>
                <w:lang w:val="en-GB"/>
              </w:rPr>
              <w:t>380</w:t>
            </w:r>
          </w:p>
          <w:p w14:paraId="1F722089" w14:textId="53946CE5" w:rsidR="00C66EE0" w:rsidRPr="00335FEB" w:rsidRDefault="00C66EE0" w:rsidP="00D01513">
            <w:pPr>
              <w:pStyle w:val="ExhibitText"/>
              <w:jc w:val="right"/>
              <w:rPr>
                <w:sz w:val="18"/>
                <w:szCs w:val="18"/>
                <w:lang w:val="en-GB"/>
              </w:rPr>
            </w:pPr>
            <w:r w:rsidRPr="00335FEB">
              <w:rPr>
                <w:sz w:val="18"/>
                <w:szCs w:val="18"/>
                <w:lang w:val="en-GB"/>
              </w:rPr>
              <w:t>8</w:t>
            </w:r>
            <w:r w:rsidR="005D748C" w:rsidRPr="00335FEB">
              <w:rPr>
                <w:sz w:val="18"/>
                <w:szCs w:val="18"/>
                <w:lang w:val="en-GB"/>
              </w:rPr>
              <w:t>,</w:t>
            </w:r>
            <w:r w:rsidRPr="00335FEB">
              <w:rPr>
                <w:sz w:val="18"/>
                <w:szCs w:val="18"/>
                <w:lang w:val="en-GB"/>
              </w:rPr>
              <w:t>143</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7856D925" w14:textId="561A4A62"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900</w:t>
            </w:r>
          </w:p>
          <w:p w14:paraId="36D5552E" w14:textId="49A48092" w:rsidR="00C66EE0" w:rsidRPr="00335FEB" w:rsidRDefault="00C66EE0" w:rsidP="00D01513">
            <w:pPr>
              <w:pStyle w:val="ExhibitText"/>
              <w:jc w:val="right"/>
              <w:rPr>
                <w:sz w:val="18"/>
                <w:szCs w:val="18"/>
                <w:lang w:val="en-GB"/>
              </w:rPr>
            </w:pPr>
            <w:r w:rsidRPr="00335FEB">
              <w:rPr>
                <w:sz w:val="18"/>
                <w:szCs w:val="18"/>
                <w:lang w:val="en-GB"/>
              </w:rPr>
              <w:t>2</w:t>
            </w:r>
            <w:r w:rsidR="005D748C" w:rsidRPr="00335FEB">
              <w:rPr>
                <w:sz w:val="18"/>
                <w:szCs w:val="18"/>
                <w:lang w:val="en-GB"/>
              </w:rPr>
              <w:t>,</w:t>
            </w:r>
            <w:r w:rsidRPr="00335FEB">
              <w:rPr>
                <w:sz w:val="18"/>
                <w:szCs w:val="18"/>
                <w:lang w:val="en-GB"/>
              </w:rPr>
              <w:t>900</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31319F8D" w14:textId="70FFB8FC"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841</w:t>
            </w:r>
          </w:p>
          <w:p w14:paraId="57C2B5E5" w14:textId="1D688918" w:rsidR="00C66EE0" w:rsidRPr="00335FEB" w:rsidRDefault="00C66EE0" w:rsidP="00D01513">
            <w:pPr>
              <w:pStyle w:val="ExhibitText"/>
              <w:jc w:val="right"/>
              <w:rPr>
                <w:sz w:val="18"/>
                <w:szCs w:val="18"/>
                <w:lang w:val="en-GB"/>
              </w:rPr>
            </w:pPr>
            <w:r w:rsidRPr="00335FEB">
              <w:rPr>
                <w:sz w:val="18"/>
                <w:szCs w:val="18"/>
                <w:lang w:val="en-GB"/>
              </w:rPr>
              <w:t>5</w:t>
            </w:r>
            <w:r w:rsidR="005D748C" w:rsidRPr="00335FEB">
              <w:rPr>
                <w:sz w:val="18"/>
                <w:szCs w:val="18"/>
                <w:lang w:val="en-GB"/>
              </w:rPr>
              <w:t>,</w:t>
            </w:r>
            <w:r w:rsidRPr="00335FEB">
              <w:rPr>
                <w:sz w:val="18"/>
                <w:szCs w:val="18"/>
                <w:lang w:val="en-GB"/>
              </w:rPr>
              <w:t>038</w:t>
            </w:r>
          </w:p>
        </w:tc>
        <w:tc>
          <w:tcPr>
            <w:tcW w:w="990" w:type="dxa"/>
            <w:tcBorders>
              <w:top w:val="single" w:sz="4" w:space="0" w:color="auto"/>
              <w:left w:val="nil"/>
              <w:bottom w:val="single" w:sz="4" w:space="0" w:color="auto"/>
              <w:right w:val="single" w:sz="4" w:space="0" w:color="auto"/>
            </w:tcBorders>
          </w:tcPr>
          <w:p w14:paraId="63C8EB94" w14:textId="77777777" w:rsidR="00C66EE0" w:rsidRPr="00335FEB" w:rsidRDefault="00C66EE0" w:rsidP="00D01513">
            <w:pPr>
              <w:pStyle w:val="ExhibitText"/>
              <w:jc w:val="right"/>
              <w:rPr>
                <w:sz w:val="18"/>
                <w:szCs w:val="18"/>
                <w:lang w:val="en-GB"/>
              </w:rPr>
            </w:pPr>
            <w:r w:rsidRPr="00335FEB">
              <w:rPr>
                <w:sz w:val="18"/>
                <w:szCs w:val="18"/>
                <w:lang w:val="en-GB"/>
              </w:rPr>
              <w:t>*</w:t>
            </w:r>
          </w:p>
          <w:p w14:paraId="2E02815B" w14:textId="77777777" w:rsidR="00C66EE0" w:rsidRPr="00335FEB" w:rsidRDefault="00C66EE0" w:rsidP="00D01513">
            <w:pPr>
              <w:pStyle w:val="ExhibitText"/>
              <w:jc w:val="right"/>
              <w:rPr>
                <w:sz w:val="18"/>
                <w:szCs w:val="18"/>
                <w:lang w:val="en-GB"/>
              </w:rPr>
            </w:pPr>
            <w:r w:rsidRPr="00335FEB">
              <w:rPr>
                <w:sz w:val="18"/>
                <w:szCs w:val="18"/>
                <w:lang w:val="en-GB"/>
              </w:rPr>
              <w:t>*</w:t>
            </w:r>
          </w:p>
        </w:tc>
      </w:tr>
    </w:tbl>
    <w:p w14:paraId="5D01A0A6" w14:textId="77777777" w:rsidR="00C66EE0" w:rsidRPr="00335FEB" w:rsidRDefault="00C66EE0" w:rsidP="00C66EE0">
      <w:pPr>
        <w:pStyle w:val="BodyTextMain"/>
        <w:rPr>
          <w:sz w:val="20"/>
          <w:lang w:val="en-GB"/>
        </w:rPr>
      </w:pPr>
    </w:p>
    <w:p w14:paraId="66691B72" w14:textId="6190E4CE" w:rsidR="00C66EE0" w:rsidRPr="00335FEB" w:rsidRDefault="00EA3BCB" w:rsidP="00C66EE0">
      <w:pPr>
        <w:pStyle w:val="Footnote"/>
        <w:rPr>
          <w:lang w:val="en-GB"/>
        </w:rPr>
      </w:pPr>
      <w:r w:rsidRPr="00335FEB">
        <w:rPr>
          <w:lang w:val="en-GB"/>
        </w:rPr>
        <w:t xml:space="preserve">Note: </w:t>
      </w:r>
      <w:r w:rsidR="005D748C" w:rsidRPr="00335FEB">
        <w:rPr>
          <w:sz w:val="20"/>
          <w:szCs w:val="20"/>
          <w:lang w:val="en-GB"/>
        </w:rPr>
        <w:t>₹</w:t>
      </w:r>
      <w:r w:rsidR="005D748C" w:rsidRPr="00335FEB">
        <w:rPr>
          <w:lang w:val="en-GB"/>
        </w:rPr>
        <w:t xml:space="preserve"> = INR = Indian rupee; </w:t>
      </w:r>
      <w:r w:rsidR="005D748C" w:rsidRPr="00E94244">
        <w:rPr>
          <w:sz w:val="18"/>
          <w:szCs w:val="18"/>
          <w:lang w:val="en-GB"/>
        </w:rPr>
        <w:t>₹</w:t>
      </w:r>
      <w:r w:rsidR="005D748C" w:rsidRPr="00335FEB">
        <w:rPr>
          <w:lang w:val="en-GB"/>
        </w:rPr>
        <w:t>1 = US$0.0149 on May 2, 2018</w:t>
      </w:r>
      <w:r w:rsidR="00C5551D">
        <w:rPr>
          <w:lang w:val="en-GB"/>
        </w:rPr>
        <w:t>;</w:t>
      </w:r>
      <w:r w:rsidR="005D748C" w:rsidRPr="00335FEB">
        <w:rPr>
          <w:lang w:val="en-GB"/>
        </w:rPr>
        <w:t xml:space="preserve"> </w:t>
      </w:r>
      <w:r w:rsidR="00C66EE0" w:rsidRPr="00335FEB">
        <w:rPr>
          <w:lang w:val="en-GB"/>
        </w:rPr>
        <w:t>*</w:t>
      </w:r>
      <w:r w:rsidR="00C5551D">
        <w:rPr>
          <w:lang w:val="en-GB"/>
        </w:rPr>
        <w:t xml:space="preserve"> = </w:t>
      </w:r>
      <w:r w:rsidR="00C66EE0" w:rsidRPr="00335FEB">
        <w:rPr>
          <w:lang w:val="en-GB"/>
        </w:rPr>
        <w:t xml:space="preserve">No service by the </w:t>
      </w:r>
      <w:r w:rsidRPr="00335FEB">
        <w:rPr>
          <w:lang w:val="en-GB"/>
        </w:rPr>
        <w:t>a</w:t>
      </w:r>
      <w:r w:rsidR="00C66EE0" w:rsidRPr="00335FEB">
        <w:rPr>
          <w:lang w:val="en-GB"/>
        </w:rPr>
        <w:t>irlines in this sector.</w:t>
      </w:r>
      <w:r w:rsidRPr="00335FEB">
        <w:rPr>
          <w:lang w:val="en-GB"/>
        </w:rPr>
        <w:t xml:space="preserve"> </w:t>
      </w:r>
      <w:r w:rsidR="00C66EE0" w:rsidRPr="00335FEB">
        <w:rPr>
          <w:lang w:val="en-GB"/>
        </w:rPr>
        <w:t xml:space="preserve">Kingfisher </w:t>
      </w:r>
      <w:r w:rsidRPr="00335FEB">
        <w:rPr>
          <w:lang w:val="en-GB"/>
        </w:rPr>
        <w:t>Airlines p</w:t>
      </w:r>
      <w:r w:rsidR="00C66EE0" w:rsidRPr="00335FEB">
        <w:rPr>
          <w:lang w:val="en-GB"/>
        </w:rPr>
        <w:t xml:space="preserve">rices </w:t>
      </w:r>
      <w:r w:rsidRPr="00335FEB">
        <w:rPr>
          <w:lang w:val="en-GB"/>
        </w:rPr>
        <w:t>are</w:t>
      </w:r>
      <w:r w:rsidR="00C66EE0" w:rsidRPr="00335FEB">
        <w:rPr>
          <w:lang w:val="en-GB"/>
        </w:rPr>
        <w:t xml:space="preserve"> not reported</w:t>
      </w:r>
      <w:r w:rsidR="005D1E26">
        <w:rPr>
          <w:lang w:val="en-GB"/>
        </w:rPr>
        <w:t>,</w:t>
      </w:r>
      <w:r w:rsidR="00C66EE0" w:rsidRPr="00335FEB">
        <w:rPr>
          <w:lang w:val="en-GB"/>
        </w:rPr>
        <w:t xml:space="preserve"> as the </w:t>
      </w:r>
      <w:r w:rsidRPr="00335FEB">
        <w:rPr>
          <w:lang w:val="en-GB"/>
        </w:rPr>
        <w:t>a</w:t>
      </w:r>
      <w:r w:rsidR="00C66EE0" w:rsidRPr="00335FEB">
        <w:rPr>
          <w:lang w:val="en-GB"/>
        </w:rPr>
        <w:t>irline was grounded in 2013.</w:t>
      </w:r>
      <w:r w:rsidR="005B2F4E" w:rsidRPr="00335FEB">
        <w:rPr>
          <w:lang w:val="en-GB"/>
        </w:rPr>
        <w:t xml:space="preserve"> </w:t>
      </w:r>
      <w:r w:rsidRPr="00335FEB">
        <w:rPr>
          <w:lang w:val="en-GB"/>
        </w:rPr>
        <w:t>The f</w:t>
      </w:r>
      <w:r w:rsidR="00C66EE0" w:rsidRPr="00335FEB">
        <w:rPr>
          <w:lang w:val="en-GB"/>
        </w:rPr>
        <w:t xml:space="preserve">irst </w:t>
      </w:r>
      <w:r w:rsidRPr="00335FEB">
        <w:rPr>
          <w:lang w:val="en-GB"/>
        </w:rPr>
        <w:t>l</w:t>
      </w:r>
      <w:r w:rsidR="00C66EE0" w:rsidRPr="00335FEB">
        <w:rPr>
          <w:lang w:val="en-GB"/>
        </w:rPr>
        <w:t xml:space="preserve">ine represents </w:t>
      </w:r>
      <w:r w:rsidRPr="00335FEB">
        <w:rPr>
          <w:lang w:val="en-GB"/>
        </w:rPr>
        <w:t xml:space="preserve">the lowest </w:t>
      </w:r>
      <w:r w:rsidR="00C66EE0" w:rsidRPr="00335FEB">
        <w:rPr>
          <w:lang w:val="en-GB"/>
        </w:rPr>
        <w:t xml:space="preserve">one-way price on offer </w:t>
      </w:r>
      <w:r w:rsidR="005D1E26">
        <w:rPr>
          <w:lang w:val="en-GB"/>
        </w:rPr>
        <w:t>when</w:t>
      </w:r>
      <w:r w:rsidR="005D1E26" w:rsidRPr="00335FEB">
        <w:rPr>
          <w:lang w:val="en-GB"/>
        </w:rPr>
        <w:t xml:space="preserve"> </w:t>
      </w:r>
      <w:r w:rsidR="00C66EE0" w:rsidRPr="00335FEB">
        <w:rPr>
          <w:lang w:val="en-GB"/>
        </w:rPr>
        <w:t xml:space="preserve">the ticket is booked </w:t>
      </w:r>
      <w:r w:rsidRPr="00335FEB">
        <w:rPr>
          <w:lang w:val="en-GB"/>
        </w:rPr>
        <w:t>seven</w:t>
      </w:r>
      <w:r w:rsidR="00C66EE0" w:rsidRPr="00335FEB">
        <w:rPr>
          <w:lang w:val="en-GB"/>
        </w:rPr>
        <w:t xml:space="preserve"> days in advance</w:t>
      </w:r>
      <w:r w:rsidRPr="00335FEB">
        <w:rPr>
          <w:lang w:val="en-GB"/>
        </w:rPr>
        <w:t>; the s</w:t>
      </w:r>
      <w:r w:rsidR="00C66EE0" w:rsidRPr="00335FEB">
        <w:rPr>
          <w:lang w:val="en-GB"/>
        </w:rPr>
        <w:t xml:space="preserve">econd </w:t>
      </w:r>
      <w:r w:rsidRPr="00335FEB">
        <w:rPr>
          <w:lang w:val="en-GB"/>
        </w:rPr>
        <w:t>l</w:t>
      </w:r>
      <w:r w:rsidR="00C66EE0" w:rsidRPr="00335FEB">
        <w:rPr>
          <w:lang w:val="en-GB"/>
        </w:rPr>
        <w:t xml:space="preserve">ine represents </w:t>
      </w:r>
      <w:r w:rsidRPr="00335FEB">
        <w:rPr>
          <w:lang w:val="en-GB"/>
        </w:rPr>
        <w:t xml:space="preserve">the lowest </w:t>
      </w:r>
      <w:r w:rsidR="00C66EE0" w:rsidRPr="00335FEB">
        <w:rPr>
          <w:lang w:val="en-GB"/>
        </w:rPr>
        <w:t xml:space="preserve">one-way price on offer </w:t>
      </w:r>
      <w:r w:rsidR="005D1E26">
        <w:rPr>
          <w:lang w:val="en-GB"/>
        </w:rPr>
        <w:t xml:space="preserve">when </w:t>
      </w:r>
      <w:r w:rsidR="00C66EE0" w:rsidRPr="00335FEB">
        <w:rPr>
          <w:lang w:val="en-GB"/>
        </w:rPr>
        <w:t>the ticket is booked 14 days in advance</w:t>
      </w:r>
      <w:r w:rsidR="005B2F4E" w:rsidRPr="00335FEB">
        <w:rPr>
          <w:lang w:val="en-GB"/>
        </w:rPr>
        <w:t>.</w:t>
      </w:r>
    </w:p>
    <w:p w14:paraId="7DE7C552" w14:textId="4E6442B7" w:rsidR="004359AE" w:rsidRPr="00335FEB" w:rsidRDefault="00C66EE0" w:rsidP="004359AE">
      <w:pPr>
        <w:pStyle w:val="Footnote"/>
        <w:rPr>
          <w:lang w:val="en-GB"/>
        </w:rPr>
      </w:pPr>
      <w:r w:rsidRPr="00335FEB">
        <w:rPr>
          <w:lang w:val="en-GB"/>
        </w:rPr>
        <w:t>Source: The ticket prices were collected on May</w:t>
      </w:r>
      <w:r w:rsidR="00EA3BCB" w:rsidRPr="00335FEB">
        <w:rPr>
          <w:lang w:val="en-GB"/>
        </w:rPr>
        <w:t xml:space="preserve"> 13</w:t>
      </w:r>
      <w:r w:rsidRPr="00335FEB">
        <w:rPr>
          <w:lang w:val="en-GB"/>
        </w:rPr>
        <w:t>, 2016</w:t>
      </w:r>
      <w:r w:rsidR="005D1E26">
        <w:rPr>
          <w:lang w:val="en-GB"/>
        </w:rPr>
        <w:t>,</w:t>
      </w:r>
      <w:r w:rsidRPr="00335FEB">
        <w:rPr>
          <w:lang w:val="en-GB"/>
        </w:rPr>
        <w:t xml:space="preserve"> from the official websites of all </w:t>
      </w:r>
      <w:r w:rsidR="00EA3BCB" w:rsidRPr="00335FEB">
        <w:rPr>
          <w:lang w:val="en-GB"/>
        </w:rPr>
        <w:t>a</w:t>
      </w:r>
      <w:r w:rsidRPr="00335FEB">
        <w:rPr>
          <w:lang w:val="en-GB"/>
        </w:rPr>
        <w:t xml:space="preserve">irlines for May </w:t>
      </w:r>
      <w:r w:rsidR="00EA3BCB" w:rsidRPr="00335FEB">
        <w:rPr>
          <w:lang w:val="en-GB"/>
        </w:rPr>
        <w:t xml:space="preserve">20 </w:t>
      </w:r>
      <w:r w:rsidRPr="00335FEB">
        <w:rPr>
          <w:lang w:val="en-GB"/>
        </w:rPr>
        <w:t xml:space="preserve">and May </w:t>
      </w:r>
      <w:r w:rsidR="00EA3BCB" w:rsidRPr="00335FEB">
        <w:rPr>
          <w:lang w:val="en-GB"/>
        </w:rPr>
        <w:t xml:space="preserve">27, </w:t>
      </w:r>
      <w:r w:rsidRPr="00335FEB">
        <w:rPr>
          <w:lang w:val="en-GB"/>
        </w:rPr>
        <w:t xml:space="preserve">2016. The </w:t>
      </w:r>
      <w:r w:rsidR="00EA3BCB" w:rsidRPr="00335FEB">
        <w:rPr>
          <w:lang w:val="en-GB"/>
        </w:rPr>
        <w:t xml:space="preserve">airfare </w:t>
      </w:r>
      <w:r w:rsidRPr="00335FEB">
        <w:rPr>
          <w:lang w:val="en-GB"/>
        </w:rPr>
        <w:t xml:space="preserve">data for May 2018 were accessed May 2018, </w:t>
      </w:r>
      <w:r w:rsidR="00EA3BCB" w:rsidRPr="00335FEB">
        <w:rPr>
          <w:lang w:val="en-GB"/>
        </w:rPr>
        <w:t xml:space="preserve">as </w:t>
      </w:r>
      <w:r w:rsidRPr="00335FEB">
        <w:rPr>
          <w:lang w:val="en-GB"/>
        </w:rPr>
        <w:t xml:space="preserve">reported in </w:t>
      </w:r>
      <w:r w:rsidR="00EA3BCB" w:rsidRPr="00335FEB">
        <w:rPr>
          <w:lang w:val="en-GB"/>
        </w:rPr>
        <w:t xml:space="preserve">the </w:t>
      </w:r>
      <w:r w:rsidRPr="00335FEB">
        <w:rPr>
          <w:lang w:val="en-GB"/>
        </w:rPr>
        <w:t>main text.</w:t>
      </w:r>
    </w:p>
    <w:p w14:paraId="2A7280E3" w14:textId="78F1FD1B" w:rsidR="004359AE" w:rsidRPr="00335FEB" w:rsidRDefault="004359AE" w:rsidP="0066407B">
      <w:pPr>
        <w:pStyle w:val="BodyTextMain"/>
        <w:rPr>
          <w:lang w:val="en-GB"/>
        </w:rPr>
      </w:pPr>
    </w:p>
    <w:p w14:paraId="2F4C9518" w14:textId="77777777" w:rsidR="0066407B" w:rsidRPr="00335FEB" w:rsidRDefault="0066407B" w:rsidP="0066407B">
      <w:pPr>
        <w:pStyle w:val="BodyTextMain"/>
        <w:rPr>
          <w:lang w:val="en-GB"/>
        </w:rPr>
      </w:pPr>
    </w:p>
    <w:p w14:paraId="396603E8" w14:textId="77777777" w:rsidR="0066407B" w:rsidRPr="00335FEB" w:rsidRDefault="0066407B">
      <w:pPr>
        <w:spacing w:after="200" w:line="276" w:lineRule="auto"/>
        <w:rPr>
          <w:rFonts w:ascii="Arial" w:hAnsi="Arial" w:cs="Arial"/>
          <w:b/>
          <w:caps/>
          <w:lang w:val="en-GB"/>
        </w:rPr>
      </w:pPr>
      <w:r w:rsidRPr="00335FEB">
        <w:rPr>
          <w:lang w:val="en-GB"/>
        </w:rPr>
        <w:br w:type="page"/>
      </w:r>
    </w:p>
    <w:p w14:paraId="31DF631A" w14:textId="72BC8951" w:rsidR="004359AE" w:rsidRPr="00335FEB" w:rsidRDefault="004359AE" w:rsidP="004359AE">
      <w:pPr>
        <w:pStyle w:val="ExhibitHeading"/>
        <w:rPr>
          <w:lang w:val="en-GB"/>
        </w:rPr>
      </w:pPr>
      <w:r w:rsidRPr="00335FEB">
        <w:rPr>
          <w:lang w:val="en-GB"/>
        </w:rPr>
        <w:t xml:space="preserve">Exhibit 5: </w:t>
      </w:r>
      <w:r w:rsidR="006E5747" w:rsidRPr="00335FEB">
        <w:rPr>
          <w:lang w:val="en-GB"/>
        </w:rPr>
        <w:t>indigo and competitors—</w:t>
      </w:r>
      <w:r w:rsidRPr="00335FEB">
        <w:rPr>
          <w:lang w:val="en-GB"/>
        </w:rPr>
        <w:t>OPERATING REVENUE PER THOUSAND PASSENGER KILOMET</w:t>
      </w:r>
      <w:r w:rsidR="006E5747" w:rsidRPr="00335FEB">
        <w:rPr>
          <w:lang w:val="en-GB"/>
        </w:rPr>
        <w:t>r</w:t>
      </w:r>
      <w:r w:rsidRPr="00335FEB">
        <w:rPr>
          <w:lang w:val="en-GB"/>
        </w:rPr>
        <w:t>E</w:t>
      </w:r>
      <w:r w:rsidR="00DD48F6">
        <w:rPr>
          <w:lang w:val="en-GB"/>
        </w:rPr>
        <w:t>S</w:t>
      </w:r>
      <w:r w:rsidR="005D1E26">
        <w:rPr>
          <w:lang w:val="en-GB"/>
        </w:rPr>
        <w:t>, 2007–08 to 2017–18</w:t>
      </w:r>
      <w:r w:rsidRPr="00335FEB">
        <w:rPr>
          <w:lang w:val="en-GB"/>
        </w:rPr>
        <w:t xml:space="preserve"> (</w:t>
      </w:r>
      <w:r w:rsidR="005B2F4E" w:rsidRPr="00335FEB">
        <w:rPr>
          <w:lang w:val="en-GB"/>
        </w:rPr>
        <w:t xml:space="preserve">in </w:t>
      </w:r>
      <w:r w:rsidR="007332B9" w:rsidRPr="00335FEB">
        <w:rPr>
          <w:lang w:val="en-GB"/>
        </w:rPr>
        <w:t>₹</w:t>
      </w:r>
      <w:r w:rsidRPr="00335FEB">
        <w:rPr>
          <w:lang w:val="en-GB"/>
        </w:rPr>
        <w:t xml:space="preserve"> Thousand)</w:t>
      </w:r>
    </w:p>
    <w:p w14:paraId="61E9B72F" w14:textId="77777777" w:rsidR="004359AE" w:rsidRPr="00335FEB" w:rsidRDefault="004359AE" w:rsidP="004359AE">
      <w:pPr>
        <w:pStyle w:val="BodyTextMain"/>
        <w:rPr>
          <w:lang w:val="en-GB"/>
        </w:rPr>
      </w:pPr>
    </w:p>
    <w:tbl>
      <w:tblPr>
        <w:tblW w:w="7015" w:type="dxa"/>
        <w:jc w:val="center"/>
        <w:tblLayout w:type="fixed"/>
        <w:tblLook w:val="04A0" w:firstRow="1" w:lastRow="0" w:firstColumn="1" w:lastColumn="0" w:noHBand="0" w:noVBand="1"/>
      </w:tblPr>
      <w:tblGrid>
        <w:gridCol w:w="1387"/>
        <w:gridCol w:w="948"/>
        <w:gridCol w:w="1350"/>
        <w:gridCol w:w="990"/>
        <w:gridCol w:w="1260"/>
        <w:gridCol w:w="1080"/>
      </w:tblGrid>
      <w:tr w:rsidR="004359AE" w:rsidRPr="00335FEB" w14:paraId="203EF087"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AC87E0" w14:textId="665522D1" w:rsidR="004359AE" w:rsidRPr="00335FEB" w:rsidRDefault="004359AE" w:rsidP="00D01513">
            <w:pPr>
              <w:pStyle w:val="ExhibitText"/>
              <w:jc w:val="center"/>
              <w:rPr>
                <w:lang w:val="en-GB"/>
              </w:rPr>
            </w:pPr>
            <w:r w:rsidRPr="00335FEB">
              <w:rPr>
                <w:lang w:val="en-GB"/>
              </w:rPr>
              <w:t>Year</w:t>
            </w:r>
          </w:p>
        </w:tc>
        <w:tc>
          <w:tcPr>
            <w:tcW w:w="948" w:type="dxa"/>
            <w:tcBorders>
              <w:top w:val="single" w:sz="4" w:space="0" w:color="auto"/>
              <w:left w:val="nil"/>
              <w:bottom w:val="single" w:sz="4" w:space="0" w:color="auto"/>
              <w:right w:val="single" w:sz="4" w:space="0" w:color="auto"/>
            </w:tcBorders>
            <w:shd w:val="clear" w:color="auto" w:fill="auto"/>
            <w:noWrap/>
            <w:vAlign w:val="bottom"/>
            <w:hideMark/>
          </w:tcPr>
          <w:p w14:paraId="2DA397BA" w14:textId="74CE735D" w:rsidR="004359AE" w:rsidRPr="00335FEB" w:rsidRDefault="004359AE" w:rsidP="00D01513">
            <w:pPr>
              <w:pStyle w:val="ExhibitText"/>
              <w:jc w:val="center"/>
              <w:rPr>
                <w:lang w:val="en-GB"/>
              </w:rPr>
            </w:pPr>
            <w:proofErr w:type="spellStart"/>
            <w:r w:rsidRPr="00335FEB">
              <w:rPr>
                <w:lang w:val="en-GB"/>
              </w:rPr>
              <w:t>Indi</w:t>
            </w:r>
            <w:r w:rsidR="00512983" w:rsidRPr="00335FEB">
              <w:rPr>
                <w:lang w:val="en-GB"/>
              </w:rPr>
              <w:t>G</w:t>
            </w:r>
            <w:r w:rsidRPr="00335FEB">
              <w:rPr>
                <w:lang w:val="en-GB"/>
              </w:rPr>
              <w:t>o</w:t>
            </w:r>
            <w:proofErr w:type="spellEnd"/>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14:paraId="44A7273A" w14:textId="19F6BCF7" w:rsidR="004359AE" w:rsidRPr="00335FEB" w:rsidRDefault="004359AE" w:rsidP="00D01513">
            <w:pPr>
              <w:pStyle w:val="ExhibitText"/>
              <w:jc w:val="center"/>
              <w:rPr>
                <w:lang w:val="en-GB"/>
              </w:rPr>
            </w:pPr>
            <w:r w:rsidRPr="00335FEB">
              <w:rPr>
                <w:lang w:val="en-GB"/>
              </w:rPr>
              <w:t>Jet Airways</w:t>
            </w:r>
          </w:p>
        </w:tc>
        <w:tc>
          <w:tcPr>
            <w:tcW w:w="990" w:type="dxa"/>
            <w:tcBorders>
              <w:top w:val="single" w:sz="4" w:space="0" w:color="auto"/>
              <w:left w:val="nil"/>
              <w:bottom w:val="single" w:sz="4" w:space="0" w:color="auto"/>
              <w:right w:val="single" w:sz="4" w:space="0" w:color="auto"/>
            </w:tcBorders>
            <w:shd w:val="clear" w:color="auto" w:fill="auto"/>
            <w:noWrap/>
            <w:vAlign w:val="bottom"/>
            <w:hideMark/>
          </w:tcPr>
          <w:p w14:paraId="0E92A5C8" w14:textId="2F2C9CFD" w:rsidR="004359AE" w:rsidRPr="00335FEB" w:rsidRDefault="004359AE" w:rsidP="00D01513">
            <w:pPr>
              <w:pStyle w:val="ExhibitText"/>
              <w:jc w:val="center"/>
              <w:rPr>
                <w:lang w:val="en-GB"/>
              </w:rPr>
            </w:pPr>
            <w:proofErr w:type="spellStart"/>
            <w:r w:rsidRPr="00335FEB">
              <w:rPr>
                <w:lang w:val="en-GB"/>
              </w:rPr>
              <w:t>Spice</w:t>
            </w:r>
            <w:r w:rsidR="006E5747" w:rsidRPr="00335FEB">
              <w:rPr>
                <w:lang w:val="en-GB"/>
              </w:rPr>
              <w:t>J</w:t>
            </w:r>
            <w:r w:rsidRPr="00335FEB">
              <w:rPr>
                <w:lang w:val="en-GB"/>
              </w:rPr>
              <w:t>et</w:t>
            </w:r>
            <w:proofErr w:type="spellEnd"/>
          </w:p>
        </w:tc>
        <w:tc>
          <w:tcPr>
            <w:tcW w:w="1260" w:type="dxa"/>
            <w:tcBorders>
              <w:top w:val="single" w:sz="4" w:space="0" w:color="auto"/>
              <w:left w:val="nil"/>
              <w:bottom w:val="single" w:sz="4" w:space="0" w:color="auto"/>
              <w:right w:val="single" w:sz="4" w:space="0" w:color="auto"/>
            </w:tcBorders>
            <w:shd w:val="clear" w:color="auto" w:fill="auto"/>
            <w:noWrap/>
            <w:vAlign w:val="bottom"/>
            <w:hideMark/>
          </w:tcPr>
          <w:p w14:paraId="2192D60E" w14:textId="2C49E023" w:rsidR="004359AE" w:rsidRPr="00335FEB" w:rsidRDefault="004359AE" w:rsidP="00D01513">
            <w:pPr>
              <w:pStyle w:val="ExhibitText"/>
              <w:jc w:val="center"/>
              <w:rPr>
                <w:lang w:val="en-GB"/>
              </w:rPr>
            </w:pPr>
            <w:r w:rsidRPr="00335FEB">
              <w:rPr>
                <w:lang w:val="en-GB"/>
              </w:rPr>
              <w:t>Air India</w:t>
            </w:r>
          </w:p>
        </w:tc>
        <w:tc>
          <w:tcPr>
            <w:tcW w:w="1080" w:type="dxa"/>
            <w:tcBorders>
              <w:top w:val="single" w:sz="4" w:space="0" w:color="auto"/>
              <w:left w:val="nil"/>
              <w:bottom w:val="single" w:sz="4" w:space="0" w:color="auto"/>
              <w:right w:val="single" w:sz="4" w:space="0" w:color="auto"/>
            </w:tcBorders>
          </w:tcPr>
          <w:p w14:paraId="6057B81C" w14:textId="292857BD" w:rsidR="004359AE" w:rsidRPr="00335FEB" w:rsidRDefault="004359AE" w:rsidP="00D01513">
            <w:pPr>
              <w:pStyle w:val="ExhibitText"/>
              <w:jc w:val="center"/>
              <w:rPr>
                <w:lang w:val="en-GB"/>
              </w:rPr>
            </w:pPr>
            <w:proofErr w:type="spellStart"/>
            <w:r w:rsidRPr="00335FEB">
              <w:rPr>
                <w:lang w:val="en-GB"/>
              </w:rPr>
              <w:t>GoAir</w:t>
            </w:r>
            <w:proofErr w:type="spellEnd"/>
          </w:p>
        </w:tc>
      </w:tr>
      <w:tr w:rsidR="004359AE" w:rsidRPr="00335FEB" w14:paraId="5B2F9CCF"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99E232A" w14:textId="0EA69E5D" w:rsidR="004359AE" w:rsidRPr="00335FEB" w:rsidRDefault="004359AE" w:rsidP="00A3352B">
            <w:pPr>
              <w:pStyle w:val="ExhibitText"/>
              <w:rPr>
                <w:lang w:val="en-GB"/>
              </w:rPr>
            </w:pPr>
            <w:r w:rsidRPr="00335FEB">
              <w:rPr>
                <w:lang w:val="en-GB"/>
              </w:rPr>
              <w:t>2007</w:t>
            </w:r>
            <w:r w:rsidR="006E5747" w:rsidRPr="00335FEB">
              <w:rPr>
                <w:sz w:val="18"/>
                <w:szCs w:val="18"/>
                <w:lang w:val="en-GB"/>
              </w:rPr>
              <w:t>–</w:t>
            </w:r>
            <w:r w:rsidRPr="00335FEB">
              <w:rPr>
                <w:lang w:val="en-GB"/>
              </w:rPr>
              <w:t>08</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32B7DDF9" w14:textId="77777777" w:rsidR="004359AE" w:rsidRPr="00335FEB" w:rsidRDefault="004359AE" w:rsidP="00D01513">
            <w:pPr>
              <w:pStyle w:val="ExhibitText"/>
              <w:jc w:val="right"/>
              <w:rPr>
                <w:lang w:val="en-GB"/>
              </w:rPr>
            </w:pPr>
            <w:r w:rsidRPr="00335FEB">
              <w:rPr>
                <w:lang w:val="en-GB"/>
              </w:rPr>
              <w:t>2.93</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2CB5985" w14:textId="77777777" w:rsidR="004359AE" w:rsidRPr="00335FEB" w:rsidRDefault="004359AE" w:rsidP="00D01513">
            <w:pPr>
              <w:pStyle w:val="ExhibitText"/>
              <w:jc w:val="right"/>
              <w:rPr>
                <w:lang w:val="en-GB"/>
              </w:rPr>
            </w:pPr>
            <w:r w:rsidRPr="00335FEB">
              <w:rPr>
                <w:lang w:val="en-GB"/>
              </w:rPr>
              <w:t>5.21</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5E3628C5" w14:textId="77777777" w:rsidR="004359AE" w:rsidRPr="00335FEB" w:rsidRDefault="004359AE" w:rsidP="00D01513">
            <w:pPr>
              <w:pStyle w:val="ExhibitText"/>
              <w:jc w:val="right"/>
              <w:rPr>
                <w:lang w:val="en-GB"/>
              </w:rPr>
            </w:pPr>
            <w:r w:rsidRPr="00335FEB">
              <w:rPr>
                <w:lang w:val="en-GB"/>
              </w:rPr>
              <w:t>2.98</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EC6E528" w14:textId="77777777" w:rsidR="004359AE" w:rsidRPr="00335FEB" w:rsidRDefault="004359AE" w:rsidP="00D01513">
            <w:pPr>
              <w:pStyle w:val="ExhibitText"/>
              <w:jc w:val="right"/>
              <w:rPr>
                <w:lang w:val="en-GB"/>
              </w:rPr>
            </w:pPr>
            <w:r w:rsidRPr="00335FEB">
              <w:rPr>
                <w:lang w:val="en-GB"/>
              </w:rPr>
              <w:t>5.11</w:t>
            </w:r>
          </w:p>
        </w:tc>
        <w:tc>
          <w:tcPr>
            <w:tcW w:w="1080" w:type="dxa"/>
            <w:tcBorders>
              <w:top w:val="single" w:sz="4" w:space="0" w:color="auto"/>
              <w:left w:val="nil"/>
              <w:bottom w:val="single" w:sz="4" w:space="0" w:color="auto"/>
              <w:right w:val="single" w:sz="4" w:space="0" w:color="auto"/>
            </w:tcBorders>
            <w:vAlign w:val="center"/>
          </w:tcPr>
          <w:p w14:paraId="0F521656" w14:textId="77777777" w:rsidR="004359AE" w:rsidRPr="00335FEB" w:rsidRDefault="004359AE" w:rsidP="00D01513">
            <w:pPr>
              <w:pStyle w:val="ExhibitText"/>
              <w:jc w:val="right"/>
              <w:rPr>
                <w:lang w:val="en-GB"/>
              </w:rPr>
            </w:pPr>
            <w:r w:rsidRPr="00335FEB">
              <w:rPr>
                <w:lang w:val="en-GB"/>
              </w:rPr>
              <w:t>3.33</w:t>
            </w:r>
          </w:p>
        </w:tc>
      </w:tr>
      <w:tr w:rsidR="004359AE" w:rsidRPr="00335FEB" w14:paraId="02591C33"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C9F9A8C" w14:textId="2915FC00" w:rsidR="004359AE" w:rsidRPr="00335FEB" w:rsidRDefault="004359AE" w:rsidP="00A3352B">
            <w:pPr>
              <w:pStyle w:val="ExhibitText"/>
              <w:rPr>
                <w:lang w:val="en-GB"/>
              </w:rPr>
            </w:pPr>
            <w:r w:rsidRPr="00335FEB">
              <w:rPr>
                <w:lang w:val="en-GB"/>
              </w:rPr>
              <w:t>2008</w:t>
            </w:r>
            <w:r w:rsidR="006E5747" w:rsidRPr="00335FEB">
              <w:rPr>
                <w:sz w:val="18"/>
                <w:szCs w:val="18"/>
                <w:lang w:val="en-GB"/>
              </w:rPr>
              <w:t>–</w:t>
            </w:r>
            <w:r w:rsidRPr="00335FEB">
              <w:rPr>
                <w:lang w:val="en-GB"/>
              </w:rPr>
              <w:t>09</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21F8D589" w14:textId="77777777" w:rsidR="004359AE" w:rsidRPr="00335FEB" w:rsidRDefault="004359AE" w:rsidP="00D01513">
            <w:pPr>
              <w:pStyle w:val="ExhibitText"/>
              <w:jc w:val="right"/>
              <w:rPr>
                <w:lang w:val="en-GB"/>
              </w:rPr>
            </w:pPr>
            <w:r w:rsidRPr="00335FEB">
              <w:rPr>
                <w:lang w:val="en-GB"/>
              </w:rPr>
              <w:t>3.72</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224B917" w14:textId="77777777" w:rsidR="004359AE" w:rsidRPr="00335FEB" w:rsidRDefault="004359AE" w:rsidP="00D01513">
            <w:pPr>
              <w:pStyle w:val="ExhibitText"/>
              <w:jc w:val="right"/>
              <w:rPr>
                <w:lang w:val="en-GB"/>
              </w:rPr>
            </w:pPr>
            <w:r w:rsidRPr="00335FEB">
              <w:rPr>
                <w:lang w:val="en-GB"/>
              </w:rPr>
              <w:t>5.92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5DD9CC5" w14:textId="77777777" w:rsidR="004359AE" w:rsidRPr="00335FEB" w:rsidRDefault="004359AE" w:rsidP="00D01513">
            <w:pPr>
              <w:pStyle w:val="ExhibitText"/>
              <w:jc w:val="right"/>
              <w:rPr>
                <w:lang w:val="en-GB"/>
              </w:rPr>
            </w:pPr>
            <w:r w:rsidRPr="00335FEB">
              <w:rPr>
                <w:lang w:val="en-GB"/>
              </w:rPr>
              <w:t>3.55</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1D3FD3F" w14:textId="77777777" w:rsidR="004359AE" w:rsidRPr="00335FEB" w:rsidRDefault="004359AE" w:rsidP="00D01513">
            <w:pPr>
              <w:pStyle w:val="ExhibitText"/>
              <w:jc w:val="right"/>
              <w:rPr>
                <w:lang w:val="en-GB"/>
              </w:rPr>
            </w:pPr>
            <w:r w:rsidRPr="00335FEB">
              <w:rPr>
                <w:lang w:val="en-GB"/>
              </w:rPr>
              <w:t>5.19</w:t>
            </w:r>
          </w:p>
        </w:tc>
        <w:tc>
          <w:tcPr>
            <w:tcW w:w="1080" w:type="dxa"/>
            <w:tcBorders>
              <w:top w:val="single" w:sz="4" w:space="0" w:color="auto"/>
              <w:left w:val="nil"/>
              <w:bottom w:val="single" w:sz="4" w:space="0" w:color="auto"/>
              <w:right w:val="single" w:sz="4" w:space="0" w:color="auto"/>
            </w:tcBorders>
            <w:vAlign w:val="center"/>
          </w:tcPr>
          <w:p w14:paraId="0CA71EE6" w14:textId="03DDF4D8" w:rsidR="004359AE" w:rsidRPr="00335FEB" w:rsidRDefault="004359AE" w:rsidP="00D01513">
            <w:pPr>
              <w:pStyle w:val="ExhibitText"/>
              <w:jc w:val="right"/>
              <w:rPr>
                <w:lang w:val="en-GB"/>
              </w:rPr>
            </w:pPr>
            <w:r w:rsidRPr="00335FEB">
              <w:rPr>
                <w:lang w:val="en-GB"/>
              </w:rPr>
              <w:t>N</w:t>
            </w:r>
            <w:r w:rsidR="006E5747" w:rsidRPr="00335FEB">
              <w:rPr>
                <w:lang w:val="en-GB"/>
              </w:rPr>
              <w:t>/</w:t>
            </w:r>
            <w:r w:rsidRPr="00335FEB">
              <w:rPr>
                <w:lang w:val="en-GB"/>
              </w:rPr>
              <w:t>A</w:t>
            </w:r>
          </w:p>
        </w:tc>
      </w:tr>
      <w:tr w:rsidR="004359AE" w:rsidRPr="00335FEB" w14:paraId="7681F6F5"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9B7E4F" w14:textId="4B7157E7" w:rsidR="004359AE" w:rsidRPr="00335FEB" w:rsidRDefault="004359AE" w:rsidP="00A3352B">
            <w:pPr>
              <w:pStyle w:val="ExhibitText"/>
              <w:rPr>
                <w:lang w:val="en-GB"/>
              </w:rPr>
            </w:pPr>
            <w:r w:rsidRPr="00335FEB">
              <w:rPr>
                <w:lang w:val="en-GB"/>
              </w:rPr>
              <w:t>2009</w:t>
            </w:r>
            <w:r w:rsidR="006E5747" w:rsidRPr="00335FEB">
              <w:rPr>
                <w:sz w:val="18"/>
                <w:szCs w:val="18"/>
                <w:lang w:val="en-GB"/>
              </w:rPr>
              <w:t>–</w:t>
            </w:r>
            <w:r w:rsidRPr="00335FEB">
              <w:rPr>
                <w:lang w:val="en-GB"/>
              </w:rPr>
              <w:t>10</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7B4975DD" w14:textId="77777777" w:rsidR="004359AE" w:rsidRPr="00335FEB" w:rsidRDefault="004359AE" w:rsidP="00D01513">
            <w:pPr>
              <w:pStyle w:val="ExhibitText"/>
              <w:jc w:val="right"/>
              <w:rPr>
                <w:lang w:val="en-GB"/>
              </w:rPr>
            </w:pPr>
            <w:r w:rsidRPr="00335FEB">
              <w:rPr>
                <w:lang w:val="en-GB"/>
              </w:rPr>
              <w:t>3.50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C3B95F9" w14:textId="77777777" w:rsidR="004359AE" w:rsidRPr="00335FEB" w:rsidRDefault="004359AE" w:rsidP="00D01513">
            <w:pPr>
              <w:pStyle w:val="ExhibitText"/>
              <w:jc w:val="right"/>
              <w:rPr>
                <w:lang w:val="en-GB"/>
              </w:rPr>
            </w:pPr>
            <w:r w:rsidRPr="00335FEB">
              <w:rPr>
                <w:lang w:val="en-GB"/>
              </w:rPr>
              <w:t>4.58</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24F54082" w14:textId="77777777" w:rsidR="004359AE" w:rsidRPr="00335FEB" w:rsidRDefault="004359AE" w:rsidP="00D01513">
            <w:pPr>
              <w:pStyle w:val="ExhibitText"/>
              <w:jc w:val="right"/>
              <w:rPr>
                <w:lang w:val="en-GB"/>
              </w:rPr>
            </w:pPr>
            <w:r w:rsidRPr="00335FEB">
              <w:rPr>
                <w:lang w:val="en-GB"/>
              </w:rPr>
              <w:t>3.25</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6FB886E7" w14:textId="77777777" w:rsidR="004359AE" w:rsidRPr="00335FEB" w:rsidRDefault="004359AE" w:rsidP="00D01513">
            <w:pPr>
              <w:pStyle w:val="ExhibitText"/>
              <w:jc w:val="right"/>
              <w:rPr>
                <w:lang w:val="en-GB"/>
              </w:rPr>
            </w:pPr>
            <w:r w:rsidRPr="00335FEB">
              <w:rPr>
                <w:lang w:val="en-GB"/>
              </w:rPr>
              <w:t>4.62</w:t>
            </w:r>
          </w:p>
        </w:tc>
        <w:tc>
          <w:tcPr>
            <w:tcW w:w="1080" w:type="dxa"/>
            <w:tcBorders>
              <w:top w:val="single" w:sz="4" w:space="0" w:color="auto"/>
              <w:left w:val="nil"/>
              <w:bottom w:val="single" w:sz="4" w:space="0" w:color="auto"/>
              <w:right w:val="single" w:sz="4" w:space="0" w:color="auto"/>
            </w:tcBorders>
            <w:vAlign w:val="center"/>
          </w:tcPr>
          <w:p w14:paraId="151C374B" w14:textId="77777777" w:rsidR="004359AE" w:rsidRPr="00335FEB" w:rsidRDefault="004359AE" w:rsidP="00D01513">
            <w:pPr>
              <w:pStyle w:val="ExhibitText"/>
              <w:jc w:val="right"/>
              <w:rPr>
                <w:lang w:val="en-GB"/>
              </w:rPr>
            </w:pPr>
            <w:r w:rsidRPr="00335FEB">
              <w:rPr>
                <w:lang w:val="en-GB"/>
              </w:rPr>
              <w:t>3.74</w:t>
            </w:r>
          </w:p>
        </w:tc>
      </w:tr>
      <w:tr w:rsidR="004359AE" w:rsidRPr="00335FEB" w14:paraId="29A6C46B"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EC167A" w14:textId="564612D5" w:rsidR="004359AE" w:rsidRPr="00335FEB" w:rsidRDefault="004359AE" w:rsidP="00A3352B">
            <w:pPr>
              <w:pStyle w:val="ExhibitText"/>
              <w:rPr>
                <w:lang w:val="en-GB"/>
              </w:rPr>
            </w:pPr>
            <w:r w:rsidRPr="00335FEB">
              <w:rPr>
                <w:lang w:val="en-GB"/>
              </w:rPr>
              <w:t>2010</w:t>
            </w:r>
            <w:r w:rsidR="006E5747" w:rsidRPr="00335FEB">
              <w:rPr>
                <w:sz w:val="18"/>
                <w:szCs w:val="18"/>
                <w:lang w:val="en-GB"/>
              </w:rPr>
              <w:t>–</w:t>
            </w:r>
            <w:r w:rsidRPr="00335FEB">
              <w:rPr>
                <w:lang w:val="en-GB"/>
              </w:rPr>
              <w:t>11</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662741BA" w14:textId="77777777" w:rsidR="004359AE" w:rsidRPr="00335FEB" w:rsidRDefault="004359AE" w:rsidP="00D01513">
            <w:pPr>
              <w:pStyle w:val="ExhibitText"/>
              <w:jc w:val="right"/>
              <w:rPr>
                <w:lang w:val="en-GB"/>
              </w:rPr>
            </w:pPr>
            <w:r w:rsidRPr="00335FEB">
              <w:rPr>
                <w:lang w:val="en-GB"/>
              </w:rPr>
              <w:t>3.60</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0B115CB5" w14:textId="77777777" w:rsidR="004359AE" w:rsidRPr="00335FEB" w:rsidRDefault="004359AE" w:rsidP="00D01513">
            <w:pPr>
              <w:pStyle w:val="ExhibitText"/>
              <w:jc w:val="right"/>
              <w:rPr>
                <w:lang w:val="en-GB"/>
              </w:rPr>
            </w:pPr>
            <w:r w:rsidRPr="00335FEB">
              <w:rPr>
                <w:lang w:val="en-GB"/>
              </w:rPr>
              <w:t>4.71</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341E40F4" w14:textId="77777777" w:rsidR="004359AE" w:rsidRPr="00335FEB" w:rsidRDefault="004359AE" w:rsidP="00D01513">
            <w:pPr>
              <w:pStyle w:val="ExhibitText"/>
              <w:jc w:val="right"/>
              <w:rPr>
                <w:lang w:val="en-GB"/>
              </w:rPr>
            </w:pPr>
            <w:r w:rsidRPr="00335FEB">
              <w:rPr>
                <w:lang w:val="en-GB"/>
              </w:rPr>
              <w:t>3.39</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7AEA922" w14:textId="77777777" w:rsidR="004359AE" w:rsidRPr="00335FEB" w:rsidRDefault="004359AE" w:rsidP="00D01513">
            <w:pPr>
              <w:pStyle w:val="ExhibitText"/>
              <w:jc w:val="right"/>
              <w:rPr>
                <w:lang w:val="en-GB"/>
              </w:rPr>
            </w:pPr>
            <w:r w:rsidRPr="00335FEB">
              <w:rPr>
                <w:lang w:val="en-GB"/>
              </w:rPr>
              <w:t>4.72</w:t>
            </w:r>
          </w:p>
        </w:tc>
        <w:tc>
          <w:tcPr>
            <w:tcW w:w="1080" w:type="dxa"/>
            <w:tcBorders>
              <w:top w:val="single" w:sz="4" w:space="0" w:color="auto"/>
              <w:left w:val="nil"/>
              <w:bottom w:val="single" w:sz="4" w:space="0" w:color="auto"/>
              <w:right w:val="single" w:sz="4" w:space="0" w:color="auto"/>
            </w:tcBorders>
            <w:vAlign w:val="center"/>
          </w:tcPr>
          <w:p w14:paraId="529B44AF" w14:textId="77777777" w:rsidR="004359AE" w:rsidRPr="00335FEB" w:rsidRDefault="004359AE" w:rsidP="00D01513">
            <w:pPr>
              <w:pStyle w:val="ExhibitText"/>
              <w:jc w:val="right"/>
              <w:rPr>
                <w:lang w:val="en-GB"/>
              </w:rPr>
            </w:pPr>
            <w:r w:rsidRPr="00335FEB">
              <w:rPr>
                <w:lang w:val="en-GB"/>
              </w:rPr>
              <w:t>4.14</w:t>
            </w:r>
          </w:p>
        </w:tc>
      </w:tr>
      <w:tr w:rsidR="004359AE" w:rsidRPr="00335FEB" w14:paraId="375611B2"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DCA0459" w14:textId="594D4E05" w:rsidR="004359AE" w:rsidRPr="00335FEB" w:rsidRDefault="004359AE" w:rsidP="00A3352B">
            <w:pPr>
              <w:pStyle w:val="ExhibitText"/>
              <w:rPr>
                <w:lang w:val="en-GB"/>
              </w:rPr>
            </w:pPr>
            <w:r w:rsidRPr="00335FEB">
              <w:rPr>
                <w:lang w:val="en-GB"/>
              </w:rPr>
              <w:t>2011</w:t>
            </w:r>
            <w:r w:rsidR="006E5747" w:rsidRPr="00335FEB">
              <w:rPr>
                <w:sz w:val="18"/>
                <w:szCs w:val="18"/>
                <w:lang w:val="en-GB"/>
              </w:rPr>
              <w:t>–</w:t>
            </w:r>
            <w:r w:rsidRPr="00335FEB">
              <w:rPr>
                <w:lang w:val="en-GB"/>
              </w:rPr>
              <w:t>12</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4A15D579" w14:textId="77777777" w:rsidR="004359AE" w:rsidRPr="00335FEB" w:rsidRDefault="004359AE" w:rsidP="00D01513">
            <w:pPr>
              <w:pStyle w:val="ExhibitText"/>
              <w:jc w:val="right"/>
              <w:rPr>
                <w:lang w:val="en-GB"/>
              </w:rPr>
            </w:pPr>
            <w:r w:rsidRPr="00335FEB">
              <w:rPr>
                <w:lang w:val="en-GB"/>
              </w:rPr>
              <w:t>3.74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42AB68A3" w14:textId="77777777" w:rsidR="004359AE" w:rsidRPr="00335FEB" w:rsidRDefault="004359AE" w:rsidP="00D01513">
            <w:pPr>
              <w:pStyle w:val="ExhibitText"/>
              <w:jc w:val="right"/>
              <w:rPr>
                <w:lang w:val="en-GB"/>
              </w:rPr>
            </w:pPr>
            <w:r w:rsidRPr="00335FEB">
              <w:rPr>
                <w:lang w:val="en-GB"/>
              </w:rPr>
              <w:t>4.82</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4D9FB59" w14:textId="77777777" w:rsidR="004359AE" w:rsidRPr="00335FEB" w:rsidRDefault="004359AE" w:rsidP="00D01513">
            <w:pPr>
              <w:pStyle w:val="ExhibitText"/>
              <w:jc w:val="right"/>
              <w:rPr>
                <w:lang w:val="en-GB"/>
              </w:rPr>
            </w:pPr>
            <w:r w:rsidRPr="00335FEB">
              <w:rPr>
                <w:lang w:val="en-GB"/>
              </w:rPr>
              <w:t>3.86</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98C5FC4" w14:textId="77777777" w:rsidR="004359AE" w:rsidRPr="00335FEB" w:rsidRDefault="004359AE" w:rsidP="00D01513">
            <w:pPr>
              <w:pStyle w:val="ExhibitText"/>
              <w:jc w:val="right"/>
              <w:rPr>
                <w:lang w:val="en-GB"/>
              </w:rPr>
            </w:pPr>
            <w:r w:rsidRPr="00335FEB">
              <w:rPr>
                <w:lang w:val="en-GB"/>
              </w:rPr>
              <w:t>4.56</w:t>
            </w:r>
          </w:p>
        </w:tc>
        <w:tc>
          <w:tcPr>
            <w:tcW w:w="1080" w:type="dxa"/>
            <w:tcBorders>
              <w:top w:val="single" w:sz="4" w:space="0" w:color="auto"/>
              <w:left w:val="nil"/>
              <w:bottom w:val="single" w:sz="4" w:space="0" w:color="auto"/>
              <w:right w:val="single" w:sz="4" w:space="0" w:color="auto"/>
            </w:tcBorders>
            <w:vAlign w:val="center"/>
          </w:tcPr>
          <w:p w14:paraId="1942EBA0" w14:textId="77777777" w:rsidR="004359AE" w:rsidRPr="00335FEB" w:rsidRDefault="004359AE" w:rsidP="00D01513">
            <w:pPr>
              <w:pStyle w:val="ExhibitText"/>
              <w:jc w:val="right"/>
              <w:rPr>
                <w:lang w:val="en-GB"/>
              </w:rPr>
            </w:pPr>
            <w:r w:rsidRPr="00335FEB">
              <w:rPr>
                <w:lang w:val="en-GB"/>
              </w:rPr>
              <w:t>4.34</w:t>
            </w:r>
          </w:p>
        </w:tc>
      </w:tr>
      <w:tr w:rsidR="004359AE" w:rsidRPr="00335FEB" w14:paraId="1E243E5B"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F1B8D2" w14:textId="05B6EB17" w:rsidR="004359AE" w:rsidRPr="00335FEB" w:rsidRDefault="004359AE" w:rsidP="00A3352B">
            <w:pPr>
              <w:pStyle w:val="ExhibitText"/>
              <w:rPr>
                <w:lang w:val="en-GB"/>
              </w:rPr>
            </w:pPr>
            <w:r w:rsidRPr="00335FEB">
              <w:rPr>
                <w:lang w:val="en-GB"/>
              </w:rPr>
              <w:t>2012</w:t>
            </w:r>
            <w:r w:rsidR="006E5747" w:rsidRPr="00335FEB">
              <w:rPr>
                <w:sz w:val="18"/>
                <w:szCs w:val="18"/>
                <w:lang w:val="en-GB"/>
              </w:rPr>
              <w:t>–</w:t>
            </w:r>
            <w:r w:rsidRPr="00335FEB">
              <w:rPr>
                <w:lang w:val="en-GB"/>
              </w:rPr>
              <w:t>13</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034C445B" w14:textId="77777777" w:rsidR="004359AE" w:rsidRPr="00335FEB" w:rsidRDefault="004359AE" w:rsidP="00D01513">
            <w:pPr>
              <w:pStyle w:val="ExhibitText"/>
              <w:jc w:val="right"/>
              <w:rPr>
                <w:lang w:val="en-GB"/>
              </w:rPr>
            </w:pPr>
            <w:r w:rsidRPr="00335FEB">
              <w:rPr>
                <w:lang w:val="en-GB"/>
              </w:rPr>
              <w:t>4.54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FE71879" w14:textId="77777777" w:rsidR="004359AE" w:rsidRPr="00335FEB" w:rsidRDefault="004359AE" w:rsidP="00D01513">
            <w:pPr>
              <w:pStyle w:val="ExhibitText"/>
              <w:jc w:val="right"/>
              <w:rPr>
                <w:lang w:val="en-GB"/>
              </w:rPr>
            </w:pPr>
            <w:r w:rsidRPr="00335FEB">
              <w:rPr>
                <w:lang w:val="en-GB"/>
              </w:rPr>
              <w:t>5.79</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7FA2A363" w14:textId="77777777" w:rsidR="004359AE" w:rsidRPr="00335FEB" w:rsidRDefault="004359AE" w:rsidP="00D01513">
            <w:pPr>
              <w:pStyle w:val="ExhibitText"/>
              <w:jc w:val="right"/>
              <w:rPr>
                <w:lang w:val="en-GB"/>
              </w:rPr>
            </w:pPr>
            <w:r w:rsidRPr="00335FEB">
              <w:rPr>
                <w:lang w:val="en-GB"/>
              </w:rPr>
              <w:t>4.65</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D62FE1C" w14:textId="77777777" w:rsidR="004359AE" w:rsidRPr="00335FEB" w:rsidRDefault="004359AE" w:rsidP="00D01513">
            <w:pPr>
              <w:pStyle w:val="ExhibitText"/>
              <w:jc w:val="right"/>
              <w:rPr>
                <w:lang w:val="en-GB"/>
              </w:rPr>
            </w:pPr>
            <w:r w:rsidRPr="00335FEB">
              <w:rPr>
                <w:lang w:val="en-GB"/>
              </w:rPr>
              <w:t>5.51</w:t>
            </w:r>
          </w:p>
        </w:tc>
        <w:tc>
          <w:tcPr>
            <w:tcW w:w="1080" w:type="dxa"/>
            <w:tcBorders>
              <w:top w:val="single" w:sz="4" w:space="0" w:color="auto"/>
              <w:left w:val="nil"/>
              <w:bottom w:val="single" w:sz="4" w:space="0" w:color="auto"/>
              <w:right w:val="single" w:sz="4" w:space="0" w:color="auto"/>
            </w:tcBorders>
            <w:vAlign w:val="center"/>
          </w:tcPr>
          <w:p w14:paraId="79BB366F" w14:textId="77777777" w:rsidR="004359AE" w:rsidRPr="00335FEB" w:rsidRDefault="004359AE" w:rsidP="00D01513">
            <w:pPr>
              <w:pStyle w:val="ExhibitText"/>
              <w:jc w:val="right"/>
              <w:rPr>
                <w:lang w:val="en-GB"/>
              </w:rPr>
            </w:pPr>
            <w:r w:rsidRPr="00335FEB">
              <w:rPr>
                <w:lang w:val="en-GB"/>
              </w:rPr>
              <w:t>5.35</w:t>
            </w:r>
          </w:p>
        </w:tc>
      </w:tr>
      <w:tr w:rsidR="004359AE" w:rsidRPr="00335FEB" w14:paraId="67F7B9C1"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F78F09D" w14:textId="55657997" w:rsidR="004359AE" w:rsidRPr="00335FEB" w:rsidRDefault="004359AE" w:rsidP="00A3352B">
            <w:pPr>
              <w:pStyle w:val="ExhibitText"/>
              <w:rPr>
                <w:lang w:val="en-GB"/>
              </w:rPr>
            </w:pPr>
            <w:r w:rsidRPr="00335FEB">
              <w:rPr>
                <w:lang w:val="en-GB"/>
              </w:rPr>
              <w:t>2013</w:t>
            </w:r>
            <w:r w:rsidR="006E5747" w:rsidRPr="00335FEB">
              <w:rPr>
                <w:sz w:val="18"/>
                <w:szCs w:val="18"/>
                <w:lang w:val="en-GB"/>
              </w:rPr>
              <w:t>–</w:t>
            </w:r>
            <w:r w:rsidRPr="00335FEB">
              <w:rPr>
                <w:lang w:val="en-GB"/>
              </w:rPr>
              <w:t>14</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0DB3A2C9" w14:textId="77777777" w:rsidR="004359AE" w:rsidRPr="00335FEB" w:rsidRDefault="004359AE" w:rsidP="00D01513">
            <w:pPr>
              <w:pStyle w:val="ExhibitText"/>
              <w:jc w:val="right"/>
              <w:rPr>
                <w:lang w:val="en-GB"/>
              </w:rPr>
            </w:pPr>
            <w:r w:rsidRPr="00335FEB">
              <w:rPr>
                <w:lang w:val="en-GB"/>
              </w:rPr>
              <w:t>4.81</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3F78B44A" w14:textId="77777777" w:rsidR="004359AE" w:rsidRPr="00335FEB" w:rsidRDefault="004359AE" w:rsidP="00D01513">
            <w:pPr>
              <w:pStyle w:val="ExhibitText"/>
              <w:jc w:val="right"/>
              <w:rPr>
                <w:lang w:val="en-GB"/>
              </w:rPr>
            </w:pPr>
            <w:r w:rsidRPr="00335FEB">
              <w:rPr>
                <w:lang w:val="en-GB"/>
              </w:rPr>
              <w:t>5.79</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14A9485D" w14:textId="77777777" w:rsidR="004359AE" w:rsidRPr="00335FEB" w:rsidRDefault="004359AE" w:rsidP="00D01513">
            <w:pPr>
              <w:pStyle w:val="ExhibitText"/>
              <w:jc w:val="right"/>
              <w:rPr>
                <w:lang w:val="en-GB"/>
              </w:rPr>
            </w:pPr>
            <w:r w:rsidRPr="00335FEB">
              <w:rPr>
                <w:lang w:val="en-GB"/>
              </w:rPr>
              <w:t>4.72</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3D49C438" w14:textId="77777777" w:rsidR="004359AE" w:rsidRPr="00335FEB" w:rsidRDefault="004359AE" w:rsidP="00D01513">
            <w:pPr>
              <w:pStyle w:val="ExhibitText"/>
              <w:jc w:val="right"/>
              <w:rPr>
                <w:lang w:val="en-GB"/>
              </w:rPr>
            </w:pPr>
            <w:r w:rsidRPr="00335FEB">
              <w:rPr>
                <w:lang w:val="en-GB"/>
              </w:rPr>
              <w:t>5.74</w:t>
            </w:r>
          </w:p>
        </w:tc>
        <w:tc>
          <w:tcPr>
            <w:tcW w:w="1080" w:type="dxa"/>
            <w:tcBorders>
              <w:top w:val="single" w:sz="4" w:space="0" w:color="auto"/>
              <w:left w:val="nil"/>
              <w:bottom w:val="single" w:sz="4" w:space="0" w:color="auto"/>
              <w:right w:val="single" w:sz="4" w:space="0" w:color="auto"/>
            </w:tcBorders>
            <w:vAlign w:val="center"/>
          </w:tcPr>
          <w:p w14:paraId="51F9672B" w14:textId="77777777" w:rsidR="004359AE" w:rsidRPr="00335FEB" w:rsidRDefault="004359AE" w:rsidP="00D01513">
            <w:pPr>
              <w:pStyle w:val="ExhibitText"/>
              <w:jc w:val="right"/>
              <w:rPr>
                <w:lang w:val="en-GB"/>
              </w:rPr>
            </w:pPr>
            <w:r w:rsidRPr="00335FEB">
              <w:rPr>
                <w:lang w:val="en-GB"/>
              </w:rPr>
              <w:t>5.05</w:t>
            </w:r>
          </w:p>
        </w:tc>
      </w:tr>
      <w:tr w:rsidR="004359AE" w:rsidRPr="00335FEB" w14:paraId="5A4247C7"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59E18DA" w14:textId="30F68473" w:rsidR="004359AE" w:rsidRPr="00335FEB" w:rsidRDefault="004359AE" w:rsidP="00A3352B">
            <w:pPr>
              <w:pStyle w:val="ExhibitText"/>
              <w:rPr>
                <w:lang w:val="en-GB"/>
              </w:rPr>
            </w:pPr>
            <w:r w:rsidRPr="00335FEB">
              <w:rPr>
                <w:lang w:val="en-GB"/>
              </w:rPr>
              <w:t>2014</w:t>
            </w:r>
            <w:r w:rsidR="006E5747" w:rsidRPr="00335FEB">
              <w:rPr>
                <w:sz w:val="18"/>
                <w:szCs w:val="18"/>
                <w:lang w:val="en-GB"/>
              </w:rPr>
              <w:t>–</w:t>
            </w:r>
            <w:r w:rsidRPr="00335FEB">
              <w:rPr>
                <w:lang w:val="en-GB"/>
              </w:rPr>
              <w:t>15</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3D2C20B6" w14:textId="77777777" w:rsidR="004359AE" w:rsidRPr="00335FEB" w:rsidRDefault="004359AE" w:rsidP="00D01513">
            <w:pPr>
              <w:pStyle w:val="ExhibitText"/>
              <w:jc w:val="right"/>
              <w:rPr>
                <w:lang w:val="en-GB"/>
              </w:rPr>
            </w:pPr>
            <w:r w:rsidRPr="00335FEB">
              <w:rPr>
                <w:lang w:val="en-GB"/>
              </w:rPr>
              <w:t>4.94</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0EFC4D3" w14:textId="77777777" w:rsidR="004359AE" w:rsidRPr="00335FEB" w:rsidRDefault="004359AE" w:rsidP="00D01513">
            <w:pPr>
              <w:pStyle w:val="ExhibitText"/>
              <w:jc w:val="right"/>
              <w:rPr>
                <w:lang w:val="en-GB"/>
              </w:rPr>
            </w:pPr>
            <w:r w:rsidRPr="00335FEB">
              <w:rPr>
                <w:lang w:val="en-GB"/>
              </w:rPr>
              <w:t>5.68</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695EC344" w14:textId="77777777" w:rsidR="004359AE" w:rsidRPr="00335FEB" w:rsidRDefault="004359AE" w:rsidP="00D01513">
            <w:pPr>
              <w:pStyle w:val="ExhibitText"/>
              <w:jc w:val="right"/>
              <w:rPr>
                <w:lang w:val="en-GB"/>
              </w:rPr>
            </w:pPr>
            <w:r w:rsidRPr="00335FEB">
              <w:rPr>
                <w:lang w:val="en-GB"/>
              </w:rPr>
              <w:t>4.40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73760821" w14:textId="77777777" w:rsidR="004359AE" w:rsidRPr="00335FEB" w:rsidRDefault="004359AE" w:rsidP="00D01513">
            <w:pPr>
              <w:pStyle w:val="ExhibitText"/>
              <w:jc w:val="right"/>
              <w:rPr>
                <w:lang w:val="en-GB"/>
              </w:rPr>
            </w:pPr>
            <w:r w:rsidRPr="00335FEB">
              <w:rPr>
                <w:lang w:val="en-GB"/>
              </w:rPr>
              <w:t>5.74</w:t>
            </w:r>
          </w:p>
        </w:tc>
        <w:tc>
          <w:tcPr>
            <w:tcW w:w="1080" w:type="dxa"/>
            <w:tcBorders>
              <w:top w:val="single" w:sz="4" w:space="0" w:color="auto"/>
              <w:left w:val="nil"/>
              <w:bottom w:val="single" w:sz="4" w:space="0" w:color="auto"/>
              <w:right w:val="single" w:sz="4" w:space="0" w:color="auto"/>
            </w:tcBorders>
            <w:vAlign w:val="center"/>
          </w:tcPr>
          <w:p w14:paraId="1222C091" w14:textId="77777777" w:rsidR="004359AE" w:rsidRPr="00335FEB" w:rsidRDefault="004359AE" w:rsidP="00D01513">
            <w:pPr>
              <w:pStyle w:val="ExhibitText"/>
              <w:jc w:val="right"/>
              <w:rPr>
                <w:lang w:val="en-GB"/>
              </w:rPr>
            </w:pPr>
            <w:r w:rsidRPr="00335FEB">
              <w:rPr>
                <w:lang w:val="en-GB"/>
              </w:rPr>
              <w:t>4.93</w:t>
            </w:r>
          </w:p>
        </w:tc>
      </w:tr>
      <w:tr w:rsidR="004359AE" w:rsidRPr="00335FEB" w14:paraId="470D034E"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C8739C" w14:textId="7C440D82" w:rsidR="004359AE" w:rsidRPr="00335FEB" w:rsidRDefault="004359AE" w:rsidP="00A3352B">
            <w:pPr>
              <w:pStyle w:val="ExhibitText"/>
              <w:rPr>
                <w:lang w:val="en-GB"/>
              </w:rPr>
            </w:pPr>
            <w:r w:rsidRPr="00335FEB">
              <w:rPr>
                <w:lang w:val="en-GB"/>
              </w:rPr>
              <w:t>2015</w:t>
            </w:r>
            <w:r w:rsidR="006E5747" w:rsidRPr="00335FEB">
              <w:rPr>
                <w:sz w:val="18"/>
                <w:szCs w:val="18"/>
                <w:lang w:val="en-GB"/>
              </w:rPr>
              <w:t>–</w:t>
            </w:r>
            <w:r w:rsidRPr="00335FEB">
              <w:rPr>
                <w:lang w:val="en-GB"/>
              </w:rPr>
              <w:t>16</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14080B1B" w14:textId="77777777" w:rsidR="004359AE" w:rsidRPr="00335FEB" w:rsidRDefault="004359AE" w:rsidP="00D01513">
            <w:pPr>
              <w:pStyle w:val="ExhibitText"/>
              <w:jc w:val="right"/>
              <w:rPr>
                <w:lang w:val="en-GB"/>
              </w:rPr>
            </w:pPr>
            <w:r w:rsidRPr="00335FEB">
              <w:rPr>
                <w:lang w:val="en-GB"/>
              </w:rPr>
              <w:t>4.49</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139EBFB6" w14:textId="77777777" w:rsidR="004359AE" w:rsidRPr="00335FEB" w:rsidRDefault="004359AE" w:rsidP="00D01513">
            <w:pPr>
              <w:pStyle w:val="ExhibitText"/>
              <w:jc w:val="right"/>
              <w:rPr>
                <w:lang w:val="en-GB"/>
              </w:rPr>
            </w:pPr>
            <w:r w:rsidRPr="00335FEB">
              <w:rPr>
                <w:lang w:val="en-GB"/>
              </w:rPr>
              <w:t>5.39</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4C2D65BC" w14:textId="77777777" w:rsidR="004359AE" w:rsidRPr="00335FEB" w:rsidRDefault="004359AE" w:rsidP="00D01513">
            <w:pPr>
              <w:pStyle w:val="ExhibitText"/>
              <w:jc w:val="right"/>
              <w:rPr>
                <w:lang w:val="en-GB"/>
              </w:rPr>
            </w:pPr>
            <w:r w:rsidRPr="00335FEB">
              <w:rPr>
                <w:lang w:val="en-GB"/>
              </w:rPr>
              <w:t>4.40</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04A4B51E" w14:textId="77777777" w:rsidR="004359AE" w:rsidRPr="00335FEB" w:rsidRDefault="004359AE" w:rsidP="00D01513">
            <w:pPr>
              <w:pStyle w:val="ExhibitText"/>
              <w:jc w:val="right"/>
              <w:rPr>
                <w:lang w:val="en-GB"/>
              </w:rPr>
            </w:pPr>
            <w:r w:rsidRPr="00335FEB">
              <w:rPr>
                <w:lang w:val="en-GB"/>
              </w:rPr>
              <w:t>5.19</w:t>
            </w:r>
          </w:p>
        </w:tc>
        <w:tc>
          <w:tcPr>
            <w:tcW w:w="1080" w:type="dxa"/>
            <w:tcBorders>
              <w:top w:val="single" w:sz="4" w:space="0" w:color="auto"/>
              <w:left w:val="nil"/>
              <w:bottom w:val="single" w:sz="4" w:space="0" w:color="auto"/>
              <w:right w:val="single" w:sz="4" w:space="0" w:color="auto"/>
            </w:tcBorders>
            <w:vAlign w:val="center"/>
          </w:tcPr>
          <w:p w14:paraId="3DC4EEE1" w14:textId="77777777" w:rsidR="004359AE" w:rsidRPr="00335FEB" w:rsidRDefault="004359AE" w:rsidP="00D01513">
            <w:pPr>
              <w:pStyle w:val="ExhibitText"/>
              <w:jc w:val="right"/>
              <w:rPr>
                <w:lang w:val="en-GB"/>
              </w:rPr>
            </w:pPr>
            <w:r w:rsidRPr="00335FEB">
              <w:rPr>
                <w:lang w:val="en-GB"/>
              </w:rPr>
              <w:t>4.26</w:t>
            </w:r>
          </w:p>
        </w:tc>
      </w:tr>
      <w:tr w:rsidR="004359AE" w:rsidRPr="00335FEB" w14:paraId="7ADB0EEE"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944B1CF" w14:textId="59C73D58" w:rsidR="004359AE" w:rsidRPr="00335FEB" w:rsidRDefault="004359AE" w:rsidP="00A3352B">
            <w:pPr>
              <w:pStyle w:val="ExhibitText"/>
              <w:rPr>
                <w:lang w:val="en-GB"/>
              </w:rPr>
            </w:pPr>
            <w:r w:rsidRPr="00335FEB">
              <w:rPr>
                <w:lang w:val="en-GB"/>
              </w:rPr>
              <w:t>2016</w:t>
            </w:r>
            <w:r w:rsidR="006E5747" w:rsidRPr="00335FEB">
              <w:rPr>
                <w:sz w:val="18"/>
                <w:szCs w:val="18"/>
                <w:lang w:val="en-GB"/>
              </w:rPr>
              <w:t>–</w:t>
            </w:r>
            <w:r w:rsidRPr="00335FEB">
              <w:rPr>
                <w:lang w:val="en-GB"/>
              </w:rPr>
              <w:t>17</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3B66304F" w14:textId="77777777" w:rsidR="004359AE" w:rsidRPr="00335FEB" w:rsidRDefault="004359AE" w:rsidP="00D01513">
            <w:pPr>
              <w:pStyle w:val="ExhibitText"/>
              <w:jc w:val="right"/>
              <w:rPr>
                <w:lang w:val="en-GB"/>
              </w:rPr>
            </w:pPr>
            <w:r w:rsidRPr="00335FEB">
              <w:rPr>
                <w:lang w:val="en-GB"/>
              </w:rPr>
              <w:t>4.01</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5A5825EF" w14:textId="77777777" w:rsidR="004359AE" w:rsidRPr="00335FEB" w:rsidRDefault="004359AE" w:rsidP="00D01513">
            <w:pPr>
              <w:pStyle w:val="ExhibitText"/>
              <w:jc w:val="right"/>
              <w:rPr>
                <w:lang w:val="en-GB"/>
              </w:rPr>
            </w:pPr>
            <w:r w:rsidRPr="00335FEB">
              <w:rPr>
                <w:lang w:val="en-GB"/>
              </w:rPr>
              <w:t>5.18</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02B4167F" w14:textId="77777777" w:rsidR="004359AE" w:rsidRPr="00335FEB" w:rsidRDefault="004359AE" w:rsidP="00D01513">
            <w:pPr>
              <w:pStyle w:val="ExhibitText"/>
              <w:jc w:val="right"/>
              <w:rPr>
                <w:lang w:val="en-GB"/>
              </w:rPr>
            </w:pPr>
            <w:r w:rsidRPr="00335FEB">
              <w:rPr>
                <w:lang w:val="en-GB"/>
              </w:rPr>
              <w:t>4.11</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51CFC35A" w14:textId="77777777" w:rsidR="004359AE" w:rsidRPr="00335FEB" w:rsidRDefault="004359AE" w:rsidP="00D01513">
            <w:pPr>
              <w:pStyle w:val="ExhibitText"/>
              <w:jc w:val="right"/>
              <w:rPr>
                <w:lang w:val="en-GB"/>
              </w:rPr>
            </w:pPr>
            <w:r w:rsidRPr="00335FEB">
              <w:rPr>
                <w:lang w:val="en-GB"/>
              </w:rPr>
              <w:t>5.28</w:t>
            </w:r>
          </w:p>
        </w:tc>
        <w:tc>
          <w:tcPr>
            <w:tcW w:w="1080" w:type="dxa"/>
            <w:tcBorders>
              <w:top w:val="single" w:sz="4" w:space="0" w:color="auto"/>
              <w:left w:val="nil"/>
              <w:bottom w:val="single" w:sz="4" w:space="0" w:color="auto"/>
              <w:right w:val="single" w:sz="4" w:space="0" w:color="auto"/>
            </w:tcBorders>
            <w:vAlign w:val="center"/>
          </w:tcPr>
          <w:p w14:paraId="2A863CE6" w14:textId="77777777" w:rsidR="004359AE" w:rsidRPr="00335FEB" w:rsidRDefault="004359AE" w:rsidP="00D01513">
            <w:pPr>
              <w:pStyle w:val="ExhibitText"/>
              <w:jc w:val="right"/>
              <w:rPr>
                <w:lang w:val="en-GB"/>
              </w:rPr>
            </w:pPr>
            <w:r w:rsidRPr="00335FEB">
              <w:rPr>
                <w:lang w:val="en-GB"/>
              </w:rPr>
              <w:t>4.49</w:t>
            </w:r>
          </w:p>
        </w:tc>
      </w:tr>
      <w:tr w:rsidR="004359AE" w:rsidRPr="00335FEB" w14:paraId="1D10A671" w14:textId="77777777" w:rsidTr="00697132">
        <w:trPr>
          <w:trHeight w:val="60"/>
          <w:jc w:val="center"/>
        </w:trPr>
        <w:tc>
          <w:tcPr>
            <w:tcW w:w="138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0D8B653" w14:textId="4B894264" w:rsidR="004359AE" w:rsidRPr="00335FEB" w:rsidRDefault="004359AE" w:rsidP="00A3352B">
            <w:pPr>
              <w:pStyle w:val="ExhibitText"/>
              <w:rPr>
                <w:lang w:val="en-GB"/>
              </w:rPr>
            </w:pPr>
            <w:r w:rsidRPr="00335FEB">
              <w:rPr>
                <w:lang w:val="en-GB"/>
              </w:rPr>
              <w:t>2017</w:t>
            </w:r>
            <w:r w:rsidR="006E5747" w:rsidRPr="00335FEB">
              <w:rPr>
                <w:sz w:val="18"/>
                <w:szCs w:val="18"/>
                <w:lang w:val="en-GB"/>
              </w:rPr>
              <w:t>–</w:t>
            </w:r>
            <w:r w:rsidRPr="00335FEB">
              <w:rPr>
                <w:lang w:val="en-GB"/>
              </w:rPr>
              <w:t>18*</w:t>
            </w:r>
          </w:p>
        </w:tc>
        <w:tc>
          <w:tcPr>
            <w:tcW w:w="948" w:type="dxa"/>
            <w:tcBorders>
              <w:top w:val="single" w:sz="4" w:space="0" w:color="auto"/>
              <w:left w:val="nil"/>
              <w:bottom w:val="single" w:sz="4" w:space="0" w:color="auto"/>
              <w:right w:val="single" w:sz="4" w:space="0" w:color="auto"/>
            </w:tcBorders>
            <w:shd w:val="clear" w:color="auto" w:fill="auto"/>
            <w:noWrap/>
            <w:vAlign w:val="center"/>
            <w:hideMark/>
          </w:tcPr>
          <w:p w14:paraId="54D75D5A" w14:textId="77777777" w:rsidR="004359AE" w:rsidRPr="00335FEB" w:rsidRDefault="004359AE" w:rsidP="00D01513">
            <w:pPr>
              <w:pStyle w:val="ExhibitText"/>
              <w:jc w:val="right"/>
              <w:rPr>
                <w:lang w:val="en-GB"/>
              </w:rPr>
            </w:pPr>
            <w:r w:rsidRPr="00335FEB">
              <w:rPr>
                <w:lang w:val="en-GB"/>
              </w:rPr>
              <w:t>4.92</w:t>
            </w:r>
          </w:p>
        </w:tc>
        <w:tc>
          <w:tcPr>
            <w:tcW w:w="1350" w:type="dxa"/>
            <w:tcBorders>
              <w:top w:val="single" w:sz="4" w:space="0" w:color="auto"/>
              <w:left w:val="nil"/>
              <w:bottom w:val="single" w:sz="4" w:space="0" w:color="auto"/>
              <w:right w:val="single" w:sz="4" w:space="0" w:color="auto"/>
            </w:tcBorders>
            <w:shd w:val="clear" w:color="auto" w:fill="auto"/>
            <w:noWrap/>
            <w:vAlign w:val="center"/>
            <w:hideMark/>
          </w:tcPr>
          <w:p w14:paraId="65251F4F" w14:textId="77777777" w:rsidR="004359AE" w:rsidRPr="00335FEB" w:rsidRDefault="004359AE" w:rsidP="00D01513">
            <w:pPr>
              <w:pStyle w:val="ExhibitText"/>
              <w:jc w:val="right"/>
              <w:rPr>
                <w:lang w:val="en-GB"/>
              </w:rPr>
            </w:pPr>
            <w:r w:rsidRPr="00335FEB">
              <w:rPr>
                <w:lang w:val="en-GB"/>
              </w:rPr>
              <w:t>5.50</w:t>
            </w:r>
          </w:p>
        </w:tc>
        <w:tc>
          <w:tcPr>
            <w:tcW w:w="990" w:type="dxa"/>
            <w:tcBorders>
              <w:top w:val="single" w:sz="4" w:space="0" w:color="auto"/>
              <w:left w:val="nil"/>
              <w:bottom w:val="single" w:sz="4" w:space="0" w:color="auto"/>
              <w:right w:val="single" w:sz="4" w:space="0" w:color="auto"/>
            </w:tcBorders>
            <w:shd w:val="clear" w:color="auto" w:fill="auto"/>
            <w:noWrap/>
            <w:vAlign w:val="center"/>
            <w:hideMark/>
          </w:tcPr>
          <w:p w14:paraId="5C2EFCD4" w14:textId="77777777" w:rsidR="004359AE" w:rsidRPr="00335FEB" w:rsidRDefault="004359AE" w:rsidP="00D01513">
            <w:pPr>
              <w:pStyle w:val="ExhibitText"/>
              <w:jc w:val="right"/>
              <w:rPr>
                <w:lang w:val="en-GB"/>
              </w:rPr>
            </w:pPr>
            <w:r w:rsidRPr="00335FEB">
              <w:rPr>
                <w:lang w:val="en-GB"/>
              </w:rPr>
              <w:t>4.82</w:t>
            </w:r>
          </w:p>
        </w:tc>
        <w:tc>
          <w:tcPr>
            <w:tcW w:w="1260" w:type="dxa"/>
            <w:tcBorders>
              <w:top w:val="single" w:sz="4" w:space="0" w:color="auto"/>
              <w:left w:val="nil"/>
              <w:bottom w:val="single" w:sz="4" w:space="0" w:color="auto"/>
              <w:right w:val="single" w:sz="4" w:space="0" w:color="auto"/>
            </w:tcBorders>
            <w:shd w:val="clear" w:color="auto" w:fill="auto"/>
            <w:noWrap/>
            <w:vAlign w:val="center"/>
            <w:hideMark/>
          </w:tcPr>
          <w:p w14:paraId="11A636C5" w14:textId="77777777" w:rsidR="004359AE" w:rsidRPr="00335FEB" w:rsidRDefault="004359AE" w:rsidP="00D01513">
            <w:pPr>
              <w:pStyle w:val="ExhibitText"/>
              <w:jc w:val="right"/>
              <w:rPr>
                <w:lang w:val="en-GB"/>
              </w:rPr>
            </w:pPr>
            <w:r w:rsidRPr="00335FEB">
              <w:rPr>
                <w:lang w:val="en-GB"/>
              </w:rPr>
              <w:t>5.54</w:t>
            </w:r>
          </w:p>
        </w:tc>
        <w:tc>
          <w:tcPr>
            <w:tcW w:w="1080" w:type="dxa"/>
            <w:tcBorders>
              <w:top w:val="single" w:sz="4" w:space="0" w:color="auto"/>
              <w:left w:val="nil"/>
              <w:bottom w:val="single" w:sz="4" w:space="0" w:color="auto"/>
              <w:right w:val="single" w:sz="4" w:space="0" w:color="auto"/>
            </w:tcBorders>
            <w:vAlign w:val="center"/>
          </w:tcPr>
          <w:p w14:paraId="308FF0AB" w14:textId="77777777" w:rsidR="004359AE" w:rsidRPr="00335FEB" w:rsidRDefault="004359AE" w:rsidP="00D01513">
            <w:pPr>
              <w:pStyle w:val="ExhibitText"/>
              <w:jc w:val="right"/>
              <w:rPr>
                <w:lang w:val="en-GB"/>
              </w:rPr>
            </w:pPr>
            <w:r w:rsidRPr="00335FEB">
              <w:rPr>
                <w:lang w:val="en-GB"/>
              </w:rPr>
              <w:t>4.93</w:t>
            </w:r>
          </w:p>
        </w:tc>
      </w:tr>
    </w:tbl>
    <w:p w14:paraId="22CDFA1F" w14:textId="77777777" w:rsidR="004359AE" w:rsidRPr="00335FEB" w:rsidRDefault="004359AE" w:rsidP="004359AE">
      <w:pPr>
        <w:pStyle w:val="BodyTextMain"/>
        <w:rPr>
          <w:lang w:val="en-GB"/>
        </w:rPr>
      </w:pPr>
    </w:p>
    <w:p w14:paraId="6F0803DF" w14:textId="6BC4E5F8" w:rsidR="004359AE" w:rsidRPr="00335FEB" w:rsidRDefault="00EA3BCB" w:rsidP="004359AE">
      <w:pPr>
        <w:pStyle w:val="Footnote"/>
        <w:rPr>
          <w:lang w:val="en-GB"/>
        </w:rPr>
      </w:pPr>
      <w:r w:rsidRPr="00335FEB">
        <w:rPr>
          <w:lang w:val="en-GB"/>
        </w:rPr>
        <w:t xml:space="preserve">Note: </w:t>
      </w:r>
      <w:r w:rsidR="006E5747" w:rsidRPr="00335FEB">
        <w:rPr>
          <w:sz w:val="20"/>
          <w:szCs w:val="20"/>
          <w:lang w:val="en-GB"/>
        </w:rPr>
        <w:t>₹</w:t>
      </w:r>
      <w:r w:rsidR="006E5747" w:rsidRPr="00335FEB">
        <w:rPr>
          <w:lang w:val="en-GB"/>
        </w:rPr>
        <w:t xml:space="preserve"> = INR = Indian rupee; </w:t>
      </w:r>
      <w:r w:rsidR="006E5747" w:rsidRPr="00335FEB">
        <w:rPr>
          <w:sz w:val="20"/>
          <w:szCs w:val="20"/>
          <w:lang w:val="en-GB"/>
        </w:rPr>
        <w:t>₹</w:t>
      </w:r>
      <w:r w:rsidR="006E5747" w:rsidRPr="00335FEB">
        <w:rPr>
          <w:lang w:val="en-GB"/>
        </w:rPr>
        <w:t>1 = US$0.0149 on May 2, 2018</w:t>
      </w:r>
      <w:r w:rsidR="00C5551D">
        <w:rPr>
          <w:lang w:val="en-GB"/>
        </w:rPr>
        <w:t>;</w:t>
      </w:r>
      <w:r w:rsidR="006E5747" w:rsidRPr="00335FEB">
        <w:rPr>
          <w:lang w:val="en-GB"/>
        </w:rPr>
        <w:t xml:space="preserve"> N/A = not available; </w:t>
      </w:r>
      <w:r w:rsidR="004359AE" w:rsidRPr="00335FEB">
        <w:rPr>
          <w:lang w:val="en-GB"/>
        </w:rPr>
        <w:t>*</w:t>
      </w:r>
      <w:r w:rsidR="006E5747" w:rsidRPr="00335FEB">
        <w:rPr>
          <w:lang w:val="en-GB"/>
        </w:rPr>
        <w:t>p</w:t>
      </w:r>
      <w:r w:rsidR="004359AE" w:rsidRPr="00335FEB">
        <w:rPr>
          <w:lang w:val="en-GB"/>
        </w:rPr>
        <w:t>rojected figures</w:t>
      </w:r>
      <w:r w:rsidRPr="00335FEB">
        <w:rPr>
          <w:lang w:val="en-GB"/>
        </w:rPr>
        <w:t xml:space="preserve">; </w:t>
      </w:r>
      <w:r w:rsidR="004359AE" w:rsidRPr="00335FEB">
        <w:rPr>
          <w:lang w:val="en-GB"/>
        </w:rPr>
        <w:t xml:space="preserve">Kingfisher </w:t>
      </w:r>
      <w:r w:rsidRPr="00335FEB">
        <w:rPr>
          <w:lang w:val="en-GB"/>
        </w:rPr>
        <w:t>Airlines p</w:t>
      </w:r>
      <w:r w:rsidR="004359AE" w:rsidRPr="00335FEB">
        <w:rPr>
          <w:lang w:val="en-GB"/>
        </w:rPr>
        <w:t xml:space="preserve">rices </w:t>
      </w:r>
      <w:r w:rsidRPr="00335FEB">
        <w:rPr>
          <w:lang w:val="en-GB"/>
        </w:rPr>
        <w:t>are</w:t>
      </w:r>
      <w:r w:rsidR="004359AE" w:rsidRPr="00335FEB">
        <w:rPr>
          <w:lang w:val="en-GB"/>
        </w:rPr>
        <w:t xml:space="preserve"> not reported</w:t>
      </w:r>
      <w:r w:rsidR="005D1E26">
        <w:rPr>
          <w:lang w:val="en-GB"/>
        </w:rPr>
        <w:t>,</w:t>
      </w:r>
      <w:r w:rsidR="004359AE" w:rsidRPr="00335FEB">
        <w:rPr>
          <w:lang w:val="en-GB"/>
        </w:rPr>
        <w:t xml:space="preserve"> as the </w:t>
      </w:r>
      <w:r w:rsidRPr="00335FEB">
        <w:rPr>
          <w:lang w:val="en-GB"/>
        </w:rPr>
        <w:t>a</w:t>
      </w:r>
      <w:r w:rsidR="004359AE" w:rsidRPr="00335FEB">
        <w:rPr>
          <w:lang w:val="en-GB"/>
        </w:rPr>
        <w:t>irline was grounded in 2013.</w:t>
      </w:r>
    </w:p>
    <w:p w14:paraId="281338F0" w14:textId="422B1BE5" w:rsidR="00C66EE0" w:rsidRPr="00335FEB" w:rsidRDefault="004359AE" w:rsidP="004359AE">
      <w:pPr>
        <w:pStyle w:val="Footnote"/>
        <w:rPr>
          <w:lang w:val="en-GB"/>
        </w:rPr>
      </w:pPr>
      <w:r w:rsidRPr="00335FEB">
        <w:rPr>
          <w:lang w:val="en-GB"/>
        </w:rPr>
        <w:t xml:space="preserve">Source: </w:t>
      </w:r>
      <w:r w:rsidR="00EA3BCB" w:rsidRPr="00335FEB">
        <w:rPr>
          <w:lang w:val="en-GB"/>
        </w:rPr>
        <w:t>“Domestic Traffic Reports (as on 24-10-2018),” D</w:t>
      </w:r>
      <w:r w:rsidR="005D1E26">
        <w:rPr>
          <w:lang w:val="en-GB"/>
        </w:rPr>
        <w:t xml:space="preserve">irectorate </w:t>
      </w:r>
      <w:r w:rsidR="00EA3BCB" w:rsidRPr="00335FEB">
        <w:rPr>
          <w:lang w:val="en-GB"/>
        </w:rPr>
        <w:t>G</w:t>
      </w:r>
      <w:r w:rsidR="005D1E26">
        <w:rPr>
          <w:lang w:val="en-GB"/>
        </w:rPr>
        <w:t xml:space="preserve">eneral of </w:t>
      </w:r>
      <w:r w:rsidR="00EA3BCB" w:rsidRPr="00335FEB">
        <w:rPr>
          <w:lang w:val="en-GB"/>
        </w:rPr>
        <w:t>C</w:t>
      </w:r>
      <w:r w:rsidR="005D1E26">
        <w:rPr>
          <w:lang w:val="en-GB"/>
        </w:rPr>
        <w:t xml:space="preserve">ivil </w:t>
      </w:r>
      <w:r w:rsidR="00EA3BCB" w:rsidRPr="00335FEB">
        <w:rPr>
          <w:lang w:val="en-GB"/>
        </w:rPr>
        <w:t>A</w:t>
      </w:r>
      <w:r w:rsidR="005D1E26">
        <w:rPr>
          <w:lang w:val="en-GB"/>
        </w:rPr>
        <w:t>viation</w:t>
      </w:r>
      <w:r w:rsidR="00EA3BCB" w:rsidRPr="00335FEB">
        <w:rPr>
          <w:lang w:val="en-GB"/>
        </w:rPr>
        <w:t xml:space="preserve"> India, accessed May 14, 2018, </w:t>
      </w:r>
      <w:hyperlink r:id="rId13" w:history="1">
        <w:r w:rsidR="00EA3BCB" w:rsidRPr="00335FEB">
          <w:rPr>
            <w:lang w:val="en-GB"/>
          </w:rPr>
          <w:t>http://dgca.nic.in/reports/Traffic-ind.htm</w:t>
        </w:r>
      </w:hyperlink>
      <w:hyperlink r:id="rId14" w:history="1">
        <w:r w:rsidRPr="00335FEB">
          <w:rPr>
            <w:lang w:val="en-GB"/>
          </w:rPr>
          <w:t>http://dgca.nic.in/reports/Traffic-ind.htm</w:t>
        </w:r>
      </w:hyperlink>
      <w:r w:rsidRPr="00335FEB">
        <w:rPr>
          <w:lang w:val="en-GB"/>
        </w:rPr>
        <w:t>.</w:t>
      </w:r>
    </w:p>
    <w:p w14:paraId="48967708" w14:textId="77777777" w:rsidR="004359AE" w:rsidRPr="00335FEB" w:rsidRDefault="004359AE" w:rsidP="004359AE">
      <w:pPr>
        <w:pStyle w:val="Footnote"/>
        <w:rPr>
          <w:lang w:val="en-GB"/>
        </w:rPr>
      </w:pPr>
    </w:p>
    <w:p w14:paraId="4F61559B" w14:textId="77777777" w:rsidR="004359AE" w:rsidRPr="00335FEB" w:rsidRDefault="004359AE" w:rsidP="004359AE">
      <w:pPr>
        <w:pStyle w:val="Footnote"/>
        <w:rPr>
          <w:lang w:val="en-GB"/>
        </w:rPr>
      </w:pPr>
    </w:p>
    <w:p w14:paraId="1C395DF9" w14:textId="76C8FD8B" w:rsidR="004359AE" w:rsidRPr="00335FEB" w:rsidRDefault="004359AE" w:rsidP="004359AE">
      <w:pPr>
        <w:pStyle w:val="ExhibitHeading"/>
        <w:rPr>
          <w:lang w:val="en-GB"/>
        </w:rPr>
      </w:pPr>
      <w:r w:rsidRPr="00335FEB">
        <w:rPr>
          <w:lang w:val="en-GB"/>
        </w:rPr>
        <w:t xml:space="preserve">Exhibit 6: TRENDS IN </w:t>
      </w:r>
      <w:r w:rsidR="000C4DD1">
        <w:rPr>
          <w:lang w:val="en-GB"/>
        </w:rPr>
        <w:t xml:space="preserve">the aviation sector’s </w:t>
      </w:r>
      <w:r w:rsidRPr="00335FEB">
        <w:rPr>
          <w:lang w:val="en-GB"/>
        </w:rPr>
        <w:t>INPUT PRICES</w:t>
      </w:r>
      <w:r w:rsidR="006E5747" w:rsidRPr="00335FEB">
        <w:rPr>
          <w:lang w:val="en-GB"/>
        </w:rPr>
        <w:t>,</w:t>
      </w:r>
      <w:r w:rsidRPr="00335FEB">
        <w:rPr>
          <w:lang w:val="en-GB"/>
        </w:rPr>
        <w:t xml:space="preserve"> 2006</w:t>
      </w:r>
      <w:r w:rsidR="006E5747" w:rsidRPr="00335FEB">
        <w:rPr>
          <w:sz w:val="18"/>
          <w:szCs w:val="18"/>
          <w:lang w:val="en-GB"/>
        </w:rPr>
        <w:t>–</w:t>
      </w:r>
      <w:r w:rsidRPr="00335FEB">
        <w:rPr>
          <w:lang w:val="en-GB"/>
        </w:rPr>
        <w:t xml:space="preserve">2018 </w:t>
      </w:r>
    </w:p>
    <w:p w14:paraId="511E805D" w14:textId="77777777" w:rsidR="004359AE" w:rsidRPr="00335FEB" w:rsidRDefault="004359AE" w:rsidP="004359AE">
      <w:pPr>
        <w:pStyle w:val="BodyTextMain"/>
        <w:rPr>
          <w:lang w:val="en-GB"/>
        </w:rPr>
      </w:pPr>
    </w:p>
    <w:tbl>
      <w:tblPr>
        <w:tblStyle w:val="TableGrid3"/>
        <w:tblW w:w="8825" w:type="dxa"/>
        <w:jc w:val="center"/>
        <w:tblLayout w:type="fixed"/>
        <w:tblLook w:val="04A0" w:firstRow="1" w:lastRow="0" w:firstColumn="1" w:lastColumn="0" w:noHBand="0" w:noVBand="1"/>
      </w:tblPr>
      <w:tblGrid>
        <w:gridCol w:w="846"/>
        <w:gridCol w:w="1276"/>
        <w:gridCol w:w="1275"/>
        <w:gridCol w:w="1134"/>
        <w:gridCol w:w="851"/>
        <w:gridCol w:w="1188"/>
        <w:gridCol w:w="1080"/>
        <w:gridCol w:w="1175"/>
      </w:tblGrid>
      <w:tr w:rsidR="004359AE" w:rsidRPr="00335FEB" w14:paraId="470F6784" w14:textId="77777777" w:rsidTr="00D01513">
        <w:trPr>
          <w:jc w:val="center"/>
        </w:trPr>
        <w:tc>
          <w:tcPr>
            <w:tcW w:w="846" w:type="dxa"/>
          </w:tcPr>
          <w:p w14:paraId="1A2F480E" w14:textId="77777777" w:rsidR="004359AE" w:rsidRPr="00335FEB" w:rsidRDefault="004359AE" w:rsidP="00D01513">
            <w:pPr>
              <w:pStyle w:val="ExhibitText"/>
              <w:jc w:val="center"/>
              <w:rPr>
                <w:lang w:val="en-GB"/>
              </w:rPr>
            </w:pPr>
            <w:r w:rsidRPr="00335FEB">
              <w:rPr>
                <w:lang w:val="en-GB"/>
              </w:rPr>
              <w:t>Year</w:t>
            </w:r>
          </w:p>
        </w:tc>
        <w:tc>
          <w:tcPr>
            <w:tcW w:w="1276" w:type="dxa"/>
          </w:tcPr>
          <w:p w14:paraId="22EBF384" w14:textId="7014DCA3" w:rsidR="004359AE" w:rsidRPr="00335FEB" w:rsidRDefault="004359AE" w:rsidP="00D01513">
            <w:pPr>
              <w:pStyle w:val="ExhibitText"/>
              <w:jc w:val="center"/>
              <w:rPr>
                <w:lang w:val="en-GB"/>
              </w:rPr>
            </w:pPr>
            <w:r w:rsidRPr="00335FEB">
              <w:rPr>
                <w:lang w:val="en-GB"/>
              </w:rPr>
              <w:t xml:space="preserve">Brent Crude Prices </w:t>
            </w:r>
            <w:r w:rsidR="006E5747" w:rsidRPr="00335FEB">
              <w:rPr>
                <w:lang w:val="en-GB"/>
              </w:rPr>
              <w:t>US</w:t>
            </w:r>
            <w:r w:rsidRPr="00335FEB">
              <w:rPr>
                <w:lang w:val="en-GB"/>
              </w:rPr>
              <w:t>$/Barrel</w:t>
            </w:r>
          </w:p>
        </w:tc>
        <w:tc>
          <w:tcPr>
            <w:tcW w:w="1275" w:type="dxa"/>
          </w:tcPr>
          <w:p w14:paraId="50E9CBCB" w14:textId="01F947E6" w:rsidR="004359AE" w:rsidRPr="00335FEB" w:rsidRDefault="004359AE" w:rsidP="00D01513">
            <w:pPr>
              <w:pStyle w:val="ExhibitText"/>
              <w:jc w:val="center"/>
              <w:rPr>
                <w:lang w:val="en-GB"/>
              </w:rPr>
            </w:pPr>
            <w:r w:rsidRPr="00335FEB">
              <w:rPr>
                <w:lang w:val="en-GB"/>
              </w:rPr>
              <w:t xml:space="preserve">Jet Fuel Spot Price FOB </w:t>
            </w:r>
            <w:r w:rsidR="006E5747" w:rsidRPr="00335FEB">
              <w:rPr>
                <w:lang w:val="en-GB"/>
              </w:rPr>
              <w:t>US</w:t>
            </w:r>
            <w:r w:rsidRPr="00335FEB">
              <w:rPr>
                <w:lang w:val="en-GB"/>
              </w:rPr>
              <w:t>$/Gallon</w:t>
            </w:r>
          </w:p>
        </w:tc>
        <w:tc>
          <w:tcPr>
            <w:tcW w:w="1134" w:type="dxa"/>
          </w:tcPr>
          <w:p w14:paraId="343C1778" w14:textId="5347FC2C" w:rsidR="004359AE" w:rsidRPr="00335FEB" w:rsidRDefault="004359AE" w:rsidP="00D01513">
            <w:pPr>
              <w:pStyle w:val="ExhibitText"/>
              <w:jc w:val="center"/>
              <w:rPr>
                <w:lang w:val="en-GB"/>
              </w:rPr>
            </w:pPr>
            <w:r w:rsidRPr="00335FEB">
              <w:rPr>
                <w:lang w:val="en-GB"/>
              </w:rPr>
              <w:t xml:space="preserve">ATF Prices in Delhi </w:t>
            </w:r>
            <w:r w:rsidR="006E5747" w:rsidRPr="00335FEB">
              <w:rPr>
                <w:lang w:val="en-GB"/>
              </w:rPr>
              <w:t>US</w:t>
            </w:r>
            <w:r w:rsidRPr="00335FEB">
              <w:rPr>
                <w:lang w:val="en-GB"/>
              </w:rPr>
              <w:t>$/Kl</w:t>
            </w:r>
          </w:p>
        </w:tc>
        <w:tc>
          <w:tcPr>
            <w:tcW w:w="851" w:type="dxa"/>
          </w:tcPr>
          <w:p w14:paraId="005D1F94" w14:textId="3F5D2243" w:rsidR="004359AE" w:rsidRPr="00335FEB" w:rsidRDefault="006E5747" w:rsidP="00D01513">
            <w:pPr>
              <w:pStyle w:val="ExhibitText"/>
              <w:jc w:val="center"/>
              <w:rPr>
                <w:lang w:val="en-GB"/>
              </w:rPr>
            </w:pPr>
            <w:r w:rsidRPr="00335FEB">
              <w:rPr>
                <w:lang w:val="en-GB"/>
              </w:rPr>
              <w:t>₹</w:t>
            </w:r>
            <w:r w:rsidR="004359AE" w:rsidRPr="00335FEB">
              <w:rPr>
                <w:lang w:val="en-GB"/>
              </w:rPr>
              <w:t>/US$</w:t>
            </w:r>
          </w:p>
        </w:tc>
        <w:tc>
          <w:tcPr>
            <w:tcW w:w="1188" w:type="dxa"/>
          </w:tcPr>
          <w:p w14:paraId="0F912119" w14:textId="72F84239" w:rsidR="004359AE" w:rsidRPr="00335FEB" w:rsidRDefault="004359AE" w:rsidP="00D01513">
            <w:pPr>
              <w:pStyle w:val="ExhibitText"/>
              <w:jc w:val="center"/>
              <w:rPr>
                <w:lang w:val="en-GB"/>
              </w:rPr>
            </w:pPr>
            <w:r w:rsidRPr="00335FEB">
              <w:rPr>
                <w:lang w:val="en-GB"/>
              </w:rPr>
              <w:t xml:space="preserve">ATF Prices in Delhi </w:t>
            </w:r>
            <w:r w:rsidR="007332B9" w:rsidRPr="00335FEB">
              <w:rPr>
                <w:lang w:val="en-GB"/>
              </w:rPr>
              <w:t>₹</w:t>
            </w:r>
            <w:r w:rsidRPr="00335FEB">
              <w:rPr>
                <w:lang w:val="en-GB"/>
              </w:rPr>
              <w:t>/Kl</w:t>
            </w:r>
          </w:p>
        </w:tc>
        <w:tc>
          <w:tcPr>
            <w:tcW w:w="1080" w:type="dxa"/>
          </w:tcPr>
          <w:p w14:paraId="4DAF75A1" w14:textId="750048B6" w:rsidR="004359AE" w:rsidRPr="00335FEB" w:rsidRDefault="004359AE" w:rsidP="00D01513">
            <w:pPr>
              <w:pStyle w:val="ExhibitText"/>
              <w:jc w:val="center"/>
              <w:rPr>
                <w:lang w:val="en-GB"/>
              </w:rPr>
            </w:pPr>
            <w:r w:rsidRPr="00335FEB">
              <w:rPr>
                <w:lang w:val="en-GB"/>
              </w:rPr>
              <w:t>Logistics Cost (Index of Road Freight)</w:t>
            </w:r>
          </w:p>
        </w:tc>
        <w:tc>
          <w:tcPr>
            <w:tcW w:w="1175" w:type="dxa"/>
          </w:tcPr>
          <w:p w14:paraId="5F407683" w14:textId="39117566" w:rsidR="004359AE" w:rsidRPr="00335FEB" w:rsidRDefault="004359AE" w:rsidP="00D01513">
            <w:pPr>
              <w:pStyle w:val="ExhibitText"/>
              <w:jc w:val="center"/>
              <w:rPr>
                <w:lang w:val="en-GB"/>
              </w:rPr>
            </w:pPr>
            <w:r w:rsidRPr="00335FEB">
              <w:rPr>
                <w:lang w:val="en-GB"/>
              </w:rPr>
              <w:t>Personnel Cost/CPI</w:t>
            </w:r>
          </w:p>
        </w:tc>
      </w:tr>
      <w:tr w:rsidR="00511FDA" w:rsidRPr="00335FEB" w14:paraId="33F667CA" w14:textId="77777777" w:rsidTr="00D01513">
        <w:trPr>
          <w:jc w:val="center"/>
        </w:trPr>
        <w:tc>
          <w:tcPr>
            <w:tcW w:w="846" w:type="dxa"/>
          </w:tcPr>
          <w:p w14:paraId="35030A52" w14:textId="77777777" w:rsidR="00511FDA" w:rsidRPr="00335FEB" w:rsidRDefault="00511FDA" w:rsidP="00511FDA">
            <w:pPr>
              <w:pStyle w:val="ExhibitText"/>
              <w:rPr>
                <w:lang w:val="en-GB"/>
              </w:rPr>
            </w:pPr>
            <w:r w:rsidRPr="00335FEB">
              <w:rPr>
                <w:lang w:val="en-GB"/>
              </w:rPr>
              <w:t>2006</w:t>
            </w:r>
          </w:p>
        </w:tc>
        <w:tc>
          <w:tcPr>
            <w:tcW w:w="1276" w:type="dxa"/>
            <w:vAlign w:val="center"/>
          </w:tcPr>
          <w:p w14:paraId="50AFBDAF" w14:textId="0034BAF9" w:rsidR="00511FDA" w:rsidRPr="00335FEB" w:rsidRDefault="00511FDA" w:rsidP="00D01513">
            <w:pPr>
              <w:pStyle w:val="ExhibitText"/>
              <w:jc w:val="right"/>
              <w:rPr>
                <w:lang w:val="en-GB"/>
              </w:rPr>
            </w:pPr>
            <w:r w:rsidRPr="00335FEB">
              <w:rPr>
                <w:color w:val="000000"/>
                <w:lang w:val="en-GB"/>
              </w:rPr>
              <w:t>65.14</w:t>
            </w:r>
          </w:p>
        </w:tc>
        <w:tc>
          <w:tcPr>
            <w:tcW w:w="1275" w:type="dxa"/>
            <w:vAlign w:val="center"/>
          </w:tcPr>
          <w:p w14:paraId="010CD0DF" w14:textId="4249E8BE" w:rsidR="00511FDA" w:rsidRPr="00335FEB" w:rsidRDefault="00511FDA" w:rsidP="00D01513">
            <w:pPr>
              <w:pStyle w:val="ExhibitText"/>
              <w:jc w:val="right"/>
              <w:rPr>
                <w:lang w:val="en-GB"/>
              </w:rPr>
            </w:pPr>
            <w:r w:rsidRPr="00335FEB">
              <w:rPr>
                <w:color w:val="000000"/>
                <w:lang w:val="en-GB"/>
              </w:rPr>
              <w:t>1.92</w:t>
            </w:r>
          </w:p>
        </w:tc>
        <w:tc>
          <w:tcPr>
            <w:tcW w:w="1134" w:type="dxa"/>
            <w:vAlign w:val="center"/>
          </w:tcPr>
          <w:p w14:paraId="63B5BCDF" w14:textId="51661B06" w:rsidR="00511FDA" w:rsidRPr="00335FEB" w:rsidRDefault="00511FDA" w:rsidP="00D01513">
            <w:pPr>
              <w:pStyle w:val="ExhibitText"/>
              <w:jc w:val="right"/>
              <w:rPr>
                <w:lang w:val="en-GB"/>
              </w:rPr>
            </w:pPr>
            <w:r w:rsidRPr="00335FEB">
              <w:rPr>
                <w:color w:val="000000"/>
                <w:lang w:val="en-GB"/>
              </w:rPr>
              <w:t>834.30</w:t>
            </w:r>
          </w:p>
        </w:tc>
        <w:tc>
          <w:tcPr>
            <w:tcW w:w="851" w:type="dxa"/>
            <w:vAlign w:val="center"/>
          </w:tcPr>
          <w:p w14:paraId="4E1BAA41" w14:textId="6D413AF9" w:rsidR="00511FDA" w:rsidRPr="00335FEB" w:rsidRDefault="00511FDA" w:rsidP="00D01513">
            <w:pPr>
              <w:pStyle w:val="ExhibitText"/>
              <w:jc w:val="right"/>
              <w:rPr>
                <w:lang w:val="en-GB"/>
              </w:rPr>
            </w:pPr>
            <w:r w:rsidRPr="00335FEB">
              <w:rPr>
                <w:color w:val="000000"/>
                <w:lang w:val="en-GB"/>
              </w:rPr>
              <w:t>45.31</w:t>
            </w:r>
          </w:p>
        </w:tc>
        <w:tc>
          <w:tcPr>
            <w:tcW w:w="1188" w:type="dxa"/>
            <w:vAlign w:val="center"/>
          </w:tcPr>
          <w:p w14:paraId="165F4C7E" w14:textId="1ADB9013" w:rsidR="00511FDA" w:rsidRPr="00335FEB" w:rsidRDefault="00511FDA" w:rsidP="00D01513">
            <w:pPr>
              <w:pStyle w:val="ExhibitText"/>
              <w:jc w:val="right"/>
              <w:rPr>
                <w:lang w:val="en-GB"/>
              </w:rPr>
            </w:pPr>
            <w:r w:rsidRPr="00335FEB">
              <w:rPr>
                <w:color w:val="000000"/>
                <w:lang w:val="en-GB"/>
              </w:rPr>
              <w:t>37</w:t>
            </w:r>
            <w:r w:rsidR="00A3352B" w:rsidRPr="00335FEB">
              <w:rPr>
                <w:color w:val="000000"/>
                <w:lang w:val="en-GB"/>
              </w:rPr>
              <w:t>,</w:t>
            </w:r>
            <w:r w:rsidRPr="00335FEB">
              <w:rPr>
                <w:color w:val="000000"/>
                <w:lang w:val="en-GB"/>
              </w:rPr>
              <w:t>793.70</w:t>
            </w:r>
          </w:p>
        </w:tc>
        <w:tc>
          <w:tcPr>
            <w:tcW w:w="1080" w:type="dxa"/>
            <w:vAlign w:val="center"/>
          </w:tcPr>
          <w:p w14:paraId="61063F2F" w14:textId="5F32A140" w:rsidR="00511FDA" w:rsidRPr="00335FEB" w:rsidRDefault="00511FDA" w:rsidP="00D01513">
            <w:pPr>
              <w:pStyle w:val="ExhibitText"/>
              <w:jc w:val="right"/>
              <w:rPr>
                <w:lang w:val="en-GB"/>
              </w:rPr>
            </w:pPr>
            <w:r w:rsidRPr="00335FEB">
              <w:rPr>
                <w:color w:val="000000"/>
                <w:lang w:val="en-GB"/>
              </w:rPr>
              <w:t>140</w:t>
            </w:r>
          </w:p>
        </w:tc>
        <w:tc>
          <w:tcPr>
            <w:tcW w:w="1175" w:type="dxa"/>
            <w:vAlign w:val="center"/>
          </w:tcPr>
          <w:p w14:paraId="47B2DDDE" w14:textId="0A074714" w:rsidR="00511FDA" w:rsidRPr="00335FEB" w:rsidRDefault="00511FDA" w:rsidP="00D01513">
            <w:pPr>
              <w:pStyle w:val="ExhibitText"/>
              <w:jc w:val="right"/>
              <w:rPr>
                <w:lang w:val="en-GB"/>
              </w:rPr>
            </w:pPr>
            <w:r w:rsidRPr="00335FEB">
              <w:rPr>
                <w:color w:val="000000"/>
                <w:lang w:val="en-GB"/>
              </w:rPr>
              <w:t>125</w:t>
            </w:r>
          </w:p>
        </w:tc>
      </w:tr>
      <w:tr w:rsidR="00511FDA" w:rsidRPr="00335FEB" w14:paraId="4F6F469D" w14:textId="77777777" w:rsidTr="00D01513">
        <w:trPr>
          <w:jc w:val="center"/>
        </w:trPr>
        <w:tc>
          <w:tcPr>
            <w:tcW w:w="846" w:type="dxa"/>
          </w:tcPr>
          <w:p w14:paraId="0EF87791" w14:textId="77777777" w:rsidR="00511FDA" w:rsidRPr="00335FEB" w:rsidRDefault="00511FDA" w:rsidP="00511FDA">
            <w:pPr>
              <w:pStyle w:val="ExhibitText"/>
              <w:rPr>
                <w:lang w:val="en-GB"/>
              </w:rPr>
            </w:pPr>
            <w:r w:rsidRPr="00335FEB">
              <w:rPr>
                <w:lang w:val="en-GB"/>
              </w:rPr>
              <w:t>2007</w:t>
            </w:r>
          </w:p>
        </w:tc>
        <w:tc>
          <w:tcPr>
            <w:tcW w:w="1276" w:type="dxa"/>
            <w:vAlign w:val="center"/>
          </w:tcPr>
          <w:p w14:paraId="6D0FBE94" w14:textId="7A7C49F0" w:rsidR="00511FDA" w:rsidRPr="00335FEB" w:rsidRDefault="00511FDA" w:rsidP="00D01513">
            <w:pPr>
              <w:pStyle w:val="ExhibitText"/>
              <w:jc w:val="right"/>
              <w:rPr>
                <w:lang w:val="en-GB"/>
              </w:rPr>
            </w:pPr>
            <w:r w:rsidRPr="00335FEB">
              <w:rPr>
                <w:color w:val="000000"/>
                <w:lang w:val="en-GB"/>
              </w:rPr>
              <w:t>72.52</w:t>
            </w:r>
          </w:p>
        </w:tc>
        <w:tc>
          <w:tcPr>
            <w:tcW w:w="1275" w:type="dxa"/>
            <w:vAlign w:val="center"/>
          </w:tcPr>
          <w:p w14:paraId="100F29DB" w14:textId="21F63D83" w:rsidR="00511FDA" w:rsidRPr="00335FEB" w:rsidRDefault="00511FDA" w:rsidP="00D01513">
            <w:pPr>
              <w:pStyle w:val="ExhibitText"/>
              <w:jc w:val="right"/>
              <w:rPr>
                <w:lang w:val="en-GB"/>
              </w:rPr>
            </w:pPr>
            <w:r w:rsidRPr="00335FEB">
              <w:rPr>
                <w:color w:val="000000"/>
                <w:lang w:val="en-GB"/>
              </w:rPr>
              <w:t>2.13</w:t>
            </w:r>
          </w:p>
        </w:tc>
        <w:tc>
          <w:tcPr>
            <w:tcW w:w="1134" w:type="dxa"/>
            <w:vAlign w:val="center"/>
          </w:tcPr>
          <w:p w14:paraId="30C5743A" w14:textId="3E435BE3" w:rsidR="00511FDA" w:rsidRPr="00335FEB" w:rsidRDefault="00511FDA" w:rsidP="00D01513">
            <w:pPr>
              <w:pStyle w:val="ExhibitText"/>
              <w:jc w:val="right"/>
              <w:rPr>
                <w:lang w:val="en-GB"/>
              </w:rPr>
            </w:pPr>
            <w:r w:rsidRPr="00335FEB">
              <w:rPr>
                <w:color w:val="000000"/>
                <w:lang w:val="en-GB"/>
              </w:rPr>
              <w:t>905.01</w:t>
            </w:r>
          </w:p>
        </w:tc>
        <w:tc>
          <w:tcPr>
            <w:tcW w:w="851" w:type="dxa"/>
            <w:vAlign w:val="center"/>
          </w:tcPr>
          <w:p w14:paraId="22089B5B" w14:textId="70F9A874" w:rsidR="00511FDA" w:rsidRPr="00335FEB" w:rsidRDefault="00511FDA" w:rsidP="00D01513">
            <w:pPr>
              <w:pStyle w:val="ExhibitText"/>
              <w:jc w:val="right"/>
              <w:rPr>
                <w:lang w:val="en-GB"/>
              </w:rPr>
            </w:pPr>
            <w:r w:rsidRPr="00335FEB">
              <w:rPr>
                <w:color w:val="000000"/>
                <w:lang w:val="en-GB"/>
              </w:rPr>
              <w:t>41.35</w:t>
            </w:r>
          </w:p>
        </w:tc>
        <w:tc>
          <w:tcPr>
            <w:tcW w:w="1188" w:type="dxa"/>
            <w:vAlign w:val="center"/>
          </w:tcPr>
          <w:p w14:paraId="3F3CB412" w14:textId="3D21DAAD" w:rsidR="00511FDA" w:rsidRPr="00335FEB" w:rsidRDefault="00511FDA" w:rsidP="00D01513">
            <w:pPr>
              <w:pStyle w:val="ExhibitText"/>
              <w:jc w:val="right"/>
              <w:rPr>
                <w:lang w:val="en-GB"/>
              </w:rPr>
            </w:pPr>
            <w:r w:rsidRPr="00335FEB">
              <w:rPr>
                <w:color w:val="000000"/>
                <w:lang w:val="en-GB"/>
              </w:rPr>
              <w:t>37</w:t>
            </w:r>
            <w:r w:rsidR="00A3352B" w:rsidRPr="00335FEB">
              <w:rPr>
                <w:color w:val="000000"/>
                <w:lang w:val="en-GB"/>
              </w:rPr>
              <w:t>,</w:t>
            </w:r>
            <w:r w:rsidRPr="00335FEB">
              <w:rPr>
                <w:color w:val="000000"/>
                <w:lang w:val="en-GB"/>
              </w:rPr>
              <w:t>420.80</w:t>
            </w:r>
          </w:p>
        </w:tc>
        <w:tc>
          <w:tcPr>
            <w:tcW w:w="1080" w:type="dxa"/>
            <w:vAlign w:val="center"/>
          </w:tcPr>
          <w:p w14:paraId="16D4F15B" w14:textId="744429D5" w:rsidR="00511FDA" w:rsidRPr="00335FEB" w:rsidRDefault="00511FDA" w:rsidP="00D01513">
            <w:pPr>
              <w:pStyle w:val="ExhibitText"/>
              <w:jc w:val="right"/>
              <w:rPr>
                <w:lang w:val="en-GB"/>
              </w:rPr>
            </w:pPr>
            <w:r w:rsidRPr="00335FEB">
              <w:rPr>
                <w:color w:val="000000"/>
                <w:lang w:val="en-GB"/>
              </w:rPr>
              <w:t>165</w:t>
            </w:r>
          </w:p>
        </w:tc>
        <w:tc>
          <w:tcPr>
            <w:tcW w:w="1175" w:type="dxa"/>
            <w:vAlign w:val="center"/>
          </w:tcPr>
          <w:p w14:paraId="023BE93C" w14:textId="58C94E52" w:rsidR="00511FDA" w:rsidRPr="00335FEB" w:rsidRDefault="00511FDA" w:rsidP="00D01513">
            <w:pPr>
              <w:pStyle w:val="ExhibitText"/>
              <w:jc w:val="right"/>
              <w:rPr>
                <w:lang w:val="en-GB"/>
              </w:rPr>
            </w:pPr>
            <w:r w:rsidRPr="00335FEB">
              <w:rPr>
                <w:color w:val="000000"/>
                <w:lang w:val="en-GB"/>
              </w:rPr>
              <w:t>133</w:t>
            </w:r>
          </w:p>
        </w:tc>
      </w:tr>
      <w:tr w:rsidR="00511FDA" w:rsidRPr="00335FEB" w14:paraId="4AA914EA" w14:textId="77777777" w:rsidTr="00D01513">
        <w:trPr>
          <w:jc w:val="center"/>
        </w:trPr>
        <w:tc>
          <w:tcPr>
            <w:tcW w:w="846" w:type="dxa"/>
          </w:tcPr>
          <w:p w14:paraId="7AF4C821" w14:textId="77777777" w:rsidR="00511FDA" w:rsidRPr="00335FEB" w:rsidRDefault="00511FDA" w:rsidP="00511FDA">
            <w:pPr>
              <w:pStyle w:val="ExhibitText"/>
              <w:rPr>
                <w:lang w:val="en-GB"/>
              </w:rPr>
            </w:pPr>
            <w:r w:rsidRPr="00335FEB">
              <w:rPr>
                <w:lang w:val="en-GB"/>
              </w:rPr>
              <w:t>2008</w:t>
            </w:r>
          </w:p>
        </w:tc>
        <w:tc>
          <w:tcPr>
            <w:tcW w:w="1276" w:type="dxa"/>
            <w:vAlign w:val="center"/>
          </w:tcPr>
          <w:p w14:paraId="1BAE9BB1" w14:textId="3533E620" w:rsidR="00511FDA" w:rsidRPr="00335FEB" w:rsidRDefault="00511FDA" w:rsidP="00D01513">
            <w:pPr>
              <w:pStyle w:val="ExhibitText"/>
              <w:jc w:val="right"/>
              <w:rPr>
                <w:lang w:val="en-GB"/>
              </w:rPr>
            </w:pPr>
            <w:r w:rsidRPr="00335FEB">
              <w:rPr>
                <w:color w:val="000000"/>
                <w:lang w:val="en-GB"/>
              </w:rPr>
              <w:t>96.99</w:t>
            </w:r>
          </w:p>
        </w:tc>
        <w:tc>
          <w:tcPr>
            <w:tcW w:w="1275" w:type="dxa"/>
            <w:vAlign w:val="center"/>
          </w:tcPr>
          <w:p w14:paraId="149798F7" w14:textId="4050E55E" w:rsidR="00511FDA" w:rsidRPr="00335FEB" w:rsidRDefault="00511FDA" w:rsidP="00D01513">
            <w:pPr>
              <w:pStyle w:val="ExhibitText"/>
              <w:jc w:val="right"/>
              <w:rPr>
                <w:lang w:val="en-GB"/>
              </w:rPr>
            </w:pPr>
            <w:r w:rsidRPr="00335FEB">
              <w:rPr>
                <w:color w:val="000000"/>
                <w:lang w:val="en-GB"/>
              </w:rPr>
              <w:t>2.96</w:t>
            </w:r>
          </w:p>
        </w:tc>
        <w:tc>
          <w:tcPr>
            <w:tcW w:w="1134" w:type="dxa"/>
            <w:vAlign w:val="center"/>
          </w:tcPr>
          <w:p w14:paraId="16D3F009" w14:textId="5232E9A2" w:rsidR="00511FDA" w:rsidRPr="00335FEB" w:rsidRDefault="00511FDA" w:rsidP="00D01513">
            <w:pPr>
              <w:pStyle w:val="ExhibitText"/>
              <w:jc w:val="right"/>
              <w:rPr>
                <w:lang w:val="en-GB"/>
              </w:rPr>
            </w:pPr>
            <w:r w:rsidRPr="00335FEB">
              <w:rPr>
                <w:color w:val="000000"/>
                <w:lang w:val="en-GB"/>
              </w:rPr>
              <w:t>1</w:t>
            </w:r>
            <w:r w:rsidR="00A3352B" w:rsidRPr="00335FEB">
              <w:rPr>
                <w:color w:val="000000"/>
                <w:lang w:val="en-GB"/>
              </w:rPr>
              <w:t>,</w:t>
            </w:r>
            <w:r w:rsidRPr="00335FEB">
              <w:rPr>
                <w:color w:val="000000"/>
                <w:lang w:val="en-GB"/>
              </w:rPr>
              <w:t>042.36</w:t>
            </w:r>
          </w:p>
        </w:tc>
        <w:tc>
          <w:tcPr>
            <w:tcW w:w="851" w:type="dxa"/>
            <w:vAlign w:val="center"/>
          </w:tcPr>
          <w:p w14:paraId="5BAC3480" w14:textId="156BFDBE" w:rsidR="00511FDA" w:rsidRPr="00335FEB" w:rsidRDefault="00511FDA" w:rsidP="00D01513">
            <w:pPr>
              <w:pStyle w:val="ExhibitText"/>
              <w:jc w:val="right"/>
              <w:rPr>
                <w:lang w:val="en-GB"/>
              </w:rPr>
            </w:pPr>
            <w:r w:rsidRPr="00335FEB">
              <w:rPr>
                <w:color w:val="000000"/>
                <w:lang w:val="en-GB"/>
              </w:rPr>
              <w:t>43.50</w:t>
            </w:r>
          </w:p>
        </w:tc>
        <w:tc>
          <w:tcPr>
            <w:tcW w:w="1188" w:type="dxa"/>
            <w:vAlign w:val="center"/>
          </w:tcPr>
          <w:p w14:paraId="78670B48" w14:textId="56CF0559" w:rsidR="00511FDA" w:rsidRPr="00335FEB" w:rsidRDefault="00511FDA" w:rsidP="00D01513">
            <w:pPr>
              <w:pStyle w:val="ExhibitText"/>
              <w:jc w:val="right"/>
              <w:rPr>
                <w:lang w:val="en-GB"/>
              </w:rPr>
            </w:pPr>
            <w:r w:rsidRPr="00335FEB">
              <w:rPr>
                <w:color w:val="000000"/>
                <w:lang w:val="en-GB"/>
              </w:rPr>
              <w:t>45</w:t>
            </w:r>
            <w:r w:rsidR="00A3352B" w:rsidRPr="00335FEB">
              <w:rPr>
                <w:color w:val="000000"/>
                <w:lang w:val="en-GB"/>
              </w:rPr>
              <w:t>,</w:t>
            </w:r>
            <w:r w:rsidRPr="00335FEB">
              <w:rPr>
                <w:color w:val="000000"/>
                <w:lang w:val="en-GB"/>
              </w:rPr>
              <w:t>347.70</w:t>
            </w:r>
          </w:p>
        </w:tc>
        <w:tc>
          <w:tcPr>
            <w:tcW w:w="1080" w:type="dxa"/>
            <w:vAlign w:val="center"/>
          </w:tcPr>
          <w:p w14:paraId="2428C1DE" w14:textId="096A5AFA" w:rsidR="00511FDA" w:rsidRPr="00335FEB" w:rsidRDefault="00511FDA" w:rsidP="00D01513">
            <w:pPr>
              <w:pStyle w:val="ExhibitText"/>
              <w:jc w:val="right"/>
              <w:rPr>
                <w:lang w:val="en-GB"/>
              </w:rPr>
            </w:pPr>
            <w:r w:rsidRPr="00335FEB">
              <w:rPr>
                <w:color w:val="000000"/>
                <w:lang w:val="en-GB"/>
              </w:rPr>
              <w:t>167</w:t>
            </w:r>
          </w:p>
        </w:tc>
        <w:tc>
          <w:tcPr>
            <w:tcW w:w="1175" w:type="dxa"/>
            <w:vAlign w:val="center"/>
          </w:tcPr>
          <w:p w14:paraId="4AA22D1A" w14:textId="7B697955" w:rsidR="00511FDA" w:rsidRPr="00335FEB" w:rsidRDefault="00511FDA" w:rsidP="00D01513">
            <w:pPr>
              <w:pStyle w:val="ExhibitText"/>
              <w:jc w:val="right"/>
              <w:rPr>
                <w:lang w:val="en-GB"/>
              </w:rPr>
            </w:pPr>
            <w:r w:rsidRPr="00335FEB">
              <w:rPr>
                <w:color w:val="000000"/>
                <w:lang w:val="en-GB"/>
              </w:rPr>
              <w:t>145</w:t>
            </w:r>
          </w:p>
        </w:tc>
      </w:tr>
      <w:tr w:rsidR="00511FDA" w:rsidRPr="00335FEB" w14:paraId="7BA2C3FF" w14:textId="77777777" w:rsidTr="00D01513">
        <w:trPr>
          <w:jc w:val="center"/>
        </w:trPr>
        <w:tc>
          <w:tcPr>
            <w:tcW w:w="846" w:type="dxa"/>
          </w:tcPr>
          <w:p w14:paraId="53942003" w14:textId="77777777" w:rsidR="00511FDA" w:rsidRPr="00335FEB" w:rsidRDefault="00511FDA" w:rsidP="00511FDA">
            <w:pPr>
              <w:pStyle w:val="ExhibitText"/>
              <w:rPr>
                <w:lang w:val="en-GB"/>
              </w:rPr>
            </w:pPr>
            <w:r w:rsidRPr="00335FEB">
              <w:rPr>
                <w:lang w:val="en-GB"/>
              </w:rPr>
              <w:t>2009</w:t>
            </w:r>
          </w:p>
        </w:tc>
        <w:tc>
          <w:tcPr>
            <w:tcW w:w="1276" w:type="dxa"/>
            <w:vAlign w:val="center"/>
          </w:tcPr>
          <w:p w14:paraId="749CE61C" w14:textId="506EA372" w:rsidR="00511FDA" w:rsidRPr="00335FEB" w:rsidRDefault="00511FDA" w:rsidP="00D01513">
            <w:pPr>
              <w:pStyle w:val="ExhibitText"/>
              <w:jc w:val="right"/>
              <w:rPr>
                <w:lang w:val="en-GB"/>
              </w:rPr>
            </w:pPr>
            <w:r w:rsidRPr="00335FEB">
              <w:rPr>
                <w:color w:val="000000"/>
                <w:lang w:val="en-GB"/>
              </w:rPr>
              <w:t>61.51</w:t>
            </w:r>
          </w:p>
        </w:tc>
        <w:tc>
          <w:tcPr>
            <w:tcW w:w="1275" w:type="dxa"/>
            <w:vAlign w:val="center"/>
          </w:tcPr>
          <w:p w14:paraId="4234A3E7" w14:textId="580184A8" w:rsidR="00511FDA" w:rsidRPr="00335FEB" w:rsidRDefault="00511FDA" w:rsidP="00D01513">
            <w:pPr>
              <w:pStyle w:val="ExhibitText"/>
              <w:jc w:val="right"/>
              <w:rPr>
                <w:lang w:val="en-GB"/>
              </w:rPr>
            </w:pPr>
            <w:r w:rsidRPr="00335FEB">
              <w:rPr>
                <w:color w:val="000000"/>
                <w:lang w:val="en-GB"/>
              </w:rPr>
              <w:t>1.66</w:t>
            </w:r>
          </w:p>
        </w:tc>
        <w:tc>
          <w:tcPr>
            <w:tcW w:w="1134" w:type="dxa"/>
            <w:vAlign w:val="center"/>
          </w:tcPr>
          <w:p w14:paraId="7880A5C3" w14:textId="512AE750" w:rsidR="00511FDA" w:rsidRPr="00335FEB" w:rsidRDefault="00511FDA" w:rsidP="00D01513">
            <w:pPr>
              <w:pStyle w:val="ExhibitText"/>
              <w:jc w:val="right"/>
              <w:rPr>
                <w:lang w:val="en-GB"/>
              </w:rPr>
            </w:pPr>
            <w:r w:rsidRPr="00335FEB">
              <w:rPr>
                <w:color w:val="000000"/>
                <w:lang w:val="en-GB"/>
              </w:rPr>
              <w:t>592.38</w:t>
            </w:r>
          </w:p>
        </w:tc>
        <w:tc>
          <w:tcPr>
            <w:tcW w:w="851" w:type="dxa"/>
            <w:vAlign w:val="center"/>
          </w:tcPr>
          <w:p w14:paraId="7A6429AA" w14:textId="626D3583" w:rsidR="00511FDA" w:rsidRPr="00335FEB" w:rsidRDefault="00511FDA" w:rsidP="00D01513">
            <w:pPr>
              <w:pStyle w:val="ExhibitText"/>
              <w:jc w:val="right"/>
              <w:rPr>
                <w:lang w:val="en-GB"/>
              </w:rPr>
            </w:pPr>
            <w:r w:rsidRPr="00335FEB">
              <w:rPr>
                <w:color w:val="000000"/>
                <w:lang w:val="en-GB"/>
              </w:rPr>
              <w:t>48.40</w:t>
            </w:r>
          </w:p>
        </w:tc>
        <w:tc>
          <w:tcPr>
            <w:tcW w:w="1188" w:type="dxa"/>
            <w:vAlign w:val="center"/>
          </w:tcPr>
          <w:p w14:paraId="6F9F5A76" w14:textId="5F0D13C0" w:rsidR="00511FDA" w:rsidRPr="00335FEB" w:rsidRDefault="00511FDA" w:rsidP="00D01513">
            <w:pPr>
              <w:pStyle w:val="ExhibitText"/>
              <w:jc w:val="right"/>
              <w:rPr>
                <w:lang w:val="en-GB"/>
              </w:rPr>
            </w:pPr>
            <w:r w:rsidRPr="00335FEB">
              <w:rPr>
                <w:color w:val="000000"/>
                <w:lang w:val="en-GB"/>
              </w:rPr>
              <w:t>28</w:t>
            </w:r>
            <w:r w:rsidR="00A3352B" w:rsidRPr="00335FEB">
              <w:rPr>
                <w:color w:val="000000"/>
                <w:lang w:val="en-GB"/>
              </w:rPr>
              <w:t>,</w:t>
            </w:r>
            <w:r w:rsidRPr="00335FEB">
              <w:rPr>
                <w:color w:val="000000"/>
                <w:lang w:val="en-GB"/>
              </w:rPr>
              <w:t>674.10</w:t>
            </w:r>
          </w:p>
        </w:tc>
        <w:tc>
          <w:tcPr>
            <w:tcW w:w="1080" w:type="dxa"/>
            <w:vAlign w:val="center"/>
          </w:tcPr>
          <w:p w14:paraId="4F5E5CDF" w14:textId="34CB6385" w:rsidR="00511FDA" w:rsidRPr="00335FEB" w:rsidRDefault="00511FDA" w:rsidP="00D01513">
            <w:pPr>
              <w:pStyle w:val="ExhibitText"/>
              <w:jc w:val="right"/>
              <w:rPr>
                <w:lang w:val="en-GB"/>
              </w:rPr>
            </w:pPr>
            <w:r w:rsidRPr="00335FEB">
              <w:rPr>
                <w:color w:val="000000"/>
                <w:lang w:val="en-GB"/>
              </w:rPr>
              <w:t>171</w:t>
            </w:r>
          </w:p>
        </w:tc>
        <w:tc>
          <w:tcPr>
            <w:tcW w:w="1175" w:type="dxa"/>
            <w:vAlign w:val="center"/>
          </w:tcPr>
          <w:p w14:paraId="721DC886" w14:textId="4ADB0591" w:rsidR="00511FDA" w:rsidRPr="00335FEB" w:rsidRDefault="00511FDA" w:rsidP="00D01513">
            <w:pPr>
              <w:pStyle w:val="ExhibitText"/>
              <w:jc w:val="right"/>
              <w:rPr>
                <w:lang w:val="en-GB"/>
              </w:rPr>
            </w:pPr>
            <w:r w:rsidRPr="00335FEB">
              <w:rPr>
                <w:color w:val="000000"/>
                <w:lang w:val="en-GB"/>
              </w:rPr>
              <w:t>163</w:t>
            </w:r>
          </w:p>
        </w:tc>
      </w:tr>
      <w:tr w:rsidR="00511FDA" w:rsidRPr="00335FEB" w14:paraId="1050D888" w14:textId="77777777" w:rsidTr="00D01513">
        <w:trPr>
          <w:jc w:val="center"/>
        </w:trPr>
        <w:tc>
          <w:tcPr>
            <w:tcW w:w="846" w:type="dxa"/>
          </w:tcPr>
          <w:p w14:paraId="2E460FA4" w14:textId="77777777" w:rsidR="00511FDA" w:rsidRPr="00335FEB" w:rsidRDefault="00511FDA" w:rsidP="00511FDA">
            <w:pPr>
              <w:pStyle w:val="ExhibitText"/>
              <w:rPr>
                <w:lang w:val="en-GB"/>
              </w:rPr>
            </w:pPr>
            <w:r w:rsidRPr="00335FEB">
              <w:rPr>
                <w:lang w:val="en-GB"/>
              </w:rPr>
              <w:t>2010</w:t>
            </w:r>
          </w:p>
        </w:tc>
        <w:tc>
          <w:tcPr>
            <w:tcW w:w="1276" w:type="dxa"/>
            <w:vAlign w:val="center"/>
          </w:tcPr>
          <w:p w14:paraId="50D2BFBF" w14:textId="4DB4BA97" w:rsidR="00511FDA" w:rsidRPr="00335FEB" w:rsidRDefault="00511FDA" w:rsidP="00D01513">
            <w:pPr>
              <w:pStyle w:val="ExhibitText"/>
              <w:jc w:val="right"/>
              <w:rPr>
                <w:lang w:val="en-GB"/>
              </w:rPr>
            </w:pPr>
            <w:r w:rsidRPr="00335FEB">
              <w:rPr>
                <w:color w:val="000000"/>
                <w:lang w:val="en-GB"/>
              </w:rPr>
              <w:t>79.47</w:t>
            </w:r>
          </w:p>
        </w:tc>
        <w:tc>
          <w:tcPr>
            <w:tcW w:w="1275" w:type="dxa"/>
            <w:vAlign w:val="center"/>
          </w:tcPr>
          <w:p w14:paraId="4012F2EE" w14:textId="6F763052" w:rsidR="00511FDA" w:rsidRPr="00335FEB" w:rsidRDefault="00511FDA" w:rsidP="00D01513">
            <w:pPr>
              <w:pStyle w:val="ExhibitText"/>
              <w:jc w:val="right"/>
              <w:rPr>
                <w:lang w:val="en-GB"/>
              </w:rPr>
            </w:pPr>
            <w:r w:rsidRPr="00335FEB">
              <w:rPr>
                <w:color w:val="000000"/>
                <w:lang w:val="en-GB"/>
              </w:rPr>
              <w:t>2.15</w:t>
            </w:r>
          </w:p>
        </w:tc>
        <w:tc>
          <w:tcPr>
            <w:tcW w:w="1134" w:type="dxa"/>
            <w:vAlign w:val="center"/>
          </w:tcPr>
          <w:p w14:paraId="31FE678F" w14:textId="452448AE" w:rsidR="00511FDA" w:rsidRPr="00335FEB" w:rsidRDefault="00511FDA" w:rsidP="00D01513">
            <w:pPr>
              <w:pStyle w:val="ExhibitText"/>
              <w:jc w:val="right"/>
              <w:rPr>
                <w:lang w:val="en-GB"/>
              </w:rPr>
            </w:pPr>
            <w:r w:rsidRPr="00335FEB">
              <w:rPr>
                <w:color w:val="000000"/>
                <w:lang w:val="en-GB"/>
              </w:rPr>
              <w:t>702.92</w:t>
            </w:r>
          </w:p>
        </w:tc>
        <w:tc>
          <w:tcPr>
            <w:tcW w:w="851" w:type="dxa"/>
            <w:vAlign w:val="center"/>
          </w:tcPr>
          <w:p w14:paraId="07D79D4A" w14:textId="0C6F6998" w:rsidR="00511FDA" w:rsidRPr="00335FEB" w:rsidRDefault="00511FDA" w:rsidP="00D01513">
            <w:pPr>
              <w:pStyle w:val="ExhibitText"/>
              <w:jc w:val="right"/>
              <w:rPr>
                <w:lang w:val="en-GB"/>
              </w:rPr>
            </w:pPr>
            <w:r w:rsidRPr="00335FEB">
              <w:rPr>
                <w:color w:val="000000"/>
                <w:lang w:val="en-GB"/>
              </w:rPr>
              <w:t>45.73</w:t>
            </w:r>
          </w:p>
        </w:tc>
        <w:tc>
          <w:tcPr>
            <w:tcW w:w="1188" w:type="dxa"/>
            <w:vAlign w:val="center"/>
          </w:tcPr>
          <w:p w14:paraId="75B9C62B" w14:textId="13BBA696" w:rsidR="00511FDA" w:rsidRPr="00335FEB" w:rsidRDefault="00511FDA" w:rsidP="00D01513">
            <w:pPr>
              <w:pStyle w:val="ExhibitText"/>
              <w:jc w:val="right"/>
              <w:rPr>
                <w:lang w:val="en-GB"/>
              </w:rPr>
            </w:pPr>
            <w:r w:rsidRPr="00335FEB">
              <w:rPr>
                <w:color w:val="000000"/>
                <w:lang w:val="en-GB"/>
              </w:rPr>
              <w:t>32</w:t>
            </w:r>
            <w:r w:rsidR="00A3352B" w:rsidRPr="00335FEB">
              <w:rPr>
                <w:color w:val="000000"/>
                <w:lang w:val="en-GB"/>
              </w:rPr>
              <w:t>,</w:t>
            </w:r>
            <w:r w:rsidRPr="00335FEB">
              <w:rPr>
                <w:color w:val="000000"/>
                <w:lang w:val="en-GB"/>
              </w:rPr>
              <w:t>137.50</w:t>
            </w:r>
          </w:p>
        </w:tc>
        <w:tc>
          <w:tcPr>
            <w:tcW w:w="1080" w:type="dxa"/>
            <w:vAlign w:val="center"/>
          </w:tcPr>
          <w:p w14:paraId="72F458DA" w14:textId="733E2EEC" w:rsidR="00511FDA" w:rsidRPr="00335FEB" w:rsidRDefault="00511FDA" w:rsidP="00D01513">
            <w:pPr>
              <w:pStyle w:val="ExhibitText"/>
              <w:jc w:val="right"/>
              <w:rPr>
                <w:lang w:val="en-GB"/>
              </w:rPr>
            </w:pPr>
            <w:r w:rsidRPr="00335FEB">
              <w:rPr>
                <w:color w:val="000000"/>
                <w:lang w:val="en-GB"/>
              </w:rPr>
              <w:t>172</w:t>
            </w:r>
          </w:p>
        </w:tc>
        <w:tc>
          <w:tcPr>
            <w:tcW w:w="1175" w:type="dxa"/>
            <w:vAlign w:val="center"/>
          </w:tcPr>
          <w:p w14:paraId="23019F81" w14:textId="5D8704E2" w:rsidR="00511FDA" w:rsidRPr="00335FEB" w:rsidRDefault="00511FDA" w:rsidP="00D01513">
            <w:pPr>
              <w:pStyle w:val="ExhibitText"/>
              <w:jc w:val="right"/>
              <w:rPr>
                <w:lang w:val="en-GB"/>
              </w:rPr>
            </w:pPr>
            <w:r w:rsidRPr="00335FEB">
              <w:rPr>
                <w:color w:val="000000"/>
                <w:lang w:val="en-GB"/>
              </w:rPr>
              <w:t>180</w:t>
            </w:r>
          </w:p>
        </w:tc>
      </w:tr>
      <w:tr w:rsidR="00511FDA" w:rsidRPr="00335FEB" w14:paraId="6266D9D4" w14:textId="77777777" w:rsidTr="00D01513">
        <w:trPr>
          <w:jc w:val="center"/>
        </w:trPr>
        <w:tc>
          <w:tcPr>
            <w:tcW w:w="846" w:type="dxa"/>
          </w:tcPr>
          <w:p w14:paraId="088F8385" w14:textId="77777777" w:rsidR="00511FDA" w:rsidRPr="00335FEB" w:rsidRDefault="00511FDA" w:rsidP="00511FDA">
            <w:pPr>
              <w:pStyle w:val="ExhibitText"/>
              <w:rPr>
                <w:lang w:val="en-GB"/>
              </w:rPr>
            </w:pPr>
            <w:r w:rsidRPr="00335FEB">
              <w:rPr>
                <w:lang w:val="en-GB"/>
              </w:rPr>
              <w:t>2011</w:t>
            </w:r>
          </w:p>
        </w:tc>
        <w:tc>
          <w:tcPr>
            <w:tcW w:w="1276" w:type="dxa"/>
            <w:vAlign w:val="center"/>
          </w:tcPr>
          <w:p w14:paraId="04B53BF1" w14:textId="0693C855" w:rsidR="00511FDA" w:rsidRPr="00335FEB" w:rsidRDefault="00511FDA" w:rsidP="00D01513">
            <w:pPr>
              <w:pStyle w:val="ExhibitText"/>
              <w:jc w:val="right"/>
              <w:rPr>
                <w:lang w:val="en-GB"/>
              </w:rPr>
            </w:pPr>
            <w:r w:rsidRPr="00335FEB">
              <w:rPr>
                <w:color w:val="000000"/>
                <w:lang w:val="en-GB"/>
              </w:rPr>
              <w:t>111.27</w:t>
            </w:r>
          </w:p>
        </w:tc>
        <w:tc>
          <w:tcPr>
            <w:tcW w:w="1275" w:type="dxa"/>
            <w:vAlign w:val="center"/>
          </w:tcPr>
          <w:p w14:paraId="37C94FFD" w14:textId="399C2AB8" w:rsidR="00511FDA" w:rsidRPr="00335FEB" w:rsidRDefault="00511FDA" w:rsidP="00D01513">
            <w:pPr>
              <w:pStyle w:val="ExhibitText"/>
              <w:jc w:val="right"/>
              <w:rPr>
                <w:lang w:val="en-GB"/>
              </w:rPr>
            </w:pPr>
            <w:r w:rsidRPr="00335FEB">
              <w:rPr>
                <w:color w:val="000000"/>
                <w:lang w:val="en-GB"/>
              </w:rPr>
              <w:t>3.00</w:t>
            </w:r>
          </w:p>
        </w:tc>
        <w:tc>
          <w:tcPr>
            <w:tcW w:w="1134" w:type="dxa"/>
            <w:vAlign w:val="center"/>
          </w:tcPr>
          <w:p w14:paraId="410E62AB" w14:textId="53FC1293" w:rsidR="00511FDA" w:rsidRPr="00335FEB" w:rsidRDefault="00511FDA" w:rsidP="00D01513">
            <w:pPr>
              <w:pStyle w:val="ExhibitText"/>
              <w:jc w:val="right"/>
              <w:rPr>
                <w:lang w:val="en-GB"/>
              </w:rPr>
            </w:pPr>
            <w:r w:rsidRPr="00335FEB">
              <w:rPr>
                <w:color w:val="000000"/>
                <w:lang w:val="en-GB"/>
              </w:rPr>
              <w:t>975.41</w:t>
            </w:r>
          </w:p>
        </w:tc>
        <w:tc>
          <w:tcPr>
            <w:tcW w:w="851" w:type="dxa"/>
            <w:vAlign w:val="center"/>
          </w:tcPr>
          <w:p w14:paraId="5FEC1814" w14:textId="1E8F61DA" w:rsidR="00511FDA" w:rsidRPr="00335FEB" w:rsidRDefault="00511FDA" w:rsidP="00D01513">
            <w:pPr>
              <w:pStyle w:val="ExhibitText"/>
              <w:jc w:val="right"/>
              <w:rPr>
                <w:lang w:val="en-GB"/>
              </w:rPr>
            </w:pPr>
            <w:r w:rsidRPr="00335FEB">
              <w:rPr>
                <w:color w:val="000000"/>
                <w:lang w:val="en-GB"/>
              </w:rPr>
              <w:t>46.67</w:t>
            </w:r>
          </w:p>
        </w:tc>
        <w:tc>
          <w:tcPr>
            <w:tcW w:w="1188" w:type="dxa"/>
            <w:vAlign w:val="center"/>
          </w:tcPr>
          <w:p w14:paraId="7F64AEEC" w14:textId="20F2894F" w:rsidR="00511FDA" w:rsidRPr="00335FEB" w:rsidRDefault="00511FDA" w:rsidP="00D01513">
            <w:pPr>
              <w:pStyle w:val="ExhibitText"/>
              <w:jc w:val="right"/>
              <w:rPr>
                <w:lang w:val="en-GB"/>
              </w:rPr>
            </w:pPr>
            <w:r w:rsidRPr="00335FEB">
              <w:rPr>
                <w:color w:val="000000"/>
                <w:lang w:val="en-GB"/>
              </w:rPr>
              <w:t>45</w:t>
            </w:r>
            <w:r w:rsidR="00A3352B" w:rsidRPr="00335FEB">
              <w:rPr>
                <w:color w:val="000000"/>
                <w:lang w:val="en-GB"/>
              </w:rPr>
              <w:t>,</w:t>
            </w:r>
            <w:r w:rsidRPr="00335FEB">
              <w:rPr>
                <w:color w:val="000000"/>
                <w:lang w:val="en-GB"/>
              </w:rPr>
              <w:t>337.90</w:t>
            </w:r>
          </w:p>
        </w:tc>
        <w:tc>
          <w:tcPr>
            <w:tcW w:w="1080" w:type="dxa"/>
            <w:vAlign w:val="center"/>
          </w:tcPr>
          <w:p w14:paraId="54979702" w14:textId="3ABCFF24" w:rsidR="00511FDA" w:rsidRPr="00335FEB" w:rsidRDefault="00511FDA" w:rsidP="00D01513">
            <w:pPr>
              <w:pStyle w:val="ExhibitText"/>
              <w:jc w:val="right"/>
              <w:rPr>
                <w:lang w:val="en-GB"/>
              </w:rPr>
            </w:pPr>
            <w:r w:rsidRPr="00335FEB">
              <w:rPr>
                <w:color w:val="000000"/>
                <w:lang w:val="en-GB"/>
              </w:rPr>
              <w:t>174</w:t>
            </w:r>
          </w:p>
        </w:tc>
        <w:tc>
          <w:tcPr>
            <w:tcW w:w="1175" w:type="dxa"/>
            <w:vAlign w:val="center"/>
          </w:tcPr>
          <w:p w14:paraId="56890A8E" w14:textId="0D4CEA50" w:rsidR="00511FDA" w:rsidRPr="00335FEB" w:rsidRDefault="00511FDA" w:rsidP="00D01513">
            <w:pPr>
              <w:pStyle w:val="ExhibitText"/>
              <w:jc w:val="right"/>
              <w:rPr>
                <w:lang w:val="en-GB"/>
              </w:rPr>
            </w:pPr>
            <w:r w:rsidRPr="00335FEB">
              <w:rPr>
                <w:color w:val="000000"/>
                <w:lang w:val="en-GB"/>
              </w:rPr>
              <w:t>195</w:t>
            </w:r>
          </w:p>
        </w:tc>
      </w:tr>
      <w:tr w:rsidR="00511FDA" w:rsidRPr="00335FEB" w14:paraId="5C7E2AFE" w14:textId="77777777" w:rsidTr="00D01513">
        <w:trPr>
          <w:jc w:val="center"/>
        </w:trPr>
        <w:tc>
          <w:tcPr>
            <w:tcW w:w="846" w:type="dxa"/>
          </w:tcPr>
          <w:p w14:paraId="1EBF779A" w14:textId="77777777" w:rsidR="00511FDA" w:rsidRPr="00335FEB" w:rsidRDefault="00511FDA" w:rsidP="00511FDA">
            <w:pPr>
              <w:pStyle w:val="ExhibitText"/>
              <w:rPr>
                <w:lang w:val="en-GB"/>
              </w:rPr>
            </w:pPr>
            <w:r w:rsidRPr="00335FEB">
              <w:rPr>
                <w:lang w:val="en-GB"/>
              </w:rPr>
              <w:t>2012</w:t>
            </w:r>
          </w:p>
        </w:tc>
        <w:tc>
          <w:tcPr>
            <w:tcW w:w="1276" w:type="dxa"/>
            <w:vAlign w:val="center"/>
          </w:tcPr>
          <w:p w14:paraId="325C23C4" w14:textId="7072C65E" w:rsidR="00511FDA" w:rsidRPr="00335FEB" w:rsidRDefault="00511FDA" w:rsidP="00D01513">
            <w:pPr>
              <w:pStyle w:val="ExhibitText"/>
              <w:jc w:val="right"/>
              <w:rPr>
                <w:lang w:val="en-GB"/>
              </w:rPr>
            </w:pPr>
            <w:r w:rsidRPr="00335FEB">
              <w:rPr>
                <w:color w:val="000000"/>
                <w:lang w:val="en-GB"/>
              </w:rPr>
              <w:t>111.63</w:t>
            </w:r>
          </w:p>
        </w:tc>
        <w:tc>
          <w:tcPr>
            <w:tcW w:w="1275" w:type="dxa"/>
            <w:vAlign w:val="center"/>
          </w:tcPr>
          <w:p w14:paraId="13D4E15C" w14:textId="36F15FEE" w:rsidR="00511FDA" w:rsidRPr="00335FEB" w:rsidRDefault="00511FDA" w:rsidP="00D01513">
            <w:pPr>
              <w:pStyle w:val="ExhibitText"/>
              <w:jc w:val="right"/>
              <w:rPr>
                <w:lang w:val="en-GB"/>
              </w:rPr>
            </w:pPr>
            <w:r w:rsidRPr="00335FEB">
              <w:rPr>
                <w:color w:val="000000"/>
                <w:lang w:val="en-GB"/>
              </w:rPr>
              <w:t>3.06</w:t>
            </w:r>
          </w:p>
        </w:tc>
        <w:tc>
          <w:tcPr>
            <w:tcW w:w="1134" w:type="dxa"/>
            <w:vAlign w:val="center"/>
          </w:tcPr>
          <w:p w14:paraId="68D64103" w14:textId="65087CE3" w:rsidR="00511FDA" w:rsidRPr="00335FEB" w:rsidRDefault="00511FDA" w:rsidP="00D01513">
            <w:pPr>
              <w:pStyle w:val="ExhibitText"/>
              <w:jc w:val="right"/>
              <w:rPr>
                <w:lang w:val="en-GB"/>
              </w:rPr>
            </w:pPr>
            <w:r w:rsidRPr="00335FEB">
              <w:rPr>
                <w:color w:val="000000"/>
                <w:lang w:val="en-GB"/>
              </w:rPr>
              <w:t>971.30</w:t>
            </w:r>
          </w:p>
        </w:tc>
        <w:tc>
          <w:tcPr>
            <w:tcW w:w="851" w:type="dxa"/>
            <w:vAlign w:val="center"/>
          </w:tcPr>
          <w:p w14:paraId="7E8911F0" w14:textId="0DF4A53B" w:rsidR="00511FDA" w:rsidRPr="00335FEB" w:rsidRDefault="00511FDA" w:rsidP="00D01513">
            <w:pPr>
              <w:pStyle w:val="ExhibitText"/>
              <w:jc w:val="right"/>
              <w:rPr>
                <w:lang w:val="en-GB"/>
              </w:rPr>
            </w:pPr>
            <w:r w:rsidRPr="00335FEB">
              <w:rPr>
                <w:color w:val="000000"/>
                <w:lang w:val="en-GB"/>
              </w:rPr>
              <w:t>53.44</w:t>
            </w:r>
          </w:p>
        </w:tc>
        <w:tc>
          <w:tcPr>
            <w:tcW w:w="1188" w:type="dxa"/>
            <w:vAlign w:val="center"/>
          </w:tcPr>
          <w:p w14:paraId="6B821C12" w14:textId="138A53C0" w:rsidR="00511FDA" w:rsidRPr="00335FEB" w:rsidRDefault="00511FDA" w:rsidP="00D01513">
            <w:pPr>
              <w:pStyle w:val="ExhibitText"/>
              <w:jc w:val="right"/>
              <w:rPr>
                <w:lang w:val="en-GB"/>
              </w:rPr>
            </w:pPr>
            <w:r w:rsidRPr="00335FEB">
              <w:rPr>
                <w:color w:val="000000"/>
                <w:lang w:val="en-GB"/>
              </w:rPr>
              <w:t>51</w:t>
            </w:r>
            <w:r w:rsidR="00A3352B" w:rsidRPr="00335FEB">
              <w:rPr>
                <w:color w:val="000000"/>
                <w:lang w:val="en-GB"/>
              </w:rPr>
              <w:t>,</w:t>
            </w:r>
            <w:r w:rsidRPr="00335FEB">
              <w:rPr>
                <w:color w:val="000000"/>
                <w:lang w:val="en-GB"/>
              </w:rPr>
              <w:t>896.50</w:t>
            </w:r>
          </w:p>
        </w:tc>
        <w:tc>
          <w:tcPr>
            <w:tcW w:w="1080" w:type="dxa"/>
            <w:vAlign w:val="center"/>
          </w:tcPr>
          <w:p w14:paraId="797BD05A" w14:textId="57B11AB0" w:rsidR="00511FDA" w:rsidRPr="00335FEB" w:rsidRDefault="00511FDA" w:rsidP="00D01513">
            <w:pPr>
              <w:pStyle w:val="ExhibitText"/>
              <w:jc w:val="right"/>
              <w:rPr>
                <w:lang w:val="en-GB"/>
              </w:rPr>
            </w:pPr>
            <w:r w:rsidRPr="00335FEB">
              <w:rPr>
                <w:color w:val="000000"/>
                <w:lang w:val="en-GB"/>
              </w:rPr>
              <w:t>175</w:t>
            </w:r>
          </w:p>
        </w:tc>
        <w:tc>
          <w:tcPr>
            <w:tcW w:w="1175" w:type="dxa"/>
            <w:vAlign w:val="center"/>
          </w:tcPr>
          <w:p w14:paraId="1DF5099A" w14:textId="4E83DBE8" w:rsidR="00511FDA" w:rsidRPr="00335FEB" w:rsidRDefault="00511FDA" w:rsidP="00D01513">
            <w:pPr>
              <w:pStyle w:val="ExhibitText"/>
              <w:jc w:val="right"/>
              <w:rPr>
                <w:lang w:val="en-GB"/>
              </w:rPr>
            </w:pPr>
            <w:r w:rsidRPr="00335FEB">
              <w:rPr>
                <w:color w:val="000000"/>
                <w:lang w:val="en-GB"/>
              </w:rPr>
              <w:t>215</w:t>
            </w:r>
          </w:p>
        </w:tc>
      </w:tr>
      <w:tr w:rsidR="00511FDA" w:rsidRPr="00335FEB" w14:paraId="36112788" w14:textId="77777777" w:rsidTr="00D01513">
        <w:trPr>
          <w:jc w:val="center"/>
        </w:trPr>
        <w:tc>
          <w:tcPr>
            <w:tcW w:w="846" w:type="dxa"/>
          </w:tcPr>
          <w:p w14:paraId="6F442824" w14:textId="77777777" w:rsidR="00511FDA" w:rsidRPr="00335FEB" w:rsidRDefault="00511FDA" w:rsidP="00511FDA">
            <w:pPr>
              <w:pStyle w:val="ExhibitText"/>
              <w:rPr>
                <w:lang w:val="en-GB"/>
              </w:rPr>
            </w:pPr>
            <w:r w:rsidRPr="00335FEB">
              <w:rPr>
                <w:lang w:val="en-GB"/>
              </w:rPr>
              <w:t>2013</w:t>
            </w:r>
          </w:p>
        </w:tc>
        <w:tc>
          <w:tcPr>
            <w:tcW w:w="1276" w:type="dxa"/>
            <w:vAlign w:val="center"/>
          </w:tcPr>
          <w:p w14:paraId="24C4CD10" w14:textId="732CABB8" w:rsidR="00511FDA" w:rsidRPr="00335FEB" w:rsidRDefault="00511FDA" w:rsidP="00D01513">
            <w:pPr>
              <w:pStyle w:val="ExhibitText"/>
              <w:jc w:val="right"/>
              <w:rPr>
                <w:lang w:val="en-GB"/>
              </w:rPr>
            </w:pPr>
            <w:r w:rsidRPr="00335FEB">
              <w:rPr>
                <w:color w:val="000000"/>
                <w:lang w:val="en-GB"/>
              </w:rPr>
              <w:t>108.56</w:t>
            </w:r>
          </w:p>
        </w:tc>
        <w:tc>
          <w:tcPr>
            <w:tcW w:w="1275" w:type="dxa"/>
            <w:vAlign w:val="center"/>
          </w:tcPr>
          <w:p w14:paraId="2CFBAC84" w14:textId="7B6B0E0D" w:rsidR="00511FDA" w:rsidRPr="00335FEB" w:rsidRDefault="00511FDA" w:rsidP="00D01513">
            <w:pPr>
              <w:pStyle w:val="ExhibitText"/>
              <w:jc w:val="right"/>
              <w:rPr>
                <w:lang w:val="en-GB"/>
              </w:rPr>
            </w:pPr>
            <w:r w:rsidRPr="00335FEB">
              <w:rPr>
                <w:color w:val="000000"/>
                <w:lang w:val="en-GB"/>
              </w:rPr>
              <w:t>2.92</w:t>
            </w:r>
          </w:p>
        </w:tc>
        <w:tc>
          <w:tcPr>
            <w:tcW w:w="1134" w:type="dxa"/>
            <w:vAlign w:val="center"/>
          </w:tcPr>
          <w:p w14:paraId="4E16054A" w14:textId="0A921667" w:rsidR="00511FDA" w:rsidRPr="00335FEB" w:rsidRDefault="00511FDA" w:rsidP="00D01513">
            <w:pPr>
              <w:pStyle w:val="ExhibitText"/>
              <w:jc w:val="right"/>
              <w:rPr>
                <w:lang w:val="en-GB"/>
              </w:rPr>
            </w:pPr>
            <w:r w:rsidRPr="00335FEB">
              <w:rPr>
                <w:color w:val="000000"/>
                <w:lang w:val="en-GB"/>
              </w:rPr>
              <w:t>939.11</w:t>
            </w:r>
          </w:p>
        </w:tc>
        <w:tc>
          <w:tcPr>
            <w:tcW w:w="851" w:type="dxa"/>
            <w:vAlign w:val="center"/>
          </w:tcPr>
          <w:p w14:paraId="3DD5D0B5" w14:textId="319E6BCA" w:rsidR="00511FDA" w:rsidRPr="00335FEB" w:rsidRDefault="00511FDA" w:rsidP="00D01513">
            <w:pPr>
              <w:pStyle w:val="ExhibitText"/>
              <w:jc w:val="right"/>
              <w:rPr>
                <w:lang w:val="en-GB"/>
              </w:rPr>
            </w:pPr>
            <w:r w:rsidRPr="00335FEB">
              <w:rPr>
                <w:color w:val="000000"/>
                <w:lang w:val="en-GB"/>
              </w:rPr>
              <w:t>58.60</w:t>
            </w:r>
          </w:p>
        </w:tc>
        <w:tc>
          <w:tcPr>
            <w:tcW w:w="1188" w:type="dxa"/>
            <w:vAlign w:val="center"/>
          </w:tcPr>
          <w:p w14:paraId="4EB48E03" w14:textId="3CBB9B22" w:rsidR="00511FDA" w:rsidRPr="00335FEB" w:rsidRDefault="00511FDA" w:rsidP="00D01513">
            <w:pPr>
              <w:pStyle w:val="ExhibitText"/>
              <w:jc w:val="right"/>
              <w:rPr>
                <w:lang w:val="en-GB"/>
              </w:rPr>
            </w:pPr>
            <w:r w:rsidRPr="00335FEB">
              <w:rPr>
                <w:color w:val="000000"/>
                <w:lang w:val="en-GB"/>
              </w:rPr>
              <w:t>55</w:t>
            </w:r>
            <w:r w:rsidR="00A3352B" w:rsidRPr="00335FEB">
              <w:rPr>
                <w:color w:val="000000"/>
                <w:lang w:val="en-GB"/>
              </w:rPr>
              <w:t>,</w:t>
            </w:r>
            <w:r w:rsidRPr="00335FEB">
              <w:rPr>
                <w:color w:val="000000"/>
                <w:lang w:val="en-GB"/>
              </w:rPr>
              <w:t>029.70</w:t>
            </w:r>
          </w:p>
        </w:tc>
        <w:tc>
          <w:tcPr>
            <w:tcW w:w="1080" w:type="dxa"/>
            <w:vAlign w:val="center"/>
          </w:tcPr>
          <w:p w14:paraId="7FB8F642" w14:textId="21428C77" w:rsidR="00511FDA" w:rsidRPr="00335FEB" w:rsidRDefault="00511FDA" w:rsidP="00D01513">
            <w:pPr>
              <w:pStyle w:val="ExhibitText"/>
              <w:jc w:val="right"/>
              <w:rPr>
                <w:lang w:val="en-GB"/>
              </w:rPr>
            </w:pPr>
            <w:r w:rsidRPr="00335FEB">
              <w:rPr>
                <w:color w:val="000000"/>
                <w:lang w:val="en-GB"/>
              </w:rPr>
              <w:t>176</w:t>
            </w:r>
          </w:p>
        </w:tc>
        <w:tc>
          <w:tcPr>
            <w:tcW w:w="1175" w:type="dxa"/>
            <w:vAlign w:val="center"/>
          </w:tcPr>
          <w:p w14:paraId="75CC34C4" w14:textId="34B9EF7F" w:rsidR="00511FDA" w:rsidRPr="00335FEB" w:rsidRDefault="00511FDA" w:rsidP="00D01513">
            <w:pPr>
              <w:pStyle w:val="ExhibitText"/>
              <w:jc w:val="right"/>
              <w:rPr>
                <w:lang w:val="en-GB"/>
              </w:rPr>
            </w:pPr>
            <w:r w:rsidRPr="00335FEB">
              <w:rPr>
                <w:color w:val="000000"/>
                <w:lang w:val="en-GB"/>
              </w:rPr>
              <w:t>236</w:t>
            </w:r>
          </w:p>
        </w:tc>
      </w:tr>
      <w:tr w:rsidR="00511FDA" w:rsidRPr="00335FEB" w14:paraId="704E139A" w14:textId="77777777" w:rsidTr="00D01513">
        <w:trPr>
          <w:jc w:val="center"/>
        </w:trPr>
        <w:tc>
          <w:tcPr>
            <w:tcW w:w="846" w:type="dxa"/>
          </w:tcPr>
          <w:p w14:paraId="4B266EA3" w14:textId="77777777" w:rsidR="00511FDA" w:rsidRPr="00335FEB" w:rsidRDefault="00511FDA" w:rsidP="00511FDA">
            <w:pPr>
              <w:pStyle w:val="ExhibitText"/>
              <w:rPr>
                <w:lang w:val="en-GB"/>
              </w:rPr>
            </w:pPr>
            <w:r w:rsidRPr="00335FEB">
              <w:rPr>
                <w:lang w:val="en-GB"/>
              </w:rPr>
              <w:t>2014</w:t>
            </w:r>
          </w:p>
        </w:tc>
        <w:tc>
          <w:tcPr>
            <w:tcW w:w="1276" w:type="dxa"/>
            <w:vAlign w:val="center"/>
          </w:tcPr>
          <w:p w14:paraId="1C6F4214" w14:textId="2EB93FB1" w:rsidR="00511FDA" w:rsidRPr="00335FEB" w:rsidRDefault="00511FDA" w:rsidP="00D01513">
            <w:pPr>
              <w:pStyle w:val="ExhibitText"/>
              <w:jc w:val="right"/>
              <w:rPr>
                <w:lang w:val="en-GB"/>
              </w:rPr>
            </w:pPr>
            <w:r w:rsidRPr="00335FEB">
              <w:rPr>
                <w:color w:val="000000"/>
                <w:lang w:val="en-GB"/>
              </w:rPr>
              <w:t>99.03</w:t>
            </w:r>
          </w:p>
        </w:tc>
        <w:tc>
          <w:tcPr>
            <w:tcW w:w="1275" w:type="dxa"/>
            <w:vAlign w:val="center"/>
          </w:tcPr>
          <w:p w14:paraId="7346AB17" w14:textId="40DE188F" w:rsidR="00511FDA" w:rsidRPr="00335FEB" w:rsidRDefault="00511FDA" w:rsidP="00D01513">
            <w:pPr>
              <w:pStyle w:val="ExhibitText"/>
              <w:jc w:val="right"/>
              <w:rPr>
                <w:lang w:val="en-GB"/>
              </w:rPr>
            </w:pPr>
            <w:r w:rsidRPr="00335FEB">
              <w:rPr>
                <w:color w:val="000000"/>
                <w:lang w:val="en-GB"/>
              </w:rPr>
              <w:t>2.70</w:t>
            </w:r>
          </w:p>
        </w:tc>
        <w:tc>
          <w:tcPr>
            <w:tcW w:w="1134" w:type="dxa"/>
            <w:vAlign w:val="center"/>
          </w:tcPr>
          <w:p w14:paraId="791E898A" w14:textId="58A3F830" w:rsidR="00511FDA" w:rsidRPr="00335FEB" w:rsidRDefault="00511FDA" w:rsidP="00D01513">
            <w:pPr>
              <w:pStyle w:val="ExhibitText"/>
              <w:jc w:val="right"/>
              <w:rPr>
                <w:lang w:val="en-GB"/>
              </w:rPr>
            </w:pPr>
            <w:r w:rsidRPr="00335FEB">
              <w:rPr>
                <w:color w:val="000000"/>
                <w:lang w:val="en-GB"/>
              </w:rPr>
              <w:t>897.42</w:t>
            </w:r>
          </w:p>
        </w:tc>
        <w:tc>
          <w:tcPr>
            <w:tcW w:w="851" w:type="dxa"/>
            <w:vAlign w:val="center"/>
          </w:tcPr>
          <w:p w14:paraId="238F5A76" w14:textId="19F10B4E" w:rsidR="00511FDA" w:rsidRPr="00335FEB" w:rsidRDefault="00511FDA" w:rsidP="00D01513">
            <w:pPr>
              <w:pStyle w:val="ExhibitText"/>
              <w:jc w:val="right"/>
              <w:rPr>
                <w:lang w:val="en-GB"/>
              </w:rPr>
            </w:pPr>
            <w:r w:rsidRPr="00335FEB">
              <w:rPr>
                <w:color w:val="000000"/>
                <w:lang w:val="en-GB"/>
              </w:rPr>
              <w:t>61.03</w:t>
            </w:r>
          </w:p>
        </w:tc>
        <w:tc>
          <w:tcPr>
            <w:tcW w:w="1188" w:type="dxa"/>
            <w:vAlign w:val="center"/>
          </w:tcPr>
          <w:p w14:paraId="4D8E26ED" w14:textId="043B2B8A" w:rsidR="00511FDA" w:rsidRPr="00335FEB" w:rsidRDefault="00511FDA" w:rsidP="00D01513">
            <w:pPr>
              <w:pStyle w:val="ExhibitText"/>
              <w:jc w:val="right"/>
              <w:rPr>
                <w:lang w:val="en-GB"/>
              </w:rPr>
            </w:pPr>
            <w:r w:rsidRPr="00335FEB">
              <w:rPr>
                <w:color w:val="000000"/>
                <w:lang w:val="en-GB"/>
              </w:rPr>
              <w:t>54</w:t>
            </w:r>
            <w:r w:rsidR="00A3352B" w:rsidRPr="00335FEB">
              <w:rPr>
                <w:color w:val="000000"/>
                <w:lang w:val="en-GB"/>
              </w:rPr>
              <w:t>,</w:t>
            </w:r>
            <w:r w:rsidRPr="00335FEB">
              <w:rPr>
                <w:color w:val="000000"/>
                <w:lang w:val="en-GB"/>
              </w:rPr>
              <w:t>769.10</w:t>
            </w:r>
          </w:p>
        </w:tc>
        <w:tc>
          <w:tcPr>
            <w:tcW w:w="1080" w:type="dxa"/>
            <w:vAlign w:val="center"/>
          </w:tcPr>
          <w:p w14:paraId="61782591" w14:textId="1D901BE5" w:rsidR="00511FDA" w:rsidRPr="00335FEB" w:rsidRDefault="00511FDA" w:rsidP="00D01513">
            <w:pPr>
              <w:pStyle w:val="ExhibitText"/>
              <w:jc w:val="right"/>
              <w:rPr>
                <w:lang w:val="en-GB"/>
              </w:rPr>
            </w:pPr>
            <w:r w:rsidRPr="00335FEB">
              <w:rPr>
                <w:color w:val="000000"/>
                <w:lang w:val="en-GB"/>
              </w:rPr>
              <w:t>179</w:t>
            </w:r>
          </w:p>
        </w:tc>
        <w:tc>
          <w:tcPr>
            <w:tcW w:w="1175" w:type="dxa"/>
            <w:vAlign w:val="center"/>
          </w:tcPr>
          <w:p w14:paraId="594612DA" w14:textId="387C0F8A" w:rsidR="00511FDA" w:rsidRPr="00335FEB" w:rsidRDefault="00511FDA" w:rsidP="00D01513">
            <w:pPr>
              <w:pStyle w:val="ExhibitText"/>
              <w:jc w:val="right"/>
              <w:rPr>
                <w:lang w:val="en-GB"/>
              </w:rPr>
            </w:pPr>
            <w:r w:rsidRPr="00335FEB">
              <w:rPr>
                <w:color w:val="000000"/>
                <w:lang w:val="en-GB"/>
              </w:rPr>
              <w:t>251</w:t>
            </w:r>
          </w:p>
        </w:tc>
      </w:tr>
      <w:tr w:rsidR="00511FDA" w:rsidRPr="00335FEB" w14:paraId="1F1C7A5A" w14:textId="77777777" w:rsidTr="00D01513">
        <w:trPr>
          <w:jc w:val="center"/>
        </w:trPr>
        <w:tc>
          <w:tcPr>
            <w:tcW w:w="846" w:type="dxa"/>
          </w:tcPr>
          <w:p w14:paraId="7E52F60D" w14:textId="77777777" w:rsidR="00511FDA" w:rsidRPr="00335FEB" w:rsidRDefault="00511FDA" w:rsidP="00511FDA">
            <w:pPr>
              <w:pStyle w:val="ExhibitText"/>
              <w:rPr>
                <w:lang w:val="en-GB"/>
              </w:rPr>
            </w:pPr>
            <w:r w:rsidRPr="00335FEB">
              <w:rPr>
                <w:lang w:val="en-GB"/>
              </w:rPr>
              <w:t>2015</w:t>
            </w:r>
          </w:p>
        </w:tc>
        <w:tc>
          <w:tcPr>
            <w:tcW w:w="1276" w:type="dxa"/>
            <w:vAlign w:val="center"/>
          </w:tcPr>
          <w:p w14:paraId="4FB63B58" w14:textId="1049E6A0" w:rsidR="00511FDA" w:rsidRPr="00335FEB" w:rsidRDefault="00511FDA" w:rsidP="00D01513">
            <w:pPr>
              <w:pStyle w:val="ExhibitText"/>
              <w:jc w:val="right"/>
              <w:rPr>
                <w:lang w:val="en-GB"/>
              </w:rPr>
            </w:pPr>
            <w:r w:rsidRPr="00335FEB">
              <w:rPr>
                <w:color w:val="000000"/>
                <w:lang w:val="en-GB"/>
              </w:rPr>
              <w:t>52.35</w:t>
            </w:r>
          </w:p>
        </w:tc>
        <w:tc>
          <w:tcPr>
            <w:tcW w:w="1275" w:type="dxa"/>
            <w:vAlign w:val="center"/>
          </w:tcPr>
          <w:p w14:paraId="1D0F8B18" w14:textId="5DFADD77" w:rsidR="00511FDA" w:rsidRPr="00335FEB" w:rsidRDefault="00511FDA" w:rsidP="00D01513">
            <w:pPr>
              <w:pStyle w:val="ExhibitText"/>
              <w:jc w:val="right"/>
              <w:rPr>
                <w:lang w:val="en-GB"/>
              </w:rPr>
            </w:pPr>
            <w:r w:rsidRPr="00335FEB">
              <w:rPr>
                <w:color w:val="000000"/>
                <w:lang w:val="en-GB"/>
              </w:rPr>
              <w:t>1.52</w:t>
            </w:r>
          </w:p>
        </w:tc>
        <w:tc>
          <w:tcPr>
            <w:tcW w:w="1134" w:type="dxa"/>
            <w:vAlign w:val="center"/>
          </w:tcPr>
          <w:p w14:paraId="7857CF50" w14:textId="69B0A9C6" w:rsidR="00511FDA" w:rsidRPr="00335FEB" w:rsidRDefault="00511FDA" w:rsidP="00D01513">
            <w:pPr>
              <w:pStyle w:val="ExhibitText"/>
              <w:jc w:val="right"/>
              <w:rPr>
                <w:lang w:val="en-GB"/>
              </w:rPr>
            </w:pPr>
            <w:r w:rsidRPr="00335FEB">
              <w:rPr>
                <w:color w:val="000000"/>
                <w:lang w:val="en-GB"/>
              </w:rPr>
              <w:t>584.02</w:t>
            </w:r>
          </w:p>
        </w:tc>
        <w:tc>
          <w:tcPr>
            <w:tcW w:w="851" w:type="dxa"/>
            <w:vAlign w:val="center"/>
          </w:tcPr>
          <w:p w14:paraId="5BB927B9" w14:textId="495E5308" w:rsidR="00511FDA" w:rsidRPr="00335FEB" w:rsidRDefault="00511FDA" w:rsidP="00D01513">
            <w:pPr>
              <w:pStyle w:val="ExhibitText"/>
              <w:jc w:val="right"/>
              <w:rPr>
                <w:lang w:val="en-GB"/>
              </w:rPr>
            </w:pPr>
            <w:r w:rsidRPr="00335FEB">
              <w:rPr>
                <w:color w:val="000000"/>
                <w:lang w:val="en-GB"/>
              </w:rPr>
              <w:t>64.15</w:t>
            </w:r>
          </w:p>
        </w:tc>
        <w:tc>
          <w:tcPr>
            <w:tcW w:w="1188" w:type="dxa"/>
            <w:vAlign w:val="center"/>
          </w:tcPr>
          <w:p w14:paraId="6935C131" w14:textId="6D020BD8" w:rsidR="00511FDA" w:rsidRPr="00335FEB" w:rsidRDefault="00511FDA" w:rsidP="00D01513">
            <w:pPr>
              <w:pStyle w:val="ExhibitText"/>
              <w:jc w:val="right"/>
              <w:rPr>
                <w:lang w:val="en-GB"/>
              </w:rPr>
            </w:pPr>
            <w:r w:rsidRPr="00335FEB">
              <w:rPr>
                <w:color w:val="000000"/>
                <w:lang w:val="en-GB"/>
              </w:rPr>
              <w:t>37</w:t>
            </w:r>
            <w:r w:rsidR="00A3352B" w:rsidRPr="00335FEB">
              <w:rPr>
                <w:color w:val="000000"/>
                <w:lang w:val="en-GB"/>
              </w:rPr>
              <w:t>,</w:t>
            </w:r>
            <w:r w:rsidRPr="00335FEB">
              <w:rPr>
                <w:color w:val="000000"/>
                <w:lang w:val="en-GB"/>
              </w:rPr>
              <w:t>402.50</w:t>
            </w:r>
          </w:p>
        </w:tc>
        <w:tc>
          <w:tcPr>
            <w:tcW w:w="1080" w:type="dxa"/>
            <w:vAlign w:val="center"/>
          </w:tcPr>
          <w:p w14:paraId="4E415E99" w14:textId="6A9984E4" w:rsidR="00511FDA" w:rsidRPr="00335FEB" w:rsidRDefault="00511FDA" w:rsidP="00D01513">
            <w:pPr>
              <w:pStyle w:val="ExhibitText"/>
              <w:jc w:val="right"/>
              <w:rPr>
                <w:lang w:val="en-GB"/>
              </w:rPr>
            </w:pPr>
            <w:r w:rsidRPr="00335FEB">
              <w:rPr>
                <w:color w:val="000000"/>
                <w:lang w:val="en-GB"/>
              </w:rPr>
              <w:t>182</w:t>
            </w:r>
          </w:p>
        </w:tc>
        <w:tc>
          <w:tcPr>
            <w:tcW w:w="1175" w:type="dxa"/>
            <w:vAlign w:val="center"/>
          </w:tcPr>
          <w:p w14:paraId="3CD6FFB4" w14:textId="7DD7A6DF" w:rsidR="00511FDA" w:rsidRPr="00335FEB" w:rsidRDefault="00511FDA" w:rsidP="00D01513">
            <w:pPr>
              <w:pStyle w:val="ExhibitText"/>
              <w:jc w:val="right"/>
              <w:rPr>
                <w:lang w:val="en-GB"/>
              </w:rPr>
            </w:pPr>
            <w:r w:rsidRPr="00335FEB">
              <w:rPr>
                <w:color w:val="000000"/>
                <w:lang w:val="en-GB"/>
              </w:rPr>
              <w:t>261</w:t>
            </w:r>
          </w:p>
        </w:tc>
      </w:tr>
      <w:tr w:rsidR="00511FDA" w:rsidRPr="00335FEB" w14:paraId="5D3905A1" w14:textId="77777777" w:rsidTr="00D01513">
        <w:trPr>
          <w:jc w:val="center"/>
        </w:trPr>
        <w:tc>
          <w:tcPr>
            <w:tcW w:w="846" w:type="dxa"/>
          </w:tcPr>
          <w:p w14:paraId="228E9FFF" w14:textId="77777777" w:rsidR="00511FDA" w:rsidRPr="00335FEB" w:rsidRDefault="00511FDA" w:rsidP="00511FDA">
            <w:pPr>
              <w:pStyle w:val="ExhibitText"/>
              <w:rPr>
                <w:lang w:val="en-GB"/>
              </w:rPr>
            </w:pPr>
            <w:r w:rsidRPr="00335FEB">
              <w:rPr>
                <w:lang w:val="en-GB"/>
              </w:rPr>
              <w:t>2016</w:t>
            </w:r>
          </w:p>
        </w:tc>
        <w:tc>
          <w:tcPr>
            <w:tcW w:w="1276" w:type="dxa"/>
            <w:vAlign w:val="center"/>
          </w:tcPr>
          <w:p w14:paraId="549CB02F" w14:textId="3C9C45C3" w:rsidR="00511FDA" w:rsidRPr="00335FEB" w:rsidRDefault="00511FDA" w:rsidP="00D01513">
            <w:pPr>
              <w:pStyle w:val="ExhibitText"/>
              <w:jc w:val="right"/>
              <w:rPr>
                <w:lang w:val="en-GB"/>
              </w:rPr>
            </w:pPr>
            <w:r w:rsidRPr="00335FEB">
              <w:rPr>
                <w:color w:val="000000"/>
                <w:lang w:val="en-GB"/>
              </w:rPr>
              <w:t>43.55</w:t>
            </w:r>
          </w:p>
        </w:tc>
        <w:tc>
          <w:tcPr>
            <w:tcW w:w="1275" w:type="dxa"/>
            <w:vAlign w:val="center"/>
          </w:tcPr>
          <w:p w14:paraId="1A1FDDE8" w14:textId="28E9B9F2" w:rsidR="00511FDA" w:rsidRPr="00335FEB" w:rsidRDefault="00511FDA" w:rsidP="00D01513">
            <w:pPr>
              <w:pStyle w:val="ExhibitText"/>
              <w:jc w:val="right"/>
              <w:rPr>
                <w:lang w:val="en-GB"/>
              </w:rPr>
            </w:pPr>
            <w:r w:rsidRPr="00335FEB">
              <w:rPr>
                <w:color w:val="000000"/>
                <w:lang w:val="en-GB"/>
              </w:rPr>
              <w:t>1.27</w:t>
            </w:r>
          </w:p>
        </w:tc>
        <w:tc>
          <w:tcPr>
            <w:tcW w:w="1134" w:type="dxa"/>
            <w:vAlign w:val="center"/>
          </w:tcPr>
          <w:p w14:paraId="5390D729" w14:textId="76D19109" w:rsidR="00511FDA" w:rsidRPr="00335FEB" w:rsidRDefault="00511FDA" w:rsidP="00D01513">
            <w:pPr>
              <w:pStyle w:val="ExhibitText"/>
              <w:jc w:val="right"/>
              <w:rPr>
                <w:lang w:val="en-GB"/>
              </w:rPr>
            </w:pPr>
            <w:r w:rsidRPr="00335FEB">
              <w:rPr>
                <w:color w:val="000000"/>
                <w:lang w:val="en-GB"/>
              </w:rPr>
              <w:t>544.03</w:t>
            </w:r>
          </w:p>
        </w:tc>
        <w:tc>
          <w:tcPr>
            <w:tcW w:w="851" w:type="dxa"/>
            <w:vAlign w:val="center"/>
          </w:tcPr>
          <w:p w14:paraId="769B1D7A" w14:textId="439BB0D6" w:rsidR="00511FDA" w:rsidRPr="00335FEB" w:rsidRDefault="00511FDA" w:rsidP="00D01513">
            <w:pPr>
              <w:pStyle w:val="ExhibitText"/>
              <w:jc w:val="right"/>
              <w:rPr>
                <w:lang w:val="en-GB"/>
              </w:rPr>
            </w:pPr>
            <w:r w:rsidRPr="00335FEB">
              <w:rPr>
                <w:color w:val="000000"/>
                <w:lang w:val="en-GB"/>
              </w:rPr>
              <w:t>67.20</w:t>
            </w:r>
          </w:p>
        </w:tc>
        <w:tc>
          <w:tcPr>
            <w:tcW w:w="1188" w:type="dxa"/>
            <w:vAlign w:val="center"/>
          </w:tcPr>
          <w:p w14:paraId="37C6CC81" w14:textId="028D5EF3" w:rsidR="00511FDA" w:rsidRPr="00335FEB" w:rsidRDefault="00511FDA" w:rsidP="00D01513">
            <w:pPr>
              <w:pStyle w:val="ExhibitText"/>
              <w:jc w:val="right"/>
              <w:rPr>
                <w:lang w:val="en-GB"/>
              </w:rPr>
            </w:pPr>
            <w:r w:rsidRPr="00335FEB">
              <w:rPr>
                <w:color w:val="000000"/>
                <w:lang w:val="en-GB"/>
              </w:rPr>
              <w:t>52</w:t>
            </w:r>
            <w:r w:rsidR="00A3352B" w:rsidRPr="00335FEB">
              <w:rPr>
                <w:color w:val="000000"/>
                <w:lang w:val="en-GB"/>
              </w:rPr>
              <w:t>,</w:t>
            </w:r>
            <w:r w:rsidRPr="00335FEB">
              <w:rPr>
                <w:color w:val="000000"/>
                <w:lang w:val="en-GB"/>
              </w:rPr>
              <w:t>540.60</w:t>
            </w:r>
          </w:p>
        </w:tc>
        <w:tc>
          <w:tcPr>
            <w:tcW w:w="1080" w:type="dxa"/>
            <w:vAlign w:val="center"/>
          </w:tcPr>
          <w:p w14:paraId="60A03C04" w14:textId="4B74BA81" w:rsidR="00511FDA" w:rsidRPr="00335FEB" w:rsidRDefault="00511FDA" w:rsidP="00D01513">
            <w:pPr>
              <w:pStyle w:val="ExhibitText"/>
              <w:jc w:val="right"/>
              <w:rPr>
                <w:lang w:val="en-GB"/>
              </w:rPr>
            </w:pPr>
            <w:r w:rsidRPr="00335FEB">
              <w:rPr>
                <w:color w:val="000000"/>
                <w:lang w:val="en-GB"/>
              </w:rPr>
              <w:t>193</w:t>
            </w:r>
          </w:p>
        </w:tc>
        <w:tc>
          <w:tcPr>
            <w:tcW w:w="1175" w:type="dxa"/>
            <w:vAlign w:val="center"/>
          </w:tcPr>
          <w:p w14:paraId="7E2B4668" w14:textId="718D0990" w:rsidR="00511FDA" w:rsidRPr="00335FEB" w:rsidRDefault="00511FDA" w:rsidP="00D01513">
            <w:pPr>
              <w:pStyle w:val="ExhibitText"/>
              <w:jc w:val="right"/>
              <w:rPr>
                <w:lang w:val="en-GB"/>
              </w:rPr>
            </w:pPr>
            <w:r w:rsidRPr="00335FEB">
              <w:rPr>
                <w:color w:val="000000"/>
                <w:lang w:val="en-GB"/>
              </w:rPr>
              <w:t>277</w:t>
            </w:r>
          </w:p>
        </w:tc>
      </w:tr>
      <w:tr w:rsidR="00511FDA" w:rsidRPr="00335FEB" w14:paraId="3C51D023" w14:textId="77777777" w:rsidTr="00D01513">
        <w:trPr>
          <w:jc w:val="center"/>
        </w:trPr>
        <w:tc>
          <w:tcPr>
            <w:tcW w:w="846" w:type="dxa"/>
          </w:tcPr>
          <w:p w14:paraId="6F99E972" w14:textId="77777777" w:rsidR="00511FDA" w:rsidRPr="00335FEB" w:rsidRDefault="00511FDA" w:rsidP="00511FDA">
            <w:pPr>
              <w:pStyle w:val="ExhibitText"/>
              <w:rPr>
                <w:lang w:val="en-GB"/>
              </w:rPr>
            </w:pPr>
            <w:r w:rsidRPr="00335FEB">
              <w:rPr>
                <w:lang w:val="en-GB"/>
              </w:rPr>
              <w:t>2017</w:t>
            </w:r>
          </w:p>
        </w:tc>
        <w:tc>
          <w:tcPr>
            <w:tcW w:w="1276" w:type="dxa"/>
            <w:vAlign w:val="center"/>
          </w:tcPr>
          <w:p w14:paraId="7E9DB332" w14:textId="17FDC3A3" w:rsidR="00511FDA" w:rsidRPr="00335FEB" w:rsidRDefault="00511FDA" w:rsidP="00D01513">
            <w:pPr>
              <w:pStyle w:val="ExhibitText"/>
              <w:jc w:val="right"/>
              <w:rPr>
                <w:lang w:val="en-GB"/>
              </w:rPr>
            </w:pPr>
            <w:r w:rsidRPr="00335FEB">
              <w:rPr>
                <w:color w:val="000000"/>
                <w:lang w:val="en-GB"/>
              </w:rPr>
              <w:t>54.25</w:t>
            </w:r>
          </w:p>
        </w:tc>
        <w:tc>
          <w:tcPr>
            <w:tcW w:w="1275" w:type="dxa"/>
            <w:vAlign w:val="center"/>
          </w:tcPr>
          <w:p w14:paraId="02F07DE1" w14:textId="25C73C6A" w:rsidR="00511FDA" w:rsidRPr="00335FEB" w:rsidRDefault="00511FDA" w:rsidP="00D01513">
            <w:pPr>
              <w:pStyle w:val="ExhibitText"/>
              <w:jc w:val="right"/>
              <w:rPr>
                <w:lang w:val="en-GB"/>
              </w:rPr>
            </w:pPr>
            <w:r w:rsidRPr="00335FEB">
              <w:rPr>
                <w:color w:val="000000"/>
                <w:lang w:val="en-GB"/>
              </w:rPr>
              <w:t>1.42</w:t>
            </w:r>
          </w:p>
        </w:tc>
        <w:tc>
          <w:tcPr>
            <w:tcW w:w="1134" w:type="dxa"/>
            <w:vAlign w:val="center"/>
          </w:tcPr>
          <w:p w14:paraId="5F19C5D4" w14:textId="3C355B20" w:rsidR="00511FDA" w:rsidRPr="00335FEB" w:rsidRDefault="00511FDA" w:rsidP="00D01513">
            <w:pPr>
              <w:pStyle w:val="ExhibitText"/>
              <w:jc w:val="right"/>
              <w:rPr>
                <w:lang w:val="en-GB"/>
              </w:rPr>
            </w:pPr>
            <w:r w:rsidRPr="00335FEB">
              <w:rPr>
                <w:color w:val="000000"/>
                <w:lang w:val="en-GB"/>
              </w:rPr>
              <w:t>517.02</w:t>
            </w:r>
          </w:p>
        </w:tc>
        <w:tc>
          <w:tcPr>
            <w:tcW w:w="851" w:type="dxa"/>
            <w:vAlign w:val="center"/>
          </w:tcPr>
          <w:p w14:paraId="7AC72C7B" w14:textId="1F667BE7" w:rsidR="00511FDA" w:rsidRPr="00335FEB" w:rsidRDefault="00511FDA" w:rsidP="00D01513">
            <w:pPr>
              <w:pStyle w:val="ExhibitText"/>
              <w:jc w:val="right"/>
              <w:rPr>
                <w:lang w:val="en-GB"/>
              </w:rPr>
            </w:pPr>
            <w:r w:rsidRPr="00335FEB">
              <w:rPr>
                <w:color w:val="000000"/>
                <w:lang w:val="en-GB"/>
              </w:rPr>
              <w:t>65.12</w:t>
            </w:r>
          </w:p>
        </w:tc>
        <w:tc>
          <w:tcPr>
            <w:tcW w:w="1188" w:type="dxa"/>
            <w:vAlign w:val="center"/>
          </w:tcPr>
          <w:p w14:paraId="4602730E" w14:textId="04803EF6" w:rsidR="00511FDA" w:rsidRPr="00335FEB" w:rsidRDefault="00511FDA" w:rsidP="00D01513">
            <w:pPr>
              <w:pStyle w:val="ExhibitText"/>
              <w:jc w:val="right"/>
              <w:rPr>
                <w:lang w:val="en-GB"/>
              </w:rPr>
            </w:pPr>
            <w:r w:rsidRPr="00335FEB">
              <w:rPr>
                <w:color w:val="000000"/>
                <w:lang w:val="en-GB"/>
              </w:rPr>
              <w:t>47</w:t>
            </w:r>
            <w:r w:rsidR="00A3352B" w:rsidRPr="00335FEB">
              <w:rPr>
                <w:color w:val="000000"/>
                <w:lang w:val="en-GB"/>
              </w:rPr>
              <w:t>,</w:t>
            </w:r>
            <w:r w:rsidRPr="00335FEB">
              <w:rPr>
                <w:color w:val="000000"/>
                <w:lang w:val="en-GB"/>
              </w:rPr>
              <w:t>013.40</w:t>
            </w:r>
          </w:p>
        </w:tc>
        <w:tc>
          <w:tcPr>
            <w:tcW w:w="1080" w:type="dxa"/>
            <w:vAlign w:val="center"/>
          </w:tcPr>
          <w:p w14:paraId="6704AA0A" w14:textId="6093BC51" w:rsidR="00511FDA" w:rsidRPr="00335FEB" w:rsidRDefault="00511FDA" w:rsidP="00D01513">
            <w:pPr>
              <w:pStyle w:val="ExhibitText"/>
              <w:jc w:val="right"/>
              <w:rPr>
                <w:lang w:val="en-GB"/>
              </w:rPr>
            </w:pPr>
            <w:r w:rsidRPr="00335FEB">
              <w:rPr>
                <w:color w:val="000000"/>
                <w:lang w:val="en-GB"/>
              </w:rPr>
              <w:t>194</w:t>
            </w:r>
          </w:p>
        </w:tc>
        <w:tc>
          <w:tcPr>
            <w:tcW w:w="1175" w:type="dxa"/>
            <w:vAlign w:val="center"/>
          </w:tcPr>
          <w:p w14:paraId="38FC2630" w14:textId="57630F3F" w:rsidR="00511FDA" w:rsidRPr="00335FEB" w:rsidRDefault="00511FDA" w:rsidP="00D01513">
            <w:pPr>
              <w:pStyle w:val="ExhibitText"/>
              <w:jc w:val="right"/>
              <w:rPr>
                <w:lang w:val="en-GB"/>
              </w:rPr>
            </w:pPr>
            <w:r w:rsidRPr="00335FEB">
              <w:rPr>
                <w:color w:val="000000"/>
                <w:lang w:val="en-GB"/>
              </w:rPr>
              <w:t>285</w:t>
            </w:r>
          </w:p>
        </w:tc>
      </w:tr>
      <w:tr w:rsidR="00511FDA" w:rsidRPr="00335FEB" w14:paraId="3EA52258" w14:textId="77777777" w:rsidTr="00D01513">
        <w:trPr>
          <w:jc w:val="center"/>
        </w:trPr>
        <w:tc>
          <w:tcPr>
            <w:tcW w:w="846" w:type="dxa"/>
          </w:tcPr>
          <w:p w14:paraId="29AA9A3F" w14:textId="77777777" w:rsidR="00511FDA" w:rsidRPr="00335FEB" w:rsidRDefault="00511FDA" w:rsidP="00511FDA">
            <w:pPr>
              <w:pStyle w:val="ExhibitText"/>
              <w:rPr>
                <w:lang w:val="en-GB"/>
              </w:rPr>
            </w:pPr>
            <w:r w:rsidRPr="00335FEB">
              <w:rPr>
                <w:lang w:val="en-GB"/>
              </w:rPr>
              <w:t>2018*</w:t>
            </w:r>
          </w:p>
        </w:tc>
        <w:tc>
          <w:tcPr>
            <w:tcW w:w="1276" w:type="dxa"/>
            <w:vAlign w:val="center"/>
          </w:tcPr>
          <w:p w14:paraId="10EC19F6" w14:textId="3333C1EE" w:rsidR="00511FDA" w:rsidRPr="00335FEB" w:rsidRDefault="00511FDA" w:rsidP="00D01513">
            <w:pPr>
              <w:pStyle w:val="ExhibitText"/>
              <w:jc w:val="right"/>
              <w:rPr>
                <w:lang w:val="en-GB"/>
              </w:rPr>
            </w:pPr>
            <w:r w:rsidRPr="00335FEB">
              <w:rPr>
                <w:color w:val="000000"/>
                <w:lang w:val="en-GB"/>
              </w:rPr>
              <w:t>66.81</w:t>
            </w:r>
          </w:p>
        </w:tc>
        <w:tc>
          <w:tcPr>
            <w:tcW w:w="1275" w:type="dxa"/>
            <w:vAlign w:val="center"/>
          </w:tcPr>
          <w:p w14:paraId="4CACB940" w14:textId="163F265B" w:rsidR="00511FDA" w:rsidRPr="00335FEB" w:rsidRDefault="00511FDA" w:rsidP="00D01513">
            <w:pPr>
              <w:pStyle w:val="ExhibitText"/>
              <w:jc w:val="right"/>
              <w:rPr>
                <w:lang w:val="en-GB"/>
              </w:rPr>
            </w:pPr>
            <w:r w:rsidRPr="00335FEB">
              <w:rPr>
                <w:color w:val="000000"/>
                <w:lang w:val="en-GB"/>
              </w:rPr>
              <w:t>2.02</w:t>
            </w:r>
          </w:p>
        </w:tc>
        <w:tc>
          <w:tcPr>
            <w:tcW w:w="1134" w:type="dxa"/>
            <w:vAlign w:val="center"/>
          </w:tcPr>
          <w:p w14:paraId="194B9FA6" w14:textId="4F41549C" w:rsidR="00511FDA" w:rsidRPr="00335FEB" w:rsidRDefault="00511FDA" w:rsidP="00D01513">
            <w:pPr>
              <w:pStyle w:val="ExhibitText"/>
              <w:jc w:val="right"/>
              <w:rPr>
                <w:lang w:val="en-GB"/>
              </w:rPr>
            </w:pPr>
            <w:r w:rsidRPr="00335FEB">
              <w:rPr>
                <w:color w:val="000000"/>
                <w:lang w:val="en-GB"/>
              </w:rPr>
              <w:t>708.00</w:t>
            </w:r>
          </w:p>
        </w:tc>
        <w:tc>
          <w:tcPr>
            <w:tcW w:w="851" w:type="dxa"/>
            <w:vAlign w:val="center"/>
          </w:tcPr>
          <w:p w14:paraId="05385D27" w14:textId="7B4B2134" w:rsidR="00511FDA" w:rsidRPr="00335FEB" w:rsidRDefault="00511FDA" w:rsidP="00D01513">
            <w:pPr>
              <w:pStyle w:val="ExhibitText"/>
              <w:jc w:val="right"/>
              <w:rPr>
                <w:lang w:val="en-GB"/>
              </w:rPr>
            </w:pPr>
            <w:r w:rsidRPr="00335FEB">
              <w:rPr>
                <w:color w:val="000000"/>
                <w:lang w:val="en-GB"/>
              </w:rPr>
              <w:t>65.16</w:t>
            </w:r>
          </w:p>
        </w:tc>
        <w:tc>
          <w:tcPr>
            <w:tcW w:w="1188" w:type="dxa"/>
            <w:vAlign w:val="center"/>
          </w:tcPr>
          <w:p w14:paraId="5E5A5D55" w14:textId="46FC1D10" w:rsidR="00511FDA" w:rsidRPr="00335FEB" w:rsidRDefault="00511FDA" w:rsidP="00D01513">
            <w:pPr>
              <w:pStyle w:val="ExhibitText"/>
              <w:jc w:val="right"/>
              <w:rPr>
                <w:lang w:val="en-GB"/>
              </w:rPr>
            </w:pPr>
            <w:r w:rsidRPr="00335FEB">
              <w:rPr>
                <w:color w:val="000000"/>
                <w:lang w:val="en-GB"/>
              </w:rPr>
              <w:t>65</w:t>
            </w:r>
            <w:r w:rsidR="00A3352B" w:rsidRPr="00335FEB">
              <w:rPr>
                <w:color w:val="000000"/>
                <w:lang w:val="en-GB"/>
              </w:rPr>
              <w:t>,</w:t>
            </w:r>
            <w:r w:rsidRPr="00335FEB">
              <w:rPr>
                <w:color w:val="000000"/>
                <w:lang w:val="en-GB"/>
              </w:rPr>
              <w:t>340.00</w:t>
            </w:r>
          </w:p>
        </w:tc>
        <w:tc>
          <w:tcPr>
            <w:tcW w:w="1080" w:type="dxa"/>
            <w:vAlign w:val="center"/>
          </w:tcPr>
          <w:p w14:paraId="4BBB809C" w14:textId="1F1C8EEC" w:rsidR="00511FDA" w:rsidRPr="00335FEB" w:rsidRDefault="00511FDA" w:rsidP="00D01513">
            <w:pPr>
              <w:pStyle w:val="ExhibitText"/>
              <w:jc w:val="right"/>
              <w:rPr>
                <w:lang w:val="en-GB"/>
              </w:rPr>
            </w:pPr>
            <w:r w:rsidRPr="00335FEB">
              <w:rPr>
                <w:color w:val="000000"/>
                <w:lang w:val="en-GB"/>
              </w:rPr>
              <w:t>196</w:t>
            </w:r>
          </w:p>
        </w:tc>
        <w:tc>
          <w:tcPr>
            <w:tcW w:w="1175" w:type="dxa"/>
            <w:vAlign w:val="center"/>
          </w:tcPr>
          <w:p w14:paraId="7341CEBD" w14:textId="160169DF" w:rsidR="00511FDA" w:rsidRPr="00335FEB" w:rsidRDefault="00511FDA" w:rsidP="00D01513">
            <w:pPr>
              <w:pStyle w:val="ExhibitText"/>
              <w:jc w:val="right"/>
              <w:rPr>
                <w:lang w:val="en-GB"/>
              </w:rPr>
            </w:pPr>
            <w:r w:rsidRPr="00335FEB">
              <w:rPr>
                <w:color w:val="000000"/>
                <w:lang w:val="en-GB"/>
              </w:rPr>
              <w:t>294</w:t>
            </w:r>
          </w:p>
        </w:tc>
      </w:tr>
    </w:tbl>
    <w:p w14:paraId="60236335" w14:textId="77777777" w:rsidR="004359AE" w:rsidRPr="00335FEB" w:rsidRDefault="004359AE" w:rsidP="004359AE">
      <w:pPr>
        <w:rPr>
          <w:lang w:val="en-GB"/>
        </w:rPr>
      </w:pPr>
    </w:p>
    <w:p w14:paraId="1907B6FD" w14:textId="65C1A8F1" w:rsidR="004359AE" w:rsidRPr="00E94244" w:rsidRDefault="006113A3" w:rsidP="000627B0">
      <w:pPr>
        <w:pStyle w:val="Footnote"/>
        <w:rPr>
          <w:spacing w:val="-2"/>
          <w:lang w:val="en-GB"/>
        </w:rPr>
      </w:pPr>
      <w:r w:rsidRPr="00E94244">
        <w:rPr>
          <w:spacing w:val="-2"/>
          <w:lang w:val="en-GB"/>
        </w:rPr>
        <w:t xml:space="preserve">Note: </w:t>
      </w:r>
      <w:r w:rsidR="00A3352B" w:rsidRPr="00E94244">
        <w:rPr>
          <w:spacing w:val="-2"/>
          <w:lang w:val="en-GB"/>
        </w:rPr>
        <w:t>₹ = INR = Indian rupee; ₹1 = US$0.0149 on May 2, 2018</w:t>
      </w:r>
      <w:r w:rsidR="00C5551D" w:rsidRPr="00E94244">
        <w:rPr>
          <w:spacing w:val="-2"/>
          <w:lang w:val="en-GB"/>
        </w:rPr>
        <w:t>;</w:t>
      </w:r>
      <w:r w:rsidR="00A3352B" w:rsidRPr="00E94244">
        <w:rPr>
          <w:spacing w:val="-2"/>
          <w:lang w:val="en-GB"/>
        </w:rPr>
        <w:t xml:space="preserve"> FOB = free on board; </w:t>
      </w:r>
      <w:r w:rsidR="006E5747" w:rsidRPr="00E94244">
        <w:rPr>
          <w:spacing w:val="-2"/>
          <w:lang w:val="en-GB"/>
        </w:rPr>
        <w:t xml:space="preserve">ATF = aviation turbine fuel; </w:t>
      </w:r>
      <w:r w:rsidRPr="00E94244">
        <w:rPr>
          <w:spacing w:val="-2"/>
          <w:lang w:val="en-GB"/>
        </w:rPr>
        <w:t xml:space="preserve">CPI = consumer price index; </w:t>
      </w:r>
      <w:r w:rsidR="000627B0" w:rsidRPr="00E94244">
        <w:rPr>
          <w:spacing w:val="-2"/>
          <w:lang w:val="en-GB"/>
        </w:rPr>
        <w:t xml:space="preserve">Kl = Kilolitre; </w:t>
      </w:r>
      <w:r w:rsidR="004359AE" w:rsidRPr="00E94244">
        <w:rPr>
          <w:spacing w:val="-2"/>
          <w:lang w:val="en-GB"/>
        </w:rPr>
        <w:t xml:space="preserve">*2018 figures were </w:t>
      </w:r>
      <w:r w:rsidRPr="00E94244">
        <w:rPr>
          <w:spacing w:val="-2"/>
          <w:lang w:val="en-GB"/>
        </w:rPr>
        <w:t>until</w:t>
      </w:r>
      <w:r w:rsidR="004359AE" w:rsidRPr="00E94244">
        <w:rPr>
          <w:spacing w:val="-2"/>
          <w:lang w:val="en-GB"/>
        </w:rPr>
        <w:t xml:space="preserve"> April 2018. The ATF prices in Delhi </w:t>
      </w:r>
      <w:r w:rsidR="00A3352B" w:rsidRPr="00E94244">
        <w:rPr>
          <w:spacing w:val="-2"/>
          <w:lang w:val="en-GB"/>
        </w:rPr>
        <w:t>are</w:t>
      </w:r>
      <w:r w:rsidR="004359AE" w:rsidRPr="00E94244">
        <w:rPr>
          <w:spacing w:val="-2"/>
          <w:lang w:val="en-GB"/>
        </w:rPr>
        <w:t xml:space="preserve"> taken for the month of May 2018 (both </w:t>
      </w:r>
      <w:r w:rsidR="007332B9" w:rsidRPr="00E94244">
        <w:rPr>
          <w:spacing w:val="-2"/>
          <w:lang w:val="en-GB"/>
        </w:rPr>
        <w:t>₹</w:t>
      </w:r>
      <w:r w:rsidR="004359AE" w:rsidRPr="00E94244">
        <w:rPr>
          <w:spacing w:val="-2"/>
          <w:lang w:val="en-GB"/>
        </w:rPr>
        <w:t xml:space="preserve"> and </w:t>
      </w:r>
      <w:r w:rsidR="00A3352B" w:rsidRPr="00E94244">
        <w:rPr>
          <w:spacing w:val="-2"/>
          <w:lang w:val="en-GB"/>
        </w:rPr>
        <w:t>US</w:t>
      </w:r>
      <w:r w:rsidR="004359AE" w:rsidRPr="00E94244">
        <w:rPr>
          <w:spacing w:val="-2"/>
          <w:lang w:val="en-GB"/>
        </w:rPr>
        <w:t xml:space="preserve">$). The yearly exchange rate is taken for the average </w:t>
      </w:r>
      <w:r w:rsidR="00A3352B" w:rsidRPr="00E94244">
        <w:rPr>
          <w:spacing w:val="-2"/>
          <w:lang w:val="en-GB"/>
        </w:rPr>
        <w:t>five</w:t>
      </w:r>
      <w:r w:rsidR="004359AE" w:rsidRPr="00E94244">
        <w:rPr>
          <w:spacing w:val="-2"/>
          <w:lang w:val="en-GB"/>
        </w:rPr>
        <w:t xml:space="preserve"> months of 2018. In the case of CPI, data </w:t>
      </w:r>
      <w:r w:rsidR="005D1E26" w:rsidRPr="00E94244">
        <w:rPr>
          <w:spacing w:val="-2"/>
          <w:lang w:val="en-GB"/>
        </w:rPr>
        <w:t xml:space="preserve">are </w:t>
      </w:r>
      <w:r w:rsidR="004359AE" w:rsidRPr="00E94244">
        <w:rPr>
          <w:spacing w:val="-2"/>
          <w:lang w:val="en-GB"/>
        </w:rPr>
        <w:t xml:space="preserve">considered for the month of November 2016. The Index of Road </w:t>
      </w:r>
      <w:r w:rsidR="00A3352B" w:rsidRPr="00E94244">
        <w:rPr>
          <w:spacing w:val="-2"/>
          <w:lang w:val="en-GB"/>
        </w:rPr>
        <w:t>F</w:t>
      </w:r>
      <w:r w:rsidR="004359AE" w:rsidRPr="00E94244">
        <w:rPr>
          <w:spacing w:val="-2"/>
          <w:lang w:val="en-GB"/>
        </w:rPr>
        <w:t xml:space="preserve">reight for 2016 is estimated </w:t>
      </w:r>
      <w:r w:rsidR="00A3352B" w:rsidRPr="00E94244">
        <w:rPr>
          <w:spacing w:val="-2"/>
          <w:lang w:val="en-GB"/>
        </w:rPr>
        <w:t xml:space="preserve">by the author </w:t>
      </w:r>
      <w:r w:rsidR="004359AE" w:rsidRPr="00E94244">
        <w:rPr>
          <w:spacing w:val="-2"/>
          <w:lang w:val="en-GB"/>
        </w:rPr>
        <w:t xml:space="preserve">based on </w:t>
      </w:r>
      <w:r w:rsidR="005D1E26" w:rsidRPr="00E94244">
        <w:rPr>
          <w:spacing w:val="-2"/>
          <w:lang w:val="en-GB"/>
        </w:rPr>
        <w:t xml:space="preserve">the </w:t>
      </w:r>
      <w:r w:rsidR="004359AE" w:rsidRPr="00E94244">
        <w:rPr>
          <w:spacing w:val="-2"/>
          <w:lang w:val="en-GB"/>
        </w:rPr>
        <w:t>CPI.</w:t>
      </w:r>
    </w:p>
    <w:p w14:paraId="641E0422" w14:textId="580C7479" w:rsidR="004359AE" w:rsidRPr="00335FEB" w:rsidRDefault="004359AE" w:rsidP="000627B0">
      <w:pPr>
        <w:pStyle w:val="Footnote"/>
        <w:rPr>
          <w:lang w:val="en-GB"/>
        </w:rPr>
      </w:pPr>
      <w:r w:rsidRPr="00335FEB">
        <w:rPr>
          <w:lang w:val="en-GB"/>
        </w:rPr>
        <w:t xml:space="preserve">Source: Data on Crude Prices were obtained from </w:t>
      </w:r>
      <w:r w:rsidR="00A3352B" w:rsidRPr="00335FEB">
        <w:rPr>
          <w:lang w:val="en-GB"/>
        </w:rPr>
        <w:t>“Average Annual Brent Crude Oil Price from 1976 to 2018 (in US Dollars per Barrel),” Statista</w:t>
      </w:r>
      <w:r w:rsidRPr="00335FEB">
        <w:rPr>
          <w:lang w:val="en-GB"/>
        </w:rPr>
        <w:t xml:space="preserve">, </w:t>
      </w:r>
      <w:r w:rsidR="00A3352B" w:rsidRPr="00335FEB">
        <w:rPr>
          <w:lang w:val="en-GB"/>
        </w:rPr>
        <w:t>a</w:t>
      </w:r>
      <w:r w:rsidRPr="00335FEB">
        <w:rPr>
          <w:lang w:val="en-GB"/>
        </w:rPr>
        <w:t xml:space="preserve">ccessed May 21, 2016, </w:t>
      </w:r>
      <w:hyperlink r:id="rId15" w:history="1">
        <w:r w:rsidRPr="00335FEB">
          <w:rPr>
            <w:lang w:val="en-GB"/>
          </w:rPr>
          <w:t>www.statista.com/statistics/262860/uk-brent-crude-oil-price-changes-since-1976/</w:t>
        </w:r>
      </w:hyperlink>
      <w:r w:rsidRPr="00335FEB">
        <w:rPr>
          <w:lang w:val="en-GB"/>
        </w:rPr>
        <w:t xml:space="preserve">; </w:t>
      </w:r>
      <w:r w:rsidR="00A3352B" w:rsidRPr="00335FEB">
        <w:rPr>
          <w:lang w:val="en-GB"/>
        </w:rPr>
        <w:t>d</w:t>
      </w:r>
      <w:r w:rsidRPr="00335FEB">
        <w:rPr>
          <w:lang w:val="en-GB"/>
        </w:rPr>
        <w:t xml:space="preserve">ata on ATF </w:t>
      </w:r>
      <w:r w:rsidR="00A3352B" w:rsidRPr="00335FEB">
        <w:rPr>
          <w:lang w:val="en-GB"/>
        </w:rPr>
        <w:t>p</w:t>
      </w:r>
      <w:r w:rsidRPr="00335FEB">
        <w:rPr>
          <w:lang w:val="en-GB"/>
        </w:rPr>
        <w:t xml:space="preserve">rices were obtained from </w:t>
      </w:r>
      <w:r w:rsidR="00A3352B" w:rsidRPr="00335FEB">
        <w:rPr>
          <w:lang w:val="en-GB"/>
        </w:rPr>
        <w:t>“Aviation Fuel,” Indian Oil,</w:t>
      </w:r>
      <w:r w:rsidRPr="00335FEB">
        <w:rPr>
          <w:lang w:val="en-GB"/>
        </w:rPr>
        <w:t xml:space="preserve"> </w:t>
      </w:r>
      <w:r w:rsidR="00A3352B" w:rsidRPr="00335FEB">
        <w:rPr>
          <w:lang w:val="en-GB"/>
        </w:rPr>
        <w:t>a</w:t>
      </w:r>
      <w:r w:rsidRPr="00335FEB">
        <w:rPr>
          <w:lang w:val="en-GB"/>
        </w:rPr>
        <w:t xml:space="preserve">ccessed May 14, 2018, </w:t>
      </w:r>
      <w:r w:rsidR="00551EE7" w:rsidRPr="00335FEB">
        <w:rPr>
          <w:lang w:val="en-GB"/>
        </w:rPr>
        <w:t>www.iocl.com/Products/AviationTurbineFuel.aspx</w:t>
      </w:r>
      <w:r w:rsidRPr="00335FEB">
        <w:rPr>
          <w:lang w:val="en-GB"/>
        </w:rPr>
        <w:t xml:space="preserve">; </w:t>
      </w:r>
      <w:r w:rsidR="00A3352B" w:rsidRPr="00335FEB">
        <w:rPr>
          <w:lang w:val="en-GB"/>
        </w:rPr>
        <w:t>d</w:t>
      </w:r>
      <w:r w:rsidRPr="00335FEB">
        <w:rPr>
          <w:lang w:val="en-GB"/>
        </w:rPr>
        <w:t xml:space="preserve">ata on Index </w:t>
      </w:r>
      <w:r w:rsidR="00A3352B" w:rsidRPr="00335FEB">
        <w:rPr>
          <w:lang w:val="en-GB"/>
        </w:rPr>
        <w:t>of Road</w:t>
      </w:r>
      <w:r w:rsidRPr="00335FEB">
        <w:rPr>
          <w:lang w:val="en-GB"/>
        </w:rPr>
        <w:t xml:space="preserve"> Freight rates were obtained from </w:t>
      </w:r>
      <w:r w:rsidR="00A3352B" w:rsidRPr="00335FEB">
        <w:rPr>
          <w:lang w:val="en-GB"/>
        </w:rPr>
        <w:t>“Indian Road Freight Index,”</w:t>
      </w:r>
      <w:r w:rsidRPr="00335FEB">
        <w:rPr>
          <w:lang w:val="en-GB"/>
        </w:rPr>
        <w:t xml:space="preserve"> </w:t>
      </w:r>
      <w:r w:rsidR="00A3352B" w:rsidRPr="00335FEB">
        <w:rPr>
          <w:lang w:val="en-GB"/>
        </w:rPr>
        <w:t>TCI, a</w:t>
      </w:r>
      <w:r w:rsidRPr="00335FEB">
        <w:rPr>
          <w:lang w:val="en-GB"/>
        </w:rPr>
        <w:t>ccessed March 9, 2017</w:t>
      </w:r>
      <w:r w:rsidR="00A3352B" w:rsidRPr="00335FEB">
        <w:rPr>
          <w:lang w:val="en-GB"/>
        </w:rPr>
        <w:t>, at</w:t>
      </w:r>
      <w:r w:rsidRPr="00335FEB">
        <w:rPr>
          <w:lang w:val="en-GB"/>
        </w:rPr>
        <w:t xml:space="preserve"> 1.15 p.m</w:t>
      </w:r>
      <w:r w:rsidR="00A3352B" w:rsidRPr="00335FEB">
        <w:rPr>
          <w:lang w:val="en-GB"/>
        </w:rPr>
        <w:t>.,</w:t>
      </w:r>
      <w:r w:rsidRPr="00335FEB">
        <w:rPr>
          <w:lang w:val="en-GB"/>
        </w:rPr>
        <w:t xml:space="preserve"> </w:t>
      </w:r>
      <w:hyperlink r:id="rId16" w:history="1">
        <w:r w:rsidRPr="00335FEB">
          <w:rPr>
            <w:lang w:val="en-GB"/>
          </w:rPr>
          <w:t>www.tcil.com/tcil/indian-road-freight-index.html</w:t>
        </w:r>
      </w:hyperlink>
      <w:r w:rsidR="00A3352B" w:rsidRPr="00335FEB">
        <w:rPr>
          <w:lang w:val="en-GB"/>
        </w:rPr>
        <w:t xml:space="preserve">. (For 2016, 2017, and 2018, the data </w:t>
      </w:r>
      <w:r w:rsidR="005D1E26">
        <w:rPr>
          <w:lang w:val="en-GB"/>
        </w:rPr>
        <w:t>were</w:t>
      </w:r>
      <w:r w:rsidR="005D1E26" w:rsidRPr="00335FEB">
        <w:rPr>
          <w:lang w:val="en-GB"/>
        </w:rPr>
        <w:t xml:space="preserve"> </w:t>
      </w:r>
      <w:r w:rsidR="00A3352B" w:rsidRPr="00335FEB">
        <w:rPr>
          <w:lang w:val="en-GB"/>
        </w:rPr>
        <w:t>extrapolated from the CPI</w:t>
      </w:r>
      <w:r w:rsidRPr="00335FEB">
        <w:rPr>
          <w:lang w:val="en-GB"/>
        </w:rPr>
        <w:t>.</w:t>
      </w:r>
      <w:r w:rsidR="00A3352B" w:rsidRPr="00335FEB">
        <w:rPr>
          <w:lang w:val="en-GB"/>
        </w:rPr>
        <w:t>)</w:t>
      </w:r>
    </w:p>
    <w:p w14:paraId="19B0AADC" w14:textId="77777777" w:rsidR="0066407B" w:rsidRPr="00335FEB" w:rsidRDefault="0066407B" w:rsidP="000627B0">
      <w:pPr>
        <w:pStyle w:val="Footnote"/>
        <w:rPr>
          <w:lang w:val="en-GB"/>
        </w:rPr>
      </w:pPr>
    </w:p>
    <w:p w14:paraId="299769A7" w14:textId="30BCFA32" w:rsidR="0066407B" w:rsidRPr="00335FEB" w:rsidRDefault="0066407B">
      <w:pPr>
        <w:spacing w:after="200" w:line="276" w:lineRule="auto"/>
        <w:rPr>
          <w:rFonts w:ascii="Arial" w:hAnsi="Arial" w:cs="Arial"/>
          <w:sz w:val="17"/>
          <w:szCs w:val="17"/>
          <w:lang w:val="en-GB"/>
        </w:rPr>
      </w:pPr>
      <w:r w:rsidRPr="00335FEB">
        <w:rPr>
          <w:lang w:val="en-GB"/>
        </w:rPr>
        <w:br w:type="page"/>
      </w:r>
    </w:p>
    <w:p w14:paraId="5CD7116D" w14:textId="41C46474" w:rsidR="0066407B" w:rsidRPr="00335FEB" w:rsidRDefault="0066407B" w:rsidP="0066407B">
      <w:pPr>
        <w:pStyle w:val="Casehead1"/>
        <w:rPr>
          <w:lang w:val="en-GB"/>
        </w:rPr>
      </w:pPr>
      <w:r w:rsidRPr="00335FEB">
        <w:rPr>
          <w:lang w:val="en-GB"/>
        </w:rPr>
        <w:t>endnotes</w:t>
      </w:r>
    </w:p>
    <w:sectPr w:rsidR="0066407B" w:rsidRPr="00335FEB" w:rsidSect="00751E0B">
      <w:headerReference w:type="default" r:id="rId17"/>
      <w:endnotePr>
        <w:numFmt w:val="decimal"/>
      </w:endnotePr>
      <w:pgSz w:w="12240" w:h="15840" w:code="1"/>
      <w:pgMar w:top="1080" w:right="1440" w:bottom="1440" w:left="1440" w:header="1080" w:footer="720" w:gutter="0"/>
      <w:cols w:space="720"/>
      <w:titlePg/>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26A8D64" w16cid:durableId="203A2706"/>
  <w16cid:commentId w16cid:paraId="20700CA6" w16cid:durableId="2034E7D9"/>
  <w16cid:commentId w16cid:paraId="5C505268" w16cid:durableId="2034E91A"/>
  <w16cid:commentId w16cid:paraId="012F39C4" w16cid:durableId="203A2232"/>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6043FF7" w14:textId="77777777" w:rsidR="009E02A9" w:rsidRDefault="009E02A9" w:rsidP="00D75295">
      <w:r>
        <w:separator/>
      </w:r>
    </w:p>
  </w:endnote>
  <w:endnote w:type="continuationSeparator" w:id="0">
    <w:p w14:paraId="2167A162" w14:textId="77777777" w:rsidR="009E02A9" w:rsidRDefault="009E02A9" w:rsidP="00D75295">
      <w:r>
        <w:continuationSeparator/>
      </w:r>
    </w:p>
  </w:endnote>
  <w:endnote w:id="1">
    <w:p w14:paraId="2DDE0528" w14:textId="7F6A09F3" w:rsidR="00D054CC" w:rsidRPr="00F14F0E" w:rsidRDefault="00D054CC" w:rsidP="00580FBA">
      <w:pPr>
        <w:pStyle w:val="Footnote"/>
      </w:pPr>
      <w:r w:rsidRPr="00F14F0E">
        <w:rPr>
          <w:rStyle w:val="EndnoteReference"/>
        </w:rPr>
        <w:endnoteRef/>
      </w:r>
      <w:r w:rsidRPr="00F14F0E">
        <w:t xml:space="preserve"> </w:t>
      </w:r>
      <w:r w:rsidRPr="00F14F0E">
        <w:rPr>
          <w:lang w:val="en-GB"/>
        </w:rPr>
        <w:t xml:space="preserve">This case has been written on the basis of published sources only. Consequently, the interpretation and perspectives presented in this case are not necessarily those of </w:t>
      </w:r>
      <w:proofErr w:type="spellStart"/>
      <w:r w:rsidRPr="00F14F0E">
        <w:rPr>
          <w:spacing w:val="-2"/>
        </w:rPr>
        <w:t>IndiGo</w:t>
      </w:r>
      <w:proofErr w:type="spellEnd"/>
      <w:r w:rsidRPr="00F14F0E">
        <w:rPr>
          <w:lang w:val="en-GB"/>
        </w:rPr>
        <w:t xml:space="preserve"> or any of its employees.</w:t>
      </w:r>
    </w:p>
  </w:endnote>
  <w:endnote w:id="2">
    <w:p w14:paraId="38671400" w14:textId="07AB30D6" w:rsidR="00D054CC" w:rsidRPr="00F14F0E" w:rsidRDefault="00D054CC" w:rsidP="00451D7B">
      <w:pPr>
        <w:pStyle w:val="Footnote"/>
      </w:pPr>
      <w:r w:rsidRPr="00F14F0E">
        <w:rPr>
          <w:rStyle w:val="EndnoteReference"/>
        </w:rPr>
        <w:endnoteRef/>
      </w:r>
      <w:r w:rsidRPr="00F14F0E">
        <w:t xml:space="preserve"> “</w:t>
      </w:r>
      <w:proofErr w:type="spellStart"/>
      <w:r w:rsidRPr="00F14F0E">
        <w:t>IndiGo's</w:t>
      </w:r>
      <w:proofErr w:type="spellEnd"/>
      <w:r w:rsidRPr="00F14F0E">
        <w:t xml:space="preserve"> Parent </w:t>
      </w:r>
      <w:proofErr w:type="spellStart"/>
      <w:r w:rsidRPr="00F14F0E">
        <w:t>InterGlobe</w:t>
      </w:r>
      <w:proofErr w:type="spellEnd"/>
      <w:r w:rsidRPr="00F14F0E">
        <w:t xml:space="preserve"> Aviation Stock Falls 18% as Higher Fuel Costs, Lower Yields Take Toll on Q4 Net Profit,” </w:t>
      </w:r>
      <w:r w:rsidRPr="00F14F0E">
        <w:rPr>
          <w:i/>
        </w:rPr>
        <w:t>Business Today</w:t>
      </w:r>
      <w:r w:rsidRPr="00F14F0E">
        <w:t>, May 3, 2018, accessed May 5, 2018, www.businesstoday.in/markets/company-stock/interglobe-aviation-stock-falls-higher-fuel-costs-lower-yields-q4-net-profit/story/276133.html</w:t>
      </w:r>
      <w:r w:rsidRPr="00F14F0E">
        <w:rPr>
          <w:rStyle w:val="Hyperlink"/>
          <w:color w:val="auto"/>
          <w:u w:val="none"/>
        </w:rPr>
        <w:t xml:space="preserve">. </w:t>
      </w:r>
    </w:p>
  </w:endnote>
  <w:endnote w:id="3">
    <w:p w14:paraId="4AF5A14E" w14:textId="17DA5878" w:rsidR="00D054CC" w:rsidRPr="00E94244" w:rsidRDefault="00D054CC" w:rsidP="00451D7B">
      <w:pPr>
        <w:pStyle w:val="Footnote"/>
        <w:rPr>
          <w:b/>
          <w:lang w:val="en-CA"/>
        </w:rPr>
      </w:pPr>
      <w:r w:rsidRPr="00F14F0E">
        <w:rPr>
          <w:rStyle w:val="EndnoteReference"/>
        </w:rPr>
        <w:endnoteRef/>
      </w:r>
      <w:r w:rsidRPr="00F14F0E">
        <w:t xml:space="preserve"> ₹ = INR = Indian rupee; </w:t>
      </w:r>
      <w:r w:rsidRPr="00F14F0E">
        <w:rPr>
          <w:rFonts w:eastAsiaTheme="minorEastAsia"/>
          <w:spacing w:val="-2"/>
          <w:kern w:val="15"/>
          <w:sz w:val="18"/>
          <w:szCs w:val="18"/>
          <w:lang w:val="en-GB"/>
        </w:rPr>
        <w:t>all currency amounts are in ₹ unless otherwise specified;</w:t>
      </w:r>
      <w:r w:rsidRPr="00F14F0E">
        <w:t xml:space="preserve"> ₹1 = US$0.01</w:t>
      </w:r>
      <w:r>
        <w:t>50</w:t>
      </w:r>
      <w:r w:rsidRPr="00F14F0E">
        <w:t xml:space="preserve"> on May 2, 201</w:t>
      </w:r>
      <w:r>
        <w:t>6.</w:t>
      </w:r>
    </w:p>
  </w:endnote>
  <w:endnote w:id="4">
    <w:p w14:paraId="22EF133D" w14:textId="6D570B7D" w:rsidR="00D054CC" w:rsidRPr="00F14F0E" w:rsidRDefault="00D054CC" w:rsidP="00451D7B">
      <w:pPr>
        <w:pStyle w:val="Footnote"/>
      </w:pPr>
      <w:r w:rsidRPr="00F14F0E">
        <w:rPr>
          <w:rStyle w:val="EndnoteReference"/>
        </w:rPr>
        <w:endnoteRef/>
      </w:r>
      <w:r w:rsidRPr="00F14F0E">
        <w:t xml:space="preserve"> </w:t>
      </w:r>
      <w:proofErr w:type="spellStart"/>
      <w:r w:rsidRPr="00F14F0E">
        <w:t>Anshul</w:t>
      </w:r>
      <w:proofErr w:type="spellEnd"/>
      <w:r w:rsidRPr="00F14F0E">
        <w:t xml:space="preserve"> </w:t>
      </w:r>
      <w:proofErr w:type="spellStart"/>
      <w:r w:rsidRPr="00F14F0E">
        <w:t>Dhamija</w:t>
      </w:r>
      <w:proofErr w:type="spellEnd"/>
      <w:r w:rsidRPr="00F14F0E">
        <w:t>, “</w:t>
      </w:r>
      <w:proofErr w:type="spellStart"/>
      <w:r w:rsidRPr="00F14F0E">
        <w:t>IndiGo</w:t>
      </w:r>
      <w:proofErr w:type="spellEnd"/>
      <w:r w:rsidRPr="00F14F0E">
        <w:t xml:space="preserve"> Reports Its 8th Year of Consecutive Profit,” </w:t>
      </w:r>
      <w:r w:rsidRPr="00F14F0E">
        <w:rPr>
          <w:i/>
        </w:rPr>
        <w:t>Forbes India</w:t>
      </w:r>
      <w:r w:rsidRPr="00F14F0E">
        <w:t xml:space="preserve">, April 29, 2016, accessed May 3, 2016, </w:t>
      </w:r>
      <w:hyperlink r:id="rId1" w:history="1">
        <w:r w:rsidRPr="00F14F0E">
          <w:t>www.forbesindia.com/article/special/indigo-reports-its-8th-year-of-consecutive-profit/43141/1</w:t>
        </w:r>
      </w:hyperlink>
      <w:r w:rsidRPr="00F14F0E">
        <w:rPr>
          <w:rStyle w:val="Hyperlink"/>
          <w:color w:val="auto"/>
          <w:u w:val="none"/>
        </w:rPr>
        <w:t>.</w:t>
      </w:r>
    </w:p>
  </w:endnote>
  <w:endnote w:id="5">
    <w:p w14:paraId="7CC38371" w14:textId="2E80BB00" w:rsidR="00D054CC" w:rsidRPr="00F14F0E" w:rsidRDefault="00D054CC" w:rsidP="00C86F67">
      <w:pPr>
        <w:pStyle w:val="Footnote"/>
      </w:pPr>
      <w:r w:rsidRPr="00F14F0E">
        <w:rPr>
          <w:rStyle w:val="EndnoteReference"/>
        </w:rPr>
        <w:endnoteRef/>
      </w:r>
      <w:r w:rsidRPr="00F14F0E">
        <w:t xml:space="preserve"> “List of Scheduled Operators as on 31.10.2018,” Directorate General of Civil Aviation, accessed January 30, 2019, http://dgca.nic.in/operator/sch-ind.htm.</w:t>
      </w:r>
    </w:p>
  </w:endnote>
  <w:endnote w:id="6">
    <w:p w14:paraId="32F10BF9" w14:textId="1B92CCD0" w:rsidR="00D054CC" w:rsidRPr="00F14F0E" w:rsidRDefault="00D054CC" w:rsidP="00E46018">
      <w:pPr>
        <w:pStyle w:val="Footnote"/>
      </w:pPr>
      <w:r w:rsidRPr="00F14F0E">
        <w:rPr>
          <w:rStyle w:val="EndnoteReference"/>
        </w:rPr>
        <w:endnoteRef/>
      </w:r>
      <w:r w:rsidRPr="00F14F0E">
        <w:t xml:space="preserve"> Dan Milmo, “Airlines ‘to Lose $9bn’ as They Fight to Survive Recession,” </w:t>
      </w:r>
      <w:r w:rsidRPr="00F14F0E">
        <w:rPr>
          <w:i/>
        </w:rPr>
        <w:t>Guardian</w:t>
      </w:r>
      <w:r w:rsidRPr="00F14F0E">
        <w:t xml:space="preserve">, </w:t>
      </w:r>
      <w:r>
        <w:t xml:space="preserve">June 8, 2009, </w:t>
      </w:r>
      <w:r w:rsidRPr="00F14F0E">
        <w:t>accessed January 30, 2019, www.theguardian.com/business/2009/jun/08/iata-airline-industry-losses.</w:t>
      </w:r>
    </w:p>
  </w:endnote>
  <w:endnote w:id="7">
    <w:p w14:paraId="608C3A56" w14:textId="69C80AEC" w:rsidR="00D054CC" w:rsidRPr="00F14F0E" w:rsidRDefault="00D054CC" w:rsidP="00625653">
      <w:pPr>
        <w:pStyle w:val="Footnote"/>
      </w:pPr>
      <w:r w:rsidRPr="00F14F0E">
        <w:rPr>
          <w:rStyle w:val="EndnoteReference"/>
        </w:rPr>
        <w:endnoteRef/>
      </w:r>
      <w:r w:rsidRPr="00F14F0E">
        <w:t xml:space="preserve"> </w:t>
      </w:r>
      <w:r w:rsidRPr="00F14F0E">
        <w:rPr>
          <w:i/>
        </w:rPr>
        <w:t>Investor Relations</w:t>
      </w:r>
      <w:r w:rsidRPr="00F14F0E">
        <w:t xml:space="preserve">, </w:t>
      </w:r>
      <w:proofErr w:type="spellStart"/>
      <w:r w:rsidRPr="00F14F0E">
        <w:t>IndiGo</w:t>
      </w:r>
      <w:proofErr w:type="spellEnd"/>
      <w:r w:rsidRPr="00F14F0E">
        <w:t>, accessed January 30, 2019, www.goindigo.in/information/investor-relations.html.</w:t>
      </w:r>
    </w:p>
  </w:endnote>
  <w:endnote w:id="8">
    <w:p w14:paraId="45F110D7" w14:textId="58F4BA8B" w:rsidR="00D054CC" w:rsidRPr="00F14F0E" w:rsidRDefault="00D054CC" w:rsidP="00451D7B">
      <w:pPr>
        <w:pStyle w:val="Footnote"/>
      </w:pPr>
      <w:r w:rsidRPr="00F14F0E">
        <w:rPr>
          <w:rStyle w:val="EndnoteReference"/>
        </w:rPr>
        <w:endnoteRef/>
      </w:r>
      <w:r w:rsidRPr="00F14F0E">
        <w:t xml:space="preserve"> </w:t>
      </w:r>
      <w:proofErr w:type="spellStart"/>
      <w:r w:rsidRPr="00F14F0E">
        <w:t>Pallavi</w:t>
      </w:r>
      <w:proofErr w:type="spellEnd"/>
      <w:r w:rsidRPr="00F14F0E">
        <w:t xml:space="preserve"> </w:t>
      </w:r>
      <w:proofErr w:type="spellStart"/>
      <w:r w:rsidRPr="00F14F0E">
        <w:t>Pengonda</w:t>
      </w:r>
      <w:proofErr w:type="spellEnd"/>
      <w:r w:rsidRPr="00F14F0E">
        <w:t xml:space="preserve">, “Dividend Cheer for Investors from </w:t>
      </w:r>
      <w:proofErr w:type="spellStart"/>
      <w:r w:rsidRPr="00F14F0E">
        <w:t>IndiGo</w:t>
      </w:r>
      <w:proofErr w:type="spellEnd"/>
      <w:r w:rsidRPr="00F14F0E">
        <w:t xml:space="preserve">,” </w:t>
      </w:r>
      <w:proofErr w:type="spellStart"/>
      <w:r w:rsidRPr="00F14F0E">
        <w:t>liveMint</w:t>
      </w:r>
      <w:proofErr w:type="spellEnd"/>
      <w:r w:rsidRPr="00F14F0E">
        <w:t>, May 2, 2016, accessed May 16, 2016, www.livemint.com/Money/VtrWUTfvBuZXyVtTekHDtM/Dividend-cheer-for-investors-from-IndiGo.html; “</w:t>
      </w:r>
      <w:proofErr w:type="spellStart"/>
      <w:r w:rsidRPr="00F14F0E">
        <w:t>InterGlobe</w:t>
      </w:r>
      <w:proofErr w:type="spellEnd"/>
      <w:r w:rsidRPr="00F14F0E">
        <w:t xml:space="preserve"> Aviation </w:t>
      </w:r>
      <w:r>
        <w:t>S</w:t>
      </w:r>
      <w:r w:rsidRPr="00F14F0E">
        <w:t xml:space="preserve">hare Falls on Q4 Results, ATF Price Hike,” </w:t>
      </w:r>
      <w:r w:rsidRPr="00F14F0E">
        <w:rPr>
          <w:i/>
        </w:rPr>
        <w:t>Financial Express</w:t>
      </w:r>
      <w:r w:rsidRPr="00F14F0E">
        <w:t>, May 2, 2016, accessed May 16, 2016, www.financialexpress.com/market/interglobe-aviation-shares-fall-6-on-q4-results-atf-price-hike/246642/.</w:t>
      </w:r>
    </w:p>
  </w:endnote>
  <w:endnote w:id="9">
    <w:p w14:paraId="740438BC" w14:textId="47561D6E" w:rsidR="00D054CC" w:rsidRPr="00F14F0E" w:rsidRDefault="00D054CC" w:rsidP="00FD31C2">
      <w:pPr>
        <w:pStyle w:val="Footnote"/>
      </w:pPr>
      <w:r w:rsidRPr="00F14F0E">
        <w:rPr>
          <w:rStyle w:val="EndnoteReference"/>
        </w:rPr>
        <w:endnoteRef/>
      </w:r>
      <w:r>
        <w:t xml:space="preserve"> </w:t>
      </w:r>
      <w:r w:rsidRPr="00F14F0E">
        <w:t xml:space="preserve">“List of Scheduled Operators as on 31.10.2018,” op. </w:t>
      </w:r>
      <w:proofErr w:type="spellStart"/>
      <w:r w:rsidRPr="00F14F0E">
        <w:t>cit</w:t>
      </w:r>
      <w:proofErr w:type="spellEnd"/>
      <w:r w:rsidRPr="00F14F0E">
        <w:t xml:space="preserve">; P. R. </w:t>
      </w:r>
      <w:proofErr w:type="spellStart"/>
      <w:r w:rsidRPr="00F14F0E">
        <w:t>Sanjai</w:t>
      </w:r>
      <w:proofErr w:type="spellEnd"/>
      <w:r w:rsidRPr="00F14F0E">
        <w:t xml:space="preserve">, “Five Things </w:t>
      </w:r>
      <w:proofErr w:type="spellStart"/>
      <w:r w:rsidRPr="00F14F0E">
        <w:t>Vistara</w:t>
      </w:r>
      <w:proofErr w:type="spellEnd"/>
      <w:r w:rsidRPr="00F14F0E">
        <w:t xml:space="preserve"> </w:t>
      </w:r>
      <w:r>
        <w:t>I</w:t>
      </w:r>
      <w:r w:rsidRPr="00F14F0E">
        <w:t xml:space="preserve">s Doing Differently,” </w:t>
      </w:r>
      <w:proofErr w:type="spellStart"/>
      <w:r w:rsidRPr="00F14F0E">
        <w:t>liveMint</w:t>
      </w:r>
      <w:proofErr w:type="spellEnd"/>
      <w:r w:rsidRPr="00F14F0E">
        <w:t>, December 20, 2014, accessed January 30, 2019, www.livemint.com/Companies/VfpRgHRCIcds7rBC8EgN9M/Five-things-Vistara-is-doing-differently.html.</w:t>
      </w:r>
    </w:p>
  </w:endnote>
  <w:endnote w:id="10">
    <w:p w14:paraId="297F8D58" w14:textId="4DB3CCF7" w:rsidR="00D054CC" w:rsidRPr="00F14F0E" w:rsidRDefault="00D054CC" w:rsidP="008F545C">
      <w:pPr>
        <w:pStyle w:val="Footnote"/>
      </w:pPr>
      <w:r w:rsidRPr="00F14F0E">
        <w:rPr>
          <w:rStyle w:val="EndnoteReference"/>
        </w:rPr>
        <w:endnoteRef/>
      </w:r>
      <w:r w:rsidRPr="00F14F0E">
        <w:t xml:space="preserve"> “Indian Aviation Sector—20 Years of the Open Skies Policy</w:t>
      </w:r>
      <w:proofErr w:type="gramStart"/>
      <w:r w:rsidRPr="00F14F0E">
        <w:t>!</w:t>
      </w:r>
      <w:r>
        <w:t>,</w:t>
      </w:r>
      <w:proofErr w:type="gramEnd"/>
      <w:r w:rsidRPr="00F14F0E">
        <w:t xml:space="preserve">” </w:t>
      </w:r>
      <w:proofErr w:type="spellStart"/>
      <w:r w:rsidRPr="00F14F0E">
        <w:t>Transitionofthoughts</w:t>
      </w:r>
      <w:proofErr w:type="spellEnd"/>
      <w:r w:rsidRPr="00F14F0E">
        <w:t>, February 28, 2010, accessed January 31, 2019, https://transitionofthoughts.com/2010/02/28/indian-aviation-sector-20-years-of-the-open-skies-policy/.</w:t>
      </w:r>
    </w:p>
  </w:endnote>
  <w:endnote w:id="11">
    <w:p w14:paraId="513325E7" w14:textId="749516F6" w:rsidR="00D054CC" w:rsidRPr="00F14F0E" w:rsidRDefault="00D054CC" w:rsidP="00BA207D">
      <w:pPr>
        <w:pStyle w:val="Footnote"/>
      </w:pPr>
      <w:r w:rsidRPr="00F14F0E">
        <w:rPr>
          <w:rStyle w:val="EndnoteReference"/>
        </w:rPr>
        <w:endnoteRef/>
      </w:r>
      <w:r w:rsidRPr="00F14F0E">
        <w:t xml:space="preserve"> The fares offered by Air Deccan were comparable to AC 2-Tier train fares in India; Carol H. Anderson and Julian W. </w:t>
      </w:r>
      <w:proofErr w:type="spellStart"/>
      <w:r w:rsidRPr="00F14F0E">
        <w:t>Vincze</w:t>
      </w:r>
      <w:proofErr w:type="spellEnd"/>
      <w:r w:rsidRPr="00F14F0E">
        <w:t xml:space="preserve">, </w:t>
      </w:r>
      <w:r w:rsidRPr="00F14F0E">
        <w:rPr>
          <w:i/>
        </w:rPr>
        <w:t>Strategic Marketing Management</w:t>
      </w:r>
      <w:r w:rsidRPr="00F14F0E">
        <w:t xml:space="preserve">, 2nd ed. (New Delhi: </w:t>
      </w:r>
      <w:proofErr w:type="spellStart"/>
      <w:r w:rsidRPr="00F14F0E">
        <w:t>Bizantra</w:t>
      </w:r>
      <w:proofErr w:type="spellEnd"/>
      <w:r w:rsidRPr="00F14F0E">
        <w:t>, 2003), 868.</w:t>
      </w:r>
    </w:p>
  </w:endnote>
  <w:endnote w:id="12">
    <w:p w14:paraId="296ADF88" w14:textId="665550E2" w:rsidR="00D054CC" w:rsidRPr="00F14F0E" w:rsidRDefault="00D054CC" w:rsidP="00BA207D">
      <w:pPr>
        <w:pStyle w:val="Footnote"/>
      </w:pPr>
      <w:r w:rsidRPr="00F14F0E">
        <w:rPr>
          <w:rStyle w:val="EndnoteReference"/>
          <w:spacing w:val="-2"/>
        </w:rPr>
        <w:endnoteRef/>
      </w:r>
      <w:r w:rsidRPr="00F14F0E">
        <w:rPr>
          <w:spacing w:val="-2"/>
        </w:rPr>
        <w:t xml:space="preserve"> </w:t>
      </w:r>
      <w:r w:rsidRPr="00F14F0E">
        <w:t xml:space="preserve">“Air India Losses to Come down to </w:t>
      </w:r>
      <w:proofErr w:type="spellStart"/>
      <w:r w:rsidRPr="00F14F0E">
        <w:t>Rs</w:t>
      </w:r>
      <w:proofErr w:type="spellEnd"/>
      <w:r w:rsidRPr="00F14F0E">
        <w:t xml:space="preserve"> 26236 Crore: </w:t>
      </w:r>
      <w:proofErr w:type="spellStart"/>
      <w:r w:rsidRPr="00F14F0E">
        <w:t>Govt</w:t>
      </w:r>
      <w:proofErr w:type="spellEnd"/>
      <w:r w:rsidRPr="00F14F0E">
        <w:t xml:space="preserve"> Tells </w:t>
      </w:r>
      <w:proofErr w:type="spellStart"/>
      <w:r w:rsidRPr="00F14F0E">
        <w:t>Lok</w:t>
      </w:r>
      <w:proofErr w:type="spellEnd"/>
      <w:r w:rsidRPr="00F14F0E">
        <w:t xml:space="preserve"> Sabha,” </w:t>
      </w:r>
      <w:r w:rsidRPr="00F14F0E">
        <w:rPr>
          <w:i/>
        </w:rPr>
        <w:t>Hindustan Times</w:t>
      </w:r>
      <w:r w:rsidRPr="00F14F0E">
        <w:t>, April 29, 2016, accessed May 3, 2016, www.hindustantimes.com/business/air-india-losses-to-come-down-to-rs-2-636-crore-govt-tells-lok-sabha/story-hJs9TPlLRb7V4cwbBtK7wI.html</w:t>
      </w:r>
      <w:r w:rsidRPr="00F14F0E">
        <w:rPr>
          <w:rStyle w:val="Hyperlink"/>
          <w:color w:val="auto"/>
          <w:u w:val="none"/>
        </w:rPr>
        <w:t>.</w:t>
      </w:r>
    </w:p>
  </w:endnote>
  <w:endnote w:id="13">
    <w:p w14:paraId="7F1D36E7" w14:textId="05CB0EEE" w:rsidR="00D054CC" w:rsidRPr="00F14F0E" w:rsidRDefault="00D054CC" w:rsidP="008F545C">
      <w:pPr>
        <w:pStyle w:val="Footnote"/>
        <w:rPr>
          <w:spacing w:val="-4"/>
        </w:rPr>
      </w:pPr>
      <w:r w:rsidRPr="00F14F0E">
        <w:rPr>
          <w:rStyle w:val="EndnoteReference"/>
          <w:spacing w:val="-4"/>
        </w:rPr>
        <w:endnoteRef/>
      </w:r>
      <w:r w:rsidRPr="00F14F0E">
        <w:rPr>
          <w:spacing w:val="-4"/>
        </w:rPr>
        <w:t xml:space="preserve"> </w:t>
      </w:r>
      <w:proofErr w:type="spellStart"/>
      <w:r w:rsidRPr="00F14F0E">
        <w:rPr>
          <w:spacing w:val="-4"/>
        </w:rPr>
        <w:t>Binoy</w:t>
      </w:r>
      <w:proofErr w:type="spellEnd"/>
      <w:r w:rsidRPr="00F14F0E">
        <w:rPr>
          <w:spacing w:val="-4"/>
        </w:rPr>
        <w:t xml:space="preserve"> </w:t>
      </w:r>
      <w:proofErr w:type="spellStart"/>
      <w:r w:rsidRPr="00F14F0E">
        <w:rPr>
          <w:spacing w:val="-4"/>
        </w:rPr>
        <w:t>Prabhakar</w:t>
      </w:r>
      <w:proofErr w:type="spellEnd"/>
      <w:r w:rsidRPr="00F14F0E">
        <w:rPr>
          <w:spacing w:val="-4"/>
        </w:rPr>
        <w:t xml:space="preserve">, “For Airlines, How Frustrating </w:t>
      </w:r>
      <w:r>
        <w:rPr>
          <w:spacing w:val="-4"/>
        </w:rPr>
        <w:t>I</w:t>
      </w:r>
      <w:r w:rsidRPr="00F14F0E">
        <w:rPr>
          <w:spacing w:val="-4"/>
        </w:rPr>
        <w:t xml:space="preserve">s Flying Remote Routes Really,” </w:t>
      </w:r>
      <w:r w:rsidRPr="00F14F0E">
        <w:rPr>
          <w:i/>
          <w:spacing w:val="-4"/>
        </w:rPr>
        <w:t>Economic Times</w:t>
      </w:r>
      <w:r w:rsidRPr="00F14F0E">
        <w:rPr>
          <w:spacing w:val="-4"/>
        </w:rPr>
        <w:t>, March 8, 2016, accessed January 31, 2019, https://economictimes.indiatimes.com/industry/transportation/airlines-/-aviation/for-airlines-how-frustrating-is-flying-remote-routes-really/articleshow/51302260.cms; PTI, “Should We Fly Loss Making Routes, Asks Kingfisher Airlines,” November 13, 2011, accessed January 31, 2019, https://economictimes.indiatimes.com/industry/transportation/airlines-/-aviation/should-we-fly-loss-making-routes-asks-kingfisher-airlines/articleshow/10705884.cms; Benjamin Zhang, “Airline Startups in India Are Having a Tough Time Getting Off the Ground,” August 23, 2014, accessed January 31, 2019, www.businessinsider.in/Airline-Startups-In-India-Are-Having-A-Tough-Time-Getting-Off-The-Ground/articleshow/40719235.cms.</w:t>
      </w:r>
    </w:p>
  </w:endnote>
  <w:endnote w:id="14">
    <w:p w14:paraId="040E3B7A" w14:textId="5A0862DA" w:rsidR="00D054CC" w:rsidRPr="00F14F0E" w:rsidRDefault="00D054CC" w:rsidP="00BA207D">
      <w:pPr>
        <w:pStyle w:val="Footnote"/>
      </w:pPr>
      <w:r w:rsidRPr="00F14F0E">
        <w:rPr>
          <w:rStyle w:val="EndnoteReference"/>
        </w:rPr>
        <w:endnoteRef/>
      </w:r>
      <w:r w:rsidRPr="00F14F0E">
        <w:rPr>
          <w:vertAlign w:val="superscript"/>
        </w:rPr>
        <w:t xml:space="preserve"> </w:t>
      </w:r>
      <w:r w:rsidRPr="00F14F0E">
        <w:t xml:space="preserve">This </w:t>
      </w:r>
      <w:r>
        <w:t xml:space="preserve">single-class configuration </w:t>
      </w:r>
      <w:r w:rsidRPr="00F14F0E">
        <w:t xml:space="preserve">helped </w:t>
      </w:r>
      <w:proofErr w:type="spellStart"/>
      <w:r>
        <w:t>IndiGo</w:t>
      </w:r>
      <w:proofErr w:type="spellEnd"/>
      <w:r w:rsidRPr="00F14F0E">
        <w:t xml:space="preserve"> to achieve low maintenance costs and realize economies of scale.</w:t>
      </w:r>
    </w:p>
  </w:endnote>
  <w:endnote w:id="15">
    <w:p w14:paraId="44CBA162" w14:textId="1AAD7C24" w:rsidR="00D054CC" w:rsidRPr="00F14F0E" w:rsidRDefault="00D054CC" w:rsidP="00BA207D">
      <w:pPr>
        <w:pStyle w:val="Footnote"/>
      </w:pPr>
      <w:r w:rsidRPr="00F14F0E">
        <w:rPr>
          <w:rStyle w:val="EndnoteReference"/>
        </w:rPr>
        <w:endnoteRef/>
      </w:r>
      <w:r w:rsidRPr="00F14F0E">
        <w:rPr>
          <w:vertAlign w:val="superscript"/>
        </w:rPr>
        <w:t xml:space="preserve"> </w:t>
      </w:r>
      <w:proofErr w:type="spellStart"/>
      <w:r w:rsidRPr="00F14F0E">
        <w:t>IndiGo</w:t>
      </w:r>
      <w:proofErr w:type="spellEnd"/>
      <w:r w:rsidRPr="00F14F0E">
        <w:t xml:space="preserve"> added five 180-seat Airbus A320neo aircraft to its usual fleet of Airbus A320-200</w:t>
      </w:r>
      <w:r>
        <w:t xml:space="preserve"> aircraft</w:t>
      </w:r>
      <w:r w:rsidRPr="00F14F0E">
        <w:t>.</w:t>
      </w:r>
    </w:p>
  </w:endnote>
  <w:endnote w:id="16">
    <w:p w14:paraId="648586AE" w14:textId="345C6F33" w:rsidR="00D054CC" w:rsidRPr="00F14F0E" w:rsidRDefault="00D054CC" w:rsidP="00BA207D">
      <w:pPr>
        <w:pStyle w:val="Footnote"/>
      </w:pPr>
      <w:r w:rsidRPr="00F14F0E">
        <w:rPr>
          <w:rStyle w:val="EndnoteReference"/>
        </w:rPr>
        <w:endnoteRef/>
      </w:r>
      <w:r w:rsidRPr="00F14F0E">
        <w:t xml:space="preserve"> “About </w:t>
      </w:r>
      <w:proofErr w:type="spellStart"/>
      <w:r w:rsidRPr="00F14F0E">
        <w:t>IndiGo</w:t>
      </w:r>
      <w:proofErr w:type="spellEnd"/>
      <w:r w:rsidRPr="00F14F0E">
        <w:t xml:space="preserve">,” </w:t>
      </w:r>
      <w:proofErr w:type="spellStart"/>
      <w:r w:rsidRPr="00F14F0E">
        <w:t>IndiGo</w:t>
      </w:r>
      <w:proofErr w:type="spellEnd"/>
      <w:r w:rsidRPr="00F14F0E">
        <w:t>, accessed April 17, 2018, www.goindigo.in/about-us.html</w:t>
      </w:r>
      <w:r w:rsidRPr="00F14F0E">
        <w:rPr>
          <w:rStyle w:val="Hyperlink"/>
          <w:color w:val="auto"/>
          <w:u w:val="none"/>
        </w:rPr>
        <w:t>.</w:t>
      </w:r>
    </w:p>
  </w:endnote>
  <w:endnote w:id="17">
    <w:p w14:paraId="42FB935F" w14:textId="45A2A996" w:rsidR="00D054CC" w:rsidRPr="00F14F0E" w:rsidRDefault="00D054CC" w:rsidP="002A3354">
      <w:pPr>
        <w:pStyle w:val="Footnote"/>
      </w:pPr>
      <w:r w:rsidRPr="00F14F0E">
        <w:rPr>
          <w:rStyle w:val="EndnoteReference"/>
        </w:rPr>
        <w:endnoteRef/>
      </w:r>
      <w:r w:rsidRPr="00F14F0E">
        <w:t xml:space="preserve"> “</w:t>
      </w:r>
      <w:proofErr w:type="spellStart"/>
      <w:r w:rsidRPr="00F14F0E">
        <w:t>IndiGo</w:t>
      </w:r>
      <w:proofErr w:type="spellEnd"/>
      <w:r w:rsidRPr="00F14F0E">
        <w:t>,” YouTube video, 0:52, posted by “Bang,” May 19, 2010, accessed July 27, 2016, www.youtube.com/watch?v=W8oklhX6uQg</w:t>
      </w:r>
      <w:r w:rsidRPr="00F14F0E">
        <w:rPr>
          <w:rStyle w:val="Hyperlink"/>
          <w:color w:val="auto"/>
          <w:u w:val="none"/>
        </w:rPr>
        <w:t>.</w:t>
      </w:r>
    </w:p>
  </w:endnote>
  <w:endnote w:id="18">
    <w:p w14:paraId="5F928230" w14:textId="6DBC9882" w:rsidR="00D054CC" w:rsidRPr="00F14F0E" w:rsidRDefault="00D054CC" w:rsidP="00BA207D">
      <w:pPr>
        <w:pStyle w:val="Footnote"/>
        <w:rPr>
          <w:spacing w:val="-4"/>
        </w:rPr>
      </w:pPr>
      <w:r w:rsidRPr="00F14F0E">
        <w:rPr>
          <w:rStyle w:val="EndnoteReference"/>
          <w:spacing w:val="-4"/>
        </w:rPr>
        <w:endnoteRef/>
      </w:r>
      <w:r w:rsidRPr="00F14F0E">
        <w:rPr>
          <w:spacing w:val="-4"/>
        </w:rPr>
        <w:t xml:space="preserve"> </w:t>
      </w:r>
      <w:proofErr w:type="spellStart"/>
      <w:r w:rsidRPr="00F14F0E">
        <w:rPr>
          <w:spacing w:val="-4"/>
        </w:rPr>
        <w:t>Devash</w:t>
      </w:r>
      <w:proofErr w:type="spellEnd"/>
      <w:r w:rsidRPr="00F14F0E">
        <w:rPr>
          <w:spacing w:val="-4"/>
        </w:rPr>
        <w:t xml:space="preserve"> Agarwal, “Indian Airlines’ 2015 Annual Review – </w:t>
      </w:r>
      <w:proofErr w:type="spellStart"/>
      <w:r w:rsidRPr="00F14F0E">
        <w:rPr>
          <w:spacing w:val="-4"/>
        </w:rPr>
        <w:t>IndiGo</w:t>
      </w:r>
      <w:proofErr w:type="spellEnd"/>
      <w:r w:rsidRPr="00F14F0E">
        <w:rPr>
          <w:spacing w:val="-4"/>
        </w:rPr>
        <w:t xml:space="preserve">, </w:t>
      </w:r>
      <w:proofErr w:type="spellStart"/>
      <w:r w:rsidRPr="00F14F0E">
        <w:rPr>
          <w:spacing w:val="-4"/>
        </w:rPr>
        <w:t>Vistara</w:t>
      </w:r>
      <w:proofErr w:type="spellEnd"/>
      <w:r w:rsidRPr="00F14F0E">
        <w:rPr>
          <w:spacing w:val="-4"/>
        </w:rPr>
        <w:t xml:space="preserve">, and </w:t>
      </w:r>
      <w:proofErr w:type="spellStart"/>
      <w:r w:rsidRPr="00F14F0E">
        <w:rPr>
          <w:spacing w:val="-4"/>
        </w:rPr>
        <w:t>SpiceJet</w:t>
      </w:r>
      <w:proofErr w:type="spellEnd"/>
      <w:r w:rsidRPr="00F14F0E">
        <w:rPr>
          <w:spacing w:val="-4"/>
        </w:rPr>
        <w:t xml:space="preserve"> the Leaders,” Bangalore Aviation, February 4, 2016, accessed May 3, 2016, </w:t>
      </w:r>
      <w:hyperlink r:id="rId2" w:history="1">
        <w:r w:rsidRPr="00F14F0E">
          <w:rPr>
            <w:spacing w:val="-4"/>
          </w:rPr>
          <w:t>www.bangaloreaviation.com/2016/02/2015-annual-review-the-best-airlines-in-india.html</w:t>
        </w:r>
      </w:hyperlink>
      <w:r w:rsidRPr="00F14F0E">
        <w:rPr>
          <w:rStyle w:val="Hyperlink"/>
          <w:color w:val="auto"/>
          <w:spacing w:val="-4"/>
          <w:u w:val="none"/>
        </w:rPr>
        <w:t>.</w:t>
      </w:r>
    </w:p>
  </w:endnote>
  <w:endnote w:id="19">
    <w:p w14:paraId="72A82A12" w14:textId="06B5259A" w:rsidR="00D054CC" w:rsidRPr="00B132FD" w:rsidRDefault="00D054CC" w:rsidP="00B132FD">
      <w:pPr>
        <w:pStyle w:val="Footnote"/>
      </w:pPr>
      <w:r>
        <w:rPr>
          <w:rStyle w:val="EndnoteReference"/>
        </w:rPr>
        <w:endnoteRef/>
      </w:r>
      <w:r>
        <w:t xml:space="preserve"> </w:t>
      </w:r>
      <w:proofErr w:type="spellStart"/>
      <w:r>
        <w:t>Subhro</w:t>
      </w:r>
      <w:proofErr w:type="spellEnd"/>
      <w:r>
        <w:t xml:space="preserve"> </w:t>
      </w:r>
      <w:proofErr w:type="spellStart"/>
      <w:r>
        <w:t>Niyogi</w:t>
      </w:r>
      <w:proofErr w:type="spellEnd"/>
      <w:r>
        <w:t>, “</w:t>
      </w:r>
      <w:proofErr w:type="spellStart"/>
      <w:r>
        <w:t>IndiGo</w:t>
      </w:r>
      <w:proofErr w:type="spellEnd"/>
      <w:r>
        <w:t xml:space="preserve"> Named CAPA Low Cost Carrier of the Year at World Aviation Summit,” </w:t>
      </w:r>
      <w:r w:rsidRPr="00B132FD">
        <w:rPr>
          <w:i/>
        </w:rPr>
        <w:t>Times of India</w:t>
      </w:r>
      <w:r>
        <w:rPr>
          <w:i/>
        </w:rPr>
        <w:t xml:space="preserve">, </w:t>
      </w:r>
      <w:r w:rsidRPr="00B132FD">
        <w:t xml:space="preserve">October 8, 2015, </w:t>
      </w:r>
      <w:r>
        <w:t>accessed April 18, 2019</w:t>
      </w:r>
      <w:r w:rsidRPr="00B132FD">
        <w:t xml:space="preserve">, </w:t>
      </w:r>
      <w:hyperlink r:id="rId3" w:history="1">
        <w:r w:rsidRPr="00B132FD">
          <w:t>https://timesofindia.indiatimes.com/business/india-business/IndiGo-named-CAPA-low-cost-carrier-of-the-year-at-World-Aviation-Summit/articleshow/49272661.cms</w:t>
        </w:r>
      </w:hyperlink>
      <w:r>
        <w:t>.</w:t>
      </w:r>
    </w:p>
  </w:endnote>
  <w:endnote w:id="20">
    <w:p w14:paraId="731A469B" w14:textId="11C3910F" w:rsidR="00D054CC" w:rsidRPr="00F14F0E" w:rsidRDefault="00D054CC" w:rsidP="008B5406">
      <w:pPr>
        <w:pStyle w:val="Footnote"/>
        <w:rPr>
          <w:spacing w:val="-2"/>
        </w:rPr>
      </w:pPr>
      <w:r w:rsidRPr="00F14F0E">
        <w:rPr>
          <w:rStyle w:val="EndnoteReference"/>
          <w:spacing w:val="-2"/>
        </w:rPr>
        <w:endnoteRef/>
      </w:r>
      <w:r w:rsidRPr="00F14F0E">
        <w:rPr>
          <w:spacing w:val="-2"/>
          <w:vertAlign w:val="superscript"/>
        </w:rPr>
        <w:t xml:space="preserve"> </w:t>
      </w:r>
      <w:r>
        <w:rPr>
          <w:spacing w:val="-2"/>
        </w:rPr>
        <w:t>M</w:t>
      </w:r>
      <w:r w:rsidRPr="00F14F0E">
        <w:rPr>
          <w:spacing w:val="-2"/>
        </w:rPr>
        <w:t>any ticketing aggregators</w:t>
      </w:r>
      <w:r>
        <w:rPr>
          <w:spacing w:val="-2"/>
        </w:rPr>
        <w:t>,</w:t>
      </w:r>
      <w:r w:rsidRPr="00F14F0E">
        <w:rPr>
          <w:spacing w:val="-2"/>
        </w:rPr>
        <w:t xml:space="preserve"> </w:t>
      </w:r>
      <w:r>
        <w:rPr>
          <w:spacing w:val="-2"/>
        </w:rPr>
        <w:t>such as</w:t>
      </w:r>
      <w:r w:rsidRPr="00F14F0E">
        <w:rPr>
          <w:spacing w:val="-2"/>
        </w:rPr>
        <w:t xml:space="preserve"> cleartrip.com, yatra.com, and goibibo.com</w:t>
      </w:r>
      <w:r>
        <w:rPr>
          <w:spacing w:val="-2"/>
        </w:rPr>
        <w:t>,</w:t>
      </w:r>
      <w:r w:rsidRPr="00F14F0E">
        <w:rPr>
          <w:spacing w:val="-2"/>
        </w:rPr>
        <w:t xml:space="preserve"> provided comparative pricing offered by all airways as a specific journey. It was easy for the customer to find out the cheapest airfare on any route from these web portals. Many times the customers would find that the price offered in these web portals were much lower when they actually tried to book either through these portals or the airline’s portal. In all these portals, for most sectors, </w:t>
      </w:r>
      <w:proofErr w:type="spellStart"/>
      <w:r w:rsidRPr="00F14F0E">
        <w:rPr>
          <w:spacing w:val="-2"/>
        </w:rPr>
        <w:t>IndiGo</w:t>
      </w:r>
      <w:proofErr w:type="spellEnd"/>
      <w:r w:rsidRPr="00F14F0E">
        <w:rPr>
          <w:spacing w:val="-2"/>
        </w:rPr>
        <w:t xml:space="preserve"> figured at the top of the list due to its lowest-pricing strategy. For example, to see the prices of a 10-week advance ticket for Bhubaneswar–Bangalore–Bhubaneswar, see www.cleartrip.com/flights/results?from=BBI&amp;to=BLR&amp;depart_date=06/10/2016&amp;return_date=19/10/2016</w:t>
      </w:r>
    </w:p>
    <w:p w14:paraId="21649408" w14:textId="521396AD" w:rsidR="00D054CC" w:rsidRPr="00F14F0E" w:rsidRDefault="00D054CC" w:rsidP="008B5406">
      <w:pPr>
        <w:pStyle w:val="Footnote"/>
        <w:rPr>
          <w:spacing w:val="-2"/>
        </w:rPr>
      </w:pPr>
      <w:r w:rsidRPr="00F14F0E">
        <w:rPr>
          <w:spacing w:val="-2"/>
        </w:rPr>
        <w:t>&amp;adults=1&amp;childs=0&amp;infants=0&amp;class=Economy&amp;airline=&amp;carrier=&amp;intl=n&amp;</w:t>
      </w:r>
      <w:proofErr w:type="gramStart"/>
      <w:r w:rsidRPr="00F14F0E">
        <w:rPr>
          <w:spacing w:val="-2"/>
        </w:rPr>
        <w:t>sd=</w:t>
      </w:r>
      <w:proofErr w:type="gramEnd"/>
      <w:r w:rsidRPr="00F14F0E">
        <w:rPr>
          <w:spacing w:val="-2"/>
        </w:rPr>
        <w:t xml:space="preserve">1469693604671&amp;page=loaded, as accessed July 27, 2016. When tried for all the sectors in India, </w:t>
      </w:r>
      <w:proofErr w:type="spellStart"/>
      <w:r w:rsidRPr="00F14F0E">
        <w:rPr>
          <w:spacing w:val="-2"/>
        </w:rPr>
        <w:t>IndiGo</w:t>
      </w:r>
      <w:proofErr w:type="spellEnd"/>
      <w:r w:rsidRPr="00F14F0E">
        <w:rPr>
          <w:spacing w:val="-2"/>
        </w:rPr>
        <w:t xml:space="preserve"> figured at the top 97 per cent of the time. In a few cases, </w:t>
      </w:r>
      <w:proofErr w:type="spellStart"/>
      <w:r w:rsidRPr="00F14F0E">
        <w:rPr>
          <w:spacing w:val="-2"/>
        </w:rPr>
        <w:t>GoAir</w:t>
      </w:r>
      <w:proofErr w:type="spellEnd"/>
      <w:r w:rsidRPr="00F14F0E">
        <w:rPr>
          <w:spacing w:val="-2"/>
        </w:rPr>
        <w:t xml:space="preserve"> figured at the top with a price ₹1 or ₹2 less than </w:t>
      </w:r>
      <w:proofErr w:type="spellStart"/>
      <w:r w:rsidRPr="00F14F0E">
        <w:rPr>
          <w:spacing w:val="-2"/>
        </w:rPr>
        <w:t>IndiGo’s</w:t>
      </w:r>
      <w:proofErr w:type="spellEnd"/>
      <w:r w:rsidRPr="00F14F0E">
        <w:rPr>
          <w:spacing w:val="-2"/>
        </w:rPr>
        <w:t xml:space="preserve"> price.</w:t>
      </w:r>
    </w:p>
  </w:endnote>
  <w:endnote w:id="21">
    <w:p w14:paraId="65123D10" w14:textId="1F36076D" w:rsidR="00D054CC" w:rsidRPr="00F14F0E" w:rsidRDefault="00D054CC" w:rsidP="00BA207D">
      <w:pPr>
        <w:pStyle w:val="Footnote"/>
        <w:rPr>
          <w:spacing w:val="-4"/>
        </w:rPr>
      </w:pPr>
      <w:r w:rsidRPr="00F14F0E">
        <w:rPr>
          <w:rStyle w:val="EndnoteReference"/>
          <w:spacing w:val="-4"/>
        </w:rPr>
        <w:endnoteRef/>
      </w:r>
      <w:r w:rsidRPr="00F14F0E">
        <w:rPr>
          <w:spacing w:val="-4"/>
        </w:rPr>
        <w:t xml:space="preserve"> Sunny Sen, “With </w:t>
      </w:r>
      <w:proofErr w:type="spellStart"/>
      <w:r w:rsidRPr="00F14F0E">
        <w:rPr>
          <w:spacing w:val="-4"/>
        </w:rPr>
        <w:t>Avg</w:t>
      </w:r>
      <w:proofErr w:type="spellEnd"/>
      <w:r w:rsidRPr="00F14F0E">
        <w:rPr>
          <w:spacing w:val="-4"/>
        </w:rPr>
        <w:t xml:space="preserve"> Fleet Age of 4 Years, </w:t>
      </w:r>
      <w:proofErr w:type="spellStart"/>
      <w:r w:rsidRPr="00F14F0E">
        <w:rPr>
          <w:spacing w:val="-4"/>
        </w:rPr>
        <w:t>IndiGo</w:t>
      </w:r>
      <w:proofErr w:type="spellEnd"/>
      <w:r w:rsidRPr="00F14F0E">
        <w:rPr>
          <w:spacing w:val="-4"/>
        </w:rPr>
        <w:t xml:space="preserve"> ‘Will Have 330 Aircraft at its Peak,’” </w:t>
      </w:r>
      <w:r w:rsidRPr="00F14F0E">
        <w:rPr>
          <w:i/>
          <w:spacing w:val="-4"/>
        </w:rPr>
        <w:t>Financial Express</w:t>
      </w:r>
      <w:r w:rsidRPr="00F14F0E">
        <w:rPr>
          <w:spacing w:val="-4"/>
        </w:rPr>
        <w:t>, accessed July 27, 2016, www.financialexpress.com/industry/companies/with-avg-fleet-age-of-4-years-indigo-will-have-330-aircraft-at-its-peak/164556/</w:t>
      </w:r>
      <w:r w:rsidRPr="00F14F0E">
        <w:rPr>
          <w:rStyle w:val="Hyperlink"/>
          <w:color w:val="auto"/>
          <w:spacing w:val="-4"/>
          <w:u w:val="none"/>
        </w:rPr>
        <w:t>.</w:t>
      </w:r>
    </w:p>
  </w:endnote>
  <w:endnote w:id="22">
    <w:p w14:paraId="5217CF59" w14:textId="16A0B582" w:rsidR="00D054CC" w:rsidRPr="00F14F0E" w:rsidRDefault="00D054CC" w:rsidP="007D6062">
      <w:pPr>
        <w:pStyle w:val="Footnote"/>
      </w:pPr>
      <w:r w:rsidRPr="00F14F0E">
        <w:rPr>
          <w:rStyle w:val="EndnoteReference"/>
        </w:rPr>
        <w:endnoteRef/>
      </w:r>
      <w:r w:rsidRPr="00F14F0E">
        <w:t xml:space="preserve"> “</w:t>
      </w:r>
      <w:proofErr w:type="spellStart"/>
      <w:r w:rsidRPr="00F14F0E">
        <w:t>IndiGo</w:t>
      </w:r>
      <w:proofErr w:type="spellEnd"/>
      <w:r w:rsidRPr="00F14F0E">
        <w:t xml:space="preserve"> Takes Delivery of </w:t>
      </w:r>
      <w:r>
        <w:t>I</w:t>
      </w:r>
      <w:r w:rsidRPr="00F14F0E">
        <w:t>ts First Brand New Airbus A320 Aircraft,” Aviation India, July 29, 2006, accessed January 31, 2019, www.aviationindia.net/2006/07/indigo-takes-delivery-of-its-first.html</w:t>
      </w:r>
      <w:r w:rsidRPr="00F14F0E">
        <w:rPr>
          <w:rStyle w:val="Hyperlink"/>
          <w:color w:val="auto"/>
          <w:u w:val="none"/>
        </w:rPr>
        <w:t xml:space="preserve">; </w:t>
      </w:r>
      <w:proofErr w:type="spellStart"/>
      <w:r w:rsidRPr="00F14F0E">
        <w:rPr>
          <w:rStyle w:val="Hyperlink"/>
          <w:color w:val="auto"/>
          <w:u w:val="none"/>
        </w:rPr>
        <w:t>Mihir</w:t>
      </w:r>
      <w:proofErr w:type="spellEnd"/>
      <w:r w:rsidRPr="00F14F0E">
        <w:rPr>
          <w:rStyle w:val="Hyperlink"/>
          <w:color w:val="auto"/>
          <w:u w:val="none"/>
        </w:rPr>
        <w:t xml:space="preserve"> Mishra, “A Tale of Two Airlines: Kingfisher Vs. </w:t>
      </w:r>
      <w:proofErr w:type="spellStart"/>
      <w:r w:rsidRPr="00F14F0E">
        <w:rPr>
          <w:rStyle w:val="Hyperlink"/>
          <w:color w:val="auto"/>
          <w:u w:val="none"/>
        </w:rPr>
        <w:t>IndiGo</w:t>
      </w:r>
      <w:proofErr w:type="spellEnd"/>
      <w:r w:rsidRPr="00F14F0E">
        <w:rPr>
          <w:rStyle w:val="Hyperlink"/>
          <w:color w:val="auto"/>
          <w:u w:val="none"/>
        </w:rPr>
        <w:t xml:space="preserve">,” February 11, 2013, accessed January 31, 2019, </w:t>
      </w:r>
      <w:r w:rsidRPr="00F14F0E">
        <w:t>www.business-standard.com/article/companies/a-tale-of-two-airlines-kingfisher-vs-indigo-112022100014_1.html.</w:t>
      </w:r>
    </w:p>
  </w:endnote>
  <w:endnote w:id="23">
    <w:p w14:paraId="0D2D2940" w14:textId="5AE18475" w:rsidR="00D054CC" w:rsidRPr="00F14F0E" w:rsidRDefault="00D054CC" w:rsidP="00BA207D">
      <w:pPr>
        <w:pStyle w:val="Footnote"/>
      </w:pPr>
      <w:r w:rsidRPr="00F14F0E">
        <w:rPr>
          <w:rStyle w:val="EndnoteReference"/>
        </w:rPr>
        <w:endnoteRef/>
      </w:r>
      <w:r w:rsidRPr="00F14F0E">
        <w:t xml:space="preserve"> This automat</w:t>
      </w:r>
      <w:r>
        <w:t>ed system</w:t>
      </w:r>
      <w:r w:rsidRPr="00F14F0E">
        <w:t xml:space="preserve"> added credibility to </w:t>
      </w:r>
      <w:proofErr w:type="spellStart"/>
      <w:r w:rsidRPr="00F14F0E">
        <w:t>IndiGo’s</w:t>
      </w:r>
      <w:proofErr w:type="spellEnd"/>
      <w:r w:rsidRPr="00F14F0E">
        <w:t xml:space="preserve"> claim of punctuality, as</w:t>
      </w:r>
      <w:r w:rsidRPr="00B62805">
        <w:t xml:space="preserve"> </w:t>
      </w:r>
      <w:r>
        <w:t>it was impossible to manipulate</w:t>
      </w:r>
      <w:r w:rsidRPr="00F14F0E">
        <w:t xml:space="preserve"> the timings related to arrival and departure.</w:t>
      </w:r>
    </w:p>
  </w:endnote>
  <w:endnote w:id="24">
    <w:p w14:paraId="1894386C" w14:textId="0E0ACD08" w:rsidR="00D054CC" w:rsidRPr="00F14F0E" w:rsidRDefault="00D054CC" w:rsidP="00BA207D">
      <w:pPr>
        <w:pStyle w:val="Footnote"/>
      </w:pPr>
      <w:r w:rsidRPr="00F14F0E">
        <w:rPr>
          <w:rStyle w:val="EndnoteReference"/>
        </w:rPr>
        <w:endnoteRef/>
      </w:r>
      <w:r w:rsidRPr="00F14F0E">
        <w:t xml:space="preserve"> Most of the domestic routes in India could be covered in less than two hours.</w:t>
      </w:r>
    </w:p>
  </w:endnote>
  <w:endnote w:id="25">
    <w:p w14:paraId="2E99E463" w14:textId="18A35479" w:rsidR="00D054CC" w:rsidRPr="00F14F0E" w:rsidRDefault="00D054CC" w:rsidP="008B3304">
      <w:pPr>
        <w:pStyle w:val="Footnote"/>
      </w:pPr>
      <w:r w:rsidRPr="00F14F0E">
        <w:rPr>
          <w:rStyle w:val="EndnoteReference"/>
        </w:rPr>
        <w:endnoteRef/>
      </w:r>
      <w:r w:rsidRPr="00F14F0E">
        <w:t xml:space="preserve"> Mishra, op. cit.</w:t>
      </w:r>
    </w:p>
  </w:endnote>
  <w:endnote w:id="26">
    <w:p w14:paraId="0945353E" w14:textId="4D145FE8" w:rsidR="00D054CC" w:rsidRPr="00F14F0E" w:rsidRDefault="00D054CC" w:rsidP="00BA207D">
      <w:pPr>
        <w:pStyle w:val="Footnote"/>
      </w:pPr>
      <w:r w:rsidRPr="00F14F0E">
        <w:rPr>
          <w:rStyle w:val="EndnoteReference"/>
        </w:rPr>
        <w:endnoteRef/>
      </w:r>
      <w:r w:rsidRPr="00F14F0E">
        <w:t xml:space="preserve"> The other broad category of dynamic pricing was the price discovery mechanism, in which customers determined prices through their own actions during the transaction. The airlines in India did not use this mechanism.</w:t>
      </w:r>
    </w:p>
  </w:endnote>
  <w:endnote w:id="27">
    <w:p w14:paraId="233DD1C2" w14:textId="65C7FF5B" w:rsidR="00D054CC" w:rsidRPr="00F14F0E" w:rsidRDefault="00D054CC" w:rsidP="00BA207D">
      <w:pPr>
        <w:pStyle w:val="Footnote"/>
      </w:pPr>
      <w:r w:rsidRPr="00F14F0E">
        <w:rPr>
          <w:rStyle w:val="EndnoteReference"/>
        </w:rPr>
        <w:endnoteRef/>
      </w:r>
      <w:r w:rsidRPr="00F14F0E">
        <w:t xml:space="preserve"> Peter </w:t>
      </w:r>
      <w:proofErr w:type="spellStart"/>
      <w:r w:rsidRPr="00F14F0E">
        <w:t>McCafee</w:t>
      </w:r>
      <w:proofErr w:type="spellEnd"/>
      <w:r w:rsidRPr="00F14F0E">
        <w:t xml:space="preserve"> and Vera </w:t>
      </w:r>
      <w:proofErr w:type="spellStart"/>
      <w:proofErr w:type="gramStart"/>
      <w:r w:rsidRPr="00F14F0E">
        <w:t>te</w:t>
      </w:r>
      <w:proofErr w:type="spellEnd"/>
      <w:proofErr w:type="gramEnd"/>
      <w:r w:rsidRPr="00F14F0E">
        <w:t xml:space="preserve"> </w:t>
      </w:r>
      <w:proofErr w:type="spellStart"/>
      <w:r w:rsidRPr="00F14F0E">
        <w:t>Velde</w:t>
      </w:r>
      <w:proofErr w:type="spellEnd"/>
      <w:r w:rsidRPr="00F14F0E">
        <w:t xml:space="preserve">, </w:t>
      </w:r>
      <w:r w:rsidRPr="00F14F0E">
        <w:rPr>
          <w:i/>
        </w:rPr>
        <w:t>Dynamic Pricing in the Airline Industry</w:t>
      </w:r>
      <w:r w:rsidRPr="00F14F0E">
        <w:t xml:space="preserve">, California Institute of Technology, accessed April 4, 2016, </w:t>
      </w:r>
      <w:r w:rsidRPr="00EF4F21">
        <w:t>http://mcafee.cc/Papers/PDF/DynamicPriceDiscrimination.pdf</w:t>
      </w:r>
      <w:r w:rsidRPr="00F14F0E">
        <w:rPr>
          <w:rStyle w:val="Hyperlink"/>
          <w:color w:val="auto"/>
          <w:u w:val="none"/>
        </w:rPr>
        <w:t>.</w:t>
      </w:r>
    </w:p>
  </w:endnote>
  <w:endnote w:id="28">
    <w:p w14:paraId="0D6DC8DF" w14:textId="072429BC" w:rsidR="00D054CC" w:rsidRPr="00F14F0E" w:rsidRDefault="00D054CC" w:rsidP="008B3304">
      <w:pPr>
        <w:pStyle w:val="Footnote"/>
      </w:pPr>
      <w:r w:rsidRPr="00F14F0E">
        <w:rPr>
          <w:rStyle w:val="EndnoteReference"/>
        </w:rPr>
        <w:endnoteRef/>
      </w:r>
      <w:r w:rsidRPr="00F14F0E">
        <w:t xml:space="preserve"> Ibid.</w:t>
      </w:r>
    </w:p>
  </w:endnote>
  <w:endnote w:id="29">
    <w:p w14:paraId="421BE354" w14:textId="3673878C" w:rsidR="00D054CC" w:rsidRPr="00F14F0E" w:rsidRDefault="00D054CC" w:rsidP="00BA207D">
      <w:pPr>
        <w:pStyle w:val="Footnote"/>
      </w:pPr>
      <w:r w:rsidRPr="00F14F0E">
        <w:rPr>
          <w:rStyle w:val="EndnoteReference"/>
        </w:rPr>
        <w:endnoteRef/>
      </w:r>
      <w:r w:rsidRPr="00F14F0E">
        <w:t xml:space="preserve"> Specifically, in reverse auctions</w:t>
      </w:r>
      <w:r>
        <w:t>,</w:t>
      </w:r>
      <w:r w:rsidRPr="00F14F0E">
        <w:t xml:space="preserve"> where the final price had little relation to cost</w:t>
      </w:r>
      <w:r>
        <w:t>,</w:t>
      </w:r>
      <w:r w:rsidRPr="00F14F0E">
        <w:t xml:space="preserve"> and the product could be viewed and evaluated at a distance, DP methods could be used to determine a price range. </w:t>
      </w:r>
      <w:r>
        <w:t xml:space="preserve">The DP method was also useful when </w:t>
      </w:r>
      <w:r w:rsidRPr="00F14F0E">
        <w:t xml:space="preserve">money </w:t>
      </w:r>
      <w:r>
        <w:t>needed</w:t>
      </w:r>
      <w:r w:rsidRPr="00F14F0E">
        <w:t xml:space="preserve"> to be recovered quickly for improved cash flow. In implementing DP to its </w:t>
      </w:r>
      <w:r>
        <w:t xml:space="preserve">full </w:t>
      </w:r>
      <w:r w:rsidRPr="00F14F0E">
        <w:t xml:space="preserve">advantage, it was important that the customers accepted the practice and not view it as iniquitous. DP could not be perceived to be inequitable, as that </w:t>
      </w:r>
      <w:r>
        <w:t xml:space="preserve">perception </w:t>
      </w:r>
      <w:r w:rsidRPr="00F14F0E">
        <w:t>could be deadly for the company in the age of communication.</w:t>
      </w:r>
    </w:p>
  </w:endnote>
  <w:endnote w:id="30">
    <w:p w14:paraId="70AF5B9D" w14:textId="4074C5C2" w:rsidR="00D054CC" w:rsidRPr="00F14F0E" w:rsidRDefault="00D054CC" w:rsidP="00925640">
      <w:pPr>
        <w:pStyle w:val="Footnote"/>
      </w:pPr>
      <w:r w:rsidRPr="00F14F0E">
        <w:rPr>
          <w:rStyle w:val="EndnoteReference"/>
        </w:rPr>
        <w:endnoteRef/>
      </w:r>
      <w:r w:rsidRPr="00F14F0E">
        <w:t xml:space="preserve"> </w:t>
      </w:r>
      <w:proofErr w:type="spellStart"/>
      <w:r w:rsidRPr="00F14F0E">
        <w:t>McCafee</w:t>
      </w:r>
      <w:proofErr w:type="spellEnd"/>
      <w:r w:rsidRPr="00F14F0E">
        <w:t xml:space="preserve"> and </w:t>
      </w:r>
      <w:proofErr w:type="spellStart"/>
      <w:proofErr w:type="gramStart"/>
      <w:r w:rsidRPr="00F14F0E">
        <w:t>te</w:t>
      </w:r>
      <w:proofErr w:type="spellEnd"/>
      <w:proofErr w:type="gramEnd"/>
      <w:r w:rsidRPr="00F14F0E">
        <w:t xml:space="preserve"> </w:t>
      </w:r>
      <w:proofErr w:type="spellStart"/>
      <w:r w:rsidRPr="00F14F0E">
        <w:t>Velde</w:t>
      </w:r>
      <w:proofErr w:type="spellEnd"/>
      <w:r w:rsidRPr="00F14F0E">
        <w:t>, op. cit.</w:t>
      </w:r>
    </w:p>
  </w:endnote>
  <w:endnote w:id="31">
    <w:p w14:paraId="42ECD8BE" w14:textId="335AE988" w:rsidR="00D054CC" w:rsidRPr="00F14F0E" w:rsidRDefault="00D054CC" w:rsidP="00BA207D">
      <w:pPr>
        <w:pStyle w:val="Footnote"/>
      </w:pPr>
      <w:r w:rsidRPr="00F14F0E">
        <w:rPr>
          <w:rStyle w:val="EndnoteReference"/>
        </w:rPr>
        <w:endnoteRef/>
      </w:r>
      <w:r w:rsidRPr="00F14F0E">
        <w:t xml:space="preserve"> Ibid.</w:t>
      </w:r>
    </w:p>
  </w:endnote>
  <w:endnote w:id="32">
    <w:p w14:paraId="6AB817F1" w14:textId="41BDE664" w:rsidR="00D054CC" w:rsidRPr="00F14F0E" w:rsidRDefault="00D054CC" w:rsidP="00B52B8A">
      <w:pPr>
        <w:pStyle w:val="Footnote"/>
      </w:pPr>
      <w:r w:rsidRPr="00F14F0E">
        <w:rPr>
          <w:rStyle w:val="EndnoteReference"/>
        </w:rPr>
        <w:endnoteRef/>
      </w:r>
      <w:r w:rsidRPr="00F14F0E">
        <w:t xml:space="preserve"> “Pricing Advice and Revenue Management,” </w:t>
      </w:r>
      <w:proofErr w:type="spellStart"/>
      <w:r w:rsidRPr="00F14F0E">
        <w:t>IndiGo</w:t>
      </w:r>
      <w:proofErr w:type="spellEnd"/>
      <w:r w:rsidRPr="00F14F0E">
        <w:t xml:space="preserve">, accessed January 31, 2019, www.group-indigo.com/en/expertise/pricing-advice-and-revenue-management/; Rahul Gupta and L. Ganesh, “Dynamic Pricing in Airline Industry,” </w:t>
      </w:r>
      <w:r w:rsidRPr="00F14F0E">
        <w:rPr>
          <w:i/>
        </w:rPr>
        <w:t>Asian Journal of Research in Business Economic and Management</w:t>
      </w:r>
      <w:r w:rsidRPr="00F14F0E">
        <w:t xml:space="preserve"> 7, no. 1 (2017): 15–29.</w:t>
      </w:r>
    </w:p>
  </w:endnote>
  <w:endnote w:id="33">
    <w:p w14:paraId="034DD792" w14:textId="77777777" w:rsidR="00D054CC" w:rsidRPr="00F14F0E" w:rsidRDefault="00D054CC" w:rsidP="006F6313">
      <w:pPr>
        <w:pStyle w:val="Footnote"/>
      </w:pPr>
      <w:r w:rsidRPr="00F14F0E">
        <w:rPr>
          <w:rStyle w:val="EndnoteReference"/>
        </w:rPr>
        <w:endnoteRef/>
      </w:r>
      <w:r w:rsidRPr="00F14F0E">
        <w:t xml:space="preserve"> Ibid.</w:t>
      </w:r>
    </w:p>
  </w:endnote>
  <w:endnote w:id="34">
    <w:p w14:paraId="551F93C2" w14:textId="79183528" w:rsidR="00D054CC" w:rsidRDefault="00D054CC" w:rsidP="009E02A9">
      <w:pPr>
        <w:pStyle w:val="Footnote"/>
      </w:pPr>
      <w:r>
        <w:rPr>
          <w:rStyle w:val="EndnoteReference"/>
        </w:rPr>
        <w:endnoteRef/>
      </w:r>
      <w:r>
        <w:t xml:space="preserve"> </w:t>
      </w:r>
      <w:r w:rsidRPr="00D054CC">
        <w:t>Ibid.</w:t>
      </w:r>
    </w:p>
  </w:endnote>
  <w:endnote w:id="35">
    <w:p w14:paraId="646781C6" w14:textId="3E705D4B" w:rsidR="00D054CC" w:rsidRPr="00D054CC" w:rsidRDefault="00D054CC" w:rsidP="009E02A9">
      <w:pPr>
        <w:pStyle w:val="Footnote"/>
      </w:pPr>
      <w:r>
        <w:rPr>
          <w:rStyle w:val="EndnoteReference"/>
        </w:rPr>
        <w:endnoteRef/>
      </w:r>
      <w:r>
        <w:t xml:space="preserve"> “Domestic Airline Industry Follows Global Practice of Dynamic Pricing,” Business Standard, January 5, 2018, accessed April </w:t>
      </w:r>
      <w:r w:rsidRPr="00D054CC">
        <w:t>22, 2019, www.business-standard.com/article/news-ians/domestic-airline-industry-follows-global-practice-of-dynamic-pricing-118010500717_1.html.</w:t>
      </w:r>
    </w:p>
  </w:endnote>
  <w:endnote w:id="36">
    <w:p w14:paraId="2CE6B9A5" w14:textId="6FF41F83" w:rsidR="00D054CC" w:rsidRPr="00F14F0E" w:rsidRDefault="00D054CC" w:rsidP="00BA207D">
      <w:pPr>
        <w:pStyle w:val="Footnote"/>
      </w:pPr>
      <w:r w:rsidRPr="00D054CC">
        <w:rPr>
          <w:rStyle w:val="EndnoteReference"/>
        </w:rPr>
        <w:endnoteRef/>
      </w:r>
      <w:r w:rsidRPr="00D054CC">
        <w:rPr>
          <w:vertAlign w:val="superscript"/>
        </w:rPr>
        <w:t xml:space="preserve"> </w:t>
      </w:r>
      <w:r w:rsidRPr="00D054CC">
        <w:t>Brian Beers, “Which Major Expenses Affect Airline Companies</w:t>
      </w:r>
      <w:proofErr w:type="gramStart"/>
      <w:r w:rsidRPr="00D054CC">
        <w:t>?,</w:t>
      </w:r>
      <w:proofErr w:type="gramEnd"/>
      <w:r w:rsidRPr="00D054CC">
        <w:t xml:space="preserve">” Investopedia, April 30, 2018, accessed June 17, 2017, </w:t>
      </w:r>
      <w:hyperlink r:id="rId4" w:history="1">
        <w:r w:rsidRPr="00F14F0E">
          <w:t>www.investopedia.com/ask/answers/040715/what-are-major-expenses-affect-companies-airline-industry.asp</w:t>
        </w:r>
      </w:hyperlink>
      <w:r w:rsidRPr="00F14F0E">
        <w:rPr>
          <w:rStyle w:val="Hyperlink"/>
          <w:color w:val="auto"/>
          <w:u w:val="none"/>
        </w:rPr>
        <w:t>.</w:t>
      </w:r>
    </w:p>
  </w:endnote>
  <w:endnote w:id="37">
    <w:p w14:paraId="3C202341" w14:textId="00A62524" w:rsidR="00D054CC" w:rsidRPr="00F14F0E" w:rsidRDefault="00D054CC" w:rsidP="00B52B8A">
      <w:pPr>
        <w:pStyle w:val="Footnote"/>
      </w:pPr>
      <w:r w:rsidRPr="00F14F0E">
        <w:rPr>
          <w:rStyle w:val="EndnoteReference"/>
        </w:rPr>
        <w:endnoteRef/>
      </w:r>
      <w:r w:rsidRPr="00F14F0E">
        <w:t xml:space="preserve"> </w:t>
      </w:r>
      <w:r w:rsidRPr="00F14F0E">
        <w:rPr>
          <w:i/>
        </w:rPr>
        <w:t xml:space="preserve">IATA Economic Briefing: Airline Fuel and </w:t>
      </w:r>
      <w:proofErr w:type="spellStart"/>
      <w:r w:rsidRPr="00F14F0E">
        <w:rPr>
          <w:i/>
        </w:rPr>
        <w:t>Labour</w:t>
      </w:r>
      <w:proofErr w:type="spellEnd"/>
      <w:r w:rsidRPr="00F14F0E">
        <w:rPr>
          <w:i/>
        </w:rPr>
        <w:t xml:space="preserve"> Cost Share</w:t>
      </w:r>
      <w:r w:rsidRPr="00F14F0E">
        <w:t xml:space="preserve">, International Air Transport Association, February 2010, accessed January 31, 2019, www.iata.org/whatwedo/Documents/economics/Airline_Labour_Cost_Share_Feb2010.pdf; </w:t>
      </w:r>
      <w:proofErr w:type="spellStart"/>
      <w:r w:rsidRPr="00F14F0E">
        <w:t>Aneesh</w:t>
      </w:r>
      <w:proofErr w:type="spellEnd"/>
      <w:r w:rsidRPr="00F14F0E">
        <w:t xml:space="preserve"> </w:t>
      </w:r>
      <w:proofErr w:type="spellStart"/>
      <w:r w:rsidRPr="00F14F0E">
        <w:t>Phadnis</w:t>
      </w:r>
      <w:proofErr w:type="spellEnd"/>
      <w:r w:rsidRPr="00F14F0E">
        <w:t>, “40 Years Ago</w:t>
      </w:r>
      <w:r>
        <w:t xml:space="preserve"> . . . </w:t>
      </w:r>
      <w:r w:rsidRPr="00F14F0E">
        <w:t xml:space="preserve">And Now: Air Travel—Fixed Fares to Dynamic Pricing,” </w:t>
      </w:r>
      <w:r w:rsidRPr="00F14F0E">
        <w:rPr>
          <w:i/>
        </w:rPr>
        <w:t>Business Standard</w:t>
      </w:r>
      <w:r w:rsidRPr="00F14F0E">
        <w:t>, February 9, 2015, accessed January 31, 2019, www.business-standard.com/article/pf/40-years-ago-and-now-air-travel-fixed-fares-to-dynamic-pricing-115020800782_1.html.</w:t>
      </w:r>
    </w:p>
  </w:endnote>
  <w:endnote w:id="38">
    <w:p w14:paraId="4D3A4290" w14:textId="54F26776" w:rsidR="00D054CC" w:rsidRPr="00F14F0E" w:rsidRDefault="00D054CC" w:rsidP="00976D32">
      <w:pPr>
        <w:pStyle w:val="Footnote"/>
      </w:pPr>
      <w:r w:rsidRPr="00F14F0E">
        <w:rPr>
          <w:rStyle w:val="EndnoteReference"/>
        </w:rPr>
        <w:endnoteRef/>
      </w:r>
      <w:r w:rsidRPr="00F14F0E">
        <w:t xml:space="preserve"> </w:t>
      </w:r>
      <w:proofErr w:type="spellStart"/>
      <w:r w:rsidRPr="00F14F0E">
        <w:t>Anirban</w:t>
      </w:r>
      <w:proofErr w:type="spellEnd"/>
      <w:r w:rsidRPr="00F14F0E">
        <w:t xml:space="preserve"> Chowdhury, “Crisis in the Cockpit: Indian Carriers Stare at Pilot Shortage,” </w:t>
      </w:r>
      <w:r w:rsidRPr="00E94244">
        <w:rPr>
          <w:i/>
        </w:rPr>
        <w:t>Economic Times</w:t>
      </w:r>
      <w:r w:rsidRPr="00F14F0E">
        <w:t>, July 11, 2018, accessed January 31, 2019, https://economictimes.indiatimes.com/industry/transportation/airlines-/-aviation/crisis-in-the-cockpit-indian-carriers-stare-at-pilot-shortage/articleshow/64939986.cms.</w:t>
      </w:r>
    </w:p>
  </w:endnote>
  <w:endnote w:id="39">
    <w:p w14:paraId="2A6CC0D7" w14:textId="22DAEAAC" w:rsidR="00D054CC" w:rsidRPr="00F14F0E" w:rsidRDefault="00D054CC" w:rsidP="00BA207D">
      <w:pPr>
        <w:pStyle w:val="Footnote"/>
      </w:pPr>
      <w:r w:rsidRPr="00F14F0E">
        <w:rPr>
          <w:rStyle w:val="EndnoteReference"/>
        </w:rPr>
        <w:endnoteRef/>
      </w:r>
      <w:r w:rsidRPr="00F14F0E">
        <w:t xml:space="preserve"> The revenue for the airline was minuscule from most flight tickets booked in advance. The airfare consisted of many surcharges and taxes, and revenue for the airline was far lower than the price of the ticket.</w:t>
      </w:r>
    </w:p>
  </w:endnote>
  <w:endnote w:id="40">
    <w:p w14:paraId="6EE7B8C1" w14:textId="52759E11" w:rsidR="00D054CC" w:rsidRPr="00F14F0E" w:rsidRDefault="00D054CC" w:rsidP="004D6EB0">
      <w:pPr>
        <w:pStyle w:val="Footnote"/>
        <w:rPr>
          <w:spacing w:val="-4"/>
        </w:rPr>
      </w:pPr>
      <w:r w:rsidRPr="00F14F0E">
        <w:rPr>
          <w:rStyle w:val="EndnoteReference"/>
          <w:spacing w:val="-4"/>
        </w:rPr>
        <w:endnoteRef/>
      </w:r>
      <w:r w:rsidRPr="00F14F0E">
        <w:rPr>
          <w:spacing w:val="-4"/>
        </w:rPr>
        <w:t xml:space="preserve"> “Indian Airlines Struggle in Turbulent Aviation Market,” DW.com, accessed January 31, 2019, www.dw.com/en/top-stories/s-9097.</w:t>
      </w:r>
    </w:p>
  </w:endnote>
  <w:endnote w:id="41">
    <w:p w14:paraId="61A35B09" w14:textId="00EB9360" w:rsidR="00D054CC" w:rsidRPr="00F14F0E" w:rsidRDefault="00D054CC" w:rsidP="004D6EB0">
      <w:pPr>
        <w:pStyle w:val="Footnote"/>
      </w:pPr>
      <w:r w:rsidRPr="00F14F0E">
        <w:rPr>
          <w:rStyle w:val="EndnoteReference"/>
        </w:rPr>
        <w:endnoteRef/>
      </w:r>
      <w:r w:rsidRPr="00F14F0E">
        <w:t xml:space="preserve"> John Samuel Raja and </w:t>
      </w:r>
      <w:proofErr w:type="spellStart"/>
      <w:r w:rsidRPr="00F14F0E">
        <w:t>Binoy</w:t>
      </w:r>
      <w:proofErr w:type="spellEnd"/>
      <w:r w:rsidRPr="00F14F0E">
        <w:t xml:space="preserve"> </w:t>
      </w:r>
      <w:proofErr w:type="spellStart"/>
      <w:r w:rsidRPr="00F14F0E">
        <w:t>Prabhakar</w:t>
      </w:r>
      <w:proofErr w:type="spellEnd"/>
      <w:r w:rsidRPr="00F14F0E">
        <w:t xml:space="preserve">, “The Secret of </w:t>
      </w:r>
      <w:proofErr w:type="spellStart"/>
      <w:r w:rsidRPr="00F14F0E">
        <w:t>IndiGo’s</w:t>
      </w:r>
      <w:proofErr w:type="spellEnd"/>
      <w:r w:rsidRPr="00F14F0E">
        <w:t xml:space="preserve"> Consistent Profits,” </w:t>
      </w:r>
      <w:r w:rsidRPr="00F14F0E">
        <w:rPr>
          <w:i/>
        </w:rPr>
        <w:t>Economic Times</w:t>
      </w:r>
      <w:r w:rsidRPr="00F14F0E">
        <w:t>, December 22, 2013, accessed January 31, 2019, https://economictimes.indiatimes.com/industry/transportation/airlines-/-aviation/the-secret-of-indigos-consistent-profits/articleshow/27747508.cms; “</w:t>
      </w:r>
      <w:proofErr w:type="spellStart"/>
      <w:r w:rsidRPr="00F14F0E">
        <w:t>IndiGo</w:t>
      </w:r>
      <w:proofErr w:type="spellEnd"/>
      <w:r w:rsidRPr="00F14F0E">
        <w:t xml:space="preserve"> Stands Out as the Only Profitable Carrier in India,” CAPA Centre of Aviation, March 29, 2012, accessed January 31, 2019, https://centreforaviation.com/analysis/reports/indigo-stands-out-as-the-only-profitable-carrier-in-india-70751; </w:t>
      </w:r>
      <w:proofErr w:type="spellStart"/>
      <w:r w:rsidRPr="00F14F0E">
        <w:t>Rhik</w:t>
      </w:r>
      <w:proofErr w:type="spellEnd"/>
      <w:r w:rsidRPr="00F14F0E">
        <w:t xml:space="preserve"> </w:t>
      </w:r>
      <w:proofErr w:type="spellStart"/>
      <w:r w:rsidRPr="00F14F0E">
        <w:t>Kundu</w:t>
      </w:r>
      <w:proofErr w:type="spellEnd"/>
      <w:r w:rsidRPr="00F14F0E">
        <w:t>, “</w:t>
      </w:r>
      <w:proofErr w:type="spellStart"/>
      <w:r w:rsidRPr="00F14F0E">
        <w:t>IndiGo</w:t>
      </w:r>
      <w:proofErr w:type="spellEnd"/>
      <w:r w:rsidRPr="00F14F0E">
        <w:t xml:space="preserve"> Remains Top Airline in India </w:t>
      </w:r>
      <w:r>
        <w:t>w</w:t>
      </w:r>
      <w:r w:rsidRPr="00F14F0E">
        <w:t xml:space="preserve">ith 41% Market Share in May,” </w:t>
      </w:r>
      <w:proofErr w:type="spellStart"/>
      <w:r w:rsidRPr="00F14F0E">
        <w:t>liveMint</w:t>
      </w:r>
      <w:proofErr w:type="spellEnd"/>
      <w:r w:rsidRPr="00F14F0E">
        <w:t>, June 20, 2018, accessed January 31, 2019, www.livemint.com/Companies/4ltXPDJVDRZ10XLlCPXhjI/IndiGo-remains-top-airline-in-India-with-41-market-share-in.html.</w:t>
      </w:r>
    </w:p>
  </w:endnote>
  <w:endnote w:id="42">
    <w:p w14:paraId="21312C52" w14:textId="188F81A8" w:rsidR="00D054CC" w:rsidRDefault="00D054CC" w:rsidP="009E73DE">
      <w:pPr>
        <w:pStyle w:val="Footnote"/>
      </w:pPr>
      <w:r w:rsidRPr="00F14F0E">
        <w:rPr>
          <w:rStyle w:val="EndnoteReference"/>
        </w:rPr>
        <w:endnoteRef/>
      </w:r>
      <w:r w:rsidRPr="00F14F0E">
        <w:t xml:space="preserve"> </w:t>
      </w:r>
      <w:proofErr w:type="spellStart"/>
      <w:r w:rsidRPr="00F14F0E">
        <w:t>Gautam</w:t>
      </w:r>
      <w:proofErr w:type="spellEnd"/>
      <w:r w:rsidRPr="00F14F0E">
        <w:t xml:space="preserve"> </w:t>
      </w:r>
      <w:proofErr w:type="spellStart"/>
      <w:r w:rsidRPr="00F14F0E">
        <w:t>Chakravorthy</w:t>
      </w:r>
      <w:proofErr w:type="spellEnd"/>
      <w:r w:rsidRPr="00F14F0E">
        <w:t>, “Air Deccan Expects Higher Revenue</w:t>
      </w:r>
      <w:r>
        <w:t xml:space="preserve"> </w:t>
      </w:r>
      <w:proofErr w:type="gramStart"/>
      <w:r>
        <w:t>Per</w:t>
      </w:r>
      <w:proofErr w:type="gramEnd"/>
      <w:r>
        <w:t xml:space="preserve"> Passenger,” </w:t>
      </w:r>
      <w:proofErr w:type="spellStart"/>
      <w:r>
        <w:t>liveMint</w:t>
      </w:r>
      <w:proofErr w:type="spellEnd"/>
      <w:r>
        <w:t xml:space="preserve">, April 4, 2007, accessed January 31, 2019, </w:t>
      </w:r>
      <w:r w:rsidRPr="009E73DE">
        <w:t>www.livemint.com/Companies/0vS92XNtgF4XaFfJ6bihxO/Air-Deccan-expects-higher-revenue-per-passenger.html</w:t>
      </w:r>
      <w:r>
        <w:t>.</w:t>
      </w:r>
    </w:p>
  </w:endnote>
  <w:endnote w:id="43">
    <w:p w14:paraId="292EC00A" w14:textId="047FC858" w:rsidR="00D054CC" w:rsidRPr="00BA207D" w:rsidRDefault="00D054CC" w:rsidP="00BA207D">
      <w:pPr>
        <w:pStyle w:val="Footnote"/>
      </w:pPr>
      <w:r w:rsidRPr="009F04A8">
        <w:rPr>
          <w:rStyle w:val="EndnoteReference"/>
        </w:rPr>
        <w:endnoteRef/>
      </w:r>
      <w:r w:rsidRPr="009F04A8">
        <w:rPr>
          <w:vertAlign w:val="superscript"/>
        </w:rPr>
        <w:t xml:space="preserve"> </w:t>
      </w:r>
      <w:r w:rsidRPr="00BA207D">
        <w:t>Indian Railways c</w:t>
      </w:r>
      <w:r>
        <w:t>ould</w:t>
      </w:r>
      <w:r w:rsidRPr="00BA207D">
        <w:t xml:space="preserve"> be described as a natural monopoly. </w:t>
      </w:r>
      <w:r>
        <w:t>Until 2017, t</w:t>
      </w:r>
      <w:r w:rsidRPr="00BA207D">
        <w:t xml:space="preserve">he rail budget </w:t>
      </w:r>
      <w:r>
        <w:t>was</w:t>
      </w:r>
      <w:r w:rsidRPr="00BA207D">
        <w:t xml:space="preserve"> separate from the union budget </w:t>
      </w:r>
      <w:r>
        <w:t xml:space="preserve">(i.e., the annual budget for the entire country) </w:t>
      </w:r>
      <w:r w:rsidRPr="00BA207D">
        <w:t xml:space="preserve">and was presented </w:t>
      </w:r>
      <w:r>
        <w:t>two</w:t>
      </w:r>
      <w:r w:rsidRPr="00BA207D">
        <w:t xml:space="preserve"> days prior to </w:t>
      </w:r>
      <w:r>
        <w:t xml:space="preserve">the </w:t>
      </w:r>
      <w:r w:rsidRPr="00BA207D">
        <w:t xml:space="preserve">main annual budget. Since </w:t>
      </w:r>
      <w:r>
        <w:t xml:space="preserve">India’s </w:t>
      </w:r>
      <w:r w:rsidRPr="00BA207D">
        <w:t xml:space="preserve">independence, </w:t>
      </w:r>
      <w:r>
        <w:t xml:space="preserve">the presentation of the </w:t>
      </w:r>
      <w:r w:rsidRPr="00BA207D">
        <w:t xml:space="preserve">rail budget had been a major political event to appease the electorate of India. This </w:t>
      </w:r>
      <w:r>
        <w:t xml:space="preserve">situation </w:t>
      </w:r>
      <w:r w:rsidRPr="00BA207D">
        <w:t>had resulted in stagnant train fares.</w:t>
      </w:r>
    </w:p>
  </w:endnote>
  <w:endnote w:id="44">
    <w:p w14:paraId="52ACB876" w14:textId="35357EC8" w:rsidR="00D054CC" w:rsidRDefault="00D054CC" w:rsidP="009E73DE">
      <w:pPr>
        <w:pStyle w:val="Footnote"/>
      </w:pPr>
      <w:r w:rsidRPr="009E73DE">
        <w:rPr>
          <w:rStyle w:val="EndnoteReference"/>
        </w:rPr>
        <w:endnoteRef/>
      </w:r>
      <w:r w:rsidRPr="009E73DE">
        <w:rPr>
          <w:vertAlign w:val="superscript"/>
        </w:rPr>
        <w:t xml:space="preserve"> </w:t>
      </w:r>
      <w:r w:rsidRPr="009E73DE">
        <w:t>G. Srinivasan,</w:t>
      </w:r>
      <w:r>
        <w:rPr>
          <w:vertAlign w:val="superscript"/>
        </w:rPr>
        <w:t xml:space="preserve"> </w:t>
      </w:r>
      <w:r>
        <w:t xml:space="preserve">“Rail Budget: To Be Populist or Pragmatic,” </w:t>
      </w:r>
      <w:r w:rsidRPr="00F14F0E">
        <w:rPr>
          <w:i/>
        </w:rPr>
        <w:t>Hindu Business Line</w:t>
      </w:r>
      <w:r>
        <w:t xml:space="preserve">, March 7, 2011, accessed January 31, 2019, </w:t>
      </w:r>
      <w:r w:rsidRPr="009E73DE">
        <w:t>www.thehindubusinessline.com/economy/rail-budget-to-be-populist-or-pragmatic/article23047131.ece</w:t>
      </w:r>
      <w:r>
        <w:t xml:space="preserve">; ET Bureau, “Hike in Railway Fare Likely to Make Flying an Attractive Option,” </w:t>
      </w:r>
      <w:r w:rsidRPr="00F14F0E">
        <w:rPr>
          <w:i/>
        </w:rPr>
        <w:t>Economic Times</w:t>
      </w:r>
      <w:r>
        <w:t xml:space="preserve">, June 21, 2014, accessed January 31, 2019, </w:t>
      </w:r>
      <w:hyperlink r:id="rId5" w:history="1">
        <w:r w:rsidRPr="009E73DE">
          <w:rPr>
            <w:rStyle w:val="Hyperlink"/>
            <w:color w:val="auto"/>
            <w:u w:val="none"/>
          </w:rPr>
          <w:t>https://economictimes.indiatimes.com/industry/transportation/airlines-/-aviation/hike-in-railway-fare-likely-to-make-flying-an-attractive-option/articleshow/36916823.cms</w:t>
        </w:r>
      </w:hyperlink>
      <w:r>
        <w:rPr>
          <w:rStyle w:val="Hyperlink"/>
          <w:color w:val="auto"/>
          <w:u w:val="none"/>
        </w:rPr>
        <w:t>.</w:t>
      </w:r>
    </w:p>
  </w:endnote>
  <w:endnote w:id="45">
    <w:p w14:paraId="488698DD" w14:textId="2B0F378A" w:rsidR="00D054CC" w:rsidRDefault="00D054CC" w:rsidP="0089275B">
      <w:pPr>
        <w:pStyle w:val="Footnote"/>
      </w:pPr>
      <w:r>
        <w:rPr>
          <w:rStyle w:val="EndnoteReference"/>
        </w:rPr>
        <w:endnoteRef/>
      </w:r>
      <w:r>
        <w:t xml:space="preserve"> </w:t>
      </w:r>
      <w:proofErr w:type="spellStart"/>
      <w:r>
        <w:t>Tarun</w:t>
      </w:r>
      <w:proofErr w:type="spellEnd"/>
      <w:r>
        <w:t xml:space="preserve"> Shukla, “</w:t>
      </w:r>
      <w:proofErr w:type="spellStart"/>
      <w:r>
        <w:t>IndiGo</w:t>
      </w:r>
      <w:proofErr w:type="spellEnd"/>
      <w:r>
        <w:t xml:space="preserve"> Profits from Cost Cuts,” </w:t>
      </w:r>
      <w:proofErr w:type="spellStart"/>
      <w:r>
        <w:t>liveMint</w:t>
      </w:r>
      <w:proofErr w:type="spellEnd"/>
      <w:r>
        <w:t>, October 19, 2009, accessed May 16, 2016,</w:t>
      </w:r>
      <w:r w:rsidRPr="00436917">
        <w:t xml:space="preserve"> www.livemint.com/Home-Page/dZsnZVEfJRpQO81v29eF5O/IndiGo-profits-from-cost-cuts.html</w:t>
      </w:r>
      <w:r>
        <w:t>.</w:t>
      </w:r>
    </w:p>
  </w:endnote>
  <w:endnote w:id="46">
    <w:p w14:paraId="26683204" w14:textId="604D9BF1" w:rsidR="00D054CC" w:rsidRDefault="00D054CC" w:rsidP="00BA207D">
      <w:pPr>
        <w:pStyle w:val="Footnote"/>
      </w:pPr>
      <w:r w:rsidRPr="009F04A8">
        <w:rPr>
          <w:rStyle w:val="EndnoteReference"/>
        </w:rPr>
        <w:endnoteRef/>
      </w:r>
      <w:r w:rsidRPr="00BA207D">
        <w:t xml:space="preserve"> “</w:t>
      </w:r>
      <w:proofErr w:type="spellStart"/>
      <w:r w:rsidRPr="00BA207D">
        <w:t>IndiGo</w:t>
      </w:r>
      <w:proofErr w:type="spellEnd"/>
      <w:r w:rsidRPr="00BA207D">
        <w:t xml:space="preserve"> Q4 </w:t>
      </w:r>
      <w:r>
        <w:t>P</w:t>
      </w:r>
      <w:r w:rsidRPr="00BA207D">
        <w:t xml:space="preserve">rofit </w:t>
      </w:r>
      <w:r>
        <w:t>F</w:t>
      </w:r>
      <w:r w:rsidRPr="00BA207D">
        <w:t xml:space="preserve">alls 73% to Rs117.6 </w:t>
      </w:r>
      <w:r>
        <w:t>C</w:t>
      </w:r>
      <w:r w:rsidRPr="00BA207D">
        <w:t xml:space="preserve">rore on </w:t>
      </w:r>
      <w:r>
        <w:t>L</w:t>
      </w:r>
      <w:r w:rsidRPr="00BA207D">
        <w:t xml:space="preserve">ower </w:t>
      </w:r>
      <w:r>
        <w:t>Y</w:t>
      </w:r>
      <w:r w:rsidRPr="00BA207D">
        <w:t xml:space="preserve">ields, </w:t>
      </w:r>
      <w:r>
        <w:t>F</w:t>
      </w:r>
      <w:r w:rsidRPr="00BA207D">
        <w:t xml:space="preserve">uel </w:t>
      </w:r>
      <w:r>
        <w:t>C</w:t>
      </w:r>
      <w:r w:rsidRPr="00BA207D">
        <w:t xml:space="preserve">osts,” </w:t>
      </w:r>
      <w:proofErr w:type="spellStart"/>
      <w:r>
        <w:t>liveMint</w:t>
      </w:r>
      <w:proofErr w:type="spellEnd"/>
      <w:r>
        <w:t>,</w:t>
      </w:r>
      <w:r w:rsidRPr="00BA207D">
        <w:t xml:space="preserve"> May 2, 2018, accessed May</w:t>
      </w:r>
      <w:r>
        <w:t xml:space="preserve"> </w:t>
      </w:r>
      <w:r w:rsidRPr="00BA207D">
        <w:t xml:space="preserve">24, 2018, </w:t>
      </w:r>
      <w:r w:rsidRPr="00551EE7">
        <w:t>www.livemint.com/Companies/VrdusrR99awWxv4UX4LU6H/IndiGos-Q4-profit-slumps-73-to-Rs118-crore.html</w:t>
      </w:r>
      <w:r w:rsidRPr="00BA207D">
        <w:t>.</w:t>
      </w:r>
    </w:p>
  </w:endnote>
  <w:endnote w:id="47">
    <w:p w14:paraId="6C32CA06" w14:textId="47A478F2" w:rsidR="00D054CC" w:rsidRPr="00D054CC" w:rsidRDefault="00D054CC" w:rsidP="00D054CC">
      <w:pPr>
        <w:pStyle w:val="Footnote"/>
        <w:rPr>
          <w:spacing w:val="-8"/>
        </w:rPr>
      </w:pPr>
      <w:r w:rsidRPr="00D054CC">
        <w:rPr>
          <w:rStyle w:val="EndnoteReference"/>
          <w:spacing w:val="-8"/>
        </w:rPr>
        <w:endnoteRef/>
      </w:r>
      <w:r w:rsidRPr="00D054CC">
        <w:rPr>
          <w:spacing w:val="-8"/>
          <w:vertAlign w:val="superscript"/>
        </w:rPr>
        <w:t xml:space="preserve"> </w:t>
      </w:r>
      <w:r w:rsidRPr="00D054CC">
        <w:rPr>
          <w:spacing w:val="-8"/>
        </w:rPr>
        <w:t xml:space="preserve">Rajesh Naidu, “Investors Get </w:t>
      </w:r>
      <w:proofErr w:type="gramStart"/>
      <w:r w:rsidRPr="00D054CC">
        <w:rPr>
          <w:spacing w:val="-8"/>
        </w:rPr>
        <w:t>Off</w:t>
      </w:r>
      <w:proofErr w:type="gramEnd"/>
      <w:r w:rsidRPr="00D054CC">
        <w:rPr>
          <w:spacing w:val="-8"/>
        </w:rPr>
        <w:t xml:space="preserve"> </w:t>
      </w:r>
      <w:proofErr w:type="spellStart"/>
      <w:r w:rsidRPr="00D054CC">
        <w:rPr>
          <w:spacing w:val="-8"/>
        </w:rPr>
        <w:t>IndiGo</w:t>
      </w:r>
      <w:proofErr w:type="spellEnd"/>
      <w:r w:rsidRPr="00D054CC">
        <w:rPr>
          <w:spacing w:val="-8"/>
        </w:rPr>
        <w:t xml:space="preserve"> on Profitability Concerns,” </w:t>
      </w:r>
      <w:r w:rsidRPr="00D054CC">
        <w:rPr>
          <w:i/>
          <w:spacing w:val="-8"/>
        </w:rPr>
        <w:t>Economic Times</w:t>
      </w:r>
      <w:r w:rsidRPr="00D054CC">
        <w:rPr>
          <w:spacing w:val="-8"/>
        </w:rPr>
        <w:t>, August 1, 2018, accessed April 22, 2019, https://economictimes.indiatimes.com/markets/stocks/news/investors-get-off-indigo-on-profitability-concerns/articleshow/65222030.cms.</w:t>
      </w:r>
    </w:p>
  </w:endnote>
  <w:endnote w:id="48">
    <w:p w14:paraId="209CC9D9" w14:textId="7548F552" w:rsidR="00D054CC" w:rsidRDefault="00D054CC" w:rsidP="00D054CC">
      <w:pPr>
        <w:pStyle w:val="Footnote"/>
      </w:pPr>
      <w:r>
        <w:rPr>
          <w:rStyle w:val="EndnoteReference"/>
        </w:rPr>
        <w:endnoteRef/>
      </w:r>
      <w:r>
        <w:t xml:space="preserve"> Ibid.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KaiTi_GB2312">
    <w:altName w:val="Microsoft Ya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F1431A" w14:textId="77777777" w:rsidR="009E02A9" w:rsidRDefault="009E02A9" w:rsidP="00D75295">
      <w:r>
        <w:separator/>
      </w:r>
    </w:p>
  </w:footnote>
  <w:footnote w:type="continuationSeparator" w:id="0">
    <w:p w14:paraId="395D8C59" w14:textId="77777777" w:rsidR="009E02A9" w:rsidRDefault="009E02A9" w:rsidP="00D7529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67142" w14:textId="16590572" w:rsidR="009E02A9" w:rsidRPr="00C92CC4" w:rsidRDefault="009E02A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FD577F">
      <w:rPr>
        <w:rFonts w:ascii="Arial" w:hAnsi="Arial"/>
        <w:b/>
        <w:noProof/>
      </w:rPr>
      <w:t>10</w:t>
    </w:r>
    <w:r>
      <w:rPr>
        <w:rFonts w:ascii="Arial" w:hAnsi="Arial"/>
        <w:b/>
      </w:rPr>
      <w:fldChar w:fldCharType="end"/>
    </w:r>
    <w:r>
      <w:rPr>
        <w:rFonts w:ascii="Arial" w:hAnsi="Arial"/>
        <w:b/>
      </w:rPr>
      <w:tab/>
    </w:r>
    <w:r w:rsidR="00FD577F">
      <w:rPr>
        <w:rFonts w:ascii="Arial" w:hAnsi="Arial"/>
        <w:b/>
      </w:rPr>
      <w:t>9B19M028</w:t>
    </w:r>
  </w:p>
  <w:p w14:paraId="2B53C0A0" w14:textId="77777777" w:rsidR="009E02A9" w:rsidRDefault="009E02A9" w:rsidP="00D13667">
    <w:pPr>
      <w:pStyle w:val="Header"/>
      <w:tabs>
        <w:tab w:val="clear" w:pos="4680"/>
      </w:tabs>
      <w:rPr>
        <w:sz w:val="18"/>
        <w:szCs w:val="18"/>
      </w:rPr>
    </w:pPr>
  </w:p>
  <w:p w14:paraId="47119730" w14:textId="77777777" w:rsidR="009E02A9" w:rsidRPr="00C92CC4" w:rsidRDefault="009E02A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353479"/>
    <w:multiLevelType w:val="hybridMultilevel"/>
    <w:tmpl w:val="7C8EC4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3D5B1C85"/>
    <w:multiLevelType w:val="hybridMultilevel"/>
    <w:tmpl w:val="A0E4FC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D2676C"/>
    <w:multiLevelType w:val="hybridMultilevel"/>
    <w:tmpl w:val="C3E48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E01093A"/>
    <w:multiLevelType w:val="hybridMultilevel"/>
    <w:tmpl w:val="42762F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97B5D2C"/>
    <w:multiLevelType w:val="hybridMultilevel"/>
    <w:tmpl w:val="55AE8F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77EA314B"/>
    <w:multiLevelType w:val="hybridMultilevel"/>
    <w:tmpl w:val="9448283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79754927"/>
    <w:multiLevelType w:val="hybridMultilevel"/>
    <w:tmpl w:val="5B5E89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5"/>
  </w:num>
  <w:num w:numId="5">
    <w:abstractNumId w:val="2"/>
  </w:num>
  <w:num w:numId="6">
    <w:abstractNumId w:val="4"/>
  </w:num>
  <w:num w:numId="7">
    <w:abstractNumId w:val="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193"/>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DC4"/>
    <w:rsid w:val="0000085A"/>
    <w:rsid w:val="00013360"/>
    <w:rsid w:val="00015B1E"/>
    <w:rsid w:val="00016759"/>
    <w:rsid w:val="000171AA"/>
    <w:rsid w:val="000216CE"/>
    <w:rsid w:val="00024ED4"/>
    <w:rsid w:val="00025DC7"/>
    <w:rsid w:val="00033B45"/>
    <w:rsid w:val="00035F09"/>
    <w:rsid w:val="00041598"/>
    <w:rsid w:val="0004222F"/>
    <w:rsid w:val="00044ECC"/>
    <w:rsid w:val="000531D3"/>
    <w:rsid w:val="0005646B"/>
    <w:rsid w:val="000627B0"/>
    <w:rsid w:val="0006436F"/>
    <w:rsid w:val="0007084F"/>
    <w:rsid w:val="00073222"/>
    <w:rsid w:val="0008102D"/>
    <w:rsid w:val="000837FD"/>
    <w:rsid w:val="00086B26"/>
    <w:rsid w:val="00094C0E"/>
    <w:rsid w:val="000A146D"/>
    <w:rsid w:val="000C162C"/>
    <w:rsid w:val="000C4DD1"/>
    <w:rsid w:val="000D2A2F"/>
    <w:rsid w:val="000D32F5"/>
    <w:rsid w:val="000D7091"/>
    <w:rsid w:val="000F0C22"/>
    <w:rsid w:val="000F6B09"/>
    <w:rsid w:val="000F6FDC"/>
    <w:rsid w:val="00101F95"/>
    <w:rsid w:val="001043C7"/>
    <w:rsid w:val="00104567"/>
    <w:rsid w:val="00104916"/>
    <w:rsid w:val="00104AA7"/>
    <w:rsid w:val="00107B01"/>
    <w:rsid w:val="001106CA"/>
    <w:rsid w:val="00113A0F"/>
    <w:rsid w:val="00116084"/>
    <w:rsid w:val="00122E5A"/>
    <w:rsid w:val="0012671D"/>
    <w:rsid w:val="0012732D"/>
    <w:rsid w:val="00143F25"/>
    <w:rsid w:val="0014474F"/>
    <w:rsid w:val="00152682"/>
    <w:rsid w:val="00154FC9"/>
    <w:rsid w:val="0015746F"/>
    <w:rsid w:val="00172FB9"/>
    <w:rsid w:val="0019241A"/>
    <w:rsid w:val="00192848"/>
    <w:rsid w:val="00192A18"/>
    <w:rsid w:val="001935F7"/>
    <w:rsid w:val="001A22D1"/>
    <w:rsid w:val="001A7165"/>
    <w:rsid w:val="001A752D"/>
    <w:rsid w:val="001A757E"/>
    <w:rsid w:val="001B5032"/>
    <w:rsid w:val="001C7777"/>
    <w:rsid w:val="001D1497"/>
    <w:rsid w:val="001D344B"/>
    <w:rsid w:val="001E364F"/>
    <w:rsid w:val="001F32FD"/>
    <w:rsid w:val="001F4222"/>
    <w:rsid w:val="00203AA1"/>
    <w:rsid w:val="00205478"/>
    <w:rsid w:val="00213E98"/>
    <w:rsid w:val="00230150"/>
    <w:rsid w:val="0023081A"/>
    <w:rsid w:val="00233111"/>
    <w:rsid w:val="00236864"/>
    <w:rsid w:val="00265FA8"/>
    <w:rsid w:val="002716DE"/>
    <w:rsid w:val="002A0903"/>
    <w:rsid w:val="002A3354"/>
    <w:rsid w:val="002B0E46"/>
    <w:rsid w:val="002B7ED8"/>
    <w:rsid w:val="002C2FCF"/>
    <w:rsid w:val="002C36C3"/>
    <w:rsid w:val="002C4E29"/>
    <w:rsid w:val="002D7EC0"/>
    <w:rsid w:val="002E6019"/>
    <w:rsid w:val="002E7448"/>
    <w:rsid w:val="002F193B"/>
    <w:rsid w:val="002F460C"/>
    <w:rsid w:val="002F48D6"/>
    <w:rsid w:val="002F4A80"/>
    <w:rsid w:val="00305A7D"/>
    <w:rsid w:val="00314C7D"/>
    <w:rsid w:val="00317391"/>
    <w:rsid w:val="00320F0A"/>
    <w:rsid w:val="00326216"/>
    <w:rsid w:val="00326FE8"/>
    <w:rsid w:val="00335CC4"/>
    <w:rsid w:val="00335FEB"/>
    <w:rsid w:val="00336580"/>
    <w:rsid w:val="00354899"/>
    <w:rsid w:val="00355FD6"/>
    <w:rsid w:val="00364A5C"/>
    <w:rsid w:val="0036624F"/>
    <w:rsid w:val="00373FB1"/>
    <w:rsid w:val="003761C2"/>
    <w:rsid w:val="00396C76"/>
    <w:rsid w:val="003A52E5"/>
    <w:rsid w:val="003A5C7B"/>
    <w:rsid w:val="003B30D8"/>
    <w:rsid w:val="003B7EF2"/>
    <w:rsid w:val="003C3FA4"/>
    <w:rsid w:val="003D0BA1"/>
    <w:rsid w:val="003D4F95"/>
    <w:rsid w:val="003E67F2"/>
    <w:rsid w:val="003F2B0C"/>
    <w:rsid w:val="004046C1"/>
    <w:rsid w:val="004105B2"/>
    <w:rsid w:val="0041145A"/>
    <w:rsid w:val="00412608"/>
    <w:rsid w:val="00412900"/>
    <w:rsid w:val="004221E4"/>
    <w:rsid w:val="00422A3E"/>
    <w:rsid w:val="00422D4C"/>
    <w:rsid w:val="004273D1"/>
    <w:rsid w:val="004273F8"/>
    <w:rsid w:val="004355A3"/>
    <w:rsid w:val="004359AE"/>
    <w:rsid w:val="00436917"/>
    <w:rsid w:val="004439AB"/>
    <w:rsid w:val="00446546"/>
    <w:rsid w:val="00451D7B"/>
    <w:rsid w:val="00452769"/>
    <w:rsid w:val="00454FA7"/>
    <w:rsid w:val="00463332"/>
    <w:rsid w:val="00465348"/>
    <w:rsid w:val="0049025E"/>
    <w:rsid w:val="004979A5"/>
    <w:rsid w:val="004A25E0"/>
    <w:rsid w:val="004B1CCB"/>
    <w:rsid w:val="004B632F"/>
    <w:rsid w:val="004B7243"/>
    <w:rsid w:val="004C29AB"/>
    <w:rsid w:val="004D3FB1"/>
    <w:rsid w:val="004D6033"/>
    <w:rsid w:val="004D6EB0"/>
    <w:rsid w:val="004D6F21"/>
    <w:rsid w:val="004D73A5"/>
    <w:rsid w:val="004E3967"/>
    <w:rsid w:val="004F75E3"/>
    <w:rsid w:val="00500E63"/>
    <w:rsid w:val="005019FF"/>
    <w:rsid w:val="00511FDA"/>
    <w:rsid w:val="00512983"/>
    <w:rsid w:val="005160F1"/>
    <w:rsid w:val="00524F2F"/>
    <w:rsid w:val="00526426"/>
    <w:rsid w:val="00527E5C"/>
    <w:rsid w:val="00532CF5"/>
    <w:rsid w:val="00535C37"/>
    <w:rsid w:val="00537A4E"/>
    <w:rsid w:val="00551EE7"/>
    <w:rsid w:val="005528CB"/>
    <w:rsid w:val="0055561E"/>
    <w:rsid w:val="00566771"/>
    <w:rsid w:val="00580FBA"/>
    <w:rsid w:val="005819CD"/>
    <w:rsid w:val="00581E2E"/>
    <w:rsid w:val="00584F10"/>
    <w:rsid w:val="00584F15"/>
    <w:rsid w:val="00591D6E"/>
    <w:rsid w:val="0059241B"/>
    <w:rsid w:val="005950C9"/>
    <w:rsid w:val="0059514B"/>
    <w:rsid w:val="005A1B0F"/>
    <w:rsid w:val="005B2F4E"/>
    <w:rsid w:val="005B32B1"/>
    <w:rsid w:val="005B5EFE"/>
    <w:rsid w:val="005B7BC8"/>
    <w:rsid w:val="005D1E26"/>
    <w:rsid w:val="005D748C"/>
    <w:rsid w:val="006113A3"/>
    <w:rsid w:val="006163CA"/>
    <w:rsid w:val="006163F7"/>
    <w:rsid w:val="00622929"/>
    <w:rsid w:val="00625653"/>
    <w:rsid w:val="006270EA"/>
    <w:rsid w:val="00627C63"/>
    <w:rsid w:val="0063350B"/>
    <w:rsid w:val="00652606"/>
    <w:rsid w:val="0066407B"/>
    <w:rsid w:val="00665454"/>
    <w:rsid w:val="00683A41"/>
    <w:rsid w:val="006855D2"/>
    <w:rsid w:val="00687BC4"/>
    <w:rsid w:val="006946EE"/>
    <w:rsid w:val="00697132"/>
    <w:rsid w:val="006A58A9"/>
    <w:rsid w:val="006A606D"/>
    <w:rsid w:val="006B2310"/>
    <w:rsid w:val="006B5870"/>
    <w:rsid w:val="006C0371"/>
    <w:rsid w:val="006C08B6"/>
    <w:rsid w:val="006C0B1A"/>
    <w:rsid w:val="006C1020"/>
    <w:rsid w:val="006C6065"/>
    <w:rsid w:val="006C7F9F"/>
    <w:rsid w:val="006E0A8D"/>
    <w:rsid w:val="006E2F6D"/>
    <w:rsid w:val="006E5747"/>
    <w:rsid w:val="006E58F6"/>
    <w:rsid w:val="006E77E1"/>
    <w:rsid w:val="006F131D"/>
    <w:rsid w:val="006F50DE"/>
    <w:rsid w:val="006F6313"/>
    <w:rsid w:val="00706961"/>
    <w:rsid w:val="00710F40"/>
    <w:rsid w:val="00711642"/>
    <w:rsid w:val="00712523"/>
    <w:rsid w:val="00715AB7"/>
    <w:rsid w:val="00715BDA"/>
    <w:rsid w:val="007332B9"/>
    <w:rsid w:val="007507C6"/>
    <w:rsid w:val="00751E0B"/>
    <w:rsid w:val="00752BCD"/>
    <w:rsid w:val="0076210B"/>
    <w:rsid w:val="00766DA1"/>
    <w:rsid w:val="00767BD9"/>
    <w:rsid w:val="00780D94"/>
    <w:rsid w:val="007866A6"/>
    <w:rsid w:val="007920B6"/>
    <w:rsid w:val="007A130D"/>
    <w:rsid w:val="007D1A2D"/>
    <w:rsid w:val="007D4102"/>
    <w:rsid w:val="007D6062"/>
    <w:rsid w:val="007E54A7"/>
    <w:rsid w:val="007F43B7"/>
    <w:rsid w:val="008076C8"/>
    <w:rsid w:val="00821FFC"/>
    <w:rsid w:val="00823529"/>
    <w:rsid w:val="008271CA"/>
    <w:rsid w:val="00843792"/>
    <w:rsid w:val="008467D5"/>
    <w:rsid w:val="008813A3"/>
    <w:rsid w:val="0089275B"/>
    <w:rsid w:val="008A4DC4"/>
    <w:rsid w:val="008B3304"/>
    <w:rsid w:val="008B438C"/>
    <w:rsid w:val="008B5406"/>
    <w:rsid w:val="008D06CA"/>
    <w:rsid w:val="008D1E96"/>
    <w:rsid w:val="008D3890"/>
    <w:rsid w:val="008D3A46"/>
    <w:rsid w:val="008D6BE1"/>
    <w:rsid w:val="008F2385"/>
    <w:rsid w:val="008F4326"/>
    <w:rsid w:val="008F545C"/>
    <w:rsid w:val="009067A4"/>
    <w:rsid w:val="00925640"/>
    <w:rsid w:val="00930885"/>
    <w:rsid w:val="00933D68"/>
    <w:rsid w:val="009340DB"/>
    <w:rsid w:val="0093651B"/>
    <w:rsid w:val="00943614"/>
    <w:rsid w:val="0094618C"/>
    <w:rsid w:val="00951F11"/>
    <w:rsid w:val="00955643"/>
    <w:rsid w:val="0095684B"/>
    <w:rsid w:val="0096250D"/>
    <w:rsid w:val="00972498"/>
    <w:rsid w:val="0097481F"/>
    <w:rsid w:val="00974CC6"/>
    <w:rsid w:val="00976AD4"/>
    <w:rsid w:val="00976D32"/>
    <w:rsid w:val="0098196B"/>
    <w:rsid w:val="0098622C"/>
    <w:rsid w:val="00990485"/>
    <w:rsid w:val="00992B33"/>
    <w:rsid w:val="009944D8"/>
    <w:rsid w:val="00995547"/>
    <w:rsid w:val="00995884"/>
    <w:rsid w:val="009A312F"/>
    <w:rsid w:val="009A5348"/>
    <w:rsid w:val="009A59AE"/>
    <w:rsid w:val="009B0AB7"/>
    <w:rsid w:val="009B193B"/>
    <w:rsid w:val="009B38E2"/>
    <w:rsid w:val="009C76D5"/>
    <w:rsid w:val="009D44FE"/>
    <w:rsid w:val="009E02A9"/>
    <w:rsid w:val="009E73DE"/>
    <w:rsid w:val="009F04A8"/>
    <w:rsid w:val="009F7AA4"/>
    <w:rsid w:val="00A01C1A"/>
    <w:rsid w:val="00A10AD7"/>
    <w:rsid w:val="00A3092B"/>
    <w:rsid w:val="00A3352B"/>
    <w:rsid w:val="00A40F99"/>
    <w:rsid w:val="00A50177"/>
    <w:rsid w:val="00A559DB"/>
    <w:rsid w:val="00A569EA"/>
    <w:rsid w:val="00A63061"/>
    <w:rsid w:val="00A648FC"/>
    <w:rsid w:val="00A64AC4"/>
    <w:rsid w:val="00A6554F"/>
    <w:rsid w:val="00A6570B"/>
    <w:rsid w:val="00A676A0"/>
    <w:rsid w:val="00A90470"/>
    <w:rsid w:val="00A92461"/>
    <w:rsid w:val="00AA1E15"/>
    <w:rsid w:val="00AA6CFE"/>
    <w:rsid w:val="00AB36D2"/>
    <w:rsid w:val="00AC5E74"/>
    <w:rsid w:val="00AD2E44"/>
    <w:rsid w:val="00AE183D"/>
    <w:rsid w:val="00AF205C"/>
    <w:rsid w:val="00AF35FC"/>
    <w:rsid w:val="00AF5556"/>
    <w:rsid w:val="00B03639"/>
    <w:rsid w:val="00B0652A"/>
    <w:rsid w:val="00B11642"/>
    <w:rsid w:val="00B132FD"/>
    <w:rsid w:val="00B22D21"/>
    <w:rsid w:val="00B24E77"/>
    <w:rsid w:val="00B40937"/>
    <w:rsid w:val="00B423EF"/>
    <w:rsid w:val="00B453DE"/>
    <w:rsid w:val="00B52B8A"/>
    <w:rsid w:val="00B55F3A"/>
    <w:rsid w:val="00B621AC"/>
    <w:rsid w:val="00B62497"/>
    <w:rsid w:val="00B62805"/>
    <w:rsid w:val="00B643DB"/>
    <w:rsid w:val="00B72597"/>
    <w:rsid w:val="00B87DC0"/>
    <w:rsid w:val="00B901F9"/>
    <w:rsid w:val="00B96A45"/>
    <w:rsid w:val="00BA1BF2"/>
    <w:rsid w:val="00BA207D"/>
    <w:rsid w:val="00BB561A"/>
    <w:rsid w:val="00BC4D98"/>
    <w:rsid w:val="00BD0027"/>
    <w:rsid w:val="00BD3F8E"/>
    <w:rsid w:val="00BD6EFB"/>
    <w:rsid w:val="00BE3DF5"/>
    <w:rsid w:val="00BE3ED9"/>
    <w:rsid w:val="00BF41A7"/>
    <w:rsid w:val="00BF5EAB"/>
    <w:rsid w:val="00C011CA"/>
    <w:rsid w:val="00C012AF"/>
    <w:rsid w:val="00C02410"/>
    <w:rsid w:val="00C110A6"/>
    <w:rsid w:val="00C1584D"/>
    <w:rsid w:val="00C15BE2"/>
    <w:rsid w:val="00C15D4D"/>
    <w:rsid w:val="00C31F71"/>
    <w:rsid w:val="00C3447F"/>
    <w:rsid w:val="00C44714"/>
    <w:rsid w:val="00C512BC"/>
    <w:rsid w:val="00C5551D"/>
    <w:rsid w:val="00C56899"/>
    <w:rsid w:val="00C63B45"/>
    <w:rsid w:val="00C66EE0"/>
    <w:rsid w:val="00C67102"/>
    <w:rsid w:val="00C713CF"/>
    <w:rsid w:val="00C81491"/>
    <w:rsid w:val="00C81676"/>
    <w:rsid w:val="00C85C5D"/>
    <w:rsid w:val="00C86258"/>
    <w:rsid w:val="00C86F67"/>
    <w:rsid w:val="00C92CC4"/>
    <w:rsid w:val="00C95CD2"/>
    <w:rsid w:val="00CA0AFB"/>
    <w:rsid w:val="00CA2CE1"/>
    <w:rsid w:val="00CA3976"/>
    <w:rsid w:val="00CA4120"/>
    <w:rsid w:val="00CA50E3"/>
    <w:rsid w:val="00CA757B"/>
    <w:rsid w:val="00CB106B"/>
    <w:rsid w:val="00CB3ABE"/>
    <w:rsid w:val="00CB4EBE"/>
    <w:rsid w:val="00CC1787"/>
    <w:rsid w:val="00CC182C"/>
    <w:rsid w:val="00CC4E2A"/>
    <w:rsid w:val="00CD0824"/>
    <w:rsid w:val="00CD2908"/>
    <w:rsid w:val="00CD7424"/>
    <w:rsid w:val="00D01513"/>
    <w:rsid w:val="00D03A82"/>
    <w:rsid w:val="00D054CC"/>
    <w:rsid w:val="00D13667"/>
    <w:rsid w:val="00D15344"/>
    <w:rsid w:val="00D23F57"/>
    <w:rsid w:val="00D31BEC"/>
    <w:rsid w:val="00D32E31"/>
    <w:rsid w:val="00D56BCD"/>
    <w:rsid w:val="00D62167"/>
    <w:rsid w:val="00D62B04"/>
    <w:rsid w:val="00D63150"/>
    <w:rsid w:val="00D636BA"/>
    <w:rsid w:val="00D64A32"/>
    <w:rsid w:val="00D64EFC"/>
    <w:rsid w:val="00D75295"/>
    <w:rsid w:val="00D76CE9"/>
    <w:rsid w:val="00D85206"/>
    <w:rsid w:val="00D97F12"/>
    <w:rsid w:val="00DA429F"/>
    <w:rsid w:val="00DA6095"/>
    <w:rsid w:val="00DA63E8"/>
    <w:rsid w:val="00DA7A2D"/>
    <w:rsid w:val="00DB42E7"/>
    <w:rsid w:val="00DC09D8"/>
    <w:rsid w:val="00DC0D88"/>
    <w:rsid w:val="00DD48F6"/>
    <w:rsid w:val="00DE01A6"/>
    <w:rsid w:val="00DE7A98"/>
    <w:rsid w:val="00DE7FE5"/>
    <w:rsid w:val="00DF32C2"/>
    <w:rsid w:val="00DF47E5"/>
    <w:rsid w:val="00E07205"/>
    <w:rsid w:val="00E2301C"/>
    <w:rsid w:val="00E27ED3"/>
    <w:rsid w:val="00E3156F"/>
    <w:rsid w:val="00E350D5"/>
    <w:rsid w:val="00E46018"/>
    <w:rsid w:val="00E471A7"/>
    <w:rsid w:val="00E51AB2"/>
    <w:rsid w:val="00E620AC"/>
    <w:rsid w:val="00E635CF"/>
    <w:rsid w:val="00E64CAE"/>
    <w:rsid w:val="00E65827"/>
    <w:rsid w:val="00E75623"/>
    <w:rsid w:val="00E94244"/>
    <w:rsid w:val="00EA18C2"/>
    <w:rsid w:val="00EA3BCB"/>
    <w:rsid w:val="00EA5693"/>
    <w:rsid w:val="00EA5D69"/>
    <w:rsid w:val="00EB1E3B"/>
    <w:rsid w:val="00EC16ED"/>
    <w:rsid w:val="00EC6E0A"/>
    <w:rsid w:val="00ED4E18"/>
    <w:rsid w:val="00ED7922"/>
    <w:rsid w:val="00EE02C4"/>
    <w:rsid w:val="00EE1F37"/>
    <w:rsid w:val="00EE2B7F"/>
    <w:rsid w:val="00EE3A5E"/>
    <w:rsid w:val="00EE4BAC"/>
    <w:rsid w:val="00EF4F21"/>
    <w:rsid w:val="00EF536F"/>
    <w:rsid w:val="00F0159C"/>
    <w:rsid w:val="00F105B7"/>
    <w:rsid w:val="00F13220"/>
    <w:rsid w:val="00F14F0E"/>
    <w:rsid w:val="00F17A21"/>
    <w:rsid w:val="00F37B27"/>
    <w:rsid w:val="00F46556"/>
    <w:rsid w:val="00F50E91"/>
    <w:rsid w:val="00F56A7E"/>
    <w:rsid w:val="00F57D29"/>
    <w:rsid w:val="00F60786"/>
    <w:rsid w:val="00F62233"/>
    <w:rsid w:val="00F67A0A"/>
    <w:rsid w:val="00F91BC7"/>
    <w:rsid w:val="00F92F5E"/>
    <w:rsid w:val="00F96201"/>
    <w:rsid w:val="00FA080F"/>
    <w:rsid w:val="00FA1BBC"/>
    <w:rsid w:val="00FC2FAE"/>
    <w:rsid w:val="00FC3AE3"/>
    <w:rsid w:val="00FD0B18"/>
    <w:rsid w:val="00FD2FAD"/>
    <w:rsid w:val="00FD31C2"/>
    <w:rsid w:val="00FD577F"/>
    <w:rsid w:val="00FE3FC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779AA937"/>
  <w15:docId w15:val="{210D29D4-0B93-4A62-97DF-B4A024B98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qFormat="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iPriority="0"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0" w:qFormat="1"/>
    <w:lsdException w:name="Book Title" w:uiPriority="33"/>
    <w:lsdException w:name="Bibliography" w:semiHidden="1" w:uiPriority="37" w:unhideWhenUsed="1"/>
    <w:lsdException w:name="TOC Heading" w:semiHidden="1" w:uiPriority="0"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nhideWhenUsed/>
    <w:rsid w:val="008467D5"/>
    <w:rPr>
      <w:rFonts w:ascii="Tahoma" w:hAnsi="Tahoma" w:cs="Tahoma"/>
      <w:sz w:val="16"/>
      <w:szCs w:val="16"/>
    </w:rPr>
  </w:style>
  <w:style w:type="character" w:customStyle="1" w:styleId="BalloonTextChar">
    <w:name w:val="Balloon Text Char"/>
    <w:basedOn w:val="DefaultParagraphFont"/>
    <w:link w:val="BalloonText"/>
    <w:rsid w:val="008467D5"/>
    <w:rPr>
      <w:rFonts w:ascii="Tahoma" w:hAnsi="Tahoma" w:cs="Tahoma"/>
      <w:sz w:val="16"/>
      <w:szCs w:val="16"/>
    </w:rPr>
  </w:style>
  <w:style w:type="paragraph" w:customStyle="1" w:styleId="MainTitle">
    <w:name w:val="MainTitle"/>
    <w:basedOn w:val="Normal"/>
    <w:link w:val="MainTitleChar"/>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454FA7"/>
    <w:rPr>
      <w:i/>
      <w:u w:val="none"/>
    </w:rPr>
  </w:style>
  <w:style w:type="character" w:customStyle="1" w:styleId="Casehead4Char">
    <w:name w:val="Casehead 4 Char"/>
    <w:basedOn w:val="Casehead3Char"/>
    <w:link w:val="Casehead4"/>
    <w:rsid w:val="00454FA7"/>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iPriority w:val="99"/>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C02410"/>
    <w:pPr>
      <w:jc w:val="both"/>
    </w:pPr>
    <w:rPr>
      <w:rFonts w:ascii="Arial" w:hAnsi="Arial" w:cs="Arial"/>
      <w:sz w:val="17"/>
      <w:szCs w:val="17"/>
    </w:rPr>
  </w:style>
  <w:style w:type="character" w:customStyle="1" w:styleId="FootnoteChar">
    <w:name w:val="Footnote Char"/>
    <w:basedOn w:val="FootnoteTextChar"/>
    <w:link w:val="Footnote"/>
    <w:rsid w:val="00C02410"/>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nhideWhenUsed/>
    <w:rsid w:val="00F105B7"/>
    <w:pPr>
      <w:tabs>
        <w:tab w:val="center" w:pos="4680"/>
        <w:tab w:val="right" w:pos="9360"/>
      </w:tabs>
    </w:pPr>
  </w:style>
  <w:style w:type="character" w:customStyle="1" w:styleId="HeaderChar">
    <w:name w:val="Header Char"/>
    <w:basedOn w:val="DefaultParagraphFont"/>
    <w:link w:val="Header"/>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1"/>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nhideWhenUsed/>
    <w:rsid w:val="009A5348"/>
  </w:style>
  <w:style w:type="character" w:customStyle="1" w:styleId="CommentTextChar">
    <w:name w:val="Comment Text Char"/>
    <w:basedOn w:val="DefaultParagraphFont"/>
    <w:link w:val="CommentText"/>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link w:val="footnotetextCharChar"/>
    <w:rsid w:val="00BC4D98"/>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qFormat/>
    <w:rsid w:val="004273F8"/>
    <w:rPr>
      <w:b/>
      <w:bCs/>
    </w:rPr>
  </w:style>
  <w:style w:type="character" w:styleId="IntenseReference">
    <w:name w:val="Intense Reference"/>
    <w:qFormat/>
    <w:rsid w:val="004273F8"/>
    <w:rPr>
      <w:b/>
      <w:bCs/>
      <w:smallCaps/>
      <w:color w:val="C0504D"/>
      <w:spacing w:val="5"/>
      <w:u w:val="single"/>
    </w:rPr>
  </w:style>
  <w:style w:type="paragraph" w:styleId="EndnoteText">
    <w:name w:val="endnote text"/>
    <w:basedOn w:val="Normal"/>
    <w:link w:val="EndnoteTextChar"/>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rsid w:val="004273F8"/>
    <w:rPr>
      <w:rFonts w:ascii="Calibri" w:eastAsia="Calibri" w:hAnsi="Calibri" w:cs="Times New Roman"/>
      <w:sz w:val="20"/>
      <w:szCs w:val="20"/>
      <w:lang w:val="x-none" w:eastAsia="x-none"/>
    </w:rPr>
  </w:style>
  <w:style w:type="character" w:styleId="EndnoteReference">
    <w:name w:val="endnote reference"/>
    <w:unhideWhenUsed/>
    <w:qFormat/>
    <w:rsid w:val="004273F8"/>
    <w:rPr>
      <w:vertAlign w:val="superscript"/>
    </w:rPr>
  </w:style>
  <w:style w:type="paragraph" w:styleId="NoSpacing">
    <w:name w:val="No Spacing"/>
    <w:link w:val="NoSpacingChar"/>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rsid w:val="004273F8"/>
    <w:rPr>
      <w:rFonts w:ascii="Calibri" w:eastAsia="Calibri" w:hAnsi="Calibri" w:cs="Times New Roman"/>
      <w:lang w:val="en-IN"/>
    </w:rPr>
  </w:style>
  <w:style w:type="character" w:styleId="FollowedHyperlink">
    <w:name w:val="FollowedHyperlink"/>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3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 w:type="table" w:styleId="MediumList1">
    <w:name w:val="Medium List 1"/>
    <w:basedOn w:val="TableNormal"/>
    <w:uiPriority w:val="65"/>
    <w:rsid w:val="00DC09D8"/>
    <w:pPr>
      <w:spacing w:after="0" w:line="240" w:lineRule="auto"/>
    </w:pPr>
    <w:rPr>
      <w:color w:val="000000" w:themeColor="text1"/>
      <w:lang w:val="en-GB"/>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character" w:customStyle="1" w:styleId="MainTitleCharChar">
    <w:name w:val="MainTitle Char Char"/>
    <w:rsid w:val="00ED7922"/>
    <w:rPr>
      <w:rFonts w:ascii="Arial" w:hAnsi="Arial" w:cs="Arial"/>
      <w:b/>
      <w:bCs/>
      <w:caps/>
      <w:color w:val="000000"/>
      <w:sz w:val="28"/>
      <w:szCs w:val="28"/>
    </w:rPr>
  </w:style>
  <w:style w:type="character" w:customStyle="1" w:styleId="BodyTextMainCharCharChar">
    <w:name w:val="Body Text Main Char Char Char"/>
    <w:rsid w:val="00ED7922"/>
    <w:rPr>
      <w:rFonts w:ascii="Times New Roman" w:eastAsia="Times New Roman" w:hAnsi="Times New Roman" w:cs="Times New Roman"/>
    </w:rPr>
  </w:style>
  <w:style w:type="character" w:customStyle="1" w:styleId="CaseTitleCharChar">
    <w:name w:val="Case Title Char Char"/>
    <w:rsid w:val="00ED7922"/>
    <w:rPr>
      <w:rFonts w:ascii="Arial" w:hAnsi="Arial" w:cs="Arial"/>
      <w:b/>
      <w:bCs/>
      <w:caps/>
      <w:color w:val="000000"/>
      <w:sz w:val="28"/>
      <w:szCs w:val="28"/>
    </w:rPr>
  </w:style>
  <w:style w:type="character" w:customStyle="1" w:styleId="TeachingNoteTitleCharChar">
    <w:name w:val="Teaching Note Title Char Char"/>
    <w:rsid w:val="00ED7922"/>
    <w:rPr>
      <w:rFonts w:ascii="Arial" w:hAnsi="Arial" w:cs="Arial"/>
      <w:b/>
      <w:bCs/>
      <w:caps/>
      <w:color w:val="000000"/>
      <w:sz w:val="28"/>
      <w:szCs w:val="28"/>
    </w:rPr>
  </w:style>
  <w:style w:type="character" w:customStyle="1" w:styleId="CommentReference1">
    <w:name w:val="Comment Reference1"/>
    <w:rsid w:val="00ED7922"/>
    <w:rPr>
      <w:sz w:val="16"/>
      <w:szCs w:val="16"/>
    </w:rPr>
  </w:style>
  <w:style w:type="character" w:customStyle="1" w:styleId="Casehead2CharChar">
    <w:name w:val="Casehead 2 Char Char"/>
    <w:rsid w:val="00ED7922"/>
    <w:rPr>
      <w:rFonts w:ascii="Arial" w:eastAsia="Times New Roman" w:hAnsi="Arial" w:cs="Arial"/>
      <w:b/>
      <w:caps w:val="0"/>
      <w:sz w:val="20"/>
      <w:szCs w:val="20"/>
    </w:rPr>
  </w:style>
  <w:style w:type="character" w:customStyle="1" w:styleId="Casehead4CharChar">
    <w:name w:val="Casehead 4 Char Char"/>
    <w:rsid w:val="00ED7922"/>
    <w:rPr>
      <w:rFonts w:ascii="Times New Roman" w:eastAsia="Times New Roman" w:hAnsi="Times New Roman" w:cs="Times New Roman"/>
      <w:b w:val="0"/>
      <w:i/>
      <w:caps w:val="0"/>
      <w:sz w:val="20"/>
      <w:szCs w:val="20"/>
      <w:u w:val="single"/>
    </w:rPr>
  </w:style>
  <w:style w:type="character" w:customStyle="1" w:styleId="Casehead1CharChar">
    <w:name w:val="Casehead 1 Char Char"/>
    <w:rsid w:val="00ED7922"/>
    <w:rPr>
      <w:rFonts w:ascii="Arial" w:eastAsia="Times New Roman" w:hAnsi="Arial" w:cs="Arial"/>
      <w:b/>
      <w:caps/>
      <w:sz w:val="20"/>
      <w:szCs w:val="20"/>
    </w:rPr>
  </w:style>
  <w:style w:type="character" w:customStyle="1" w:styleId="hps">
    <w:name w:val="hps"/>
    <w:basedOn w:val="DefaultParagraphFont"/>
    <w:rsid w:val="00ED7922"/>
  </w:style>
  <w:style w:type="character" w:customStyle="1" w:styleId="ExhibitNumberCharChar">
    <w:name w:val="Exhibit Number Char Char"/>
    <w:rsid w:val="00ED7922"/>
    <w:rPr>
      <w:rFonts w:ascii="Arial" w:eastAsia="Times New Roman" w:hAnsi="Arial" w:cs="Arial"/>
      <w:b/>
      <w:sz w:val="20"/>
      <w:szCs w:val="20"/>
    </w:rPr>
  </w:style>
  <w:style w:type="character" w:customStyle="1" w:styleId="Quotation3LinesCharChar">
    <w:name w:val="Quotation (3+ Lines) Char Char"/>
    <w:rsid w:val="00ED7922"/>
    <w:rPr>
      <w:rFonts w:ascii="Times New Roman" w:eastAsia="Times New Roman" w:hAnsi="Times New Roman" w:cs="Times New Roman"/>
    </w:rPr>
  </w:style>
  <w:style w:type="character" w:customStyle="1" w:styleId="FootnoteCharChar">
    <w:name w:val="Footnote Char Char"/>
    <w:rsid w:val="00ED7922"/>
    <w:rPr>
      <w:rFonts w:ascii="Arial" w:eastAsia="Times New Roman" w:hAnsi="Arial" w:cs="Arial"/>
      <w:kern w:val="2"/>
      <w:sz w:val="17"/>
      <w:szCs w:val="17"/>
    </w:rPr>
  </w:style>
  <w:style w:type="character" w:customStyle="1" w:styleId="ExhibitHeadingCharChar">
    <w:name w:val="Exhibit Heading Char Char"/>
    <w:rsid w:val="00ED7922"/>
    <w:rPr>
      <w:rFonts w:ascii="Arial" w:eastAsia="Times New Roman" w:hAnsi="Arial" w:cs="Arial"/>
      <w:b/>
      <w:caps/>
      <w:sz w:val="20"/>
      <w:szCs w:val="20"/>
    </w:rPr>
  </w:style>
  <w:style w:type="character" w:customStyle="1" w:styleId="CommentSubjectCharChar">
    <w:name w:val="Comment Subject Char Char"/>
    <w:rsid w:val="00ED7922"/>
    <w:rPr>
      <w:rFonts w:ascii="Times New Roman" w:eastAsia="Times New Roman" w:hAnsi="Times New Roman" w:cs="Times New Roman"/>
      <w:b/>
      <w:bCs/>
      <w:sz w:val="20"/>
      <w:szCs w:val="20"/>
    </w:rPr>
  </w:style>
  <w:style w:type="character" w:customStyle="1" w:styleId="Casehead3CharChar">
    <w:name w:val="Casehead 3 Char Char"/>
    <w:rsid w:val="00ED7922"/>
    <w:rPr>
      <w:rFonts w:ascii="Times New Roman" w:eastAsia="Times New Roman" w:hAnsi="Times New Roman" w:cs="Times New Roman"/>
      <w:b w:val="0"/>
      <w:caps w:val="0"/>
      <w:sz w:val="20"/>
      <w:szCs w:val="20"/>
      <w:u w:val="single"/>
    </w:rPr>
  </w:style>
  <w:style w:type="character" w:customStyle="1" w:styleId="BodyTextIndentCharChar">
    <w:name w:val="Body Text Indent Char Char"/>
    <w:link w:val="BodyTextIndent1"/>
    <w:rsid w:val="00ED7922"/>
    <w:rPr>
      <w:rFonts w:ascii="Times New Roman" w:eastAsia="Times New Roman" w:hAnsi="Times New Roman" w:cs="Times New Roman"/>
      <w:sz w:val="20"/>
      <w:szCs w:val="20"/>
    </w:rPr>
  </w:style>
  <w:style w:type="character" w:customStyle="1" w:styleId="BodyTextMainCharChar">
    <w:name w:val="Body Text Main Char Char"/>
    <w:rsid w:val="00ED7922"/>
    <w:rPr>
      <w:rFonts w:ascii="Times New Roman" w:eastAsia="Times New Roman" w:hAnsi="Times New Roman" w:cs="Times New Roman"/>
    </w:rPr>
  </w:style>
  <w:style w:type="character" w:customStyle="1" w:styleId="CommentSubjectChar1">
    <w:name w:val="Comment Subject Char1"/>
    <w:link w:val="CommentSubject1"/>
    <w:rsid w:val="00ED7922"/>
    <w:rPr>
      <w:rFonts w:ascii="Times New Roman" w:eastAsia="Times New Roman" w:hAnsi="Times New Roman" w:cs="Times New Roman"/>
      <w:b/>
      <w:bCs/>
      <w:kern w:val="2"/>
      <w:szCs w:val="20"/>
    </w:rPr>
  </w:style>
  <w:style w:type="character" w:customStyle="1" w:styleId="CommentReference2">
    <w:name w:val="Comment Reference2"/>
    <w:rsid w:val="00ED7922"/>
    <w:rPr>
      <w:sz w:val="16"/>
      <w:szCs w:val="16"/>
    </w:rPr>
  </w:style>
  <w:style w:type="character" w:customStyle="1" w:styleId="atn">
    <w:name w:val="atn"/>
    <w:basedOn w:val="DefaultParagraphFont"/>
    <w:rsid w:val="00ED7922"/>
  </w:style>
  <w:style w:type="character" w:customStyle="1" w:styleId="footnotetextCharChar">
    <w:name w:val="footnote text Char Char"/>
    <w:link w:val="FootnoteText1"/>
    <w:rsid w:val="00ED7922"/>
    <w:rPr>
      <w:rFonts w:ascii="Arial" w:eastAsia="Times New Roman" w:hAnsi="Arial" w:cs="Arial"/>
      <w:iCs/>
      <w:sz w:val="17"/>
      <w:szCs w:val="17"/>
    </w:rPr>
  </w:style>
  <w:style w:type="character" w:customStyle="1" w:styleId="BodyTextIndent3CharChar">
    <w:name w:val="Body Text Indent 3 Char Char"/>
    <w:link w:val="BodyTextIndent31"/>
    <w:rsid w:val="00ED7922"/>
    <w:rPr>
      <w:rFonts w:ascii="Times New Roman" w:eastAsia="Times New Roman" w:hAnsi="Times New Roman" w:cs="Times New Roman"/>
      <w:sz w:val="16"/>
      <w:szCs w:val="16"/>
    </w:rPr>
  </w:style>
  <w:style w:type="character" w:customStyle="1" w:styleId="ProductNumberCharChar">
    <w:name w:val="Product Number Char Char"/>
    <w:rsid w:val="00ED7922"/>
    <w:rPr>
      <w:rFonts w:ascii="Arial" w:eastAsia="Times New Roman" w:hAnsi="Arial" w:cs="Times New Roman"/>
      <w:b/>
      <w:caps/>
      <w:sz w:val="24"/>
      <w:szCs w:val="20"/>
    </w:rPr>
  </w:style>
  <w:style w:type="character" w:customStyle="1" w:styleId="PageNumber1">
    <w:name w:val="Page Number1"/>
    <w:basedOn w:val="DefaultParagraphFont"/>
    <w:rsid w:val="00ED7922"/>
  </w:style>
  <w:style w:type="character" w:customStyle="1" w:styleId="ExhibitTextCharChar">
    <w:name w:val="Exhibit Text Char Char"/>
    <w:rsid w:val="00ED7922"/>
    <w:rPr>
      <w:rFonts w:ascii="Arial" w:eastAsia="Times New Roman" w:hAnsi="Arial" w:cs="Arial"/>
      <w:sz w:val="20"/>
      <w:szCs w:val="20"/>
    </w:rPr>
  </w:style>
  <w:style w:type="paragraph" w:customStyle="1" w:styleId="NewNew">
    <w:name w:val="页眉 New New"/>
    <w:basedOn w:val="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BodyTextIndent1">
    <w:name w:val="Body Text Indent1"/>
    <w:basedOn w:val="Normal"/>
    <w:link w:val="BodyTextIndentCharChar"/>
    <w:rsid w:val="00ED7922"/>
    <w:pPr>
      <w:spacing w:after="120"/>
      <w:ind w:left="360"/>
    </w:pPr>
  </w:style>
  <w:style w:type="paragraph" w:customStyle="1" w:styleId="NormalNew">
    <w:name w:val="Normal New"/>
    <w:rsid w:val="00ED7922"/>
    <w:pPr>
      <w:spacing w:after="0" w:line="240" w:lineRule="auto"/>
      <w:jc w:val="both"/>
    </w:pPr>
    <w:rPr>
      <w:rFonts w:ascii="Times New Roman" w:eastAsia="SimSun" w:hAnsi="Times New Roman" w:cs="Times New Roman"/>
      <w:kern w:val="2"/>
      <w:sz w:val="21"/>
      <w:szCs w:val="20"/>
    </w:rPr>
  </w:style>
  <w:style w:type="paragraph" w:customStyle="1" w:styleId="BodyTextIndent31">
    <w:name w:val="Body Text Indent 31"/>
    <w:basedOn w:val="Normal"/>
    <w:link w:val="BodyTextIndent3CharChar"/>
    <w:rsid w:val="00ED7922"/>
    <w:pPr>
      <w:spacing w:after="120"/>
      <w:ind w:left="360"/>
    </w:pPr>
    <w:rPr>
      <w:sz w:val="16"/>
      <w:szCs w:val="16"/>
    </w:rPr>
  </w:style>
  <w:style w:type="paragraph" w:customStyle="1" w:styleId="NewNew0">
    <w:name w:val="页脚 New New"/>
    <w:basedOn w:val="NewNewNewNewNew"/>
    <w:rsid w:val="00ED7922"/>
    <w:pPr>
      <w:tabs>
        <w:tab w:val="center" w:pos="4153"/>
        <w:tab w:val="right" w:pos="8306"/>
      </w:tabs>
      <w:snapToGrid w:val="0"/>
      <w:jc w:val="left"/>
    </w:pPr>
    <w:rPr>
      <w:rFonts w:ascii="Calibri" w:hAnsi="Calibri"/>
      <w:sz w:val="18"/>
      <w:szCs w:val="18"/>
    </w:rPr>
  </w:style>
  <w:style w:type="paragraph" w:customStyle="1" w:styleId="New">
    <w:name w:val="页脚 New"/>
    <w:basedOn w:val="NewNewNewNew"/>
    <w:rsid w:val="00ED7922"/>
    <w:pPr>
      <w:tabs>
        <w:tab w:val="center" w:pos="4153"/>
        <w:tab w:val="right" w:pos="8306"/>
      </w:tabs>
      <w:snapToGrid w:val="0"/>
      <w:jc w:val="left"/>
    </w:pPr>
    <w:rPr>
      <w:rFonts w:ascii="Calibri" w:hAnsi="Calibri"/>
      <w:sz w:val="18"/>
      <w:szCs w:val="18"/>
    </w:rPr>
  </w:style>
  <w:style w:type="paragraph" w:customStyle="1" w:styleId="NewNewNewNew0">
    <w:name w:val="页眉 New New New New"/>
    <w:basedOn w:val="New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New1">
    <w:name w:val="页脚 New New New New"/>
    <w:basedOn w:val="NewNewNewNewNewNewNew"/>
    <w:rsid w:val="00ED7922"/>
    <w:pPr>
      <w:tabs>
        <w:tab w:val="center" w:pos="4153"/>
        <w:tab w:val="right" w:pos="8306"/>
      </w:tabs>
      <w:snapToGrid w:val="0"/>
      <w:jc w:val="left"/>
    </w:pPr>
    <w:rPr>
      <w:rFonts w:ascii="Calibri" w:hAnsi="Calibri"/>
      <w:sz w:val="18"/>
      <w:szCs w:val="18"/>
    </w:rPr>
  </w:style>
  <w:style w:type="paragraph" w:customStyle="1" w:styleId="Normal2">
    <w:name w:val="Normal2"/>
    <w:rsid w:val="00ED7922"/>
    <w:pPr>
      <w:spacing w:after="0" w:line="240" w:lineRule="auto"/>
      <w:jc w:val="both"/>
    </w:pPr>
    <w:rPr>
      <w:rFonts w:ascii="Times New Roman" w:eastAsia="SimSun" w:hAnsi="Times New Roman" w:cs="Times New Roman"/>
      <w:kern w:val="2"/>
      <w:sz w:val="21"/>
      <w:szCs w:val="20"/>
    </w:rPr>
  </w:style>
  <w:style w:type="paragraph" w:customStyle="1" w:styleId="CommentSubject1">
    <w:name w:val="Comment Subject1"/>
    <w:basedOn w:val="CommentText"/>
    <w:next w:val="CommentText"/>
    <w:link w:val="CommentSubjectChar1"/>
    <w:rsid w:val="00ED7922"/>
    <w:rPr>
      <w:b/>
      <w:bCs/>
      <w:kern w:val="2"/>
      <w:sz w:val="22"/>
    </w:rPr>
  </w:style>
  <w:style w:type="paragraph" w:customStyle="1" w:styleId="NormalWeb1">
    <w:name w:val="Normal (Web)1"/>
    <w:basedOn w:val="Normal"/>
    <w:rsid w:val="00ED7922"/>
    <w:pPr>
      <w:spacing w:before="100" w:beforeAutospacing="1" w:after="100" w:afterAutospacing="1"/>
    </w:pPr>
    <w:rPr>
      <w:kern w:val="2"/>
      <w:sz w:val="24"/>
      <w:szCs w:val="24"/>
    </w:rPr>
  </w:style>
  <w:style w:type="paragraph" w:customStyle="1" w:styleId="Normal1">
    <w:name w:val="Normal1"/>
    <w:rsid w:val="00ED7922"/>
    <w:pPr>
      <w:spacing w:after="0" w:line="240" w:lineRule="auto"/>
      <w:jc w:val="both"/>
    </w:pPr>
    <w:rPr>
      <w:rFonts w:ascii="Times New Roman" w:eastAsia="SimSun" w:hAnsi="Times New Roman" w:cs="Times New Roman"/>
      <w:kern w:val="2"/>
      <w:sz w:val="21"/>
      <w:szCs w:val="20"/>
    </w:rPr>
  </w:style>
  <w:style w:type="paragraph" w:customStyle="1" w:styleId="New0">
    <w:name w:val="页眉 New"/>
    <w:basedOn w:val="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
    <w:name w:val="页眉 New New New"/>
    <w:basedOn w:val="NewNewNewNewNewNew"/>
    <w:rsid w:val="00ED7922"/>
    <w:pPr>
      <w:pBdr>
        <w:bottom w:val="single" w:sz="6" w:space="1" w:color="auto"/>
      </w:pBdr>
      <w:tabs>
        <w:tab w:val="center" w:pos="4153"/>
        <w:tab w:val="right" w:pos="8306"/>
      </w:tabs>
      <w:snapToGrid w:val="0"/>
      <w:jc w:val="center"/>
    </w:pPr>
    <w:rPr>
      <w:rFonts w:ascii="Calibri" w:hAnsi="Calibri"/>
      <w:sz w:val="18"/>
      <w:szCs w:val="18"/>
    </w:rPr>
  </w:style>
  <w:style w:type="paragraph" w:customStyle="1" w:styleId="NewNewNew0">
    <w:name w:val="页脚 New New New"/>
    <w:basedOn w:val="NewNewNewNewNewNew"/>
    <w:rsid w:val="00ED7922"/>
    <w:pPr>
      <w:tabs>
        <w:tab w:val="center" w:pos="4153"/>
        <w:tab w:val="right" w:pos="8306"/>
      </w:tabs>
      <w:snapToGrid w:val="0"/>
      <w:jc w:val="left"/>
    </w:pPr>
    <w:rPr>
      <w:rFonts w:ascii="Calibri" w:hAnsi="Calibri"/>
      <w:sz w:val="18"/>
      <w:szCs w:val="18"/>
    </w:rPr>
  </w:style>
  <w:style w:type="paragraph" w:customStyle="1" w:styleId="Normal3">
    <w:name w:val="Normal3"/>
    <w:link w:val="Normal3Char"/>
    <w:rsid w:val="00ED7922"/>
    <w:pPr>
      <w:spacing w:after="0" w:line="240" w:lineRule="auto"/>
      <w:jc w:val="both"/>
    </w:pPr>
    <w:rPr>
      <w:rFonts w:ascii="Times New Roman" w:eastAsia="SimSun" w:hAnsi="Times New Roman" w:cs="Times New Roman"/>
      <w:kern w:val="2"/>
      <w:sz w:val="21"/>
      <w:szCs w:val="20"/>
    </w:rPr>
  </w:style>
  <w:style w:type="paragraph" w:customStyle="1" w:styleId="New1">
    <w:name w:val="正文 New"/>
    <w:rsid w:val="00ED7922"/>
    <w:pPr>
      <w:spacing w:after="0" w:line="240" w:lineRule="auto"/>
    </w:pPr>
    <w:rPr>
      <w:rFonts w:ascii="Times New Roman" w:eastAsia="Times New Roman" w:hAnsi="Times New Roman" w:cs="Times New Roman"/>
      <w:kern w:val="2"/>
      <w:sz w:val="20"/>
      <w:szCs w:val="20"/>
    </w:rPr>
  </w:style>
  <w:style w:type="paragraph" w:customStyle="1" w:styleId="NewNewNewNewNew">
    <w:name w:val="正文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
    <w:name w:val="正文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styleId="TOCHeading">
    <w:name w:val="TOC Heading"/>
    <w:basedOn w:val="Heading1"/>
    <w:next w:val="Normal"/>
    <w:qFormat/>
    <w:rsid w:val="00ED7922"/>
    <w:pPr>
      <w:spacing w:before="240" w:line="259" w:lineRule="auto"/>
      <w:outlineLvl w:val="9"/>
    </w:pPr>
    <w:rPr>
      <w:rFonts w:ascii="Cambria" w:hAnsi="Cambria"/>
      <w:b w:val="0"/>
      <w:bCs w:val="0"/>
      <w:color w:val="365F90"/>
      <w:kern w:val="2"/>
      <w:sz w:val="32"/>
      <w:szCs w:val="32"/>
      <w:lang w:val="en-US" w:eastAsia="en-US"/>
    </w:rPr>
  </w:style>
  <w:style w:type="paragraph" w:customStyle="1" w:styleId="NewNew1">
    <w:name w:val="正文 New New"/>
    <w:rsid w:val="00ED7922"/>
    <w:pPr>
      <w:widowControl w:val="0"/>
      <w:spacing w:after="0" w:line="240" w:lineRule="auto"/>
      <w:jc w:val="both"/>
    </w:pPr>
    <w:rPr>
      <w:rFonts w:ascii="Calibri" w:eastAsia="SimSun" w:hAnsi="Calibri" w:cs="Times New Roman"/>
      <w:kern w:val="2"/>
      <w:sz w:val="21"/>
      <w:szCs w:val="24"/>
      <w:lang w:eastAsia="zh-CN"/>
    </w:rPr>
  </w:style>
  <w:style w:type="paragraph" w:customStyle="1" w:styleId="NewNewNewNewNewNew">
    <w:name w:val="正文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NewNewNewNewNewNewNew">
    <w:name w:val="正文 New New New New New New New"/>
    <w:rsid w:val="00ED7922"/>
    <w:pPr>
      <w:widowControl w:val="0"/>
      <w:spacing w:after="0" w:line="240" w:lineRule="auto"/>
      <w:jc w:val="both"/>
    </w:pPr>
    <w:rPr>
      <w:rFonts w:ascii="Times New Roman" w:eastAsia="SimSun" w:hAnsi="Times New Roman" w:cs="Calibri"/>
      <w:kern w:val="2"/>
      <w:sz w:val="21"/>
      <w:szCs w:val="21"/>
      <w:lang w:eastAsia="zh-CN"/>
    </w:rPr>
  </w:style>
  <w:style w:type="paragraph" w:customStyle="1" w:styleId="Default">
    <w:name w:val="Default"/>
    <w:rsid w:val="00ED7922"/>
    <w:pPr>
      <w:widowControl w:val="0"/>
      <w:autoSpaceDE w:val="0"/>
      <w:autoSpaceDN w:val="0"/>
      <w:spacing w:after="0" w:line="240" w:lineRule="auto"/>
    </w:pPr>
    <w:rPr>
      <w:rFonts w:ascii="KaiTi_GB2312" w:eastAsia="KaiTi_GB2312" w:hAnsi="KaiTi_GB2312" w:cs="Times New Roman" w:hint="eastAsia"/>
      <w:color w:val="000000"/>
      <w:sz w:val="24"/>
      <w:szCs w:val="20"/>
    </w:rPr>
  </w:style>
  <w:style w:type="paragraph" w:customStyle="1" w:styleId="NewNewNew1">
    <w:name w:val="正文 New New New"/>
    <w:rsid w:val="00ED7922"/>
    <w:pPr>
      <w:widowControl w:val="0"/>
      <w:spacing w:after="0" w:line="240" w:lineRule="auto"/>
      <w:jc w:val="both"/>
    </w:pPr>
    <w:rPr>
      <w:rFonts w:ascii="Calibri" w:eastAsia="SimSun" w:hAnsi="Calibri" w:cs="Times New Roman"/>
      <w:kern w:val="2"/>
      <w:sz w:val="21"/>
      <w:szCs w:val="24"/>
      <w:lang w:eastAsia="zh-CN"/>
    </w:rPr>
  </w:style>
  <w:style w:type="character" w:customStyle="1" w:styleId="CommentSubjectChar2">
    <w:name w:val="Comment Subject Char2"/>
    <w:uiPriority w:val="99"/>
    <w:semiHidden/>
    <w:rsid w:val="00ED7922"/>
    <w:rPr>
      <w:rFonts w:ascii="Times New Roman" w:eastAsia="Times New Roman" w:hAnsi="Times New Roman" w:cs="Times New Roman"/>
      <w:b/>
      <w:bCs/>
      <w:kern w:val="2"/>
      <w:sz w:val="20"/>
      <w:szCs w:val="20"/>
      <w:lang w:val="en-US" w:eastAsia="en-US"/>
    </w:rPr>
  </w:style>
  <w:style w:type="paragraph" w:customStyle="1" w:styleId="Paragraph">
    <w:name w:val="Paragraph"/>
    <w:basedOn w:val="Normal3"/>
    <w:link w:val="ParagraphChar"/>
    <w:qFormat/>
    <w:rsid w:val="00ED7922"/>
    <w:pPr>
      <w:widowControl w:val="0"/>
      <w:autoSpaceDE w:val="0"/>
      <w:autoSpaceDN w:val="0"/>
    </w:pPr>
    <w:rPr>
      <w:lang w:val="en-CA"/>
    </w:rPr>
  </w:style>
  <w:style w:type="character" w:customStyle="1" w:styleId="Normal3Char">
    <w:name w:val="Normal3 Char"/>
    <w:basedOn w:val="DefaultParagraphFont"/>
    <w:link w:val="Normal3"/>
    <w:rsid w:val="00ED7922"/>
    <w:rPr>
      <w:rFonts w:ascii="Times New Roman" w:eastAsia="SimSun" w:hAnsi="Times New Roman" w:cs="Times New Roman"/>
      <w:kern w:val="2"/>
      <w:sz w:val="21"/>
      <w:szCs w:val="20"/>
    </w:rPr>
  </w:style>
  <w:style w:type="character" w:customStyle="1" w:styleId="ParagraphChar">
    <w:name w:val="Paragraph Char"/>
    <w:basedOn w:val="Normal3Char"/>
    <w:link w:val="Paragraph"/>
    <w:rsid w:val="00ED7922"/>
    <w:rPr>
      <w:rFonts w:ascii="Times New Roman" w:eastAsia="SimSun" w:hAnsi="Times New Roman" w:cs="Times New Roman"/>
      <w:kern w:val="2"/>
      <w:sz w:val="21"/>
      <w:szCs w:val="20"/>
      <w:lang w:val="en-CA"/>
    </w:rPr>
  </w:style>
  <w:style w:type="paragraph" w:customStyle="1" w:styleId="TableParagraph">
    <w:name w:val="Table Paragraph"/>
    <w:basedOn w:val="Normal"/>
    <w:uiPriority w:val="1"/>
    <w:qFormat/>
    <w:rsid w:val="00ED7922"/>
    <w:pPr>
      <w:widowControl w:val="0"/>
      <w:autoSpaceDE w:val="0"/>
      <w:autoSpaceDN w:val="0"/>
      <w:jc w:val="right"/>
    </w:pPr>
    <w:rPr>
      <w:sz w:val="22"/>
      <w:szCs w:val="22"/>
    </w:rPr>
  </w:style>
  <w:style w:type="table" w:customStyle="1" w:styleId="TableGrid1">
    <w:name w:val="Table Grid1"/>
    <w:basedOn w:val="TableNormal"/>
    <w:next w:val="TableGrid"/>
    <w:rsid w:val="009F04A8"/>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rsid w:val="00C66EE0"/>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3">
    <w:name w:val="Table Grid3"/>
    <w:basedOn w:val="TableNormal"/>
    <w:next w:val="TableGrid"/>
    <w:rsid w:val="004359AE"/>
    <w:pPr>
      <w:spacing w:after="0" w:line="240" w:lineRule="auto"/>
    </w:pPr>
    <w:rPr>
      <w:rFonts w:ascii="Times New Roman" w:eastAsia="Times New Roman" w:hAnsi="Times New Roman" w:cs="Times New Roman"/>
      <w:sz w:val="20"/>
      <w:szCs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dgca.nic.in/reports/Traffic-ind.ht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gca.nic.in/reports/Traffic-ind.ht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tcil.com/tcil/indian-road-freight-index.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dgca.gov.in/reports/stat-ind.htm" TargetMode="External"/><Relationship Id="rId5" Type="http://schemas.openxmlformats.org/officeDocument/2006/relationships/webSettings" Target="webSettings.xml"/><Relationship Id="rId15" Type="http://schemas.openxmlformats.org/officeDocument/2006/relationships/hyperlink" Target="http://www.statista.com/statistics/262860/uk-brent-crude-oil-price-changes-since-1976/"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data.worldbank.org/indicator/IS.AIR.PSGR" TargetMode="External"/><Relationship Id="rId14" Type="http://schemas.openxmlformats.org/officeDocument/2006/relationships/hyperlink" Target="http://dgca.nic.in/reports/Traffic-ind.htm" TargetMode="External"/><Relationship Id="rId22" Type="http://schemas.microsoft.com/office/2016/09/relationships/commentsIds" Target="commentsIds.xml"/></Relationships>
</file>

<file path=word/_rels/endnotes.xml.rels><?xml version="1.0" encoding="UTF-8" standalone="yes"?>
<Relationships xmlns="http://schemas.openxmlformats.org/package/2006/relationships"><Relationship Id="rId3" Type="http://schemas.openxmlformats.org/officeDocument/2006/relationships/hyperlink" Target="https://timesofindia.indiatimes.com/business/india-business/IndiGo-named-CAPA-low-cost-carrier-of-the-year-at-World-Aviation-Summit/articleshow/49272661.cms" TargetMode="External"/><Relationship Id="rId2" Type="http://schemas.openxmlformats.org/officeDocument/2006/relationships/hyperlink" Target="http://www.bangaloreaviation.com/2016/02/2015-annual-review-the-best-airlines-in-india.html" TargetMode="External"/><Relationship Id="rId1" Type="http://schemas.openxmlformats.org/officeDocument/2006/relationships/hyperlink" Target="http://www.forbesindia.com/article/special/indigo-reports-its-8th-year-of-consecutive-profit/43141/1" TargetMode="External"/><Relationship Id="rId5" Type="http://schemas.openxmlformats.org/officeDocument/2006/relationships/hyperlink" Target="https://economictimes.indiatimes.com/industry/transportation/airlines-/-aviation/hike-in-railway-fare-likely-to-make-flying-an-attractive-option/articleshow/36916823.cms" TargetMode="External"/><Relationship Id="rId4" Type="http://schemas.openxmlformats.org/officeDocument/2006/relationships/hyperlink" Target="http://www.investopedia.com/ask/answers/040715/what-are-major-expenses-affect-companies-airline-industry.asp"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RKP-14-12-2016\IMI-Case%20-Writing\Indigo\Domestic%20Paasengers%20in%20India%20and%20Chin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Sheet3!$F$3</c:f>
              <c:strCache>
                <c:ptCount val="1"/>
              </c:strCache>
            </c:strRef>
          </c:tx>
          <c:spPr>
            <a:solidFill>
              <a:schemeClr val="dk1">
                <a:tint val="88500"/>
              </a:schemeClr>
            </a:solidFill>
            <a:ln>
              <a:noFill/>
            </a:ln>
            <a:effectLst/>
          </c:spPr>
          <c:invertIfNegative val="0"/>
          <c:cat>
            <c:numRef>
              <c:f>Sheet3!$E$4:$E$16</c:f>
              <c:numCache>
                <c:formatCode>General</c:formatCode>
                <c:ptCount val="13"/>
                <c:pt idx="0">
                  <c:v>2006</c:v>
                </c:pt>
                <c:pt idx="1">
                  <c:v>2007</c:v>
                </c:pt>
                <c:pt idx="2">
                  <c:v>2008</c:v>
                </c:pt>
                <c:pt idx="3">
                  <c:v>2009</c:v>
                </c:pt>
                <c:pt idx="4">
                  <c:v>2010</c:v>
                </c:pt>
                <c:pt idx="5">
                  <c:v>2011</c:v>
                </c:pt>
                <c:pt idx="6">
                  <c:v>2012</c:v>
                </c:pt>
                <c:pt idx="7">
                  <c:v>2013</c:v>
                </c:pt>
                <c:pt idx="8">
                  <c:v>2014</c:v>
                </c:pt>
                <c:pt idx="9">
                  <c:v>2015</c:v>
                </c:pt>
                <c:pt idx="10">
                  <c:v>2016</c:v>
                </c:pt>
                <c:pt idx="11">
                  <c:v>2017</c:v>
                </c:pt>
                <c:pt idx="12">
                  <c:v>2018</c:v>
                </c:pt>
              </c:numCache>
            </c:numRef>
          </c:cat>
          <c:val>
            <c:numRef>
              <c:f>Sheet3!$F$4:$F$16</c:f>
              <c:numCache>
                <c:formatCode>0.0</c:formatCode>
                <c:ptCount val="13"/>
                <c:pt idx="0">
                  <c:v>40.288794000000003</c:v>
                </c:pt>
                <c:pt idx="1">
                  <c:v>51.897449999999999</c:v>
                </c:pt>
                <c:pt idx="2">
                  <c:v>49.877935000000001</c:v>
                </c:pt>
                <c:pt idx="3">
                  <c:v>54.446373000000001</c:v>
                </c:pt>
                <c:pt idx="4">
                  <c:v>64.374253999999993</c:v>
                </c:pt>
                <c:pt idx="5">
                  <c:v>73.996911999999995</c:v>
                </c:pt>
                <c:pt idx="6">
                  <c:v>72.151829000000006</c:v>
                </c:pt>
                <c:pt idx="7">
                  <c:v>75.589078999999998</c:v>
                </c:pt>
                <c:pt idx="8">
                  <c:v>82.751554999999996</c:v>
                </c:pt>
                <c:pt idx="9">
                  <c:v>87.412245999999996</c:v>
                </c:pt>
                <c:pt idx="10">
                  <c:v>99.888000000000005</c:v>
                </c:pt>
                <c:pt idx="11">
                  <c:v>117.176</c:v>
                </c:pt>
                <c:pt idx="12">
                  <c:v>135.16</c:v>
                </c:pt>
              </c:numCache>
            </c:numRef>
          </c:val>
          <c:extLst xmlns:c16r2="http://schemas.microsoft.com/office/drawing/2015/06/chart">
            <c:ext xmlns:c16="http://schemas.microsoft.com/office/drawing/2014/chart" uri="{C3380CC4-5D6E-409C-BE32-E72D297353CC}">
              <c16:uniqueId val="{00000000-27DE-9C4A-995C-C8F677159E9F}"/>
            </c:ext>
          </c:extLst>
        </c:ser>
        <c:dLbls>
          <c:showLegendKey val="0"/>
          <c:showVal val="0"/>
          <c:showCatName val="0"/>
          <c:showSerName val="0"/>
          <c:showPercent val="0"/>
          <c:showBubbleSize val="0"/>
        </c:dLbls>
        <c:gapWidth val="219"/>
        <c:overlap val="-27"/>
        <c:axId val="166436544"/>
        <c:axId val="165213032"/>
      </c:barChart>
      <c:catAx>
        <c:axId val="166436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5213032"/>
        <c:crosses val="autoZero"/>
        <c:auto val="1"/>
        <c:lblAlgn val="ctr"/>
        <c:lblOffset val="100"/>
        <c:noMultiLvlLbl val="0"/>
      </c:catAx>
      <c:valAx>
        <c:axId val="165213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Passengers</a:t>
                </a:r>
              </a:p>
            </c:rich>
          </c:tx>
          <c:layout>
            <c:manualLayout>
              <c:xMode val="edge"/>
              <c:yMode val="edge"/>
              <c:x val="2.392604676454595E-2"/>
              <c:y val="0.3690173152955560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4365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57E24F-0B98-41F2-B36F-68E30D665E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11</Pages>
  <Words>4387</Words>
  <Characters>25007</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29336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smuir</dc:creator>
  <cp:keywords/>
  <dc:description/>
  <cp:lastModifiedBy>McCutcheon, Amber</cp:lastModifiedBy>
  <cp:revision>5</cp:revision>
  <cp:lastPrinted>2018-09-11T15:40:00Z</cp:lastPrinted>
  <dcterms:created xsi:type="dcterms:W3CDTF">2019-04-22T15:23:00Z</dcterms:created>
  <dcterms:modified xsi:type="dcterms:W3CDTF">2019-04-25T13:43:00Z</dcterms:modified>
</cp:coreProperties>
</file>