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98EA8" w14:textId="01920A5D" w:rsidR="001D7D10" w:rsidRPr="00243C46" w:rsidRDefault="006D5F79" w:rsidP="00197135">
      <w:pPr>
        <w:pBdr>
          <w:bottom w:val="single" w:sz="18" w:space="1" w:color="auto"/>
        </w:pBdr>
        <w:tabs>
          <w:tab w:val="left" w:pos="-1440"/>
          <w:tab w:val="left" w:pos="-720"/>
          <w:tab w:val="left" w:pos="1"/>
        </w:tabs>
        <w:jc w:val="both"/>
        <w:rPr>
          <w:rFonts w:ascii="Arial" w:hAnsi="Arial"/>
          <w:b/>
          <w:lang w:val="en-GB"/>
        </w:rPr>
      </w:pPr>
      <w:r w:rsidRPr="006D5F79">
        <w:rPr>
          <w:rFonts w:ascii="Arial" w:hAnsi="Arial"/>
          <w:b/>
          <w:noProof/>
          <w:lang w:val="en-US"/>
        </w:rPr>
        <w:drawing>
          <wp:inline distT="0" distB="0" distL="0" distR="0" wp14:anchorId="5A5698C4" wp14:editId="472F6DBF">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5F3FBC6" w14:textId="695E3FE4" w:rsidR="00197135" w:rsidRPr="00243C46" w:rsidRDefault="006D5F79" w:rsidP="00197135">
      <w:pPr>
        <w:pStyle w:val="ProductNumber"/>
        <w:rPr>
          <w:lang w:val="en-GB"/>
        </w:rPr>
      </w:pPr>
      <w:r>
        <w:rPr>
          <w:lang w:val="en-GB"/>
        </w:rPr>
        <w:t>9B19M029</w:t>
      </w:r>
    </w:p>
    <w:p w14:paraId="5C0EC9E6" w14:textId="77777777" w:rsidR="00197135" w:rsidRPr="00243C46" w:rsidRDefault="00197135" w:rsidP="00197135">
      <w:pPr>
        <w:jc w:val="right"/>
        <w:rPr>
          <w:rFonts w:ascii="Arial" w:hAnsi="Arial"/>
          <w:b/>
          <w:sz w:val="28"/>
          <w:szCs w:val="28"/>
          <w:lang w:val="en-GB"/>
        </w:rPr>
      </w:pPr>
    </w:p>
    <w:p w14:paraId="3E6456C5" w14:textId="77777777" w:rsidR="00197135" w:rsidRPr="00243C46" w:rsidRDefault="00197135" w:rsidP="00197135">
      <w:pPr>
        <w:jc w:val="right"/>
        <w:rPr>
          <w:rFonts w:ascii="Arial" w:hAnsi="Arial"/>
          <w:b/>
          <w:sz w:val="28"/>
          <w:szCs w:val="28"/>
          <w:lang w:val="en-GB"/>
        </w:rPr>
      </w:pPr>
    </w:p>
    <w:p w14:paraId="2A6191B8" w14:textId="7A6199D5" w:rsidR="006B71D3" w:rsidRPr="00243C46" w:rsidRDefault="00197135" w:rsidP="00197135">
      <w:pPr>
        <w:pStyle w:val="CaseTitle"/>
        <w:spacing w:after="0" w:line="240" w:lineRule="auto"/>
        <w:rPr>
          <w:lang w:val="en-GB"/>
        </w:rPr>
      </w:pPr>
      <w:r w:rsidRPr="00243C46">
        <w:rPr>
          <w:lang w:val="en-GB"/>
        </w:rPr>
        <w:t>what busines</w:t>
      </w:r>
      <w:r w:rsidR="00325660" w:rsidRPr="00243C46">
        <w:rPr>
          <w:lang w:val="en-GB"/>
        </w:rPr>
        <w:t>s</w:t>
      </w:r>
      <w:r w:rsidRPr="00243C46">
        <w:rPr>
          <w:lang w:val="en-GB"/>
        </w:rPr>
        <w:t xml:space="preserve"> is zara in?</w:t>
      </w:r>
      <w:r w:rsidR="00A11B8B" w:rsidRPr="00243C46">
        <w:rPr>
          <w:lang w:val="en-GB"/>
        </w:rPr>
        <w:t xml:space="preserve"> (Revised)</w:t>
      </w:r>
      <w:r w:rsidR="006B71D3" w:rsidRPr="00243C46">
        <w:rPr>
          <w:rStyle w:val="EndnoteReference"/>
          <w:lang w:val="en-GB"/>
        </w:rPr>
        <w:endnoteReference w:id="1"/>
      </w:r>
    </w:p>
    <w:p w14:paraId="7C2004A0" w14:textId="77777777" w:rsidR="006B71D3" w:rsidRPr="00243C46" w:rsidRDefault="006B71D3" w:rsidP="00197135">
      <w:pPr>
        <w:pStyle w:val="CaseTitle"/>
        <w:spacing w:after="0" w:line="240" w:lineRule="auto"/>
        <w:rPr>
          <w:sz w:val="20"/>
          <w:szCs w:val="20"/>
          <w:lang w:val="en-GB"/>
        </w:rPr>
      </w:pPr>
    </w:p>
    <w:p w14:paraId="0745AF14" w14:textId="77777777" w:rsidR="006B71D3" w:rsidRPr="00243C46" w:rsidRDefault="006B71D3" w:rsidP="00197135">
      <w:pPr>
        <w:pStyle w:val="CaseTitle"/>
        <w:spacing w:after="0" w:line="240" w:lineRule="auto"/>
        <w:rPr>
          <w:sz w:val="20"/>
          <w:szCs w:val="20"/>
          <w:lang w:val="en-GB"/>
        </w:rPr>
      </w:pPr>
    </w:p>
    <w:p w14:paraId="175A4AFD" w14:textId="74582EC4" w:rsidR="006B71D3" w:rsidRPr="00243C46" w:rsidRDefault="006B71D3" w:rsidP="00197135">
      <w:pPr>
        <w:pStyle w:val="StyleCopyrightStatementAfter0ptBottomSinglesolidline1"/>
        <w:rPr>
          <w:lang w:val="en-GB"/>
        </w:rPr>
      </w:pPr>
      <w:r w:rsidRPr="00243C46">
        <w:rPr>
          <w:lang w:val="en-GB"/>
        </w:rPr>
        <w:t>Daniel J. Doiron 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7DFB92A4" w14:textId="77777777" w:rsidR="006B71D3" w:rsidRDefault="006B71D3" w:rsidP="00197135">
      <w:pPr>
        <w:pStyle w:val="StyleCopyrightStatementAfter0ptBottomSinglesolidline1"/>
        <w:rPr>
          <w:lang w:val="en-GB"/>
        </w:rPr>
      </w:pPr>
    </w:p>
    <w:p w14:paraId="223E5CB2" w14:textId="77777777" w:rsidR="006D5F79" w:rsidRDefault="006D5F79" w:rsidP="006D5F79">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581A4B5" w14:textId="77777777" w:rsidR="006D5F79" w:rsidRDefault="006D5F79" w:rsidP="006D5F79">
      <w:pPr>
        <w:pStyle w:val="StyleStyleCopyrightStatementAfter0ptBottomSinglesolid"/>
        <w:rPr>
          <w:rFonts w:cs="Arial"/>
          <w:color w:val="FFFFFF" w:themeColor="background1"/>
          <w:szCs w:val="16"/>
        </w:rPr>
      </w:pPr>
    </w:p>
    <w:p w14:paraId="79C7A7FA" w14:textId="29D96EC0" w:rsidR="006B71D3" w:rsidRPr="006D5F79" w:rsidRDefault="006D5F79" w:rsidP="00197135">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6B71D3" w:rsidRPr="00243C46">
        <w:rPr>
          <w:lang w:val="en-GB"/>
        </w:rPr>
        <w:tab/>
        <w:t>Version: 2019-0</w:t>
      </w:r>
      <w:r w:rsidR="001D7D10">
        <w:rPr>
          <w:lang w:val="en-GB"/>
        </w:rPr>
        <w:t>4</w:t>
      </w:r>
      <w:r w:rsidR="006B71D3" w:rsidRPr="00243C46">
        <w:rPr>
          <w:lang w:val="en-GB"/>
        </w:rPr>
        <w:t>-</w:t>
      </w:r>
      <w:r>
        <w:rPr>
          <w:lang w:val="en-GB"/>
        </w:rPr>
        <w:t>09</w:t>
      </w:r>
    </w:p>
    <w:p w14:paraId="7B8409AB" w14:textId="77777777" w:rsidR="006B71D3" w:rsidRPr="00CE6A00" w:rsidRDefault="006B71D3" w:rsidP="00197135">
      <w:pPr>
        <w:pStyle w:val="StyleCopyrightStatementAfter0ptBottomSinglesolidline1"/>
        <w:rPr>
          <w:rFonts w:ascii="Times New Roman" w:hAnsi="Times New Roman"/>
          <w:szCs w:val="16"/>
          <w:lang w:val="en-GB"/>
        </w:rPr>
      </w:pPr>
    </w:p>
    <w:p w14:paraId="1373DBE3" w14:textId="77777777" w:rsidR="006B71D3" w:rsidRPr="00CE6A00" w:rsidRDefault="006B71D3" w:rsidP="00197135">
      <w:pPr>
        <w:pStyle w:val="StyleCopyrightStatementAfter0ptBottomSinglesolidline1"/>
        <w:pBdr>
          <w:top w:val="none" w:sz="0" w:space="0" w:color="auto"/>
        </w:pBdr>
        <w:rPr>
          <w:rFonts w:ascii="Times New Roman" w:hAnsi="Times New Roman"/>
          <w:i w:val="0"/>
          <w:szCs w:val="16"/>
          <w:lang w:val="en-GB"/>
        </w:rPr>
      </w:pPr>
    </w:p>
    <w:p w14:paraId="755325BD" w14:textId="29D4CDEF" w:rsidR="006B71D3" w:rsidRPr="00BF495B" w:rsidRDefault="006B71D3" w:rsidP="007A4FF3">
      <w:pPr>
        <w:pStyle w:val="BodyTextMain"/>
        <w:rPr>
          <w:kern w:val="2"/>
          <w:lang w:val="en-GB"/>
        </w:rPr>
      </w:pPr>
      <w:r w:rsidRPr="00BF495B">
        <w:rPr>
          <w:kern w:val="2"/>
          <w:lang w:val="en-GB"/>
        </w:rPr>
        <w:t>What would 2019 have in store for Industria de Diseño Textil, SA (Inditex) and its flagship brand Zara with its “fast fashion” business model? It had taken years for both old and new competitors to build and enhance their business approach to effectively compete with Zara’s model,</w:t>
      </w:r>
      <w:r w:rsidRPr="00BF495B">
        <w:rPr>
          <w:rStyle w:val="EndnoteReference"/>
          <w:kern w:val="2"/>
          <w:lang w:val="en-GB"/>
        </w:rPr>
        <w:endnoteReference w:id="2"/>
      </w:r>
      <w:r w:rsidRPr="00BF495B">
        <w:rPr>
          <w:kern w:val="2"/>
          <w:lang w:val="en-GB"/>
        </w:rPr>
        <w:t xml:space="preserve"> while online shopping for fashion apparel was on the rise. </w:t>
      </w:r>
    </w:p>
    <w:p w14:paraId="33247301" w14:textId="77777777" w:rsidR="006B71D3" w:rsidRPr="00BF495B" w:rsidRDefault="006B71D3" w:rsidP="007A4FF3">
      <w:pPr>
        <w:pStyle w:val="BodyTextMain"/>
        <w:rPr>
          <w:kern w:val="2"/>
          <w:sz w:val="14"/>
          <w:szCs w:val="14"/>
          <w:lang w:val="en-GB"/>
        </w:rPr>
      </w:pPr>
    </w:p>
    <w:p w14:paraId="5C89223E" w14:textId="5F52AACF" w:rsidR="006B71D3" w:rsidRPr="00BF495B" w:rsidRDefault="006B71D3">
      <w:pPr>
        <w:pStyle w:val="BodyTextMain"/>
        <w:rPr>
          <w:kern w:val="2"/>
          <w:lang w:val="en-GB"/>
        </w:rPr>
      </w:pPr>
      <w:r w:rsidRPr="00BF495B">
        <w:rPr>
          <w:kern w:val="2"/>
          <w:lang w:val="en-GB"/>
        </w:rPr>
        <w:t>Many recalled the early deference people had had towards Zara and its counter-intuitive business model. Why would anyone invest in a fashion manufacturer and retailer that produced its clothing in the high-cost labour market of Spain (versus Asia); spent very little on advertising; ostensibly overspent on positioning high-end stores in chic retail districts across Europe; carried substantially less inventory than its competitors; manufactured clothes that were, arguably, of a lesser quality; and, finally, charged 15 per cent less at the cash register? By all accounts, this approach was viewed as a formula for disaster in the highly competitive retail fashion industry.</w:t>
      </w:r>
      <w:r w:rsidRPr="00BF495B">
        <w:rPr>
          <w:rStyle w:val="EndnoteReference"/>
          <w:kern w:val="2"/>
          <w:lang w:val="en-GB"/>
        </w:rPr>
        <w:endnoteReference w:id="3"/>
      </w:r>
    </w:p>
    <w:p w14:paraId="03B01482" w14:textId="77777777" w:rsidR="006B71D3" w:rsidRPr="00BF495B" w:rsidRDefault="006B71D3">
      <w:pPr>
        <w:pStyle w:val="BodyTextMain"/>
        <w:rPr>
          <w:kern w:val="2"/>
          <w:sz w:val="14"/>
          <w:szCs w:val="14"/>
          <w:lang w:val="en-GB"/>
        </w:rPr>
      </w:pPr>
    </w:p>
    <w:p w14:paraId="1C3FA5D2" w14:textId="2CBCEC53" w:rsidR="006B71D3" w:rsidRPr="00BF495B" w:rsidRDefault="006B71D3">
      <w:pPr>
        <w:pStyle w:val="BodyTextMain"/>
        <w:rPr>
          <w:kern w:val="2"/>
          <w:lang w:val="en-GB"/>
        </w:rPr>
      </w:pPr>
      <w:r w:rsidRPr="00BF495B">
        <w:rPr>
          <w:kern w:val="2"/>
          <w:lang w:val="en-GB"/>
        </w:rPr>
        <w:t>During those early years, most observers were just not forward thinking enough to see the value in Zara’s approach—and over time, Inditex took great pride in proving them wrong. By 2014, Zara was by far the number-one fashion retailer in the world by many measures,</w:t>
      </w:r>
      <w:r w:rsidRPr="00BF495B">
        <w:rPr>
          <w:rStyle w:val="EndnoteReference"/>
          <w:kern w:val="2"/>
          <w:lang w:val="en-GB"/>
        </w:rPr>
        <w:endnoteReference w:id="4"/>
      </w:r>
      <w:r w:rsidRPr="00BF495B">
        <w:rPr>
          <w:kern w:val="2"/>
          <w:lang w:val="en-GB"/>
        </w:rPr>
        <w:t xml:space="preserve"> and it continued to maintain this leadership position in 2019. Its unique business model had enabled this astounding success. </w:t>
      </w:r>
    </w:p>
    <w:p w14:paraId="7BFD7108" w14:textId="77777777" w:rsidR="006B71D3" w:rsidRPr="00BF495B" w:rsidRDefault="006B71D3">
      <w:pPr>
        <w:pStyle w:val="BodyTextMain"/>
        <w:rPr>
          <w:kern w:val="2"/>
          <w:sz w:val="14"/>
          <w:szCs w:val="14"/>
          <w:lang w:val="en-GB"/>
        </w:rPr>
      </w:pPr>
    </w:p>
    <w:p w14:paraId="17430D98" w14:textId="5F182F59" w:rsidR="006B71D3" w:rsidRPr="00BF495B" w:rsidRDefault="006B71D3" w:rsidP="007A4FF3">
      <w:pPr>
        <w:pStyle w:val="BodyTextMain"/>
        <w:rPr>
          <w:kern w:val="2"/>
          <w:lang w:val="en-GB"/>
        </w:rPr>
      </w:pPr>
      <w:r w:rsidRPr="00BF495B">
        <w:rPr>
          <w:kern w:val="2"/>
          <w:lang w:val="en-GB"/>
        </w:rPr>
        <w:t>Inditex, however, could not dwell on past successes, as the future was full of significant challenges associated with the many new upstart and copycat competitors that had infiltrated the market. It was highly likely that these new firms would also enjoy a reasonable degree of success. Disruptive innovations, such as Zara’s business model, inevitably were copied. Examples of companies’ disruptive business models</w:t>
      </w:r>
      <w:r w:rsidRPr="00BF495B" w:rsidDel="007743E7">
        <w:rPr>
          <w:kern w:val="2"/>
          <w:lang w:val="en-GB"/>
        </w:rPr>
        <w:t xml:space="preserve"> </w:t>
      </w:r>
      <w:r w:rsidRPr="00BF495B">
        <w:rPr>
          <w:kern w:val="2"/>
          <w:lang w:val="en-GB"/>
        </w:rPr>
        <w:t xml:space="preserve">leading to </w:t>
      </w:r>
      <w:r w:rsidR="00955053" w:rsidRPr="00BF495B">
        <w:rPr>
          <w:kern w:val="2"/>
          <w:lang w:val="en-GB"/>
        </w:rPr>
        <w:t>significant</w:t>
      </w:r>
      <w:r w:rsidR="002E07CD" w:rsidRPr="00BF495B">
        <w:rPr>
          <w:kern w:val="2"/>
          <w:lang w:val="en-GB"/>
        </w:rPr>
        <w:t xml:space="preserve"> change in</w:t>
      </w:r>
      <w:r w:rsidRPr="00BF495B">
        <w:rPr>
          <w:kern w:val="2"/>
          <w:lang w:val="en-GB"/>
        </w:rPr>
        <w:t xml:space="preserve"> their industries included Southwest Airlines Co. leading the discount airline industry, Walmart Inc. dominating the discount department store industry, and perhaps Google’s leadership in its Waymo self-driving technology ride sharing services.</w:t>
      </w:r>
    </w:p>
    <w:p w14:paraId="355BE332" w14:textId="77777777" w:rsidR="006B71D3" w:rsidRPr="00BF495B" w:rsidRDefault="006B71D3" w:rsidP="007A4FF3">
      <w:pPr>
        <w:pStyle w:val="BodyTextMain"/>
        <w:rPr>
          <w:kern w:val="2"/>
          <w:sz w:val="14"/>
          <w:szCs w:val="14"/>
          <w:lang w:val="en-GB"/>
        </w:rPr>
      </w:pPr>
    </w:p>
    <w:p w14:paraId="0CF93EE4" w14:textId="3F5A1E88" w:rsidR="006B71D3" w:rsidRPr="00BF495B" w:rsidRDefault="006B71D3" w:rsidP="007A4FF3">
      <w:pPr>
        <w:pStyle w:val="BodyTextMain"/>
        <w:rPr>
          <w:kern w:val="2"/>
          <w:lang w:val="en-GB"/>
        </w:rPr>
      </w:pPr>
      <w:r w:rsidRPr="00BF495B">
        <w:rPr>
          <w:kern w:val="2"/>
          <w:lang w:val="en-GB"/>
        </w:rPr>
        <w:t>Perhaps it was time for Inditex to reinvent the industry business model, once again.</w:t>
      </w:r>
    </w:p>
    <w:p w14:paraId="3677DB88" w14:textId="52B6457F" w:rsidR="006B71D3" w:rsidRPr="00BF495B" w:rsidRDefault="006B71D3" w:rsidP="006C3E49">
      <w:pPr>
        <w:pStyle w:val="BodyTextMain"/>
        <w:rPr>
          <w:kern w:val="2"/>
          <w:sz w:val="14"/>
          <w:szCs w:val="14"/>
          <w:lang w:val="en-GB"/>
        </w:rPr>
      </w:pPr>
    </w:p>
    <w:p w14:paraId="76C7CE23" w14:textId="77777777" w:rsidR="006B71D3" w:rsidRPr="00BF495B" w:rsidRDefault="006B71D3" w:rsidP="006C3E49">
      <w:pPr>
        <w:pStyle w:val="BodyTextMain"/>
        <w:rPr>
          <w:kern w:val="2"/>
          <w:sz w:val="14"/>
          <w:szCs w:val="14"/>
          <w:lang w:val="en-GB"/>
        </w:rPr>
      </w:pPr>
    </w:p>
    <w:p w14:paraId="07EEA481" w14:textId="77777777" w:rsidR="006B71D3" w:rsidRPr="00BF495B" w:rsidRDefault="006B71D3" w:rsidP="00955053">
      <w:pPr>
        <w:pStyle w:val="Casehead1"/>
        <w:rPr>
          <w:kern w:val="2"/>
          <w:lang w:val="en-GB"/>
        </w:rPr>
      </w:pPr>
      <w:r w:rsidRPr="00BF495B">
        <w:rPr>
          <w:kern w:val="2"/>
          <w:lang w:val="en-GB"/>
        </w:rPr>
        <w:t>The Early Years</w:t>
      </w:r>
    </w:p>
    <w:p w14:paraId="63F55D99" w14:textId="77777777" w:rsidR="006B71D3" w:rsidRPr="00BF495B" w:rsidRDefault="006B71D3" w:rsidP="00955053">
      <w:pPr>
        <w:pStyle w:val="BodyTextMain"/>
        <w:rPr>
          <w:kern w:val="2"/>
          <w:sz w:val="14"/>
          <w:szCs w:val="14"/>
          <w:lang w:val="en-GB"/>
        </w:rPr>
      </w:pPr>
    </w:p>
    <w:p w14:paraId="35E9B831" w14:textId="1C4D327E" w:rsidR="006B71D3" w:rsidRPr="00BF495B" w:rsidRDefault="006B71D3" w:rsidP="00955053">
      <w:pPr>
        <w:pStyle w:val="BodyTextMain"/>
        <w:rPr>
          <w:kern w:val="2"/>
          <w:lang w:val="en-GB"/>
        </w:rPr>
      </w:pPr>
      <w:r w:rsidRPr="00BF495B">
        <w:rPr>
          <w:kern w:val="2"/>
          <w:lang w:val="en-GB"/>
        </w:rPr>
        <w:t>In 1963, when Amancio Ortega Gaona started his small dressmaking firm in La Coruña, Spain, at the tender age of 16,</w:t>
      </w:r>
      <w:r w:rsidRPr="00BF495B">
        <w:rPr>
          <w:rStyle w:val="EndnoteReference"/>
          <w:kern w:val="2"/>
          <w:lang w:val="en-GB"/>
        </w:rPr>
        <w:endnoteReference w:id="5"/>
      </w:r>
      <w:r w:rsidRPr="00BF495B">
        <w:rPr>
          <w:kern w:val="2"/>
          <w:lang w:val="en-GB"/>
        </w:rPr>
        <w:t xml:space="preserve"> he never dreamed it would lead to the world’s largest retail fashion empire. Nor did he aspire to become the fourth-richest person in the world.</w:t>
      </w:r>
      <w:r w:rsidRPr="00BF495B">
        <w:rPr>
          <w:rStyle w:val="EndnoteReference"/>
          <w:kern w:val="2"/>
          <w:lang w:val="en-GB"/>
        </w:rPr>
        <w:endnoteReference w:id="6"/>
      </w:r>
      <w:r w:rsidRPr="00BF495B">
        <w:rPr>
          <w:kern w:val="2"/>
          <w:lang w:val="en-GB"/>
        </w:rPr>
        <w:t xml:space="preserve"> What he did come to understand over the next 12 years was </w:t>
      </w:r>
      <w:r w:rsidRPr="00BF495B">
        <w:rPr>
          <w:kern w:val="2"/>
          <w:lang w:val="en-GB"/>
        </w:rPr>
        <w:lastRenderedPageBreak/>
        <w:t>that textile manufacturing was a very risky, often frustrating business when you were one step removed from your customers. This was especially true in the fast-changing women’s fashion segment of the market. So in 1975, when he opened his first Zara store in the centre of La Coruña, a town of 246,000 people, he was driven by the overriding principle that the key to success as a fashion retailer was to link fashion design to manufacturing and distribution in a way that allowed for rapid responses to the finicky and often changing needs of customers. This was the sole foundation for the creation and growth of Zara, and it remained central to its success. This early success spurred the opening of nine new stores in Spain’s largest cities over the next eight years.</w:t>
      </w:r>
      <w:r w:rsidRPr="00BF495B">
        <w:rPr>
          <w:rStyle w:val="EndnoteReference"/>
          <w:kern w:val="2"/>
          <w:lang w:val="en-GB"/>
        </w:rPr>
        <w:endnoteReference w:id="7"/>
      </w:r>
      <w:r w:rsidRPr="00BF495B">
        <w:rPr>
          <w:kern w:val="2"/>
          <w:lang w:val="en-GB"/>
        </w:rPr>
        <w:t xml:space="preserve"> </w:t>
      </w:r>
    </w:p>
    <w:p w14:paraId="598BEB62" w14:textId="77777777" w:rsidR="006B71D3" w:rsidRPr="00BF495B" w:rsidRDefault="006B71D3" w:rsidP="005D3CCA">
      <w:pPr>
        <w:pStyle w:val="BodyTextMain"/>
        <w:rPr>
          <w:kern w:val="2"/>
          <w:sz w:val="18"/>
          <w:szCs w:val="18"/>
          <w:lang w:val="en-GB"/>
        </w:rPr>
      </w:pPr>
    </w:p>
    <w:p w14:paraId="6B82AC9A" w14:textId="1D213277" w:rsidR="006B71D3" w:rsidRPr="00BF495B" w:rsidRDefault="006B71D3" w:rsidP="005D3CCA">
      <w:pPr>
        <w:pStyle w:val="BodyTextMain"/>
        <w:rPr>
          <w:kern w:val="2"/>
          <w:lang w:val="en-GB"/>
        </w:rPr>
      </w:pPr>
      <w:r w:rsidRPr="00BF495B">
        <w:rPr>
          <w:kern w:val="2"/>
          <w:lang w:val="en-GB"/>
        </w:rPr>
        <w:t>Ortega also learned that to be successful he would have to take advantage of the intelligence of the employees throughout his company and trust their judgment.</w:t>
      </w:r>
      <w:r w:rsidRPr="00BF495B">
        <w:rPr>
          <w:rStyle w:val="EndnoteReference"/>
          <w:kern w:val="2"/>
          <w:lang w:val="en-GB"/>
        </w:rPr>
        <w:endnoteReference w:id="8"/>
      </w:r>
      <w:r w:rsidRPr="00BF495B">
        <w:rPr>
          <w:kern w:val="2"/>
          <w:lang w:val="en-GB"/>
        </w:rPr>
        <w:t xml:space="preserve"> In other words, a top-down decision-making model, as it related to new product design and distribution, would be counterproductive to his overriding notion of reacting quickly to customers’ needs. Thus, he put decisions related to the critical processes of product design, manufacturing, and distribution into the hands of his employees across the company.</w:t>
      </w:r>
    </w:p>
    <w:p w14:paraId="7C7313B5" w14:textId="77777777" w:rsidR="006B71D3" w:rsidRPr="00BF495B" w:rsidRDefault="006B71D3" w:rsidP="005D3CCA">
      <w:pPr>
        <w:pStyle w:val="BodyTextMain"/>
        <w:rPr>
          <w:kern w:val="2"/>
          <w:sz w:val="18"/>
          <w:szCs w:val="18"/>
          <w:lang w:val="en-GB"/>
        </w:rPr>
      </w:pPr>
    </w:p>
    <w:p w14:paraId="65C81471" w14:textId="0FE6EBE5" w:rsidR="006B71D3" w:rsidRPr="00BF495B" w:rsidRDefault="006B71D3" w:rsidP="005D3CCA">
      <w:pPr>
        <w:pStyle w:val="BodyTextMain"/>
        <w:rPr>
          <w:kern w:val="2"/>
          <w:lang w:val="en-GB"/>
        </w:rPr>
      </w:pPr>
      <w:r w:rsidRPr="00BF495B">
        <w:rPr>
          <w:kern w:val="2"/>
          <w:lang w:val="en-GB"/>
        </w:rPr>
        <w:t>The combined approach of manufacturing new clothing as quickly as possible in response to customers’ needs and desires while adopting a decentralized decision-making process allowed Zara to thrive and grow in the ultra-competitive retail fashion industry. Over the 17 years following the launch of Zara in 1975, Ortega opened more than 1,000 new stores, culminating in an initial public offering on May 23, 2001. The funds raised through this offering provided the fuel for a tremendous evolution that saw Inditex grow to operate 7,475 stores in 96 markets across eight brands, propelling it to fiscal 2017 revenue of €25.3 billion</w:t>
      </w:r>
      <w:r w:rsidRPr="00BF495B">
        <w:rPr>
          <w:rStyle w:val="EndnoteReference"/>
          <w:kern w:val="2"/>
          <w:lang w:val="en-GB"/>
        </w:rPr>
        <w:endnoteReference w:id="9"/>
      </w:r>
      <w:r w:rsidRPr="00BF495B">
        <w:rPr>
          <w:kern w:val="2"/>
          <w:lang w:val="en-GB"/>
        </w:rPr>
        <w:t xml:space="preserve"> and industry-leading gross profit margins of 57.4 per cent (see Exhibit 1).</w:t>
      </w:r>
      <w:r w:rsidRPr="00BF495B">
        <w:rPr>
          <w:rStyle w:val="EndnoteReference"/>
          <w:kern w:val="2"/>
          <w:lang w:val="en-GB"/>
        </w:rPr>
        <w:endnoteReference w:id="10"/>
      </w:r>
      <w:r w:rsidRPr="00BF495B">
        <w:rPr>
          <w:kern w:val="2"/>
          <w:lang w:val="en-GB"/>
        </w:rPr>
        <w:t xml:space="preserve"> This represented an astounding compound annual growth rate (CAGR) of 10 per cent over the period 2012–2017.</w:t>
      </w:r>
      <w:r w:rsidRPr="00BF495B">
        <w:rPr>
          <w:rStyle w:val="EndnoteReference"/>
          <w:kern w:val="2"/>
          <w:lang w:val="en-GB"/>
        </w:rPr>
        <w:endnoteReference w:id="11"/>
      </w:r>
      <w:r w:rsidRPr="00BF495B">
        <w:rPr>
          <w:kern w:val="2"/>
          <w:lang w:val="en-GB"/>
        </w:rPr>
        <w:t xml:space="preserve"> Inditex was by far the world’s largest fashion manufacturing and retail business.</w:t>
      </w:r>
    </w:p>
    <w:p w14:paraId="703D3A56" w14:textId="77777777" w:rsidR="006B71D3" w:rsidRPr="00BF495B" w:rsidRDefault="006B71D3" w:rsidP="005D3CCA">
      <w:pPr>
        <w:pStyle w:val="BodyTextMain"/>
        <w:rPr>
          <w:kern w:val="2"/>
          <w:sz w:val="18"/>
          <w:szCs w:val="18"/>
          <w:lang w:val="en-GB"/>
        </w:rPr>
      </w:pPr>
    </w:p>
    <w:p w14:paraId="77F3DD9D" w14:textId="77777777" w:rsidR="006B71D3" w:rsidRPr="00BF495B" w:rsidRDefault="006B71D3" w:rsidP="005D3CCA">
      <w:pPr>
        <w:pStyle w:val="BodyTextMain"/>
        <w:rPr>
          <w:kern w:val="2"/>
          <w:sz w:val="18"/>
          <w:szCs w:val="18"/>
          <w:lang w:val="en-GB"/>
        </w:rPr>
      </w:pPr>
    </w:p>
    <w:p w14:paraId="6929B058" w14:textId="6189D149" w:rsidR="006B71D3" w:rsidRPr="00BF495B" w:rsidRDefault="006B71D3" w:rsidP="005D3CCA">
      <w:pPr>
        <w:pStyle w:val="Casehead1"/>
        <w:rPr>
          <w:kern w:val="2"/>
          <w:lang w:val="en-GB"/>
        </w:rPr>
      </w:pPr>
      <w:r w:rsidRPr="00BF495B">
        <w:rPr>
          <w:kern w:val="2"/>
          <w:lang w:val="en-GB"/>
        </w:rPr>
        <w:t>the global fashion retail industry</w:t>
      </w:r>
    </w:p>
    <w:p w14:paraId="7F2EC418" w14:textId="77777777" w:rsidR="006B71D3" w:rsidRPr="00BF495B" w:rsidRDefault="006B71D3" w:rsidP="00197135">
      <w:pPr>
        <w:pStyle w:val="BodyTextMain"/>
        <w:rPr>
          <w:kern w:val="2"/>
          <w:sz w:val="18"/>
          <w:szCs w:val="18"/>
          <w:lang w:val="en-GB"/>
        </w:rPr>
      </w:pPr>
    </w:p>
    <w:p w14:paraId="672D2825" w14:textId="5896D4E7" w:rsidR="006B71D3" w:rsidRPr="00BF495B" w:rsidRDefault="006B71D3" w:rsidP="00197135">
      <w:pPr>
        <w:pStyle w:val="BodyTextMain"/>
        <w:rPr>
          <w:kern w:val="2"/>
          <w:lang w:val="en-GB"/>
        </w:rPr>
      </w:pPr>
      <w:r w:rsidRPr="00BF495B">
        <w:rPr>
          <w:kern w:val="2"/>
          <w:lang w:val="en-GB"/>
        </w:rPr>
        <w:t>The global retail fashion industry was worth US$2.5 trillion in 2017,</w:t>
      </w:r>
      <w:r w:rsidRPr="00BF495B">
        <w:rPr>
          <w:rStyle w:val="EndnoteReference"/>
          <w:kern w:val="2"/>
          <w:lang w:val="en-GB"/>
        </w:rPr>
        <w:endnoteReference w:id="12"/>
      </w:r>
      <w:r w:rsidRPr="00BF495B">
        <w:rPr>
          <w:kern w:val="2"/>
          <w:lang w:val="en-GB"/>
        </w:rPr>
        <w:t xml:space="preserve"> employing approximately 75 million people. The industry was expected to grow at a rate of 4–5 per cent from 2018 to 2019.</w:t>
      </w:r>
      <w:r w:rsidRPr="00BF495B">
        <w:rPr>
          <w:rStyle w:val="EndnoteReference"/>
          <w:kern w:val="2"/>
          <w:lang w:val="en-GB"/>
        </w:rPr>
        <w:endnoteReference w:id="13"/>
      </w:r>
    </w:p>
    <w:p w14:paraId="5DE5E7A3" w14:textId="77777777" w:rsidR="006B71D3" w:rsidRPr="00BF495B" w:rsidRDefault="006B71D3" w:rsidP="00197135">
      <w:pPr>
        <w:pStyle w:val="BodyTextMain"/>
        <w:rPr>
          <w:kern w:val="2"/>
          <w:sz w:val="18"/>
          <w:szCs w:val="18"/>
          <w:lang w:val="en-GB"/>
        </w:rPr>
      </w:pPr>
    </w:p>
    <w:p w14:paraId="6D69E788" w14:textId="316F8273" w:rsidR="006B71D3" w:rsidRPr="00BF495B" w:rsidRDefault="006B71D3" w:rsidP="00197135">
      <w:pPr>
        <w:pStyle w:val="BodyTextMain"/>
        <w:rPr>
          <w:spacing w:val="-2"/>
          <w:kern w:val="2"/>
          <w:lang w:val="en-GB"/>
        </w:rPr>
      </w:pPr>
      <w:r w:rsidRPr="00BF495B">
        <w:rPr>
          <w:spacing w:val="-2"/>
          <w:kern w:val="2"/>
          <w:lang w:val="en-GB"/>
        </w:rPr>
        <w:t>The industry was influenced by a number of factors, including changing demographics and the urbanization of the global population. A full 60 per cent of the global population would be living in cities by 2025,</w:t>
      </w:r>
      <w:r w:rsidRPr="00BF495B">
        <w:rPr>
          <w:rStyle w:val="EndnoteReference"/>
          <w:spacing w:val="-2"/>
          <w:kern w:val="2"/>
          <w:lang w:val="en-GB"/>
        </w:rPr>
        <w:endnoteReference w:id="14"/>
      </w:r>
      <w:r w:rsidRPr="00BF495B">
        <w:rPr>
          <w:spacing w:val="-2"/>
          <w:kern w:val="2"/>
          <w:lang w:val="en-GB"/>
        </w:rPr>
        <w:t xml:space="preserve"> up from 45 per cent in 2011. Likewise, Europe would see 82.2 per cent of its population living in urban centres, while in North America, this figure was 88.6 per cent.</w:t>
      </w:r>
      <w:r w:rsidRPr="00BF495B">
        <w:rPr>
          <w:rStyle w:val="EndnoteReference"/>
          <w:spacing w:val="-2"/>
          <w:kern w:val="2"/>
          <w:lang w:val="en-GB"/>
        </w:rPr>
        <w:endnoteReference w:id="15"/>
      </w:r>
      <w:r w:rsidRPr="00BF495B">
        <w:rPr>
          <w:spacing w:val="-2"/>
          <w:kern w:val="2"/>
          <w:lang w:val="en-GB"/>
        </w:rPr>
        <w:t xml:space="preserve"> According to a McKinsey &amp; Company report on succeeding in the future fashion market, “</w:t>
      </w:r>
      <w:r w:rsidRPr="00BF495B">
        <w:rPr>
          <w:color w:val="000000"/>
          <w:spacing w:val="-2"/>
          <w:kern w:val="2"/>
          <w:lang w:val="en-GB"/>
        </w:rPr>
        <w:t>By 2020, a quarter of global wealth will be concentrated in just 60 mega-cities, some of which will be larger than countries,” with 16 of the 20 fastest growing cites for fashion apparel in emerging markets.</w:t>
      </w:r>
      <w:r w:rsidRPr="00BF495B">
        <w:rPr>
          <w:rStyle w:val="EndnoteReference"/>
          <w:color w:val="000000"/>
          <w:spacing w:val="-2"/>
          <w:kern w:val="2"/>
          <w:lang w:val="en-GB"/>
        </w:rPr>
        <w:endnoteReference w:id="16"/>
      </w:r>
      <w:r w:rsidRPr="00BF495B">
        <w:rPr>
          <w:color w:val="000000"/>
          <w:spacing w:val="-2"/>
          <w:kern w:val="2"/>
          <w:lang w:val="en-GB"/>
        </w:rPr>
        <w:t xml:space="preserve"> </w:t>
      </w:r>
      <w:r w:rsidRPr="00BF495B">
        <w:rPr>
          <w:spacing w:val="-2"/>
          <w:kern w:val="2"/>
          <w:lang w:val="en-GB"/>
        </w:rPr>
        <w:t>With the global population predicted to grow to 8.2 billion by 2030 from 7 billion in 2014,</w:t>
      </w:r>
      <w:r w:rsidRPr="00BF495B">
        <w:rPr>
          <w:rStyle w:val="EndnoteReference"/>
          <w:spacing w:val="-2"/>
          <w:kern w:val="2"/>
          <w:lang w:val="en-GB"/>
        </w:rPr>
        <w:endnoteReference w:id="17"/>
      </w:r>
      <w:r w:rsidRPr="00BF495B">
        <w:rPr>
          <w:spacing w:val="-2"/>
          <w:kern w:val="2"/>
          <w:lang w:val="en-GB"/>
        </w:rPr>
        <w:t xml:space="preserve"> it would seem the industry was on a trajectory for continued strong growth. This, tied to a growing middle class in developing nations such as China and India, could lead to a substantive increase in spending on fashion clothing; in fact, China was expected to surpass the United States as the world’s top fashion retail market in 2019. By 2030, East Asia’s middle class was expected to number over 3 billion, up from the current 1.5 billion. Spending by the middle class was projected to rise from $21 trillion today to $51 trillion in 2030.</w:t>
      </w:r>
      <w:r w:rsidRPr="00BF495B">
        <w:rPr>
          <w:rStyle w:val="EndnoteReference"/>
          <w:spacing w:val="-2"/>
          <w:kern w:val="2"/>
          <w:lang w:val="en-GB"/>
        </w:rPr>
        <w:endnoteReference w:id="18"/>
      </w:r>
      <w:r w:rsidRPr="00BF495B">
        <w:rPr>
          <w:spacing w:val="-2"/>
          <w:kern w:val="2"/>
          <w:lang w:val="en-GB"/>
        </w:rPr>
        <w:t xml:space="preserve"> This would surely fuel the retail fashion apparel industry for years to come (see Exhibit 2).</w:t>
      </w:r>
    </w:p>
    <w:p w14:paraId="03D04DA2" w14:textId="77777777" w:rsidR="006B71D3" w:rsidRPr="00BF495B" w:rsidRDefault="006B71D3" w:rsidP="00197135">
      <w:pPr>
        <w:pStyle w:val="BodyTextMain"/>
        <w:rPr>
          <w:kern w:val="2"/>
          <w:sz w:val="18"/>
          <w:szCs w:val="18"/>
          <w:lang w:val="en-GB"/>
        </w:rPr>
      </w:pPr>
    </w:p>
    <w:p w14:paraId="4025C01C" w14:textId="1DEC5397" w:rsidR="006B71D3" w:rsidRDefault="006B71D3" w:rsidP="00197135">
      <w:pPr>
        <w:pStyle w:val="BodyTextMain"/>
        <w:rPr>
          <w:kern w:val="2"/>
          <w:lang w:val="en-GB"/>
        </w:rPr>
      </w:pPr>
      <w:r w:rsidRPr="00BF495B">
        <w:rPr>
          <w:kern w:val="2"/>
          <w:lang w:val="en-GB"/>
        </w:rPr>
        <w:t>The global women’s apparel market was predicted to grow by 4.8 per cent annually from 2010 to 2025, outpacing the previous growth of 3.3 per cent for the six years prior.</w:t>
      </w:r>
      <w:r w:rsidRPr="00BF495B">
        <w:rPr>
          <w:rStyle w:val="EndnoteReference"/>
          <w:kern w:val="2"/>
          <w:lang w:val="en-GB"/>
        </w:rPr>
        <w:endnoteReference w:id="19"/>
      </w:r>
      <w:r w:rsidRPr="00BF495B">
        <w:rPr>
          <w:kern w:val="2"/>
          <w:lang w:val="en-GB"/>
        </w:rPr>
        <w:t xml:space="preserve"> Though, as Lu et al. stated, “Some 80 per cent of top growth cities for total apparel sales by 2025 will be in emerging markets,” leaving growth to lag in developed countries. The authors went on to say that these cities would enlarge the world apparel markets by an additional $100 billion over this period.</w:t>
      </w:r>
      <w:r w:rsidRPr="00BF495B">
        <w:rPr>
          <w:rStyle w:val="EndnoteReference"/>
          <w:kern w:val="2"/>
          <w:lang w:val="en-GB"/>
        </w:rPr>
        <w:endnoteReference w:id="20"/>
      </w:r>
      <w:r w:rsidRPr="00BF495B">
        <w:rPr>
          <w:kern w:val="2"/>
          <w:lang w:val="en-GB"/>
        </w:rPr>
        <w:t xml:space="preserve"> Emerging markets at that time would represent 55 per cent of mid-market women’s apparel sales (see Exhibit 3).</w:t>
      </w:r>
    </w:p>
    <w:p w14:paraId="5F775225" w14:textId="2CA84437" w:rsidR="006B71D3" w:rsidRPr="00BF495B" w:rsidRDefault="006B71D3" w:rsidP="00197135">
      <w:pPr>
        <w:pStyle w:val="BodyTextMain"/>
        <w:rPr>
          <w:kern w:val="2"/>
          <w:lang w:val="en-GB"/>
        </w:rPr>
      </w:pPr>
      <w:r w:rsidRPr="00BF495B">
        <w:rPr>
          <w:kern w:val="2"/>
          <w:lang w:val="en-GB"/>
        </w:rPr>
        <w:lastRenderedPageBreak/>
        <w:t>The trends and challenges in this market were many. Responsible sourcing, including greater visibility across the entire supply chain, topped the list. Tragic events, such as the blaze at the Tazreen garment factory in Bangladesh in November 2012,</w:t>
      </w:r>
      <w:r w:rsidRPr="00BF495B">
        <w:rPr>
          <w:rStyle w:val="EndnoteReference"/>
          <w:kern w:val="2"/>
          <w:lang w:val="en-GB"/>
        </w:rPr>
        <w:endnoteReference w:id="21"/>
      </w:r>
      <w:r w:rsidRPr="00BF495B">
        <w:rPr>
          <w:kern w:val="2"/>
          <w:lang w:val="en-GB"/>
        </w:rPr>
        <w:t xml:space="preserve"> had heightened the need for textile manufacturers and retailers to strengthen their supply chains to ensure fair trade, safe work environments, living wages, social commitment, and responsible resource development. </w:t>
      </w:r>
    </w:p>
    <w:p w14:paraId="1D5DFA65" w14:textId="77777777" w:rsidR="006B71D3" w:rsidRPr="00BF495B" w:rsidRDefault="006B71D3" w:rsidP="00955053">
      <w:pPr>
        <w:pStyle w:val="BodyTextMain"/>
        <w:rPr>
          <w:kern w:val="2"/>
        </w:rPr>
      </w:pPr>
    </w:p>
    <w:p w14:paraId="395BBCC6" w14:textId="58F8F6DC" w:rsidR="006B71D3" w:rsidRPr="00BF495B" w:rsidRDefault="006B71D3" w:rsidP="00197135">
      <w:pPr>
        <w:pStyle w:val="BodyTextMain"/>
        <w:rPr>
          <w:kern w:val="2"/>
          <w:lang w:val="en-GB"/>
        </w:rPr>
      </w:pPr>
      <w:r w:rsidRPr="00BF495B">
        <w:rPr>
          <w:kern w:val="2"/>
          <w:lang w:val="en-GB"/>
        </w:rPr>
        <w:t>Industry growth opportunities, specifically in developed countries, were being led by the plus-size categories. This was a $17.5 billion market in the 12 months ending April 2014 in the United States, up 5 per cent over the previous year, and a direct reflection of the obesity epidemic underway in the developed world, where seven of 10 Americans were now overweight.</w:t>
      </w:r>
      <w:r w:rsidRPr="00BF495B">
        <w:rPr>
          <w:rStyle w:val="EndnoteReference"/>
          <w:kern w:val="2"/>
          <w:lang w:val="en-GB"/>
        </w:rPr>
        <w:endnoteReference w:id="22"/>
      </w:r>
      <w:r w:rsidRPr="00BF495B">
        <w:rPr>
          <w:kern w:val="2"/>
          <w:lang w:val="en-GB"/>
        </w:rPr>
        <w:t xml:space="preserve"> The plus-size market opportunity in the United States was estimated at $46 billion. In the United Kingdom, the plus-size market was predicted to grow at a CAGR of 7.1 per cent through 2022.</w:t>
      </w:r>
      <w:r w:rsidRPr="00BF495B">
        <w:rPr>
          <w:rStyle w:val="EndnoteReference"/>
          <w:kern w:val="2"/>
          <w:lang w:val="en-GB"/>
        </w:rPr>
        <w:endnoteReference w:id="23"/>
      </w:r>
    </w:p>
    <w:p w14:paraId="5F3C9F8D" w14:textId="77777777" w:rsidR="006B71D3" w:rsidRPr="00BF495B" w:rsidRDefault="006B71D3" w:rsidP="00955053">
      <w:pPr>
        <w:pStyle w:val="BodyTextMain"/>
        <w:rPr>
          <w:kern w:val="2"/>
        </w:rPr>
      </w:pPr>
    </w:p>
    <w:p w14:paraId="33C1CC26" w14:textId="7DFFBA13" w:rsidR="006B71D3" w:rsidRPr="00BF495B" w:rsidRDefault="006B71D3" w:rsidP="00197135">
      <w:pPr>
        <w:pStyle w:val="BodyTextMain"/>
        <w:rPr>
          <w:kern w:val="2"/>
          <w:lang w:val="en-GB"/>
        </w:rPr>
      </w:pPr>
      <w:r w:rsidRPr="00BF495B">
        <w:rPr>
          <w:kern w:val="2"/>
          <w:lang w:val="en-GB"/>
        </w:rPr>
        <w:t>Digital adoption by mainstream consumers, with online sales of apparel, was forecast to grow rapidly, outpacing market growth projections. In 2017, McKinsey &amp; Company predicted a 10 per cent CAGR for online apparel and footwear through 2020. In 2017, in the United States alone, online sales accounted for 27.4 per cent of overall apparel sales, up from 20.7 per cent in 2015, with women’s apparel trailing but still expected to represent 24 per cent of sales by 2021.</w:t>
      </w:r>
      <w:r w:rsidRPr="00BF495B">
        <w:rPr>
          <w:rStyle w:val="EndnoteReference"/>
          <w:kern w:val="2"/>
          <w:lang w:val="en-GB"/>
        </w:rPr>
        <w:endnoteReference w:id="24"/>
      </w:r>
      <w:r w:rsidRPr="00BF495B">
        <w:rPr>
          <w:kern w:val="2"/>
          <w:lang w:val="en-GB"/>
        </w:rPr>
        <w:t xml:space="preserve">  </w:t>
      </w:r>
    </w:p>
    <w:p w14:paraId="0B3F133D" w14:textId="77777777" w:rsidR="006B71D3" w:rsidRPr="00BF495B" w:rsidRDefault="006B71D3" w:rsidP="00955053">
      <w:pPr>
        <w:pStyle w:val="BodyTextMain"/>
        <w:rPr>
          <w:kern w:val="2"/>
        </w:rPr>
      </w:pPr>
    </w:p>
    <w:p w14:paraId="0DD1B187" w14:textId="47945A0B" w:rsidR="006B71D3" w:rsidRPr="00BF495B" w:rsidRDefault="006B71D3" w:rsidP="00197135">
      <w:pPr>
        <w:pStyle w:val="BodyTextMain"/>
        <w:rPr>
          <w:kern w:val="2"/>
          <w:lang w:val="en-GB"/>
        </w:rPr>
      </w:pPr>
      <w:r w:rsidRPr="00BF495B">
        <w:rPr>
          <w:kern w:val="2"/>
          <w:lang w:val="en-GB"/>
        </w:rPr>
        <w:t>Another factor affecting the industry was global transport costs, which were linked to the price of oil. It would seem that with oil prices near or below $60 per barrel since 2014, these costs would likely continue on a downward swing. Technological innovation in textile manufacturing was affecting important metrics within the industry beyond cost reduction. Mass customization, small-batch manufacturing, and time to market were becoming key risk management factors. These drove a deeper focus across the entire supply chain. In 2017, “fast fashion” retailers, like Inditex, H&amp;M, Forever 21 Inc., and Primark Stores Ltd., saw their sales grow by 8.2 per cent in aggregate, against an industry growth rate of 3.5 per cent.</w:t>
      </w:r>
      <w:r w:rsidRPr="00BF495B">
        <w:rPr>
          <w:rStyle w:val="EndnoteReference"/>
          <w:kern w:val="2"/>
          <w:lang w:val="en-GB"/>
        </w:rPr>
        <w:endnoteReference w:id="25"/>
      </w:r>
      <w:r w:rsidRPr="00BF495B">
        <w:rPr>
          <w:kern w:val="2"/>
          <w:lang w:val="en-GB"/>
        </w:rPr>
        <w:t xml:space="preserve"> New fabric innovation was also having a strong positive impact on the growth of the apparel industry, specifically in the sportswear market. </w:t>
      </w:r>
    </w:p>
    <w:p w14:paraId="57F43340" w14:textId="77777777" w:rsidR="006B71D3" w:rsidRPr="00BF495B" w:rsidRDefault="006B71D3" w:rsidP="00955053">
      <w:pPr>
        <w:pStyle w:val="BodyTextMain"/>
        <w:rPr>
          <w:kern w:val="2"/>
        </w:rPr>
      </w:pPr>
    </w:p>
    <w:p w14:paraId="4E5F12B0" w14:textId="14729BF9" w:rsidR="006B71D3" w:rsidRPr="00BF495B" w:rsidRDefault="006B71D3" w:rsidP="00197135">
      <w:pPr>
        <w:pStyle w:val="BodyTextMain"/>
        <w:rPr>
          <w:kern w:val="2"/>
          <w:lang w:val="en-GB"/>
        </w:rPr>
      </w:pPr>
      <w:r w:rsidRPr="00BF495B">
        <w:rPr>
          <w:kern w:val="2"/>
          <w:lang w:val="en-GB"/>
        </w:rPr>
        <w:t>Commodity prices could significantly impact the industry cost structure, specifically the price of cotton, which represented 24.5 per cent of the total fibre market in 2016/2017 with production of 23 million metric tons.</w:t>
      </w:r>
      <w:r w:rsidRPr="00BF495B">
        <w:rPr>
          <w:rStyle w:val="EndnoteReference"/>
          <w:kern w:val="2"/>
          <w:lang w:val="en-GB"/>
        </w:rPr>
        <w:endnoteReference w:id="26"/>
      </w:r>
      <w:r w:rsidRPr="00BF495B">
        <w:rPr>
          <w:kern w:val="2"/>
          <w:lang w:val="en-GB"/>
        </w:rPr>
        <w:t xml:space="preserve"> Global cotton prices hovered around 76 cents per pound and were likely to remain low against a backdrop of demand uncertainty, continuing U.S. trade wars, and the evolution of synthetics.</w:t>
      </w:r>
      <w:r w:rsidRPr="00BF495B">
        <w:rPr>
          <w:rStyle w:val="EndnoteReference"/>
          <w:kern w:val="2"/>
          <w:lang w:val="en-GB"/>
        </w:rPr>
        <w:endnoteReference w:id="27"/>
      </w:r>
    </w:p>
    <w:p w14:paraId="0347C186" w14:textId="2345995C" w:rsidR="006B71D3" w:rsidRPr="00BF495B" w:rsidRDefault="006B71D3" w:rsidP="00B30C87">
      <w:pPr>
        <w:pStyle w:val="BodyTextMain"/>
        <w:rPr>
          <w:kern w:val="2"/>
          <w:lang w:val="en-GB"/>
        </w:rPr>
      </w:pPr>
    </w:p>
    <w:p w14:paraId="7944F3E9" w14:textId="249F094F" w:rsidR="006B71D3" w:rsidRPr="00BF495B" w:rsidRDefault="006B71D3" w:rsidP="00197135">
      <w:pPr>
        <w:pStyle w:val="BodyTextMain"/>
        <w:rPr>
          <w:kern w:val="2"/>
          <w:lang w:val="en-GB"/>
        </w:rPr>
      </w:pPr>
      <w:r w:rsidRPr="00BF495B">
        <w:rPr>
          <w:kern w:val="2"/>
          <w:lang w:val="en-GB"/>
        </w:rPr>
        <w:t>Additionally, the rapidly growing population of consumers over 50, referred to as a “demographic earthquake” in developed countries, would become one of the fastest-growing segments to be considered in terms of its expenditures on clothing. By 2020, spending by this group globally was expected to grow to $15 trillion, up from $8 trillion in 2010.</w:t>
      </w:r>
      <w:r w:rsidRPr="00BF495B">
        <w:rPr>
          <w:rStyle w:val="EndnoteReference"/>
          <w:kern w:val="2"/>
          <w:lang w:val="en-GB"/>
        </w:rPr>
        <w:endnoteReference w:id="28"/>
      </w:r>
      <w:r w:rsidRPr="00BF495B">
        <w:rPr>
          <w:kern w:val="2"/>
          <w:lang w:val="en-GB"/>
        </w:rPr>
        <w:t xml:space="preserve"> </w:t>
      </w:r>
    </w:p>
    <w:p w14:paraId="0256BFA2" w14:textId="77777777" w:rsidR="006B71D3" w:rsidRPr="00BF495B" w:rsidRDefault="006B71D3" w:rsidP="00B30C87">
      <w:pPr>
        <w:pStyle w:val="BodyTextMain"/>
        <w:rPr>
          <w:kern w:val="2"/>
          <w:lang w:val="en-GB"/>
        </w:rPr>
      </w:pPr>
    </w:p>
    <w:p w14:paraId="654E2E8C" w14:textId="77777777" w:rsidR="006B71D3" w:rsidRPr="00BF495B" w:rsidRDefault="006B71D3" w:rsidP="006B71D3">
      <w:pPr>
        <w:pStyle w:val="BodyTextMain"/>
        <w:rPr>
          <w:kern w:val="2"/>
          <w:lang w:val="en-GB"/>
        </w:rPr>
      </w:pPr>
    </w:p>
    <w:p w14:paraId="618D0989" w14:textId="0C1695FF" w:rsidR="006B71D3" w:rsidRPr="00BF495B" w:rsidRDefault="006B71D3" w:rsidP="001D7D10">
      <w:pPr>
        <w:pStyle w:val="Casehead1"/>
        <w:keepNext/>
        <w:keepLines/>
        <w:rPr>
          <w:kern w:val="2"/>
          <w:lang w:val="en-GB"/>
        </w:rPr>
      </w:pPr>
      <w:r w:rsidRPr="00BF495B">
        <w:rPr>
          <w:kern w:val="2"/>
          <w:lang w:val="en-GB"/>
        </w:rPr>
        <w:t>Customer behaviours</w:t>
      </w:r>
    </w:p>
    <w:p w14:paraId="34346D77" w14:textId="77777777" w:rsidR="006B71D3" w:rsidRPr="00BF495B" w:rsidRDefault="006B71D3" w:rsidP="001D7D10">
      <w:pPr>
        <w:pStyle w:val="BodyTextMain"/>
        <w:keepNext/>
        <w:keepLines/>
        <w:rPr>
          <w:kern w:val="2"/>
          <w:lang w:val="en-GB"/>
        </w:rPr>
      </w:pPr>
    </w:p>
    <w:p w14:paraId="249D7BBD" w14:textId="0434EB6D" w:rsidR="006B71D3" w:rsidRPr="00BF495B" w:rsidRDefault="006B71D3" w:rsidP="001D7D10">
      <w:pPr>
        <w:pStyle w:val="BodyTextMain"/>
        <w:keepNext/>
        <w:keepLines/>
        <w:rPr>
          <w:kern w:val="2"/>
          <w:lang w:val="en-GB"/>
        </w:rPr>
      </w:pPr>
      <w:r w:rsidRPr="00BF495B">
        <w:rPr>
          <w:kern w:val="2"/>
          <w:lang w:val="en-GB"/>
        </w:rPr>
        <w:t>Perhaps the most significant factors driving change in the retail apparel industry were associated with shifting customer behaviours. Customer buying patterns and behaviours could directly influence a firm’s ability to succeed and in many cases determined both a firm’s approach and, indeed, the resulting industry business model. The urban retail fashion market, where Zara played,</w:t>
      </w:r>
      <w:r w:rsidRPr="00BF495B">
        <w:rPr>
          <w:rStyle w:val="EndnoteReference"/>
          <w:kern w:val="2"/>
          <w:lang w:val="en-GB"/>
        </w:rPr>
        <w:endnoteReference w:id="29"/>
      </w:r>
      <w:r w:rsidRPr="00BF495B">
        <w:rPr>
          <w:kern w:val="2"/>
          <w:lang w:val="en-GB"/>
        </w:rPr>
        <w:t xml:space="preserve"> was inextricably tied to two key customer behaviours: </w:t>
      </w:r>
    </w:p>
    <w:p w14:paraId="118B7D37" w14:textId="77777777" w:rsidR="006B71D3" w:rsidRPr="00BF495B" w:rsidRDefault="006B71D3" w:rsidP="00F15509">
      <w:pPr>
        <w:pStyle w:val="BodyTextMain"/>
        <w:rPr>
          <w:kern w:val="2"/>
          <w:lang w:val="en-GB"/>
        </w:rPr>
      </w:pPr>
    </w:p>
    <w:p w14:paraId="3752BC0D" w14:textId="77777777" w:rsidR="006B71D3" w:rsidRPr="00BF495B" w:rsidRDefault="006B71D3" w:rsidP="00F15509">
      <w:pPr>
        <w:pStyle w:val="BodyTextMain"/>
        <w:rPr>
          <w:kern w:val="2"/>
          <w:lang w:val="en-GB"/>
        </w:rPr>
      </w:pPr>
    </w:p>
    <w:p w14:paraId="48A0C685" w14:textId="61FEB57F" w:rsidR="006B71D3" w:rsidRPr="00BF495B" w:rsidRDefault="006B71D3" w:rsidP="00955053">
      <w:pPr>
        <w:pStyle w:val="Casehead2"/>
        <w:keepNext/>
        <w:rPr>
          <w:kern w:val="2"/>
          <w:lang w:val="en-GB"/>
        </w:rPr>
      </w:pPr>
      <w:r w:rsidRPr="00BF495B">
        <w:rPr>
          <w:kern w:val="2"/>
          <w:lang w:val="en-GB"/>
        </w:rPr>
        <w:lastRenderedPageBreak/>
        <w:t>Unpredictability and Influence</w:t>
      </w:r>
    </w:p>
    <w:p w14:paraId="5AECB362" w14:textId="77777777" w:rsidR="006B71D3" w:rsidRPr="00BF495B" w:rsidRDefault="006B71D3" w:rsidP="00955053">
      <w:pPr>
        <w:pStyle w:val="BodyTextMain"/>
        <w:keepNext/>
        <w:rPr>
          <w:kern w:val="2"/>
          <w:sz w:val="18"/>
          <w:szCs w:val="18"/>
          <w:lang w:val="en-GB"/>
        </w:rPr>
      </w:pPr>
    </w:p>
    <w:p w14:paraId="384BAC49" w14:textId="66898C12" w:rsidR="006B71D3" w:rsidRPr="00BF495B" w:rsidRDefault="006B71D3" w:rsidP="00197135">
      <w:pPr>
        <w:pStyle w:val="BodyTextMain"/>
        <w:rPr>
          <w:kern w:val="2"/>
          <w:lang w:val="en-GB"/>
        </w:rPr>
      </w:pPr>
      <w:r w:rsidRPr="00BF495B">
        <w:rPr>
          <w:kern w:val="2"/>
          <w:lang w:val="en-GB"/>
        </w:rPr>
        <w:t>Fashion apparel customers were a fickle group that could be extremely hard to predict and influence. They could be easily swayed by unpredictable factors, such as celebrity fashion, friends’ fashion choices, or the need to differentiate themselves in a crowded urban environment. These variables made it extremely challenging to predict the next fashion hit and contributed to the single largest risk in retail apparel: a “fashion miss.” In turn, fashion misses resulted in discounts and markdowns in order to make room for new inventory. For example, in its first quarter 2018 report, H&amp;M reported $4.3 billion of what Pam Danziger of Unity Marketing called “unexciting, uninspired, unsold inventory,”</w:t>
      </w:r>
      <w:r w:rsidRPr="00BF495B">
        <w:rPr>
          <w:rStyle w:val="EndnoteReference"/>
          <w:kern w:val="2"/>
          <w:lang w:val="en-GB"/>
        </w:rPr>
        <w:endnoteReference w:id="30"/>
      </w:r>
      <w:r w:rsidRPr="00BF495B">
        <w:rPr>
          <w:kern w:val="2"/>
          <w:lang w:val="en-GB"/>
        </w:rPr>
        <w:t xml:space="preserve"> most of which would have to be discounted. Studies showed that specialty apparel retailers could end up marking down 30–40 per cent of their inventory by up to 60 per cent on average.</w:t>
      </w:r>
      <w:r w:rsidRPr="00BF495B">
        <w:rPr>
          <w:rStyle w:val="EndnoteReference"/>
          <w:kern w:val="2"/>
          <w:lang w:val="en-GB"/>
        </w:rPr>
        <w:endnoteReference w:id="31"/>
      </w:r>
      <w:r w:rsidRPr="00BF495B">
        <w:rPr>
          <w:kern w:val="2"/>
          <w:lang w:val="en-GB"/>
        </w:rPr>
        <w:t xml:space="preserve"> To mitigate this risk, many apparel retailers spent an exorbitant amount of money on advertising, with a focus on building brand awareness and loyalty. And it worked—to a degree. For example, in 2017, Gap Inc. (Gap) spent $673 million on advertising, a 12 per cent year-over-year growth, representing 4.2 per cent of sales or 10.6 per cent of gross profit margins.</w:t>
      </w:r>
      <w:r w:rsidRPr="00BF495B">
        <w:rPr>
          <w:rStyle w:val="EndnoteReference"/>
          <w:kern w:val="2"/>
          <w:lang w:val="en-GB"/>
        </w:rPr>
        <w:endnoteReference w:id="32"/>
      </w:r>
      <w:r w:rsidRPr="00BF495B">
        <w:rPr>
          <w:kern w:val="2"/>
          <w:lang w:val="en-GB"/>
        </w:rPr>
        <w:t xml:space="preserve"> In the highly competitive fashion industry, this could be the defining driver of profitability. </w:t>
      </w:r>
    </w:p>
    <w:p w14:paraId="34673AD1" w14:textId="77777777" w:rsidR="006B71D3" w:rsidRPr="00BF495B" w:rsidRDefault="006B71D3" w:rsidP="00197135">
      <w:pPr>
        <w:pStyle w:val="BodyTextMain"/>
        <w:rPr>
          <w:kern w:val="2"/>
          <w:sz w:val="18"/>
          <w:szCs w:val="18"/>
          <w:lang w:val="en-GB"/>
        </w:rPr>
      </w:pPr>
    </w:p>
    <w:p w14:paraId="63269894" w14:textId="77777777" w:rsidR="006B71D3" w:rsidRPr="00BF495B" w:rsidRDefault="006B71D3" w:rsidP="00197135">
      <w:pPr>
        <w:pStyle w:val="BodyTextMain"/>
        <w:rPr>
          <w:kern w:val="2"/>
          <w:sz w:val="18"/>
          <w:szCs w:val="18"/>
          <w:lang w:val="en-GB"/>
        </w:rPr>
      </w:pPr>
    </w:p>
    <w:p w14:paraId="29A737AE" w14:textId="04806D9B" w:rsidR="006B71D3" w:rsidRPr="00BF495B" w:rsidRDefault="006B71D3" w:rsidP="00197135">
      <w:pPr>
        <w:pStyle w:val="Casehead2"/>
        <w:rPr>
          <w:rStyle w:val="BodyTextMainChar"/>
          <w:rFonts w:ascii="Arial" w:hAnsi="Arial" w:cs="Arial"/>
          <w:kern w:val="2"/>
          <w:lang w:val="en-GB"/>
        </w:rPr>
      </w:pPr>
      <w:r w:rsidRPr="00BF495B">
        <w:rPr>
          <w:rStyle w:val="BodyTextMainChar"/>
          <w:rFonts w:ascii="Arial" w:hAnsi="Arial" w:cs="Arial"/>
          <w:kern w:val="2"/>
          <w:lang w:val="en-GB"/>
        </w:rPr>
        <w:t xml:space="preserve">Frequently Changing Tastes </w:t>
      </w:r>
    </w:p>
    <w:p w14:paraId="0F0FC7FC" w14:textId="77777777" w:rsidR="006B71D3" w:rsidRPr="00BF495B" w:rsidRDefault="006B71D3" w:rsidP="00197135">
      <w:pPr>
        <w:pStyle w:val="BodyTextMain"/>
        <w:rPr>
          <w:kern w:val="2"/>
          <w:sz w:val="18"/>
          <w:szCs w:val="18"/>
          <w:lang w:val="en-GB"/>
        </w:rPr>
      </w:pPr>
    </w:p>
    <w:p w14:paraId="6C9D4EE0" w14:textId="4DF979AC" w:rsidR="006B71D3" w:rsidRPr="00BF495B" w:rsidRDefault="006B71D3" w:rsidP="00197135">
      <w:pPr>
        <w:pStyle w:val="BodyTextMain"/>
        <w:rPr>
          <w:kern w:val="2"/>
          <w:lang w:val="en-GB"/>
        </w:rPr>
      </w:pPr>
      <w:r w:rsidRPr="00BF495B">
        <w:rPr>
          <w:kern w:val="2"/>
          <w:lang w:val="en-GB"/>
        </w:rPr>
        <w:t>Fashion cycles could also be notoriously short, especially in the urban womenswear segment. Trends came and went, which drove fashion retailers to introduce new fashions more often and avoid replenishing old items where “old” stock could necessitate a potential discount. At H&amp;M, speed to sell-out rates ranged from 12 to 38 days in the first three quarters of 2018.</w:t>
      </w:r>
      <w:r w:rsidRPr="00BF495B">
        <w:rPr>
          <w:rStyle w:val="EndnoteReference"/>
          <w:kern w:val="2"/>
          <w:lang w:val="en-GB"/>
        </w:rPr>
        <w:endnoteReference w:id="33"/>
      </w:r>
      <w:r w:rsidRPr="00BF495B">
        <w:rPr>
          <w:kern w:val="2"/>
          <w:lang w:val="en-GB"/>
        </w:rPr>
        <w:t xml:space="preserve"> On the surface, this looked like a strong metric; however, H&amp;M tended to replenish sell-out items versus replacing them with new items. In the world of ever-changing consumer tastes, replenishment rates should ideally be low, reflecting a strong tie to consumers’ needs. This impacted both retailers’ inventory turnover ratios and ability to sell items at or near full price. Introducing new fashions frequently could have the positive desired effect of enticing customers back to the store more often. An average customer would visit the typical fashion store four times per year, while some fashion retailers, such as Zara, enticed their customers back as many as 17 times per year with fresh fashion choices appearing more often.</w:t>
      </w:r>
      <w:r w:rsidRPr="00BF495B">
        <w:rPr>
          <w:rStyle w:val="EndnoteReference"/>
          <w:kern w:val="2"/>
          <w:lang w:val="en-GB"/>
        </w:rPr>
        <w:endnoteReference w:id="34"/>
      </w:r>
      <w:r w:rsidRPr="00BF495B">
        <w:rPr>
          <w:kern w:val="2"/>
          <w:lang w:val="en-GB"/>
        </w:rPr>
        <w:t xml:space="preserve"> A fashion retailer’s ability to react quickly to shifting fashion preferences could be a defining success factor.</w:t>
      </w:r>
    </w:p>
    <w:p w14:paraId="0C5CD4EB" w14:textId="6A82A4A3" w:rsidR="006B71D3" w:rsidRPr="00BF495B" w:rsidRDefault="006B71D3" w:rsidP="00197135">
      <w:pPr>
        <w:pStyle w:val="BodyTextMain"/>
        <w:rPr>
          <w:kern w:val="2"/>
          <w:sz w:val="18"/>
          <w:szCs w:val="18"/>
          <w:lang w:val="en-GB"/>
        </w:rPr>
      </w:pPr>
    </w:p>
    <w:p w14:paraId="77C64548" w14:textId="77777777" w:rsidR="006B71D3" w:rsidRPr="00BF495B" w:rsidRDefault="006B71D3" w:rsidP="00197135">
      <w:pPr>
        <w:pStyle w:val="BodyTextMain"/>
        <w:rPr>
          <w:kern w:val="2"/>
          <w:sz w:val="18"/>
          <w:szCs w:val="18"/>
          <w:lang w:val="en-GB"/>
        </w:rPr>
      </w:pPr>
    </w:p>
    <w:p w14:paraId="5A583CE7" w14:textId="6078ACA9" w:rsidR="006B71D3" w:rsidRPr="00BF495B" w:rsidRDefault="006B71D3" w:rsidP="005D3CCA">
      <w:pPr>
        <w:pStyle w:val="Casehead1"/>
        <w:rPr>
          <w:kern w:val="2"/>
          <w:lang w:val="en-GB"/>
        </w:rPr>
      </w:pPr>
      <w:r w:rsidRPr="00BF495B">
        <w:rPr>
          <w:kern w:val="2"/>
          <w:lang w:val="en-GB"/>
        </w:rPr>
        <w:t>Inditex and zara—A unique approach</w:t>
      </w:r>
    </w:p>
    <w:p w14:paraId="44919AC0" w14:textId="77777777" w:rsidR="006B71D3" w:rsidRPr="00BF495B" w:rsidRDefault="006B71D3">
      <w:pPr>
        <w:pStyle w:val="BodyTextMain"/>
        <w:rPr>
          <w:kern w:val="2"/>
          <w:sz w:val="18"/>
          <w:szCs w:val="18"/>
          <w:lang w:val="en-GB"/>
        </w:rPr>
      </w:pPr>
    </w:p>
    <w:p w14:paraId="20EA8082" w14:textId="3A470D03" w:rsidR="006B71D3" w:rsidRPr="00BF495B" w:rsidRDefault="006B71D3">
      <w:pPr>
        <w:pStyle w:val="BodyTextMain"/>
        <w:rPr>
          <w:kern w:val="2"/>
          <w:lang w:val="en-GB"/>
        </w:rPr>
      </w:pPr>
      <w:r w:rsidRPr="00BF495B">
        <w:rPr>
          <w:kern w:val="2"/>
          <w:lang w:val="en-GB"/>
        </w:rPr>
        <w:t>Inditex was the public holding company for Zara and seven other retail brands, including Bershka, Massimo Dutti, Pull&amp;Bear, and Stradivarius. After 23 years of diversifying into these new categories, Inditex still depended on Zara for the vast majority of its sales and profitability.</w:t>
      </w:r>
      <w:r w:rsidRPr="00BF495B">
        <w:rPr>
          <w:rStyle w:val="EndnoteReference"/>
          <w:kern w:val="2"/>
          <w:lang w:val="en-GB"/>
        </w:rPr>
        <w:endnoteReference w:id="35"/>
      </w:r>
      <w:r w:rsidRPr="00BF495B">
        <w:rPr>
          <w:kern w:val="2"/>
          <w:lang w:val="en-GB"/>
        </w:rPr>
        <w:t xml:space="preserve"> In 2017, Zara represented €16.62 billion of Inditex’s revenue across 2,251 stores in 96 markets (see Exhibit 4) and a full 70.1 per cent of its earnings before interest and taxes (EBIT).</w:t>
      </w:r>
      <w:r w:rsidRPr="00BF495B">
        <w:rPr>
          <w:rStyle w:val="EndnoteReference"/>
          <w:kern w:val="2"/>
          <w:lang w:val="en-GB"/>
        </w:rPr>
        <w:endnoteReference w:id="36"/>
      </w:r>
      <w:r w:rsidRPr="00BF495B">
        <w:rPr>
          <w:kern w:val="2"/>
          <w:lang w:val="en-GB"/>
        </w:rPr>
        <w:t xml:space="preserve"> </w:t>
      </w:r>
    </w:p>
    <w:p w14:paraId="0B1A94BE" w14:textId="77777777" w:rsidR="006B71D3" w:rsidRPr="00BF495B" w:rsidRDefault="006B71D3">
      <w:pPr>
        <w:pStyle w:val="BodyTextMain"/>
        <w:rPr>
          <w:kern w:val="2"/>
          <w:sz w:val="14"/>
          <w:szCs w:val="14"/>
          <w:lang w:val="en-GB"/>
        </w:rPr>
      </w:pPr>
    </w:p>
    <w:p w14:paraId="15C8F1DA" w14:textId="4D68FC4A" w:rsidR="006B71D3" w:rsidRPr="00BF495B" w:rsidRDefault="006B71D3">
      <w:pPr>
        <w:pStyle w:val="BodyTextMain"/>
        <w:rPr>
          <w:kern w:val="2"/>
          <w:lang w:val="en-GB"/>
        </w:rPr>
      </w:pPr>
      <w:r w:rsidRPr="00BF495B">
        <w:rPr>
          <w:kern w:val="2"/>
          <w:lang w:val="en-GB"/>
        </w:rPr>
        <w:t>Inditex had been moving rapidly for the last decade. It had taken its sales from €5.67 billion in 2004 to €23.34 billion in fiscal 2017.</w:t>
      </w:r>
      <w:r w:rsidRPr="00BF495B">
        <w:rPr>
          <w:rStyle w:val="EndnoteReference"/>
          <w:kern w:val="2"/>
          <w:lang w:val="en-GB"/>
        </w:rPr>
        <w:endnoteReference w:id="37"/>
      </w:r>
      <w:r w:rsidRPr="00BF495B">
        <w:rPr>
          <w:kern w:val="2"/>
          <w:lang w:val="en-GB"/>
        </w:rPr>
        <w:t xml:space="preserve"> This had been accomplished through a focused geographic expansion effort that had seen the company grow to support 7,475 stores by the end of 2017, along with growing online sales in 47 markets.</w:t>
      </w:r>
      <w:r w:rsidRPr="00BF495B">
        <w:rPr>
          <w:rStyle w:val="EndnoteReference"/>
          <w:kern w:val="2"/>
          <w:lang w:val="en-GB"/>
        </w:rPr>
        <w:endnoteReference w:id="38"/>
      </w:r>
      <w:r w:rsidRPr="00BF495B">
        <w:rPr>
          <w:kern w:val="2"/>
          <w:lang w:val="en-GB"/>
        </w:rPr>
        <w:t xml:space="preserve"> Its recent focus for geographic growth was primarily Asia, where it had opened 593 stores in China alone by the end of 2014.</w:t>
      </w:r>
      <w:r w:rsidRPr="00BF495B">
        <w:rPr>
          <w:rStyle w:val="EndnoteReference"/>
          <w:kern w:val="2"/>
          <w:lang w:val="en-GB"/>
        </w:rPr>
        <w:endnoteReference w:id="39"/>
      </w:r>
      <w:r w:rsidRPr="00BF495B">
        <w:rPr>
          <w:kern w:val="2"/>
          <w:lang w:val="en-GB"/>
        </w:rPr>
        <w:t xml:space="preserve"> </w:t>
      </w:r>
    </w:p>
    <w:p w14:paraId="27370F90" w14:textId="77777777" w:rsidR="006B71D3" w:rsidRPr="00BF495B" w:rsidRDefault="006B71D3">
      <w:pPr>
        <w:pStyle w:val="BodyTextMain"/>
        <w:rPr>
          <w:kern w:val="2"/>
          <w:sz w:val="14"/>
          <w:szCs w:val="14"/>
          <w:lang w:val="en-GB"/>
        </w:rPr>
      </w:pPr>
    </w:p>
    <w:p w14:paraId="065CDB50" w14:textId="4F6D25F0" w:rsidR="006B71D3" w:rsidRPr="00BF495B" w:rsidRDefault="006B71D3">
      <w:pPr>
        <w:pStyle w:val="BodyTextMain"/>
        <w:rPr>
          <w:kern w:val="2"/>
          <w:lang w:val="en-GB"/>
        </w:rPr>
      </w:pPr>
      <w:r w:rsidRPr="00BF495B">
        <w:rPr>
          <w:kern w:val="2"/>
          <w:lang w:val="en-GB"/>
        </w:rPr>
        <w:t>The company’s approach was very different from that of its traditional competitors. For instance, it was highly vertically integrated, and unlike all of its competitors, it manufactured the majority of its own clothing. In fact, it manufactured over 60 per cent of its own products in what most would consider high-cost labour markets—Spain, Portugal, or other nearby countries—relying less on third-world and outsourced manufacturing.</w:t>
      </w:r>
      <w:r w:rsidRPr="00BF495B">
        <w:rPr>
          <w:rStyle w:val="EndnoteReference"/>
          <w:kern w:val="2"/>
          <w:lang w:val="en-GB"/>
        </w:rPr>
        <w:endnoteReference w:id="40"/>
      </w:r>
      <w:r w:rsidRPr="00BF495B">
        <w:rPr>
          <w:kern w:val="2"/>
          <w:lang w:val="en-GB"/>
        </w:rPr>
        <w:t xml:space="preserve"> Its competitors, by contrast, outsourced the vast majority of their production.</w:t>
      </w:r>
    </w:p>
    <w:p w14:paraId="78426581" w14:textId="417BA06C" w:rsidR="006B71D3" w:rsidRPr="00BF495B" w:rsidRDefault="006B71D3" w:rsidP="005D3CCA">
      <w:pPr>
        <w:pStyle w:val="Casehead2"/>
        <w:rPr>
          <w:kern w:val="2"/>
          <w:lang w:val="en-GB"/>
        </w:rPr>
      </w:pPr>
      <w:r w:rsidRPr="00BF495B">
        <w:rPr>
          <w:kern w:val="2"/>
          <w:lang w:val="en-GB"/>
        </w:rPr>
        <w:lastRenderedPageBreak/>
        <w:t>Unique Capabilities</w:t>
      </w:r>
    </w:p>
    <w:p w14:paraId="0D5B14B8" w14:textId="77777777" w:rsidR="006B71D3" w:rsidRPr="00BF495B" w:rsidRDefault="006B71D3">
      <w:pPr>
        <w:pStyle w:val="BodyTextMain"/>
        <w:rPr>
          <w:kern w:val="2"/>
          <w:lang w:val="en-GB"/>
        </w:rPr>
      </w:pPr>
    </w:p>
    <w:p w14:paraId="431255E4" w14:textId="76BD9552" w:rsidR="006B71D3" w:rsidRPr="00BF495B" w:rsidRDefault="006B71D3">
      <w:pPr>
        <w:pStyle w:val="BodyTextMain"/>
        <w:rPr>
          <w:spacing w:val="-2"/>
          <w:kern w:val="2"/>
          <w:lang w:val="en-GB"/>
        </w:rPr>
      </w:pPr>
      <w:r w:rsidRPr="00BF495B">
        <w:rPr>
          <w:spacing w:val="-2"/>
          <w:kern w:val="2"/>
          <w:lang w:val="en-GB"/>
        </w:rPr>
        <w:t xml:space="preserve">Inditex had built a number of defining competencies, which its competitors did not possess. The first was associated with time to market. The company could move from a sketch of an idea to a product ready for shipment in as little as </w:t>
      </w:r>
      <w:r w:rsidR="00B723AF" w:rsidRPr="00BF495B">
        <w:rPr>
          <w:spacing w:val="-2"/>
          <w:kern w:val="2"/>
          <w:lang w:val="en-GB"/>
        </w:rPr>
        <w:t>10 to 15 days</w:t>
      </w:r>
      <w:r w:rsidRPr="00BF495B">
        <w:rPr>
          <w:spacing w:val="-2"/>
          <w:kern w:val="2"/>
          <w:lang w:val="en-GB"/>
        </w:rPr>
        <w:t>.</w:t>
      </w:r>
      <w:r w:rsidRPr="00BF495B">
        <w:rPr>
          <w:rStyle w:val="EndnoteReference"/>
          <w:spacing w:val="-2"/>
          <w:kern w:val="2"/>
          <w:lang w:val="en-GB"/>
        </w:rPr>
        <w:endnoteReference w:id="41"/>
      </w:r>
      <w:r w:rsidRPr="00BF495B">
        <w:rPr>
          <w:spacing w:val="-2"/>
          <w:kern w:val="2"/>
          <w:lang w:val="en-GB"/>
        </w:rPr>
        <w:t xml:space="preserve"> This was precisely why Zara had been dubbed the champion of the relatively new “fast fashion” industry. However, Pablo Isla, chief executive officer (CEO) and chairman of Inditex, did not endorse this term. “I don’t identify with the concept of </w:t>
      </w:r>
      <w:r w:rsidRPr="00BF495B">
        <w:rPr>
          <w:i/>
          <w:spacing w:val="-2"/>
          <w:kern w:val="2"/>
          <w:lang w:val="en-GB"/>
        </w:rPr>
        <w:t>fast fashion</w:t>
      </w:r>
      <w:r w:rsidRPr="00BF495B">
        <w:rPr>
          <w:spacing w:val="-2"/>
          <w:kern w:val="2"/>
          <w:lang w:val="en-GB"/>
        </w:rPr>
        <w:t>,” he said. “We are not about selling a million striped T-shirts as fast as possible.” He went on to say that the success was “based not on speed but on accuracy, on understanding exactly what customers want, week by week, and store by store.”</w:t>
      </w:r>
      <w:r w:rsidRPr="00BF495B">
        <w:rPr>
          <w:rStyle w:val="EndnoteReference"/>
          <w:spacing w:val="-2"/>
          <w:kern w:val="2"/>
          <w:lang w:val="en-GB"/>
        </w:rPr>
        <w:endnoteReference w:id="42"/>
      </w:r>
      <w:r w:rsidRPr="00BF495B">
        <w:rPr>
          <w:spacing w:val="-2"/>
          <w:kern w:val="2"/>
          <w:lang w:val="en-GB"/>
        </w:rPr>
        <w:t xml:space="preserve"> </w:t>
      </w:r>
    </w:p>
    <w:p w14:paraId="2877E84A" w14:textId="77777777" w:rsidR="006B71D3" w:rsidRPr="00BF495B" w:rsidRDefault="006B71D3">
      <w:pPr>
        <w:pStyle w:val="BodyTextMain"/>
        <w:rPr>
          <w:kern w:val="2"/>
          <w:lang w:val="en-GB"/>
        </w:rPr>
      </w:pPr>
    </w:p>
    <w:p w14:paraId="5CC26F26" w14:textId="29553ECE" w:rsidR="006B71D3" w:rsidRPr="00BF495B" w:rsidRDefault="006B71D3">
      <w:pPr>
        <w:pStyle w:val="BodyTextMain"/>
        <w:rPr>
          <w:kern w:val="2"/>
          <w:lang w:val="en-GB"/>
        </w:rPr>
      </w:pPr>
      <w:r w:rsidRPr="00BF495B">
        <w:rPr>
          <w:kern w:val="2"/>
          <w:lang w:val="en-GB"/>
        </w:rPr>
        <w:t>This highlighted a key capability at Inditex—its ability to identify customer needs and desires and translate these critical inputs back to the design teams in La Coruña. Zara achieved this through employee groups dubbed “commercials.” There were three essential levels of commercials that worked closely with one another at Zara. The design team commercials, which typically consisted of four employees—two product managers and two designers—were responsible for designs in a specific category, such as women’s sport clothing. They were given all the decision authority required to succeed, including independence in setting designs, ordering fabric, determining manufacturing quantities, and pricing. These teams decided what Zara would make and sell. In fact, they introduced roughly 12,000 new individual designs for Zara stores each year.</w:t>
      </w:r>
      <w:r w:rsidRPr="00BF495B">
        <w:rPr>
          <w:rStyle w:val="EndnoteReference"/>
          <w:kern w:val="2"/>
          <w:lang w:val="en-GB"/>
        </w:rPr>
        <w:endnoteReference w:id="43"/>
      </w:r>
      <w:r w:rsidRPr="00BF495B">
        <w:rPr>
          <w:kern w:val="2"/>
          <w:lang w:val="en-GB"/>
        </w:rPr>
        <w:t xml:space="preserve"> These teams were supported by regional commercials responsible for liaising with store managers (and customers) across certain geographic footprints. Their overriding responsibility was to identify the clothing styles that would sell in their markets. They did this through observing what people were wearing (and, importantly, wanted to wear) along with the insights (and orders) coming from the store managers.</w:t>
      </w:r>
      <w:r w:rsidRPr="00BF495B">
        <w:rPr>
          <w:rStyle w:val="EndnoteReference"/>
          <w:kern w:val="2"/>
          <w:lang w:val="en-GB"/>
        </w:rPr>
        <w:endnoteReference w:id="44"/>
      </w:r>
      <w:r w:rsidRPr="00BF495B">
        <w:rPr>
          <w:kern w:val="2"/>
          <w:lang w:val="en-GB"/>
        </w:rPr>
        <w:t xml:space="preserve"> </w:t>
      </w:r>
    </w:p>
    <w:p w14:paraId="63D82956" w14:textId="77777777" w:rsidR="006B71D3" w:rsidRPr="00BF495B" w:rsidRDefault="006B71D3">
      <w:pPr>
        <w:pStyle w:val="BodyTextMain"/>
        <w:rPr>
          <w:kern w:val="2"/>
          <w:lang w:val="en-GB"/>
        </w:rPr>
      </w:pPr>
    </w:p>
    <w:p w14:paraId="597F4285" w14:textId="509C703D" w:rsidR="006B71D3" w:rsidRPr="00BF495B" w:rsidRDefault="006B71D3">
      <w:pPr>
        <w:pStyle w:val="BodyTextMain"/>
        <w:rPr>
          <w:kern w:val="2"/>
          <w:lang w:val="en-GB"/>
        </w:rPr>
      </w:pPr>
      <w:r w:rsidRPr="00BF495B">
        <w:rPr>
          <w:kern w:val="2"/>
          <w:lang w:val="en-GB"/>
        </w:rPr>
        <w:t>Store managers were the third level of commercials. Their primary responsibility was to select the inventory they believed would sell in their stores—something they accomplished through talking with and observing customers. They had to also be up to the minute and intimate with their store inventory levels and sales. They ordered new inventory within each category in the store twice a week. For many years, Zara had chosen to not implement a store-wide inventory management system, requiring store managers to count inventory by hand. This, among other things, forced the store managers to be on the floor and, by default, to interact with customers. The insights gained from this interaction helped managers purchase inventory for their store that was more relevant and compelling for their customers. However, store managers would not always receive the items they ordered. At times, the regional commercials would place new items in stores to “see how they would sell.” They usually made these new clothes in small batches to avoid any significant markdowns in the event they were not popular.</w:t>
      </w:r>
      <w:r w:rsidRPr="00BF495B">
        <w:rPr>
          <w:rStyle w:val="EndnoteReference"/>
          <w:kern w:val="2"/>
          <w:lang w:val="en-GB"/>
        </w:rPr>
        <w:endnoteReference w:id="45"/>
      </w:r>
      <w:r w:rsidRPr="00BF495B">
        <w:rPr>
          <w:kern w:val="2"/>
          <w:lang w:val="en-GB"/>
        </w:rPr>
        <w:t xml:space="preserve"> This approach drove </w:t>
      </w:r>
      <w:r w:rsidR="00D65B46" w:rsidRPr="00BF495B">
        <w:rPr>
          <w:kern w:val="2"/>
          <w:lang w:val="en-GB"/>
        </w:rPr>
        <w:t xml:space="preserve">Zara’s industry leading </w:t>
      </w:r>
      <w:r w:rsidRPr="00BF495B">
        <w:rPr>
          <w:kern w:val="2"/>
          <w:lang w:val="en-GB"/>
        </w:rPr>
        <w:t>fashion failure rates</w:t>
      </w:r>
      <w:r w:rsidR="00D65B46" w:rsidRPr="00BF495B">
        <w:rPr>
          <w:kern w:val="2"/>
          <w:lang w:val="en-GB"/>
        </w:rPr>
        <w:t>.</w:t>
      </w:r>
    </w:p>
    <w:p w14:paraId="693EFFEA" w14:textId="77777777" w:rsidR="006B71D3" w:rsidRPr="00BF495B" w:rsidRDefault="006B71D3">
      <w:pPr>
        <w:pStyle w:val="BodyTextMain"/>
        <w:rPr>
          <w:kern w:val="2"/>
          <w:lang w:val="en-GB"/>
        </w:rPr>
      </w:pPr>
    </w:p>
    <w:p w14:paraId="73C8EBC7" w14:textId="2FDC86DA" w:rsidR="006B71D3" w:rsidRPr="00BF495B" w:rsidRDefault="006B71D3">
      <w:pPr>
        <w:pStyle w:val="BodyTextMain"/>
        <w:rPr>
          <w:kern w:val="2"/>
          <w:lang w:val="en-GB"/>
        </w:rPr>
      </w:pPr>
      <w:r w:rsidRPr="00BF495B">
        <w:rPr>
          <w:kern w:val="2"/>
          <w:lang w:val="en-GB"/>
        </w:rPr>
        <w:t>Commercials were encouraged to remain vigilant in introducing new items weekly and not restocking old items, giving Zara a replenishment rate of only 2.8 per cent.</w:t>
      </w:r>
      <w:r w:rsidRPr="00BF495B">
        <w:rPr>
          <w:rStyle w:val="EndnoteReference"/>
          <w:kern w:val="2"/>
          <w:lang w:val="en-GB"/>
        </w:rPr>
        <w:endnoteReference w:id="46"/>
      </w:r>
      <w:r w:rsidRPr="00BF495B">
        <w:rPr>
          <w:kern w:val="2"/>
          <w:lang w:val="en-GB"/>
        </w:rPr>
        <w:t xml:space="preserve"> This led to two unique customer behaviours. Firstly, Zara customers would visit stores often (17 times per year versus 4.1 for brand loyal shoppers),</w:t>
      </w:r>
      <w:r w:rsidRPr="00BF495B">
        <w:rPr>
          <w:rStyle w:val="EndnoteReference"/>
          <w:kern w:val="2"/>
          <w:lang w:val="en-GB"/>
        </w:rPr>
        <w:endnoteReference w:id="47"/>
      </w:r>
      <w:r w:rsidRPr="00BF495B">
        <w:rPr>
          <w:kern w:val="2"/>
          <w:lang w:val="en-GB"/>
        </w:rPr>
        <w:t xml:space="preserve"> as there were always new fashions to be had. Secondly, when customers found something they liked, they were motivated to avoid deferring their decision to purchase, as Zara had created a sense of scarcity; it simply would not be there next time. These two behaviours drove Zara to an industry-leading third quarter 2018 trailing 12-month</w:t>
      </w:r>
      <w:r w:rsidR="00BF495B">
        <w:rPr>
          <w:kern w:val="2"/>
          <w:lang w:val="en-GB"/>
        </w:rPr>
        <w:t xml:space="preserve"> inventory turnover ratio of 28:</w:t>
      </w:r>
      <w:r w:rsidRPr="00BF495B">
        <w:rPr>
          <w:kern w:val="2"/>
          <w:lang w:val="en-GB"/>
        </w:rPr>
        <w:t>48.</w:t>
      </w:r>
      <w:r w:rsidRPr="00BF495B">
        <w:rPr>
          <w:rStyle w:val="EndnoteReference"/>
          <w:kern w:val="2"/>
          <w:lang w:val="en-GB"/>
        </w:rPr>
        <w:endnoteReference w:id="48"/>
      </w:r>
    </w:p>
    <w:p w14:paraId="2BF5C0CD" w14:textId="77777777" w:rsidR="006B71D3" w:rsidRPr="00BF495B" w:rsidRDefault="006B71D3">
      <w:pPr>
        <w:pStyle w:val="BodyTextMain"/>
        <w:rPr>
          <w:kern w:val="2"/>
          <w:lang w:val="en-GB"/>
        </w:rPr>
      </w:pPr>
    </w:p>
    <w:p w14:paraId="2D5E3C43" w14:textId="2FF2E45D" w:rsidR="006B71D3" w:rsidRPr="00BF495B" w:rsidRDefault="006B71D3">
      <w:pPr>
        <w:pStyle w:val="BodyTextMain"/>
        <w:rPr>
          <w:kern w:val="2"/>
          <w:lang w:val="en-GB"/>
        </w:rPr>
      </w:pPr>
      <w:r w:rsidRPr="00BF495B">
        <w:rPr>
          <w:kern w:val="2"/>
          <w:lang w:val="en-GB"/>
        </w:rPr>
        <w:t xml:space="preserve">These three levels of commercial teams were the heart of Zara’s success, and they ultimately represented Zara’s delivery of what customers wanted, when they wanted it, as CEO Isla had implied. </w:t>
      </w:r>
    </w:p>
    <w:p w14:paraId="107976CE" w14:textId="77777777" w:rsidR="006B71D3" w:rsidRPr="00BF495B" w:rsidRDefault="006B71D3">
      <w:pPr>
        <w:pStyle w:val="BodyTextMain"/>
        <w:rPr>
          <w:kern w:val="2"/>
          <w:lang w:val="en-GB"/>
        </w:rPr>
      </w:pPr>
    </w:p>
    <w:p w14:paraId="2F0A903A" w14:textId="007A036A" w:rsidR="006B71D3" w:rsidRPr="00BF495B" w:rsidRDefault="006B71D3" w:rsidP="005D3CCA">
      <w:pPr>
        <w:pStyle w:val="BodyTextMain"/>
        <w:rPr>
          <w:kern w:val="2"/>
          <w:lang w:val="en-GB"/>
        </w:rPr>
      </w:pPr>
      <w:r w:rsidRPr="00BF495B">
        <w:rPr>
          <w:kern w:val="2"/>
          <w:lang w:val="en-GB"/>
        </w:rPr>
        <w:t xml:space="preserve">A core capability at Zara related to its ability to efficiently manufacture clothes in small batches. Not only could it move a new item from concept to market very quickly, but it was able to accomplish this in small </w:t>
      </w:r>
      <w:r w:rsidRPr="00BF495B">
        <w:rPr>
          <w:kern w:val="2"/>
          <w:lang w:val="en-GB"/>
        </w:rPr>
        <w:lastRenderedPageBreak/>
        <w:t>batches, permitting it to test the market with very little risk.</w:t>
      </w:r>
      <w:r w:rsidRPr="00BF495B">
        <w:rPr>
          <w:rStyle w:val="EndnoteReference"/>
          <w:kern w:val="2"/>
          <w:lang w:val="en-GB"/>
        </w:rPr>
        <w:endnoteReference w:id="49"/>
      </w:r>
      <w:r w:rsidRPr="00BF495B">
        <w:rPr>
          <w:kern w:val="2"/>
          <w:lang w:val="en-GB"/>
        </w:rPr>
        <w:t xml:space="preserve"> The challenges of having achieved this level of mass customization should not to be underestimated. Inditex invested heavily in automation within its manufacturing plants and tied this to effective management of its entire supply chain, with a focus on breaking down any bottlenecks in the manufacturing process. For instance, it operated a local dye and finishing plant close to its factories in La Coruña and did most of its own pre-cutting prior to delivering product to its sewing subcontractors. This was not without cost implications; its clothes typically cost 20 per cent more to manufacture than its competitors’ clothes, which were manufactured in vast quantities in third-world countries.</w:t>
      </w:r>
      <w:r w:rsidRPr="00BF495B">
        <w:rPr>
          <w:rStyle w:val="EndnoteReference"/>
          <w:kern w:val="2"/>
          <w:lang w:val="en-GB"/>
        </w:rPr>
        <w:endnoteReference w:id="50"/>
      </w:r>
      <w:r w:rsidRPr="00BF495B">
        <w:rPr>
          <w:kern w:val="2"/>
          <w:lang w:val="en-GB"/>
        </w:rPr>
        <w:t xml:space="preserve"> </w:t>
      </w:r>
    </w:p>
    <w:p w14:paraId="434BC09C" w14:textId="77777777" w:rsidR="006B71D3" w:rsidRPr="00BF495B" w:rsidRDefault="006B71D3" w:rsidP="005D3CCA">
      <w:pPr>
        <w:pStyle w:val="BodyTextMain"/>
        <w:rPr>
          <w:kern w:val="2"/>
          <w:lang w:val="en-GB"/>
        </w:rPr>
      </w:pPr>
    </w:p>
    <w:p w14:paraId="1A093FD9" w14:textId="59A404E8" w:rsidR="006B71D3" w:rsidRPr="00BF495B" w:rsidRDefault="006B71D3">
      <w:pPr>
        <w:pStyle w:val="BodyTextMain"/>
        <w:rPr>
          <w:kern w:val="2"/>
          <w:lang w:val="en-GB"/>
        </w:rPr>
      </w:pPr>
      <w:r w:rsidRPr="00BF495B">
        <w:rPr>
          <w:kern w:val="2"/>
          <w:lang w:val="en-GB"/>
        </w:rPr>
        <w:t xml:space="preserve">Distribution was centrally managed through a large distribution centre in La Coruña. All clothes sold by Zara, even those manufactured in Portugal or Morocco (or China, for that matter), were sent to Spain for distribution. Bloomberg reported: </w:t>
      </w:r>
    </w:p>
    <w:p w14:paraId="79A39473" w14:textId="77777777" w:rsidR="006B71D3" w:rsidRPr="00BF495B" w:rsidRDefault="006B71D3">
      <w:pPr>
        <w:pStyle w:val="BodyTextMain"/>
        <w:rPr>
          <w:kern w:val="2"/>
          <w:lang w:val="en-GB"/>
        </w:rPr>
      </w:pPr>
    </w:p>
    <w:p w14:paraId="1E5E421F" w14:textId="045D26A8" w:rsidR="006B71D3" w:rsidRPr="00BF495B" w:rsidRDefault="006B71D3" w:rsidP="004E215B">
      <w:pPr>
        <w:pStyle w:val="BodyTextMain"/>
        <w:ind w:left="720"/>
        <w:rPr>
          <w:kern w:val="2"/>
          <w:lang w:val="en-GB"/>
        </w:rPr>
      </w:pPr>
      <w:r w:rsidRPr="00BF495B">
        <w:rPr>
          <w:kern w:val="2"/>
          <w:lang w:val="en-GB"/>
        </w:rPr>
        <w:t>Beyond the distribution center are the 11 Zara-owned factories. Every shirt, sweater and dress made in them is sent directly to the distribution centre via an automated underground monorail. There are 124 miles of track. Across the surrounding Galicia region are subcontractors, some of whom have worked for the company since Amancio Ortega founded it in 1975.</w:t>
      </w:r>
      <w:r w:rsidRPr="00BF495B">
        <w:rPr>
          <w:rStyle w:val="EndnoteReference"/>
          <w:kern w:val="2"/>
          <w:lang w:val="en-GB"/>
        </w:rPr>
        <w:endnoteReference w:id="51"/>
      </w:r>
    </w:p>
    <w:p w14:paraId="315BA1A9" w14:textId="77777777" w:rsidR="006B71D3" w:rsidRPr="00BF495B" w:rsidRDefault="006B71D3" w:rsidP="00DF27A0">
      <w:pPr>
        <w:pStyle w:val="BodyTextMain"/>
        <w:rPr>
          <w:kern w:val="2"/>
          <w:lang w:val="en-GB"/>
        </w:rPr>
      </w:pPr>
    </w:p>
    <w:p w14:paraId="3A993A50" w14:textId="20C70042" w:rsidR="006B71D3" w:rsidRPr="00BF495B" w:rsidRDefault="006B71D3" w:rsidP="00DF27A0">
      <w:pPr>
        <w:pStyle w:val="BodyTextMain"/>
        <w:rPr>
          <w:rFonts w:ascii="Times" w:hAnsi="Times"/>
          <w:kern w:val="2"/>
          <w:lang w:val="en-GB"/>
        </w:rPr>
      </w:pPr>
      <w:r w:rsidRPr="00BF495B">
        <w:rPr>
          <w:kern w:val="2"/>
          <w:lang w:val="en-GB"/>
        </w:rPr>
        <w:t>This enabled Zara to ship new inventory to every store in its network at least twice a week. Orders typically arrived two days after a store placed its request.</w:t>
      </w:r>
    </w:p>
    <w:p w14:paraId="235EE083" w14:textId="77777777" w:rsidR="006B71D3" w:rsidRPr="00BF495B" w:rsidRDefault="006B71D3">
      <w:pPr>
        <w:pStyle w:val="BodyTextMain"/>
        <w:rPr>
          <w:kern w:val="2"/>
          <w:lang w:val="en-GB"/>
        </w:rPr>
      </w:pPr>
    </w:p>
    <w:p w14:paraId="2E49FB30" w14:textId="7621161C" w:rsidR="006B71D3" w:rsidRPr="00BF495B" w:rsidRDefault="006B71D3" w:rsidP="00C4272E">
      <w:pPr>
        <w:pStyle w:val="BodyTextMain"/>
        <w:rPr>
          <w:kern w:val="2"/>
          <w:lang w:val="en-GB"/>
        </w:rPr>
      </w:pPr>
      <w:r w:rsidRPr="00BF495B">
        <w:rPr>
          <w:kern w:val="2"/>
          <w:lang w:val="en-GB"/>
        </w:rPr>
        <w:t xml:space="preserve">Additionally, Zara looked to manage its production costs by focusing on fabricating apparel that was designed to be worn only a few times, driving a lower cost of materials. This did not seem to be an issue with its customers, who enjoyed changing their fashions often. </w:t>
      </w:r>
    </w:p>
    <w:p w14:paraId="67363E2C" w14:textId="77777777" w:rsidR="006B71D3" w:rsidRPr="00BF495B" w:rsidRDefault="006B71D3" w:rsidP="001D7D10">
      <w:pPr>
        <w:pStyle w:val="BodyTextMain"/>
        <w:rPr>
          <w:kern w:val="2"/>
          <w:lang w:val="en-GB"/>
        </w:rPr>
      </w:pPr>
    </w:p>
    <w:p w14:paraId="2CB53BF0" w14:textId="77777777" w:rsidR="006B71D3" w:rsidRPr="00BF495B" w:rsidRDefault="006B71D3" w:rsidP="001D7D10">
      <w:pPr>
        <w:pStyle w:val="BodyTextMain"/>
        <w:rPr>
          <w:kern w:val="2"/>
          <w:lang w:val="en-GB"/>
        </w:rPr>
      </w:pPr>
    </w:p>
    <w:p w14:paraId="09D7C614" w14:textId="1C1FBE0A" w:rsidR="006B71D3" w:rsidRPr="00BF495B" w:rsidRDefault="006B71D3" w:rsidP="005D3CCA">
      <w:pPr>
        <w:pStyle w:val="Casehead2"/>
        <w:rPr>
          <w:kern w:val="2"/>
          <w:lang w:val="en-GB"/>
        </w:rPr>
      </w:pPr>
      <w:r w:rsidRPr="00BF495B">
        <w:rPr>
          <w:kern w:val="2"/>
          <w:lang w:val="en-GB"/>
        </w:rPr>
        <w:t>Marketing</w:t>
      </w:r>
    </w:p>
    <w:p w14:paraId="1EDD960D" w14:textId="77777777" w:rsidR="006B71D3" w:rsidRPr="00BF495B" w:rsidRDefault="006B71D3" w:rsidP="00DA6D54">
      <w:pPr>
        <w:pStyle w:val="BodyTextMain"/>
        <w:rPr>
          <w:kern w:val="2"/>
          <w:lang w:val="en-GB"/>
        </w:rPr>
      </w:pPr>
    </w:p>
    <w:p w14:paraId="1561491B" w14:textId="63E1B1DA" w:rsidR="006B71D3" w:rsidRPr="00BF495B" w:rsidRDefault="006B71D3" w:rsidP="00DA6D54">
      <w:pPr>
        <w:pStyle w:val="BodyTextMain"/>
        <w:rPr>
          <w:kern w:val="2"/>
          <w:lang w:val="en-GB"/>
        </w:rPr>
      </w:pPr>
      <w:r w:rsidRPr="00BF495B">
        <w:rPr>
          <w:kern w:val="2"/>
          <w:lang w:val="en-GB"/>
        </w:rPr>
        <w:t>The foundation of Zara’s marketing strategy had always been its stores. New stores were opened at a dizzying pace: 0.62 net openings per day over the five years to 2017.</w:t>
      </w:r>
      <w:r w:rsidRPr="00BF495B">
        <w:rPr>
          <w:rStyle w:val="EndnoteReference"/>
          <w:kern w:val="2"/>
          <w:lang w:val="en-GB"/>
        </w:rPr>
        <w:endnoteReference w:id="52"/>
      </w:r>
      <w:r w:rsidRPr="00BF495B">
        <w:rPr>
          <w:kern w:val="2"/>
          <w:lang w:val="en-GB"/>
        </w:rPr>
        <w:t xml:space="preserve"> The company took store location, design, and layout very seriously. In fact, Zara had “</w:t>
      </w:r>
      <w:r w:rsidRPr="00BF495B">
        <w:rPr>
          <w:color w:val="111516"/>
          <w:kern w:val="2"/>
          <w:sz w:val="24"/>
          <w:szCs w:val="24"/>
          <w:shd w:val="clear" w:color="auto" w:fill="FFFFFF"/>
          <w:lang w:val="en-GB"/>
        </w:rPr>
        <w:t xml:space="preserve">a </w:t>
      </w:r>
      <w:r w:rsidRPr="00BF495B">
        <w:rPr>
          <w:kern w:val="2"/>
          <w:lang w:val="en-GB"/>
        </w:rPr>
        <w:t>full-time team of architects and visual-merchandising experts whose sole job at Zara HQ [headquarters] is to design and curate every aspect of the store, from the sleek decor and light-bulb colour to the music being played and the exact positioning of clothing.</w:t>
      </w:r>
      <w:r w:rsidRPr="00BF495B">
        <w:rPr>
          <w:color w:val="111516"/>
          <w:kern w:val="2"/>
          <w:shd w:val="clear" w:color="auto" w:fill="FFFFFF"/>
          <w:lang w:val="en-GB"/>
        </w:rPr>
        <w:t>”</w:t>
      </w:r>
      <w:r w:rsidRPr="00BF495B">
        <w:rPr>
          <w:rStyle w:val="EndnoteReference"/>
          <w:color w:val="111516"/>
          <w:kern w:val="2"/>
          <w:shd w:val="clear" w:color="auto" w:fill="FFFFFF"/>
          <w:lang w:val="en-GB"/>
        </w:rPr>
        <w:endnoteReference w:id="53"/>
      </w:r>
      <w:r w:rsidRPr="00BF495B">
        <w:rPr>
          <w:color w:val="111516"/>
          <w:kern w:val="2"/>
          <w:shd w:val="clear" w:color="auto" w:fill="FFFFFF"/>
          <w:lang w:val="en-GB"/>
        </w:rPr>
        <w:t xml:space="preserve"> </w:t>
      </w:r>
      <w:r w:rsidRPr="00BF495B">
        <w:rPr>
          <w:kern w:val="2"/>
          <w:lang w:val="en-GB"/>
        </w:rPr>
        <w:t>Window-front designs were viewed as its pre-eminent form of advertising. In fact, Zara had a “full team of window-front designers who constantly travel around to international locations to understand the culture and customers of each store. They then create the window design that is unique to the store, and all the props and details are then shipped to each store to be put up under strict guidelines.”</w:t>
      </w:r>
      <w:r w:rsidRPr="00BF495B">
        <w:rPr>
          <w:rStyle w:val="EndnoteReference"/>
          <w:kern w:val="2"/>
          <w:lang w:val="en-GB"/>
        </w:rPr>
        <w:endnoteReference w:id="54"/>
      </w:r>
      <w:r w:rsidRPr="00BF495B">
        <w:rPr>
          <w:kern w:val="2"/>
          <w:lang w:val="en-GB"/>
        </w:rPr>
        <w:t xml:space="preserve"> Zara traditionally had spent lavishly on its store locations. In fact, it completely revamped each store every four to five years, with minor tweaks in between. Its stores were characterized by a high-end look and feel, along with relatively low levels of inventory. This was somewhat anti-intuitive in relation to its competitors, who liked to fill their stores with inventory in an attempt to optimize the revenue of their retail space investment. On the contrary, Zara had always been focused on making the shopping experience as pleasant as possible for its customers, enticing them to come back more often. </w:t>
      </w:r>
    </w:p>
    <w:p w14:paraId="0970F185" w14:textId="77777777" w:rsidR="006B71D3" w:rsidRPr="00BF495B" w:rsidRDefault="006B71D3" w:rsidP="00DA6D54">
      <w:pPr>
        <w:pStyle w:val="BodyTextMain"/>
        <w:rPr>
          <w:kern w:val="2"/>
          <w:lang w:val="en-GB"/>
        </w:rPr>
      </w:pPr>
    </w:p>
    <w:p w14:paraId="27A8C9EF" w14:textId="1DDE9008" w:rsidR="006B71D3" w:rsidRPr="00BF495B" w:rsidRDefault="006B71D3" w:rsidP="00710045">
      <w:pPr>
        <w:pStyle w:val="BodyTextMain"/>
        <w:rPr>
          <w:spacing w:val="-2"/>
          <w:kern w:val="2"/>
          <w:lang w:val="en-GB"/>
        </w:rPr>
      </w:pPr>
      <w:r w:rsidRPr="00BF495B">
        <w:rPr>
          <w:spacing w:val="-2"/>
          <w:kern w:val="2"/>
          <w:lang w:val="en-GB"/>
        </w:rPr>
        <w:t>There were 2,238 Zara stores across 96 markets at the end of 2017, driving €16.6 billion in sales.</w:t>
      </w:r>
      <w:r w:rsidRPr="00BF495B">
        <w:rPr>
          <w:rStyle w:val="EndnoteReference"/>
          <w:spacing w:val="-2"/>
          <w:kern w:val="2"/>
          <w:lang w:val="en-GB"/>
        </w:rPr>
        <w:endnoteReference w:id="55"/>
      </w:r>
      <w:r w:rsidRPr="00BF495B">
        <w:rPr>
          <w:spacing w:val="-2"/>
          <w:kern w:val="2"/>
          <w:lang w:val="en-GB"/>
        </w:rPr>
        <w:t xml:space="preserve"> These stores were primarily situated in the high-end retail sectors of major urban centres. Inditex had recently announced the opening of a 4,366 square metre store in the heart of New York’s SoHo district for an astonishing $280 million. Ironically, this property was the former home of Old Navy.</w:t>
      </w:r>
      <w:r w:rsidRPr="00BF495B">
        <w:rPr>
          <w:rStyle w:val="EndnoteReference"/>
          <w:spacing w:val="-2"/>
          <w:kern w:val="2"/>
          <w:lang w:val="en-GB"/>
        </w:rPr>
        <w:endnoteReference w:id="56"/>
      </w:r>
      <w:r w:rsidRPr="00BF495B">
        <w:rPr>
          <w:spacing w:val="-2"/>
          <w:kern w:val="2"/>
          <w:lang w:val="en-GB"/>
        </w:rPr>
        <w:t xml:space="preserve"> In March 2016, it had opened a 2,800</w:t>
      </w:r>
      <w:r w:rsidR="002E07CD" w:rsidRPr="00BF495B">
        <w:rPr>
          <w:spacing w:val="-2"/>
          <w:kern w:val="2"/>
          <w:lang w:val="en-GB"/>
        </w:rPr>
        <w:t xml:space="preserve"> </w:t>
      </w:r>
      <w:r w:rsidRPr="00BF495B">
        <w:rPr>
          <w:spacing w:val="-2"/>
          <w:kern w:val="2"/>
          <w:lang w:val="en-GB"/>
        </w:rPr>
        <w:t>square</w:t>
      </w:r>
      <w:r w:rsidR="002E07CD" w:rsidRPr="00BF495B">
        <w:rPr>
          <w:spacing w:val="-2"/>
          <w:kern w:val="2"/>
          <w:lang w:val="en-GB"/>
        </w:rPr>
        <w:t xml:space="preserve"> </w:t>
      </w:r>
      <w:r w:rsidRPr="00BF495B">
        <w:rPr>
          <w:spacing w:val="-2"/>
          <w:kern w:val="2"/>
          <w:lang w:val="en-GB"/>
        </w:rPr>
        <w:t xml:space="preserve">metre store in the World Trade Centre in the heart of New York’s financial district. </w:t>
      </w:r>
    </w:p>
    <w:p w14:paraId="04BFE19E" w14:textId="6C212B8D" w:rsidR="006B71D3" w:rsidRPr="00BF495B" w:rsidRDefault="006B71D3">
      <w:pPr>
        <w:pStyle w:val="BodyTextMain"/>
        <w:rPr>
          <w:kern w:val="2"/>
          <w:lang w:val="en-GB"/>
        </w:rPr>
      </w:pPr>
      <w:bookmarkStart w:id="0" w:name="_GoBack"/>
      <w:bookmarkEnd w:id="0"/>
      <w:r w:rsidRPr="00BF495B">
        <w:rPr>
          <w:kern w:val="2"/>
          <w:lang w:val="en-GB"/>
        </w:rPr>
        <w:lastRenderedPageBreak/>
        <w:t>Zara spent very little on advertising, only advertising (some) new store openings and twice-yearly sales events. It spent just 0.3 per cent of its revenue on advertising,</w:t>
      </w:r>
      <w:r w:rsidRPr="00BF495B">
        <w:rPr>
          <w:rStyle w:val="EndnoteReference"/>
          <w:kern w:val="2"/>
          <w:lang w:val="en-GB"/>
        </w:rPr>
        <w:endnoteReference w:id="57"/>
      </w:r>
      <w:r w:rsidRPr="00BF495B">
        <w:rPr>
          <w:kern w:val="2"/>
          <w:lang w:val="en-GB"/>
        </w:rPr>
        <w:t xml:space="preserve"> versus the industry standard of 3.5 per cent. There was no advertising line item in its financial reports, as this category had not amounted to a material expenditure. </w:t>
      </w:r>
      <w:r w:rsidRPr="00BF495B">
        <w:rPr>
          <w:i/>
          <w:kern w:val="2"/>
          <w:lang w:val="en-GB"/>
        </w:rPr>
        <w:t>Marketing</w:t>
      </w:r>
      <w:r w:rsidRPr="00BF495B">
        <w:rPr>
          <w:kern w:val="2"/>
          <w:lang w:val="en-GB"/>
        </w:rPr>
        <w:t xml:space="preserve"> magazine’s assistant editor, Belle Kwan, discussed Zara’s approach to advertising:</w:t>
      </w:r>
    </w:p>
    <w:p w14:paraId="1FAF1475" w14:textId="77777777" w:rsidR="006B71D3" w:rsidRPr="00BF495B" w:rsidRDefault="006B71D3">
      <w:pPr>
        <w:pStyle w:val="BodyTextMain"/>
        <w:rPr>
          <w:kern w:val="2"/>
          <w:lang w:val="en-GB"/>
        </w:rPr>
      </w:pPr>
    </w:p>
    <w:p w14:paraId="3D9B6AE0" w14:textId="3DBA7DD6" w:rsidR="006B71D3" w:rsidRPr="00BF495B" w:rsidRDefault="006B71D3" w:rsidP="00197135">
      <w:pPr>
        <w:pStyle w:val="BodyTextMain"/>
        <w:ind w:left="720"/>
        <w:rPr>
          <w:rFonts w:eastAsiaTheme="minorHAnsi"/>
          <w:kern w:val="2"/>
          <w:lang w:val="en-GB"/>
        </w:rPr>
      </w:pPr>
      <w:r w:rsidRPr="00BF495B">
        <w:rPr>
          <w:rFonts w:eastAsiaTheme="minorHAnsi"/>
          <w:kern w:val="2"/>
          <w:lang w:val="en-GB"/>
        </w:rPr>
        <w:t>No four-page spread in a glossy publication, no gaudy red posters with tacky WordArt bubbles screaming discounts, no half-naked B-grade celebrity with perfect hair prancing across a billboard.</w:t>
      </w:r>
    </w:p>
    <w:p w14:paraId="75410329" w14:textId="77777777" w:rsidR="006B71D3" w:rsidRPr="00BF495B" w:rsidRDefault="006B71D3" w:rsidP="00197135">
      <w:pPr>
        <w:pStyle w:val="BodyTextMain"/>
        <w:ind w:left="720"/>
        <w:rPr>
          <w:rFonts w:eastAsiaTheme="minorHAnsi"/>
          <w:kern w:val="2"/>
          <w:lang w:val="en-GB"/>
        </w:rPr>
      </w:pPr>
    </w:p>
    <w:p w14:paraId="07024843" w14:textId="52680E85" w:rsidR="006B71D3" w:rsidRPr="00BF495B" w:rsidRDefault="006B71D3" w:rsidP="00197135">
      <w:pPr>
        <w:pStyle w:val="BodyTextMain"/>
        <w:ind w:left="720"/>
        <w:rPr>
          <w:kern w:val="2"/>
          <w:lang w:val="en-GB"/>
        </w:rPr>
      </w:pPr>
      <w:r w:rsidRPr="00BF495B">
        <w:rPr>
          <w:rFonts w:eastAsiaTheme="minorHAnsi"/>
          <w:kern w:val="2"/>
          <w:lang w:val="en-GB"/>
        </w:rPr>
        <w:t xml:space="preserve">This is a story about the brand that made it </w:t>
      </w:r>
      <w:r w:rsidRPr="00BF495B">
        <w:rPr>
          <w:rFonts w:eastAsiaTheme="minorHAnsi"/>
          <w:i/>
          <w:kern w:val="2"/>
          <w:lang w:val="en-GB"/>
        </w:rPr>
        <w:t>sans</w:t>
      </w:r>
      <w:r w:rsidRPr="00BF495B">
        <w:rPr>
          <w:rFonts w:eastAsiaTheme="minorHAnsi"/>
          <w:kern w:val="2"/>
          <w:lang w:val="en-GB"/>
        </w:rPr>
        <w:t xml:space="preserve"> advertising, </w:t>
      </w:r>
      <w:r w:rsidRPr="00BF495B">
        <w:rPr>
          <w:rFonts w:eastAsiaTheme="minorHAnsi"/>
          <w:i/>
          <w:kern w:val="2"/>
          <w:lang w:val="en-GB"/>
        </w:rPr>
        <w:t>sans</w:t>
      </w:r>
      <w:r w:rsidRPr="00BF495B">
        <w:rPr>
          <w:rFonts w:eastAsiaTheme="minorHAnsi"/>
          <w:kern w:val="2"/>
          <w:lang w:val="en-GB"/>
        </w:rPr>
        <w:t xml:space="preserve"> endorsement and </w:t>
      </w:r>
      <w:r w:rsidRPr="00BF495B">
        <w:rPr>
          <w:rFonts w:eastAsiaTheme="minorHAnsi"/>
          <w:i/>
          <w:kern w:val="2"/>
          <w:lang w:val="en-GB"/>
        </w:rPr>
        <w:t>sans</w:t>
      </w:r>
      <w:r w:rsidRPr="00BF495B">
        <w:rPr>
          <w:rFonts w:eastAsiaTheme="minorHAnsi"/>
          <w:kern w:val="2"/>
          <w:lang w:val="en-GB"/>
        </w:rPr>
        <w:t xml:space="preserve"> almost all forms of mainstream marketing. And when we say “made it,” we mean a loyal global following across 78 countries, and a name that draws squeals of excitement from consumers and nods of respect from industry experts.</w:t>
      </w:r>
      <w:r w:rsidRPr="00BF495B">
        <w:rPr>
          <w:rStyle w:val="EndnoteReference"/>
          <w:rFonts w:eastAsiaTheme="minorHAnsi"/>
          <w:kern w:val="2"/>
          <w:lang w:val="en-GB"/>
        </w:rPr>
        <w:endnoteReference w:id="58"/>
      </w:r>
      <w:r w:rsidRPr="00BF495B" w:rsidDel="00576793">
        <w:rPr>
          <w:kern w:val="2"/>
          <w:lang w:val="en-GB"/>
        </w:rPr>
        <w:t xml:space="preserve"> </w:t>
      </w:r>
    </w:p>
    <w:p w14:paraId="1EEB3FEA" w14:textId="34B51233" w:rsidR="006B71D3" w:rsidRPr="00BF495B" w:rsidRDefault="006B71D3" w:rsidP="005D3CCA">
      <w:pPr>
        <w:pStyle w:val="BodyTextMain"/>
        <w:tabs>
          <w:tab w:val="left" w:pos="600"/>
        </w:tabs>
        <w:rPr>
          <w:kern w:val="2"/>
          <w:lang w:val="en-GB"/>
        </w:rPr>
      </w:pPr>
    </w:p>
    <w:p w14:paraId="11AF9BE4" w14:textId="74EA01DB" w:rsidR="006B71D3" w:rsidRPr="00BF495B" w:rsidRDefault="006B71D3" w:rsidP="005D3CCA">
      <w:pPr>
        <w:pStyle w:val="BodyTextMain"/>
        <w:tabs>
          <w:tab w:val="left" w:pos="600"/>
        </w:tabs>
        <w:rPr>
          <w:kern w:val="2"/>
          <w:lang w:val="en-GB"/>
        </w:rPr>
      </w:pPr>
      <w:r w:rsidRPr="00BF495B">
        <w:rPr>
          <w:kern w:val="2"/>
          <w:lang w:val="en-GB"/>
        </w:rPr>
        <w:t>Zara typically priced its clothes an average of 15 per cent lower than its competitors.</w:t>
      </w:r>
      <w:r w:rsidRPr="00BF495B">
        <w:rPr>
          <w:rStyle w:val="EndnoteReference"/>
          <w:kern w:val="2"/>
          <w:lang w:val="en-GB"/>
        </w:rPr>
        <w:endnoteReference w:id="59"/>
      </w:r>
      <w:r w:rsidRPr="00BF495B">
        <w:rPr>
          <w:kern w:val="2"/>
          <w:lang w:val="en-GB"/>
        </w:rPr>
        <w:t xml:space="preserve"> It had been Ortega’s goal from his humble beginnings in La Coruña in 1975 to provide good quality fashion clothing at affordable prices.</w:t>
      </w:r>
      <w:r w:rsidRPr="00BF495B">
        <w:rPr>
          <w:rStyle w:val="EndnoteReference"/>
          <w:kern w:val="2"/>
          <w:lang w:val="en-GB"/>
        </w:rPr>
        <w:endnoteReference w:id="60"/>
      </w:r>
      <w:r w:rsidRPr="00BF495B">
        <w:rPr>
          <w:kern w:val="2"/>
          <w:lang w:val="en-GB"/>
        </w:rPr>
        <w:t xml:space="preserve"> The difference was Zara did not look like any discount fashion store in the marketplace. As Derek Thompson of </w:t>
      </w:r>
      <w:r w:rsidRPr="00BF495B">
        <w:rPr>
          <w:i/>
          <w:iCs/>
          <w:kern w:val="2"/>
          <w:lang w:val="en-GB"/>
        </w:rPr>
        <w:t>The Atlantic</w:t>
      </w:r>
      <w:r w:rsidRPr="00BF495B">
        <w:rPr>
          <w:kern w:val="2"/>
          <w:lang w:val="en-GB"/>
        </w:rPr>
        <w:t xml:space="preserve"> put it, Zara liked to “cozy up to the most famous brands in the world to sing their luxury ambitions even as they profit off a brilliant, cheap, short supply chain that delivers similar fashion at a much lower price.”</w:t>
      </w:r>
      <w:r w:rsidRPr="00BF495B">
        <w:rPr>
          <w:rStyle w:val="EndnoteReference"/>
          <w:kern w:val="2"/>
          <w:lang w:val="en-GB"/>
        </w:rPr>
        <w:endnoteReference w:id="61"/>
      </w:r>
      <w:r w:rsidRPr="00BF495B">
        <w:rPr>
          <w:kern w:val="2"/>
          <w:lang w:val="en-GB"/>
        </w:rPr>
        <w:t xml:space="preserve"> Zara enjoyed placing its stores close to luxury brands, such as Prada and Gucci, which, of course, tried to keep as far from Zara as possible. </w:t>
      </w:r>
    </w:p>
    <w:p w14:paraId="18FC2CDB" w14:textId="77777777" w:rsidR="006B71D3" w:rsidRPr="00BF495B" w:rsidRDefault="006B71D3" w:rsidP="005D3CCA">
      <w:pPr>
        <w:pStyle w:val="BodyTextMain"/>
        <w:tabs>
          <w:tab w:val="left" w:pos="600"/>
        </w:tabs>
        <w:rPr>
          <w:kern w:val="2"/>
          <w:lang w:val="en-GB"/>
        </w:rPr>
      </w:pPr>
    </w:p>
    <w:p w14:paraId="2D184DD3" w14:textId="77777777" w:rsidR="006B71D3" w:rsidRPr="00BF495B" w:rsidRDefault="006B71D3" w:rsidP="005D3CCA">
      <w:pPr>
        <w:pStyle w:val="BodyTextMain"/>
        <w:tabs>
          <w:tab w:val="left" w:pos="600"/>
        </w:tabs>
        <w:rPr>
          <w:kern w:val="2"/>
          <w:lang w:val="en-GB"/>
        </w:rPr>
      </w:pPr>
    </w:p>
    <w:p w14:paraId="1D519BC9" w14:textId="4F462AF7" w:rsidR="006B71D3" w:rsidRPr="00BF495B" w:rsidRDefault="006B71D3" w:rsidP="00FC374F">
      <w:pPr>
        <w:pStyle w:val="Casehead1"/>
        <w:rPr>
          <w:kern w:val="2"/>
          <w:lang w:val="en-GB"/>
        </w:rPr>
      </w:pPr>
      <w:r w:rsidRPr="00BF495B">
        <w:rPr>
          <w:kern w:val="2"/>
          <w:lang w:val="en-GB"/>
        </w:rPr>
        <w:t>Competing Industry Business Model</w:t>
      </w:r>
    </w:p>
    <w:p w14:paraId="5ED239C5" w14:textId="77777777" w:rsidR="006B71D3" w:rsidRPr="00BF495B" w:rsidRDefault="006B71D3" w:rsidP="005D3CCA">
      <w:pPr>
        <w:pStyle w:val="BodyTextMain"/>
        <w:tabs>
          <w:tab w:val="left" w:pos="600"/>
        </w:tabs>
        <w:rPr>
          <w:kern w:val="2"/>
          <w:lang w:val="en-GB"/>
        </w:rPr>
      </w:pPr>
    </w:p>
    <w:p w14:paraId="63B2CAF6" w14:textId="6470E8D0" w:rsidR="006B71D3" w:rsidRPr="00BF495B" w:rsidRDefault="006B71D3" w:rsidP="005D3CCA">
      <w:pPr>
        <w:pStyle w:val="BodyTextMain"/>
        <w:tabs>
          <w:tab w:val="left" w:pos="600"/>
        </w:tabs>
        <w:rPr>
          <w:kern w:val="2"/>
          <w:lang w:val="en-GB"/>
        </w:rPr>
      </w:pPr>
      <w:r w:rsidRPr="00BF495B">
        <w:rPr>
          <w:kern w:val="2"/>
          <w:lang w:val="en-GB"/>
        </w:rPr>
        <w:t>Historically, industry titans such as Gap introduced the majority of their new clothing launches twice a year, during the spring and fall fashion seasons. These introductions were preceded by up to nine months of centralized planning, production, and marketing. New line items were revealed to the market on fashion runways and vetted through a team of elite fashion designers and corporate executives. Small runs were made at third-world manufacturers, shipped to centralized facilities, vetted once more, changed, and finalized. At this point, large orders were placed with these manufacturers for production at ultra-low per-unit cost. Orders were shipped and stored in regional warehouse facilities relatively close to retail outlets. Retail point-of-sale strategies were drawn up and store layouts designed. Inventory levels, determined centrally, were shipped to stores. Subsequently, the advertising and selling began in full force to push product offerings to prospective customers.</w:t>
      </w:r>
      <w:r w:rsidRPr="00BF495B">
        <w:rPr>
          <w:rStyle w:val="EndnoteReference"/>
          <w:kern w:val="2"/>
          <w:lang w:val="en-GB"/>
        </w:rPr>
        <w:endnoteReference w:id="62"/>
      </w:r>
      <w:r w:rsidRPr="00BF495B">
        <w:rPr>
          <w:kern w:val="2"/>
          <w:lang w:val="en-GB"/>
        </w:rPr>
        <w:t xml:space="preserve"> </w:t>
      </w:r>
    </w:p>
    <w:p w14:paraId="5BC7E14B" w14:textId="77777777" w:rsidR="006B71D3" w:rsidRPr="00BF495B" w:rsidRDefault="006B71D3" w:rsidP="005D3CCA">
      <w:pPr>
        <w:pStyle w:val="BodyTextMain"/>
        <w:tabs>
          <w:tab w:val="left" w:pos="600"/>
        </w:tabs>
        <w:rPr>
          <w:kern w:val="2"/>
          <w:lang w:val="en-GB"/>
        </w:rPr>
      </w:pPr>
    </w:p>
    <w:p w14:paraId="756AA129" w14:textId="5AA05917" w:rsidR="006B71D3" w:rsidRPr="00BF495B" w:rsidRDefault="006B71D3" w:rsidP="005D3CCA">
      <w:pPr>
        <w:pStyle w:val="BodyTextMain"/>
        <w:tabs>
          <w:tab w:val="left" w:pos="600"/>
        </w:tabs>
        <w:rPr>
          <w:kern w:val="2"/>
          <w:lang w:val="en-GB"/>
        </w:rPr>
      </w:pPr>
      <w:r w:rsidRPr="00BF495B">
        <w:rPr>
          <w:kern w:val="2"/>
          <w:lang w:val="en-GB"/>
        </w:rPr>
        <w:t>This approach carried the risk of fashion misses, which, traditionally, were more than offset by the ultra-low costs of manufacturing offshore. This led to industry-standard gross profit margins of approximately 38.3 per cent in 2017.</w:t>
      </w:r>
      <w:r w:rsidRPr="00BF495B">
        <w:rPr>
          <w:rStyle w:val="EndnoteReference"/>
          <w:kern w:val="2"/>
          <w:lang w:val="en-GB"/>
        </w:rPr>
        <w:endnoteReference w:id="63"/>
      </w:r>
      <w:r w:rsidRPr="00BF495B">
        <w:rPr>
          <w:kern w:val="2"/>
          <w:lang w:val="en-GB"/>
        </w:rPr>
        <w:t xml:space="preserve"> Growth was accomplished through both geographic expansion and brand expansion. For example, Gap grew from 1,640 stores in 2004</w:t>
      </w:r>
      <w:r w:rsidRPr="00BF495B">
        <w:rPr>
          <w:rStyle w:val="EndnoteReference"/>
          <w:kern w:val="2"/>
          <w:lang w:val="en-GB"/>
        </w:rPr>
        <w:endnoteReference w:id="64"/>
      </w:r>
      <w:r w:rsidRPr="00BF495B">
        <w:rPr>
          <w:kern w:val="2"/>
          <w:lang w:val="en-GB"/>
        </w:rPr>
        <w:t xml:space="preserve"> to a peak of 3,721 in 2015 and was currently sitting at 3,594 stores.</w:t>
      </w:r>
      <w:r w:rsidRPr="00BF495B">
        <w:rPr>
          <w:rStyle w:val="EndnoteReference"/>
          <w:kern w:val="2"/>
          <w:lang w:val="en-GB"/>
        </w:rPr>
        <w:endnoteReference w:id="65"/>
      </w:r>
      <w:r w:rsidRPr="00BF495B">
        <w:rPr>
          <w:kern w:val="2"/>
          <w:lang w:val="en-GB"/>
        </w:rPr>
        <w:t xml:space="preserve"> Gap also grew across multiple brands representing different market niches, including Gap, </w:t>
      </w:r>
      <w:proofErr w:type="gramStart"/>
      <w:r w:rsidRPr="00BF495B">
        <w:rPr>
          <w:kern w:val="2"/>
          <w:lang w:val="en-GB"/>
        </w:rPr>
        <w:t>Banana Republic</w:t>
      </w:r>
      <w:proofErr w:type="gramEnd"/>
      <w:r w:rsidRPr="00BF495B">
        <w:rPr>
          <w:kern w:val="2"/>
          <w:lang w:val="en-GB"/>
        </w:rPr>
        <w:t>, Old Navy, Athletica, and Intermix.</w:t>
      </w:r>
      <w:r w:rsidRPr="00BF495B">
        <w:rPr>
          <w:rStyle w:val="EndnoteReference"/>
          <w:kern w:val="2"/>
          <w:lang w:val="en-GB"/>
        </w:rPr>
        <w:endnoteReference w:id="66"/>
      </w:r>
      <w:r w:rsidRPr="00BF495B">
        <w:rPr>
          <w:kern w:val="2"/>
          <w:lang w:val="en-GB"/>
        </w:rPr>
        <w:t xml:space="preserve"> It was not uncommon to have multiple Gap-branded stores in one mall or shopping district. </w:t>
      </w:r>
    </w:p>
    <w:p w14:paraId="2789984D" w14:textId="77777777" w:rsidR="006B71D3" w:rsidRPr="00BF495B" w:rsidRDefault="006B71D3" w:rsidP="001D7D10">
      <w:pPr>
        <w:pStyle w:val="BodyTextMain"/>
        <w:rPr>
          <w:kern w:val="2"/>
          <w:lang w:val="en-GB"/>
        </w:rPr>
      </w:pPr>
    </w:p>
    <w:p w14:paraId="4E2E175F" w14:textId="77777777" w:rsidR="006B71D3" w:rsidRPr="00BF495B" w:rsidRDefault="006B71D3" w:rsidP="001D7D10">
      <w:pPr>
        <w:pStyle w:val="BodyTextMain"/>
        <w:rPr>
          <w:kern w:val="2"/>
          <w:lang w:val="en-GB"/>
        </w:rPr>
      </w:pPr>
    </w:p>
    <w:p w14:paraId="64A4791E" w14:textId="02855826" w:rsidR="006B71D3" w:rsidRPr="00BF495B" w:rsidRDefault="006B71D3" w:rsidP="00E24FF1">
      <w:pPr>
        <w:pStyle w:val="Casehead1"/>
        <w:rPr>
          <w:kern w:val="2"/>
          <w:lang w:val="en-GB"/>
        </w:rPr>
      </w:pPr>
      <w:r w:rsidRPr="00BF495B">
        <w:rPr>
          <w:kern w:val="2"/>
          <w:lang w:val="en-GB"/>
        </w:rPr>
        <w:t>Innovative new fashion Competitors</w:t>
      </w:r>
    </w:p>
    <w:p w14:paraId="5E2C6612" w14:textId="77777777" w:rsidR="006B71D3" w:rsidRPr="00BF495B" w:rsidRDefault="006B71D3" w:rsidP="005D3CCA">
      <w:pPr>
        <w:pStyle w:val="BodyTextMain"/>
        <w:tabs>
          <w:tab w:val="left" w:pos="600"/>
        </w:tabs>
        <w:rPr>
          <w:kern w:val="2"/>
          <w:lang w:val="en-GB"/>
        </w:rPr>
      </w:pPr>
    </w:p>
    <w:p w14:paraId="126B1920" w14:textId="7E4835EE" w:rsidR="006B71D3" w:rsidRPr="00BF495B" w:rsidRDefault="006B71D3" w:rsidP="005D3CCA">
      <w:pPr>
        <w:pStyle w:val="BodyTextMain"/>
        <w:tabs>
          <w:tab w:val="left" w:pos="600"/>
        </w:tabs>
        <w:rPr>
          <w:kern w:val="2"/>
          <w:lang w:val="en-GB"/>
        </w:rPr>
      </w:pPr>
      <w:r w:rsidRPr="00BF495B">
        <w:rPr>
          <w:kern w:val="2"/>
          <w:lang w:val="en-GB"/>
        </w:rPr>
        <w:t xml:space="preserve">As with any successful business model that changed an industry, Zara’s model inevitably led to the emergence of a host of new competitors, who presented either variations of the model or totally new approaches. Zara was experiencing this first hand with the emergence of competitors such as Uniqlo Co. Ltd. (Uniqlo) and Boohoo.com (Boohoo). </w:t>
      </w:r>
    </w:p>
    <w:p w14:paraId="482DE24C" w14:textId="4C97E4B0" w:rsidR="006B71D3" w:rsidRPr="00BF495B" w:rsidRDefault="006B71D3" w:rsidP="005D3CCA">
      <w:pPr>
        <w:pStyle w:val="BodyTextMain"/>
        <w:tabs>
          <w:tab w:val="left" w:pos="600"/>
        </w:tabs>
        <w:rPr>
          <w:kern w:val="2"/>
          <w:lang w:val="en-GB"/>
        </w:rPr>
      </w:pPr>
      <w:r w:rsidRPr="00BF495B">
        <w:rPr>
          <w:kern w:val="2"/>
          <w:lang w:val="en-GB"/>
        </w:rPr>
        <w:lastRenderedPageBreak/>
        <w:t xml:space="preserve">Uniqlo was a Japanese firm that had been labelled a technology company, not a fashion company, and </w:t>
      </w:r>
      <w:r w:rsidR="00FC78E1" w:rsidRPr="00BF495B">
        <w:rPr>
          <w:kern w:val="2"/>
          <w:lang w:val="en-GB"/>
        </w:rPr>
        <w:t>it</w:t>
      </w:r>
      <w:r w:rsidRPr="00BF495B">
        <w:rPr>
          <w:kern w:val="2"/>
          <w:lang w:val="en-GB"/>
        </w:rPr>
        <w:t xml:space="preserve"> had a sole focus on revolutionary fashion changes through technology innovation around the products, not the fashion. Kensuke Suwa, Uniqlo’s director of global marketing, explained its approach:</w:t>
      </w:r>
    </w:p>
    <w:p w14:paraId="04CAB94D" w14:textId="77777777" w:rsidR="006B71D3" w:rsidRPr="00BF495B" w:rsidRDefault="006B71D3" w:rsidP="005D3CCA">
      <w:pPr>
        <w:pStyle w:val="BodyTextMain"/>
        <w:tabs>
          <w:tab w:val="left" w:pos="600"/>
        </w:tabs>
        <w:rPr>
          <w:kern w:val="2"/>
          <w:lang w:val="en-GB"/>
        </w:rPr>
      </w:pPr>
    </w:p>
    <w:p w14:paraId="1468D03D" w14:textId="18603DD8" w:rsidR="006B71D3" w:rsidRPr="00BF495B" w:rsidRDefault="006B71D3" w:rsidP="00035F60">
      <w:pPr>
        <w:pStyle w:val="BodyTextMain"/>
        <w:tabs>
          <w:tab w:val="left" w:pos="600"/>
        </w:tabs>
        <w:ind w:left="600"/>
        <w:rPr>
          <w:kern w:val="2"/>
          <w:lang w:val="en-GB"/>
        </w:rPr>
      </w:pPr>
      <w:r w:rsidRPr="00BF495B">
        <w:rPr>
          <w:kern w:val="2"/>
          <w:lang w:val="en-GB"/>
        </w:rPr>
        <w:t>Between fashion</w:t>
      </w:r>
      <w:r w:rsidR="00BF495B">
        <w:rPr>
          <w:kern w:val="2"/>
          <w:lang w:val="en-GB"/>
        </w:rPr>
        <w:t xml:space="preserve"> and sports is a new area. . .</w:t>
      </w:r>
      <w:r w:rsidRPr="00BF495B">
        <w:rPr>
          <w:kern w:val="2"/>
          <w:lang w:val="en-GB"/>
        </w:rPr>
        <w:t xml:space="preserve"> There are a lot of fashion trends going on, but there is no true innovation that impacts your actual life. How to make your life better could be in the middle between fashion and sports. For example, athletes wear technically sophisticated uniforms; some of the essence of that could result in better clothes that would change clothing itself, instead of just following fashion trends.</w:t>
      </w:r>
      <w:r w:rsidRPr="00BF495B">
        <w:rPr>
          <w:kern w:val="2"/>
          <w:vertAlign w:val="superscript"/>
          <w:lang w:val="en-GB"/>
        </w:rPr>
        <w:endnoteReference w:id="67"/>
      </w:r>
    </w:p>
    <w:p w14:paraId="5A9B5E95" w14:textId="77777777" w:rsidR="006B71D3" w:rsidRPr="00BF495B" w:rsidRDefault="006B71D3" w:rsidP="00035F60">
      <w:pPr>
        <w:pStyle w:val="BodyTextMain"/>
        <w:tabs>
          <w:tab w:val="left" w:pos="600"/>
        </w:tabs>
        <w:rPr>
          <w:kern w:val="2"/>
          <w:lang w:val="en-GB"/>
        </w:rPr>
      </w:pPr>
    </w:p>
    <w:p w14:paraId="15885312" w14:textId="2EBB2E5A" w:rsidR="006B71D3" w:rsidRPr="00BF495B" w:rsidRDefault="006B71D3" w:rsidP="00035F60">
      <w:pPr>
        <w:pStyle w:val="BodyTextMain"/>
        <w:tabs>
          <w:tab w:val="left" w:pos="600"/>
        </w:tabs>
        <w:rPr>
          <w:kern w:val="2"/>
          <w:lang w:val="en-GB"/>
        </w:rPr>
      </w:pPr>
      <w:r w:rsidRPr="00BF495B">
        <w:rPr>
          <w:kern w:val="2"/>
          <w:lang w:val="en-GB"/>
        </w:rPr>
        <w:t>This approach helped Uniqlo quickly grow to 3,445 stores as of the end of fiscal 2018, with a sales forecast of $18.2 billion in its 2017 fiscal year.</w:t>
      </w:r>
      <w:r w:rsidRPr="00BF495B">
        <w:rPr>
          <w:kern w:val="2"/>
          <w:vertAlign w:val="superscript"/>
          <w:lang w:val="en-GB"/>
        </w:rPr>
        <w:endnoteReference w:id="68"/>
      </w:r>
      <w:r w:rsidRPr="00BF495B">
        <w:rPr>
          <w:kern w:val="2"/>
          <w:lang w:val="en-GB"/>
        </w:rPr>
        <w:t xml:space="preserve"> In 2018, Uniqlo was the largest apparel chain in Asia, accounting for 6.5 per cent of apparel sales in Japan alone, with an eye to becoming number one in the world and a near-term goal of expanding beyond its 50 stores in the United States.</w:t>
      </w:r>
      <w:r w:rsidRPr="00BF495B">
        <w:rPr>
          <w:rStyle w:val="EndnoteReference"/>
          <w:kern w:val="2"/>
          <w:lang w:val="en-GB"/>
        </w:rPr>
        <w:endnoteReference w:id="69"/>
      </w:r>
    </w:p>
    <w:p w14:paraId="1047B98F" w14:textId="77777777" w:rsidR="006B71D3" w:rsidRPr="00BF495B" w:rsidRDefault="006B71D3" w:rsidP="00035F60">
      <w:pPr>
        <w:pStyle w:val="BodyTextMain"/>
        <w:tabs>
          <w:tab w:val="left" w:pos="600"/>
        </w:tabs>
        <w:rPr>
          <w:kern w:val="2"/>
          <w:lang w:val="en-GB"/>
        </w:rPr>
      </w:pPr>
    </w:p>
    <w:p w14:paraId="28F65DCE" w14:textId="1F4D19C1" w:rsidR="00F34117" w:rsidRPr="00BF495B" w:rsidRDefault="006B71D3" w:rsidP="00035F60">
      <w:pPr>
        <w:pStyle w:val="BodyTextMain"/>
        <w:tabs>
          <w:tab w:val="left" w:pos="600"/>
        </w:tabs>
        <w:rPr>
          <w:kern w:val="2"/>
          <w:lang w:val="en-GB"/>
        </w:rPr>
      </w:pPr>
      <w:r w:rsidRPr="00BF495B">
        <w:rPr>
          <w:kern w:val="2"/>
          <w:lang w:val="en-GB"/>
        </w:rPr>
        <w:t>Boohoo, a U.K. online “ultra-fast fashion” retailer, had seen tremendous growth since its inception in 2006, with 2018 sales of £579.8 million</w:t>
      </w:r>
      <w:r w:rsidRPr="00BF495B">
        <w:rPr>
          <w:rStyle w:val="EndnoteReference"/>
          <w:kern w:val="2"/>
          <w:lang w:val="en-GB"/>
        </w:rPr>
        <w:endnoteReference w:id="70"/>
      </w:r>
      <w:r w:rsidRPr="00BF495B">
        <w:rPr>
          <w:kern w:val="2"/>
          <w:lang w:val="en-GB"/>
        </w:rPr>
        <w:t xml:space="preserve"> and gross margins rivalling those of Zara at 52.8 per cent.</w:t>
      </w:r>
      <w:r w:rsidRPr="00BF495B">
        <w:rPr>
          <w:rStyle w:val="EndnoteReference"/>
          <w:kern w:val="2"/>
          <w:lang w:val="en-GB"/>
        </w:rPr>
        <w:endnoteReference w:id="71"/>
      </w:r>
      <w:r w:rsidRPr="00BF495B">
        <w:rPr>
          <w:kern w:val="2"/>
          <w:lang w:val="en-GB"/>
        </w:rPr>
        <w:t xml:space="preserve"> With a direct focus on 16–30 year olds, Boohoo took products from concept to sale in just two weeks, putting over 100 new products on its website daily.</w:t>
      </w:r>
      <w:r w:rsidRPr="00BF495B">
        <w:rPr>
          <w:rStyle w:val="EndnoteReference"/>
          <w:kern w:val="2"/>
          <w:lang w:val="en-GB"/>
        </w:rPr>
        <w:endnoteReference w:id="72"/>
      </w:r>
      <w:r w:rsidRPr="00BF495B">
        <w:rPr>
          <w:kern w:val="2"/>
          <w:lang w:val="en-GB"/>
        </w:rPr>
        <w:t xml:space="preserve"> Boohoo’s sales had been growing outside the United Kingdom in both Europe and the United States across a growing number of online brands: Boohoo, PrettyLittleThing, and NastyGal.</w:t>
      </w:r>
      <w:r w:rsidRPr="00BF495B">
        <w:rPr>
          <w:rStyle w:val="EndnoteReference"/>
          <w:kern w:val="2"/>
          <w:lang w:val="en-GB"/>
        </w:rPr>
        <w:endnoteReference w:id="73"/>
      </w:r>
      <w:r w:rsidRPr="00BF495B">
        <w:rPr>
          <w:kern w:val="2"/>
          <w:lang w:val="en-GB"/>
        </w:rPr>
        <w:t xml:space="preserve"> </w:t>
      </w:r>
      <w:r w:rsidR="00897449" w:rsidRPr="00BF495B">
        <w:rPr>
          <w:kern w:val="2"/>
          <w:lang w:val="en-GB"/>
        </w:rPr>
        <w:t xml:space="preserve"> </w:t>
      </w:r>
    </w:p>
    <w:p w14:paraId="653189DF" w14:textId="77777777" w:rsidR="00F34117" w:rsidRPr="00BF495B" w:rsidRDefault="00F34117" w:rsidP="00035F60">
      <w:pPr>
        <w:pStyle w:val="BodyTextMain"/>
        <w:tabs>
          <w:tab w:val="left" w:pos="600"/>
        </w:tabs>
        <w:rPr>
          <w:kern w:val="2"/>
          <w:lang w:val="en-GB"/>
        </w:rPr>
      </w:pPr>
    </w:p>
    <w:p w14:paraId="651A017E" w14:textId="77777777" w:rsidR="00197135" w:rsidRPr="00BF495B" w:rsidRDefault="00197135" w:rsidP="00035F60">
      <w:pPr>
        <w:pStyle w:val="BodyTextMain"/>
        <w:tabs>
          <w:tab w:val="left" w:pos="600"/>
        </w:tabs>
        <w:rPr>
          <w:kern w:val="2"/>
          <w:lang w:val="en-GB"/>
        </w:rPr>
      </w:pPr>
    </w:p>
    <w:p w14:paraId="28D6C712" w14:textId="58F11797" w:rsidR="00946085" w:rsidRPr="00BF495B" w:rsidRDefault="00946085" w:rsidP="00E24FF1">
      <w:pPr>
        <w:pStyle w:val="Casehead1"/>
        <w:rPr>
          <w:kern w:val="2"/>
          <w:shd w:val="clear" w:color="auto" w:fill="FFFFFF"/>
          <w:lang w:val="en-GB"/>
        </w:rPr>
      </w:pPr>
      <w:r w:rsidRPr="00BF495B">
        <w:rPr>
          <w:kern w:val="2"/>
          <w:shd w:val="clear" w:color="auto" w:fill="FFFFFF"/>
          <w:lang w:val="en-GB"/>
        </w:rPr>
        <w:t>Next Steps</w:t>
      </w:r>
    </w:p>
    <w:p w14:paraId="529FD667" w14:textId="77777777" w:rsidR="00946085" w:rsidRPr="00BF495B" w:rsidRDefault="00946085" w:rsidP="00E24FF1">
      <w:pPr>
        <w:pStyle w:val="BodyTextMain"/>
        <w:rPr>
          <w:kern w:val="2"/>
          <w:shd w:val="clear" w:color="auto" w:fill="FFFFFF"/>
          <w:lang w:val="en-GB"/>
        </w:rPr>
      </w:pPr>
    </w:p>
    <w:p w14:paraId="3C37C531" w14:textId="674865C1" w:rsidR="00C4272E" w:rsidRPr="00BF495B" w:rsidRDefault="009C05BB" w:rsidP="00954445">
      <w:pPr>
        <w:pStyle w:val="BodyTextMain"/>
        <w:rPr>
          <w:kern w:val="2"/>
          <w:lang w:val="en-GB"/>
        </w:rPr>
      </w:pPr>
      <w:r w:rsidRPr="00BF495B">
        <w:rPr>
          <w:rFonts w:ascii="Times" w:hAnsi="Times"/>
          <w:kern w:val="2"/>
          <w:lang w:val="en-GB"/>
        </w:rPr>
        <w:t>The</w:t>
      </w:r>
      <w:r w:rsidR="00946085" w:rsidRPr="00BF495B">
        <w:rPr>
          <w:rFonts w:ascii="Times" w:hAnsi="Times"/>
          <w:kern w:val="2"/>
          <w:lang w:val="en-GB"/>
        </w:rPr>
        <w:t xml:space="preserve"> competitive landscape was changing.</w:t>
      </w:r>
      <w:r w:rsidR="00E54086" w:rsidRPr="00BF495B">
        <w:rPr>
          <w:rFonts w:ascii="Times" w:hAnsi="Times"/>
          <w:kern w:val="2"/>
          <w:lang w:val="en-GB"/>
        </w:rPr>
        <w:t xml:space="preserve"> </w:t>
      </w:r>
      <w:r w:rsidR="00946085" w:rsidRPr="00BF495B">
        <w:rPr>
          <w:rFonts w:ascii="Times" w:hAnsi="Times"/>
          <w:kern w:val="2"/>
          <w:lang w:val="en-GB"/>
        </w:rPr>
        <w:t>The fast</w:t>
      </w:r>
      <w:r w:rsidR="006F312A" w:rsidRPr="00BF495B">
        <w:rPr>
          <w:rFonts w:ascii="Times" w:hAnsi="Times"/>
          <w:kern w:val="2"/>
          <w:lang w:val="en-GB"/>
        </w:rPr>
        <w:t xml:space="preserve"> </w:t>
      </w:r>
      <w:r w:rsidR="00946085" w:rsidRPr="00BF495B">
        <w:rPr>
          <w:rFonts w:ascii="Times" w:hAnsi="Times"/>
          <w:kern w:val="2"/>
          <w:lang w:val="en-GB"/>
        </w:rPr>
        <w:t xml:space="preserve">fashion world Zara had invented and </w:t>
      </w:r>
      <w:r w:rsidR="00E11C53" w:rsidRPr="00BF495B">
        <w:rPr>
          <w:rFonts w:ascii="Times" w:hAnsi="Times"/>
          <w:kern w:val="2"/>
          <w:lang w:val="en-GB"/>
        </w:rPr>
        <w:t>dominated</w:t>
      </w:r>
      <w:r w:rsidR="00946085" w:rsidRPr="00BF495B">
        <w:rPr>
          <w:rFonts w:ascii="Times" w:hAnsi="Times"/>
          <w:kern w:val="2"/>
          <w:lang w:val="en-GB"/>
        </w:rPr>
        <w:t xml:space="preserve"> was changing.</w:t>
      </w:r>
      <w:r w:rsidR="00E54086" w:rsidRPr="00BF495B">
        <w:rPr>
          <w:rFonts w:ascii="Times" w:hAnsi="Times"/>
          <w:kern w:val="2"/>
          <w:lang w:val="en-GB"/>
        </w:rPr>
        <w:t xml:space="preserve"> </w:t>
      </w:r>
      <w:r w:rsidRPr="00BF495B">
        <w:rPr>
          <w:rFonts w:ascii="Times" w:hAnsi="Times"/>
          <w:kern w:val="2"/>
          <w:lang w:val="en-GB"/>
        </w:rPr>
        <w:t xml:space="preserve">Perhaps it </w:t>
      </w:r>
      <w:r w:rsidR="00F15509" w:rsidRPr="00BF495B">
        <w:rPr>
          <w:rFonts w:ascii="Times" w:hAnsi="Times"/>
          <w:kern w:val="2"/>
          <w:lang w:val="en-GB"/>
        </w:rPr>
        <w:t>wa</w:t>
      </w:r>
      <w:r w:rsidRPr="00BF495B">
        <w:rPr>
          <w:rFonts w:ascii="Times" w:hAnsi="Times"/>
          <w:kern w:val="2"/>
          <w:lang w:val="en-GB"/>
        </w:rPr>
        <w:t>s time to re</w:t>
      </w:r>
      <w:r w:rsidR="00946085" w:rsidRPr="00BF495B">
        <w:rPr>
          <w:rFonts w:ascii="Times" w:hAnsi="Times"/>
          <w:kern w:val="2"/>
          <w:lang w:val="en-GB"/>
        </w:rPr>
        <w:t xml:space="preserve">position </w:t>
      </w:r>
      <w:r w:rsidR="00CA753D" w:rsidRPr="00BF495B">
        <w:rPr>
          <w:rFonts w:ascii="Times" w:hAnsi="Times"/>
          <w:kern w:val="2"/>
          <w:lang w:val="en-GB"/>
        </w:rPr>
        <w:t xml:space="preserve">how </w:t>
      </w:r>
      <w:r w:rsidR="00946085" w:rsidRPr="00BF495B">
        <w:rPr>
          <w:rFonts w:ascii="Times" w:hAnsi="Times"/>
          <w:kern w:val="2"/>
          <w:lang w:val="en-GB"/>
        </w:rPr>
        <w:t>Zara and the other Inditex brands compete</w:t>
      </w:r>
      <w:r w:rsidR="00F15509" w:rsidRPr="00BF495B">
        <w:rPr>
          <w:rFonts w:ascii="Times" w:hAnsi="Times"/>
          <w:kern w:val="2"/>
          <w:lang w:val="en-GB"/>
        </w:rPr>
        <w:t>d</w:t>
      </w:r>
      <w:r w:rsidR="00946085" w:rsidRPr="00BF495B">
        <w:rPr>
          <w:rFonts w:ascii="Times" w:hAnsi="Times"/>
          <w:kern w:val="2"/>
          <w:lang w:val="en-GB"/>
        </w:rPr>
        <w:t xml:space="preserve"> in </w:t>
      </w:r>
      <w:r w:rsidR="002A034F" w:rsidRPr="00BF495B">
        <w:rPr>
          <w:rFonts w:ascii="Times" w:hAnsi="Times"/>
          <w:kern w:val="2"/>
          <w:lang w:val="en-GB"/>
        </w:rPr>
        <w:t xml:space="preserve">this </w:t>
      </w:r>
      <w:r w:rsidR="00946085" w:rsidRPr="00BF495B">
        <w:rPr>
          <w:rFonts w:ascii="Times" w:hAnsi="Times"/>
          <w:kern w:val="2"/>
          <w:lang w:val="en-GB"/>
        </w:rPr>
        <w:t>changing world.</w:t>
      </w:r>
      <w:r w:rsidR="00E54086" w:rsidRPr="00BF495B">
        <w:rPr>
          <w:rFonts w:ascii="Times" w:hAnsi="Times"/>
          <w:kern w:val="2"/>
          <w:lang w:val="en-GB"/>
        </w:rPr>
        <w:t xml:space="preserve"> </w:t>
      </w:r>
      <w:r w:rsidR="00946085" w:rsidRPr="00BF495B">
        <w:rPr>
          <w:rFonts w:ascii="Times" w:hAnsi="Times"/>
          <w:kern w:val="2"/>
          <w:lang w:val="en-GB"/>
        </w:rPr>
        <w:t xml:space="preserve">Zara had </w:t>
      </w:r>
      <w:r w:rsidR="00861A81" w:rsidRPr="00BF495B">
        <w:rPr>
          <w:rFonts w:ascii="Times" w:hAnsi="Times"/>
          <w:kern w:val="2"/>
          <w:lang w:val="en-GB"/>
        </w:rPr>
        <w:t xml:space="preserve">changed </w:t>
      </w:r>
      <w:r w:rsidR="00946085" w:rsidRPr="00BF495B">
        <w:rPr>
          <w:rFonts w:ascii="Times" w:hAnsi="Times"/>
          <w:kern w:val="2"/>
          <w:lang w:val="en-GB"/>
        </w:rPr>
        <w:t xml:space="preserve">the </w:t>
      </w:r>
      <w:r w:rsidR="008624AB" w:rsidRPr="00BF495B">
        <w:rPr>
          <w:rFonts w:ascii="Times" w:hAnsi="Times"/>
          <w:kern w:val="2"/>
          <w:lang w:val="en-GB"/>
        </w:rPr>
        <w:t xml:space="preserve">retail </w:t>
      </w:r>
      <w:r w:rsidR="00946085" w:rsidRPr="00BF495B">
        <w:rPr>
          <w:rFonts w:ascii="Times" w:hAnsi="Times"/>
          <w:kern w:val="2"/>
          <w:lang w:val="en-GB"/>
        </w:rPr>
        <w:t>fashion industry once</w:t>
      </w:r>
      <w:r w:rsidR="006B71D3" w:rsidRPr="00BF495B">
        <w:rPr>
          <w:rFonts w:ascii="Times" w:hAnsi="Times"/>
          <w:kern w:val="2"/>
          <w:lang w:val="en-GB"/>
        </w:rPr>
        <w:t>. C</w:t>
      </w:r>
      <w:r w:rsidR="00523A1F" w:rsidRPr="00BF495B">
        <w:rPr>
          <w:rFonts w:ascii="Times" w:hAnsi="Times"/>
          <w:kern w:val="2"/>
          <w:lang w:val="en-GB"/>
        </w:rPr>
        <w:t>ould</w:t>
      </w:r>
      <w:r w:rsidR="00946085" w:rsidRPr="00BF495B">
        <w:rPr>
          <w:rFonts w:ascii="Times" w:hAnsi="Times"/>
          <w:kern w:val="2"/>
          <w:lang w:val="en-GB"/>
        </w:rPr>
        <w:t xml:space="preserve"> </w:t>
      </w:r>
      <w:r w:rsidR="00C77360" w:rsidRPr="00BF495B">
        <w:rPr>
          <w:rFonts w:ascii="Times" w:hAnsi="Times"/>
          <w:kern w:val="2"/>
          <w:lang w:val="en-GB"/>
        </w:rPr>
        <w:t>it</w:t>
      </w:r>
      <w:r w:rsidRPr="00BF495B">
        <w:rPr>
          <w:rFonts w:ascii="Times" w:hAnsi="Times"/>
          <w:kern w:val="2"/>
          <w:lang w:val="en-GB"/>
        </w:rPr>
        <w:t xml:space="preserve"> </w:t>
      </w:r>
      <w:r w:rsidR="00946085" w:rsidRPr="00BF495B">
        <w:rPr>
          <w:rFonts w:ascii="Times" w:hAnsi="Times"/>
          <w:kern w:val="2"/>
          <w:lang w:val="en-GB"/>
        </w:rPr>
        <w:t>do it again</w:t>
      </w:r>
      <w:r w:rsidR="00CA753D" w:rsidRPr="00BF495B">
        <w:rPr>
          <w:rFonts w:ascii="Times" w:hAnsi="Times"/>
          <w:kern w:val="2"/>
          <w:lang w:val="en-GB"/>
        </w:rPr>
        <w:t>?</w:t>
      </w:r>
    </w:p>
    <w:p w14:paraId="02359E8D" w14:textId="77777777" w:rsidR="0048496B" w:rsidRPr="00243C46" w:rsidRDefault="0048496B">
      <w:pPr>
        <w:spacing w:after="200" w:line="276" w:lineRule="auto"/>
        <w:rPr>
          <w:rFonts w:ascii="Arial" w:hAnsi="Arial" w:cs="Arial"/>
          <w:b/>
          <w:caps/>
          <w:lang w:val="en-GB"/>
        </w:rPr>
      </w:pPr>
      <w:r w:rsidRPr="00243C46">
        <w:rPr>
          <w:lang w:val="en-GB"/>
        </w:rPr>
        <w:br w:type="page"/>
      </w:r>
    </w:p>
    <w:p w14:paraId="2F86CAE6" w14:textId="4E58EE45" w:rsidR="007A62FA" w:rsidRPr="00243C46" w:rsidRDefault="00197135" w:rsidP="00FD1D4E">
      <w:pPr>
        <w:pStyle w:val="Casehead1"/>
        <w:jc w:val="center"/>
        <w:rPr>
          <w:lang w:val="en-GB"/>
        </w:rPr>
      </w:pPr>
      <w:r w:rsidRPr="00243C46">
        <w:rPr>
          <w:lang w:val="en-GB"/>
        </w:rPr>
        <w:lastRenderedPageBreak/>
        <w:t>Exhibit</w:t>
      </w:r>
      <w:r w:rsidR="002612FB" w:rsidRPr="00243C46">
        <w:rPr>
          <w:lang w:val="en-GB"/>
        </w:rPr>
        <w:t xml:space="preserve"> </w:t>
      </w:r>
      <w:r w:rsidR="00FD1D4E" w:rsidRPr="00243C46">
        <w:rPr>
          <w:lang w:val="en-GB"/>
        </w:rPr>
        <w:t>1:</w:t>
      </w:r>
      <w:r w:rsidR="002612FB" w:rsidRPr="00243C46">
        <w:rPr>
          <w:lang w:val="en-GB"/>
        </w:rPr>
        <w:t xml:space="preserve"> Inditex </w:t>
      </w:r>
      <w:r w:rsidR="00715FE5" w:rsidRPr="00243C46">
        <w:rPr>
          <w:lang w:val="en-GB"/>
        </w:rPr>
        <w:t>2012/</w:t>
      </w:r>
      <w:r w:rsidR="001C49E2" w:rsidRPr="00243C46">
        <w:rPr>
          <w:lang w:val="en-GB"/>
        </w:rPr>
        <w:t>201</w:t>
      </w:r>
      <w:r w:rsidR="00250143" w:rsidRPr="00243C46">
        <w:rPr>
          <w:lang w:val="en-GB"/>
        </w:rPr>
        <w:t>7</w:t>
      </w:r>
      <w:r w:rsidR="001C49E2" w:rsidRPr="00243C46">
        <w:rPr>
          <w:lang w:val="en-GB"/>
        </w:rPr>
        <w:t xml:space="preserve"> </w:t>
      </w:r>
      <w:r w:rsidR="00250143" w:rsidRPr="00243C46">
        <w:rPr>
          <w:lang w:val="en-GB"/>
        </w:rPr>
        <w:t xml:space="preserve">SELECT </w:t>
      </w:r>
      <w:r w:rsidR="002612FB" w:rsidRPr="00243C46">
        <w:rPr>
          <w:lang w:val="en-GB"/>
        </w:rPr>
        <w:t xml:space="preserve">Financial </w:t>
      </w:r>
      <w:r w:rsidR="00250143" w:rsidRPr="00243C46">
        <w:rPr>
          <w:lang w:val="en-GB"/>
        </w:rPr>
        <w:t>DATA</w:t>
      </w:r>
      <w:r w:rsidR="004F1FFC" w:rsidRPr="00243C46">
        <w:rPr>
          <w:lang w:val="en-GB"/>
        </w:rPr>
        <w:t xml:space="preserve"> </w:t>
      </w:r>
      <w:r w:rsidR="004F1FFC" w:rsidRPr="00243C46">
        <w:rPr>
          <w:rStyle w:val="ExhibitHeadingChar"/>
          <w:b/>
          <w:lang w:val="en-GB"/>
        </w:rPr>
        <w:t>(€ BILLIONS)</w:t>
      </w:r>
    </w:p>
    <w:tbl>
      <w:tblPr>
        <w:tblpPr w:leftFromText="180" w:rightFromText="180" w:vertAnchor="text" w:horzAnchor="margin" w:tblpXSpec="center" w:tblpY="32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990"/>
        <w:gridCol w:w="990"/>
        <w:gridCol w:w="900"/>
        <w:gridCol w:w="900"/>
        <w:gridCol w:w="900"/>
        <w:gridCol w:w="990"/>
        <w:gridCol w:w="806"/>
      </w:tblGrid>
      <w:tr w:rsidR="00C60108" w:rsidRPr="00243C46" w14:paraId="25F884AA" w14:textId="77777777" w:rsidTr="00636F13">
        <w:trPr>
          <w:trHeight w:val="170"/>
        </w:trPr>
        <w:tc>
          <w:tcPr>
            <w:tcW w:w="2875" w:type="dxa"/>
            <w:shd w:val="clear" w:color="000000" w:fill="FFFFFF"/>
            <w:noWrap/>
            <w:vAlign w:val="bottom"/>
            <w:hideMark/>
          </w:tcPr>
          <w:p w14:paraId="0362C692" w14:textId="77777777" w:rsidR="00372F91" w:rsidRPr="00243C46" w:rsidRDefault="00372F91" w:rsidP="00DA6D54">
            <w:pPr>
              <w:pStyle w:val="ExhibitText"/>
              <w:rPr>
                <w:sz w:val="18"/>
                <w:szCs w:val="18"/>
                <w:lang w:val="en-GB"/>
              </w:rPr>
            </w:pPr>
            <w:r w:rsidRPr="00243C46">
              <w:rPr>
                <w:sz w:val="18"/>
                <w:szCs w:val="18"/>
                <w:lang w:val="en-GB"/>
              </w:rPr>
              <w:t> </w:t>
            </w:r>
          </w:p>
        </w:tc>
        <w:tc>
          <w:tcPr>
            <w:tcW w:w="990" w:type="dxa"/>
            <w:shd w:val="clear" w:color="000000" w:fill="FFFFFF"/>
            <w:noWrap/>
            <w:vAlign w:val="bottom"/>
            <w:hideMark/>
          </w:tcPr>
          <w:p w14:paraId="7F686FB4" w14:textId="77777777" w:rsidR="00372F91" w:rsidRPr="00243C46" w:rsidRDefault="00372F91" w:rsidP="004A0048">
            <w:pPr>
              <w:pStyle w:val="ExhibitText"/>
              <w:jc w:val="center"/>
              <w:rPr>
                <w:b/>
                <w:bCs/>
                <w:sz w:val="18"/>
                <w:szCs w:val="18"/>
                <w:lang w:val="en-GB"/>
              </w:rPr>
            </w:pPr>
            <w:r w:rsidRPr="00243C46">
              <w:rPr>
                <w:b/>
                <w:bCs/>
                <w:sz w:val="18"/>
                <w:szCs w:val="18"/>
                <w:lang w:val="en-GB"/>
              </w:rPr>
              <w:t>2017</w:t>
            </w:r>
          </w:p>
        </w:tc>
        <w:tc>
          <w:tcPr>
            <w:tcW w:w="990" w:type="dxa"/>
            <w:shd w:val="clear" w:color="000000" w:fill="FFFFFF"/>
            <w:noWrap/>
            <w:vAlign w:val="bottom"/>
            <w:hideMark/>
          </w:tcPr>
          <w:p w14:paraId="64925415" w14:textId="77777777" w:rsidR="00372F91" w:rsidRPr="00243C46" w:rsidRDefault="00372F91" w:rsidP="004A0048">
            <w:pPr>
              <w:pStyle w:val="ExhibitText"/>
              <w:jc w:val="center"/>
              <w:rPr>
                <w:b/>
                <w:bCs/>
                <w:sz w:val="18"/>
                <w:szCs w:val="18"/>
                <w:lang w:val="en-GB"/>
              </w:rPr>
            </w:pPr>
            <w:r w:rsidRPr="00243C46">
              <w:rPr>
                <w:b/>
                <w:bCs/>
                <w:sz w:val="18"/>
                <w:szCs w:val="18"/>
                <w:lang w:val="en-GB"/>
              </w:rPr>
              <w:t>2016</w:t>
            </w:r>
          </w:p>
        </w:tc>
        <w:tc>
          <w:tcPr>
            <w:tcW w:w="900" w:type="dxa"/>
            <w:shd w:val="clear" w:color="000000" w:fill="FFFFFF"/>
            <w:noWrap/>
            <w:vAlign w:val="bottom"/>
            <w:hideMark/>
          </w:tcPr>
          <w:p w14:paraId="5CB0A808" w14:textId="77777777" w:rsidR="00372F91" w:rsidRPr="00243C46" w:rsidRDefault="00372F91" w:rsidP="004A0048">
            <w:pPr>
              <w:pStyle w:val="ExhibitText"/>
              <w:jc w:val="center"/>
              <w:rPr>
                <w:b/>
                <w:bCs/>
                <w:sz w:val="18"/>
                <w:szCs w:val="18"/>
                <w:lang w:val="en-GB"/>
              </w:rPr>
            </w:pPr>
            <w:r w:rsidRPr="00243C46">
              <w:rPr>
                <w:b/>
                <w:bCs/>
                <w:sz w:val="18"/>
                <w:szCs w:val="18"/>
                <w:lang w:val="en-GB"/>
              </w:rPr>
              <w:t>2015</w:t>
            </w:r>
          </w:p>
        </w:tc>
        <w:tc>
          <w:tcPr>
            <w:tcW w:w="900" w:type="dxa"/>
            <w:shd w:val="clear" w:color="000000" w:fill="FFFFFF"/>
            <w:noWrap/>
            <w:vAlign w:val="bottom"/>
            <w:hideMark/>
          </w:tcPr>
          <w:p w14:paraId="002B2529" w14:textId="77777777" w:rsidR="00372F91" w:rsidRPr="00243C46" w:rsidRDefault="00372F91" w:rsidP="004A0048">
            <w:pPr>
              <w:pStyle w:val="ExhibitText"/>
              <w:jc w:val="center"/>
              <w:rPr>
                <w:b/>
                <w:bCs/>
                <w:sz w:val="18"/>
                <w:szCs w:val="18"/>
                <w:lang w:val="en-GB"/>
              </w:rPr>
            </w:pPr>
            <w:r w:rsidRPr="00243C46">
              <w:rPr>
                <w:b/>
                <w:bCs/>
                <w:sz w:val="18"/>
                <w:szCs w:val="18"/>
                <w:lang w:val="en-GB"/>
              </w:rPr>
              <w:t>2014</w:t>
            </w:r>
          </w:p>
        </w:tc>
        <w:tc>
          <w:tcPr>
            <w:tcW w:w="900" w:type="dxa"/>
            <w:shd w:val="clear" w:color="000000" w:fill="FFFFFF"/>
            <w:noWrap/>
            <w:vAlign w:val="bottom"/>
            <w:hideMark/>
          </w:tcPr>
          <w:p w14:paraId="123D38BD" w14:textId="77777777" w:rsidR="00372F91" w:rsidRPr="00243C46" w:rsidRDefault="00372F91" w:rsidP="004A0048">
            <w:pPr>
              <w:pStyle w:val="ExhibitText"/>
              <w:jc w:val="center"/>
              <w:rPr>
                <w:b/>
                <w:bCs/>
                <w:sz w:val="18"/>
                <w:szCs w:val="18"/>
                <w:lang w:val="en-GB"/>
              </w:rPr>
            </w:pPr>
            <w:r w:rsidRPr="00243C46">
              <w:rPr>
                <w:b/>
                <w:bCs/>
                <w:sz w:val="18"/>
                <w:szCs w:val="18"/>
                <w:lang w:val="en-GB"/>
              </w:rPr>
              <w:t>2013</w:t>
            </w:r>
          </w:p>
        </w:tc>
        <w:tc>
          <w:tcPr>
            <w:tcW w:w="990" w:type="dxa"/>
            <w:shd w:val="clear" w:color="000000" w:fill="FFFFFF"/>
            <w:noWrap/>
            <w:vAlign w:val="bottom"/>
            <w:hideMark/>
          </w:tcPr>
          <w:p w14:paraId="51B66FE5" w14:textId="77777777" w:rsidR="00372F91" w:rsidRPr="00243C46" w:rsidRDefault="00372F91" w:rsidP="004A0048">
            <w:pPr>
              <w:pStyle w:val="ExhibitText"/>
              <w:jc w:val="center"/>
              <w:rPr>
                <w:b/>
                <w:bCs/>
                <w:sz w:val="18"/>
                <w:szCs w:val="18"/>
                <w:lang w:val="en-GB"/>
              </w:rPr>
            </w:pPr>
            <w:r w:rsidRPr="00243C46">
              <w:rPr>
                <w:b/>
                <w:bCs/>
                <w:sz w:val="18"/>
                <w:szCs w:val="18"/>
                <w:lang w:val="en-GB"/>
              </w:rPr>
              <w:t>2012</w:t>
            </w:r>
          </w:p>
        </w:tc>
        <w:tc>
          <w:tcPr>
            <w:tcW w:w="806" w:type="dxa"/>
            <w:shd w:val="clear" w:color="000000" w:fill="FFFFFF"/>
            <w:noWrap/>
            <w:vAlign w:val="bottom"/>
            <w:hideMark/>
          </w:tcPr>
          <w:p w14:paraId="5EEF861A" w14:textId="77777777" w:rsidR="00372F91" w:rsidRPr="00243C46" w:rsidRDefault="00372F91" w:rsidP="004A0048">
            <w:pPr>
              <w:pStyle w:val="ExhibitText"/>
              <w:jc w:val="center"/>
              <w:rPr>
                <w:b/>
                <w:bCs/>
                <w:sz w:val="18"/>
                <w:szCs w:val="18"/>
                <w:lang w:val="en-GB"/>
              </w:rPr>
            </w:pPr>
            <w:r w:rsidRPr="00243C46">
              <w:rPr>
                <w:b/>
                <w:bCs/>
                <w:sz w:val="18"/>
                <w:szCs w:val="18"/>
                <w:lang w:val="en-GB"/>
              </w:rPr>
              <w:t>CAGR</w:t>
            </w:r>
          </w:p>
        </w:tc>
      </w:tr>
      <w:tr w:rsidR="00C60108" w:rsidRPr="00243C46" w14:paraId="437BED66" w14:textId="77777777" w:rsidTr="00636F13">
        <w:trPr>
          <w:trHeight w:val="135"/>
        </w:trPr>
        <w:tc>
          <w:tcPr>
            <w:tcW w:w="2875" w:type="dxa"/>
            <w:shd w:val="clear" w:color="000000" w:fill="FFFFFF"/>
            <w:noWrap/>
            <w:vAlign w:val="center"/>
            <w:hideMark/>
          </w:tcPr>
          <w:p w14:paraId="01DA4866" w14:textId="77777777" w:rsidR="00372F91" w:rsidRPr="00243C46" w:rsidRDefault="00372F91" w:rsidP="00636F13">
            <w:pPr>
              <w:pStyle w:val="ExhibitText"/>
              <w:jc w:val="left"/>
              <w:rPr>
                <w:b/>
                <w:bCs/>
                <w:sz w:val="18"/>
                <w:szCs w:val="18"/>
                <w:lang w:val="en-GB"/>
              </w:rPr>
            </w:pPr>
            <w:r w:rsidRPr="00243C46">
              <w:rPr>
                <w:b/>
                <w:bCs/>
                <w:sz w:val="18"/>
                <w:szCs w:val="18"/>
                <w:lang w:val="en-GB"/>
              </w:rPr>
              <w:t>Revenues</w:t>
            </w:r>
          </w:p>
        </w:tc>
        <w:tc>
          <w:tcPr>
            <w:tcW w:w="990" w:type="dxa"/>
            <w:shd w:val="clear" w:color="000000" w:fill="FFFFFF"/>
            <w:noWrap/>
            <w:vAlign w:val="center"/>
            <w:hideMark/>
          </w:tcPr>
          <w:p w14:paraId="2E183491"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71A56B67"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72163F42"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5A85B618"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56A79EF1"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778976CA"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806" w:type="dxa"/>
            <w:shd w:val="clear" w:color="000000" w:fill="FFFFFF"/>
            <w:noWrap/>
            <w:vAlign w:val="bottom"/>
            <w:hideMark/>
          </w:tcPr>
          <w:p w14:paraId="6F9F0B28"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r w:rsidR="00C60108" w:rsidRPr="00243C46" w14:paraId="16424C6E" w14:textId="77777777" w:rsidTr="00636F13">
        <w:trPr>
          <w:trHeight w:val="180"/>
        </w:trPr>
        <w:tc>
          <w:tcPr>
            <w:tcW w:w="2875" w:type="dxa"/>
            <w:shd w:val="clear" w:color="000000" w:fill="FFFFFF"/>
            <w:noWrap/>
            <w:vAlign w:val="center"/>
            <w:hideMark/>
          </w:tcPr>
          <w:p w14:paraId="044F433E" w14:textId="2B6FAAEE" w:rsidR="00372F91" w:rsidRPr="00243C46" w:rsidRDefault="00372F91" w:rsidP="00636F13">
            <w:pPr>
              <w:pStyle w:val="ExhibitText"/>
              <w:jc w:val="left"/>
              <w:rPr>
                <w:sz w:val="18"/>
                <w:szCs w:val="18"/>
                <w:lang w:val="en-GB"/>
              </w:rPr>
            </w:pPr>
            <w:r w:rsidRPr="00243C46">
              <w:rPr>
                <w:sz w:val="18"/>
                <w:szCs w:val="18"/>
                <w:lang w:val="en-GB"/>
              </w:rPr>
              <w:t xml:space="preserve">Net </w:t>
            </w:r>
            <w:r w:rsidR="00A26C7E" w:rsidRPr="00243C46">
              <w:rPr>
                <w:sz w:val="18"/>
                <w:szCs w:val="18"/>
                <w:lang w:val="en-GB"/>
              </w:rPr>
              <w:t>Sales</w:t>
            </w:r>
          </w:p>
        </w:tc>
        <w:tc>
          <w:tcPr>
            <w:tcW w:w="990" w:type="dxa"/>
            <w:shd w:val="clear" w:color="000000" w:fill="FFFFFF"/>
            <w:vAlign w:val="center"/>
            <w:hideMark/>
          </w:tcPr>
          <w:p w14:paraId="6FD34530" w14:textId="77777777" w:rsidR="00372F91" w:rsidRPr="00243C46" w:rsidRDefault="00372F91" w:rsidP="004A0048">
            <w:pPr>
              <w:pStyle w:val="ExhibitText"/>
              <w:jc w:val="right"/>
              <w:rPr>
                <w:bCs/>
                <w:sz w:val="18"/>
                <w:szCs w:val="18"/>
                <w:lang w:val="en-GB"/>
              </w:rPr>
            </w:pPr>
            <w:r w:rsidRPr="00243C46">
              <w:rPr>
                <w:bCs/>
                <w:sz w:val="18"/>
                <w:szCs w:val="18"/>
                <w:lang w:val="en-GB"/>
              </w:rPr>
              <w:t>25.3</w:t>
            </w:r>
          </w:p>
        </w:tc>
        <w:tc>
          <w:tcPr>
            <w:tcW w:w="990" w:type="dxa"/>
            <w:shd w:val="clear" w:color="000000" w:fill="FFFFFF"/>
            <w:vAlign w:val="center"/>
            <w:hideMark/>
          </w:tcPr>
          <w:p w14:paraId="17122DF6" w14:textId="77777777" w:rsidR="00372F91" w:rsidRPr="00243C46" w:rsidRDefault="00372F91" w:rsidP="004A0048">
            <w:pPr>
              <w:pStyle w:val="ExhibitText"/>
              <w:jc w:val="right"/>
              <w:rPr>
                <w:bCs/>
                <w:sz w:val="18"/>
                <w:szCs w:val="18"/>
                <w:lang w:val="en-GB"/>
              </w:rPr>
            </w:pPr>
            <w:r w:rsidRPr="00243C46">
              <w:rPr>
                <w:bCs/>
                <w:sz w:val="18"/>
                <w:szCs w:val="18"/>
                <w:lang w:val="en-GB"/>
              </w:rPr>
              <w:t>23.3</w:t>
            </w:r>
          </w:p>
        </w:tc>
        <w:tc>
          <w:tcPr>
            <w:tcW w:w="900" w:type="dxa"/>
            <w:shd w:val="clear" w:color="000000" w:fill="FFFFFF"/>
            <w:vAlign w:val="center"/>
            <w:hideMark/>
          </w:tcPr>
          <w:p w14:paraId="2F7A0305" w14:textId="77777777" w:rsidR="00372F91" w:rsidRPr="00243C46" w:rsidRDefault="00372F91" w:rsidP="004A0048">
            <w:pPr>
              <w:pStyle w:val="ExhibitText"/>
              <w:jc w:val="right"/>
              <w:rPr>
                <w:bCs/>
                <w:sz w:val="18"/>
                <w:szCs w:val="18"/>
                <w:lang w:val="en-GB"/>
              </w:rPr>
            </w:pPr>
            <w:r w:rsidRPr="00243C46">
              <w:rPr>
                <w:bCs/>
                <w:sz w:val="18"/>
                <w:szCs w:val="18"/>
                <w:lang w:val="en-GB"/>
              </w:rPr>
              <w:t>20.9</w:t>
            </w:r>
          </w:p>
        </w:tc>
        <w:tc>
          <w:tcPr>
            <w:tcW w:w="900" w:type="dxa"/>
            <w:shd w:val="clear" w:color="000000" w:fill="FFFFFF"/>
            <w:vAlign w:val="center"/>
            <w:hideMark/>
          </w:tcPr>
          <w:p w14:paraId="76D2A9AF" w14:textId="77777777" w:rsidR="00372F91" w:rsidRPr="00243C46" w:rsidRDefault="00372F91" w:rsidP="004A0048">
            <w:pPr>
              <w:pStyle w:val="ExhibitText"/>
              <w:jc w:val="right"/>
              <w:rPr>
                <w:bCs/>
                <w:sz w:val="18"/>
                <w:szCs w:val="18"/>
                <w:lang w:val="en-GB"/>
              </w:rPr>
            </w:pPr>
            <w:r w:rsidRPr="00243C46">
              <w:rPr>
                <w:bCs/>
                <w:sz w:val="18"/>
                <w:szCs w:val="18"/>
                <w:lang w:val="en-GB"/>
              </w:rPr>
              <w:t>18.1</w:t>
            </w:r>
          </w:p>
        </w:tc>
        <w:tc>
          <w:tcPr>
            <w:tcW w:w="900" w:type="dxa"/>
            <w:shd w:val="clear" w:color="000000" w:fill="FFFFFF"/>
            <w:vAlign w:val="center"/>
            <w:hideMark/>
          </w:tcPr>
          <w:p w14:paraId="0AC49ABC" w14:textId="77777777" w:rsidR="00372F91" w:rsidRPr="00243C46" w:rsidRDefault="00372F91" w:rsidP="004A0048">
            <w:pPr>
              <w:pStyle w:val="ExhibitText"/>
              <w:jc w:val="right"/>
              <w:rPr>
                <w:bCs/>
                <w:sz w:val="18"/>
                <w:szCs w:val="18"/>
                <w:lang w:val="en-GB"/>
              </w:rPr>
            </w:pPr>
            <w:r w:rsidRPr="00243C46">
              <w:rPr>
                <w:bCs/>
                <w:sz w:val="18"/>
                <w:szCs w:val="18"/>
                <w:lang w:val="en-GB"/>
              </w:rPr>
              <w:t>16.7</w:t>
            </w:r>
          </w:p>
        </w:tc>
        <w:tc>
          <w:tcPr>
            <w:tcW w:w="990" w:type="dxa"/>
            <w:shd w:val="clear" w:color="000000" w:fill="FFFFFF"/>
            <w:vAlign w:val="center"/>
            <w:hideMark/>
          </w:tcPr>
          <w:p w14:paraId="3370D106" w14:textId="77777777" w:rsidR="00372F91" w:rsidRPr="00243C46" w:rsidRDefault="00372F91" w:rsidP="004A0048">
            <w:pPr>
              <w:pStyle w:val="ExhibitText"/>
              <w:jc w:val="right"/>
              <w:rPr>
                <w:bCs/>
                <w:sz w:val="18"/>
                <w:szCs w:val="18"/>
                <w:lang w:val="en-GB"/>
              </w:rPr>
            </w:pPr>
            <w:r w:rsidRPr="00243C46">
              <w:rPr>
                <w:bCs/>
                <w:sz w:val="18"/>
                <w:szCs w:val="18"/>
                <w:lang w:val="en-GB"/>
              </w:rPr>
              <w:t>15.9</w:t>
            </w:r>
          </w:p>
        </w:tc>
        <w:tc>
          <w:tcPr>
            <w:tcW w:w="806" w:type="dxa"/>
            <w:shd w:val="clear" w:color="000000" w:fill="FFFFFF"/>
            <w:vAlign w:val="center"/>
            <w:hideMark/>
          </w:tcPr>
          <w:p w14:paraId="0A0FABE6" w14:textId="77777777" w:rsidR="00372F91" w:rsidRPr="00243C46" w:rsidRDefault="00372F91" w:rsidP="004A0048">
            <w:pPr>
              <w:pStyle w:val="ExhibitText"/>
              <w:jc w:val="right"/>
              <w:rPr>
                <w:bCs/>
                <w:sz w:val="18"/>
                <w:szCs w:val="18"/>
                <w:lang w:val="en-GB"/>
              </w:rPr>
            </w:pPr>
            <w:r w:rsidRPr="00243C46">
              <w:rPr>
                <w:bCs/>
                <w:sz w:val="18"/>
                <w:szCs w:val="18"/>
                <w:lang w:val="en-GB"/>
              </w:rPr>
              <w:t>11%</w:t>
            </w:r>
          </w:p>
        </w:tc>
      </w:tr>
      <w:tr w:rsidR="00C60108" w:rsidRPr="00243C46" w14:paraId="6042C9CB" w14:textId="77777777" w:rsidTr="00636F13">
        <w:trPr>
          <w:trHeight w:val="144"/>
        </w:trPr>
        <w:tc>
          <w:tcPr>
            <w:tcW w:w="2875" w:type="dxa"/>
            <w:shd w:val="clear" w:color="000000" w:fill="FFFFFF"/>
            <w:noWrap/>
            <w:vAlign w:val="center"/>
            <w:hideMark/>
          </w:tcPr>
          <w:p w14:paraId="087AE272" w14:textId="69A92299" w:rsidR="00372F91" w:rsidRPr="00243C46" w:rsidRDefault="00372F91" w:rsidP="00636F13">
            <w:pPr>
              <w:pStyle w:val="ExhibitText"/>
              <w:jc w:val="left"/>
              <w:rPr>
                <w:b/>
                <w:bCs/>
                <w:sz w:val="18"/>
                <w:szCs w:val="18"/>
                <w:lang w:val="en-GB"/>
              </w:rPr>
            </w:pPr>
            <w:r w:rsidRPr="00243C46">
              <w:rPr>
                <w:b/>
                <w:bCs/>
                <w:sz w:val="18"/>
                <w:szCs w:val="18"/>
                <w:lang w:val="en-GB"/>
              </w:rPr>
              <w:t xml:space="preserve">Profits </w:t>
            </w:r>
            <w:r w:rsidR="00F05AD0" w:rsidRPr="00243C46">
              <w:rPr>
                <w:b/>
                <w:bCs/>
                <w:sz w:val="18"/>
                <w:szCs w:val="18"/>
                <w:lang w:val="en-GB"/>
              </w:rPr>
              <w:t xml:space="preserve">and </w:t>
            </w:r>
            <w:r w:rsidR="00A26C7E" w:rsidRPr="00243C46">
              <w:rPr>
                <w:b/>
                <w:bCs/>
                <w:sz w:val="18"/>
                <w:szCs w:val="18"/>
                <w:lang w:val="en-GB"/>
              </w:rPr>
              <w:t>Cash Flow</w:t>
            </w:r>
          </w:p>
        </w:tc>
        <w:tc>
          <w:tcPr>
            <w:tcW w:w="990" w:type="dxa"/>
            <w:shd w:val="clear" w:color="000000" w:fill="FFFFFF"/>
            <w:noWrap/>
            <w:vAlign w:val="center"/>
            <w:hideMark/>
          </w:tcPr>
          <w:p w14:paraId="6D4DD1A7"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5D70F43E"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5156E309"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0D50BB6C"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6D32C7F8"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502E559A"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806" w:type="dxa"/>
            <w:shd w:val="clear" w:color="000000" w:fill="FFFFFF"/>
            <w:noWrap/>
            <w:vAlign w:val="bottom"/>
            <w:hideMark/>
          </w:tcPr>
          <w:p w14:paraId="1C96CCFD"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r w:rsidR="00C60108" w:rsidRPr="00243C46" w14:paraId="064E8E22" w14:textId="77777777" w:rsidTr="00636F13">
        <w:trPr>
          <w:trHeight w:val="207"/>
        </w:trPr>
        <w:tc>
          <w:tcPr>
            <w:tcW w:w="2875" w:type="dxa"/>
            <w:shd w:val="clear" w:color="000000" w:fill="FFFFFF"/>
            <w:vAlign w:val="center"/>
            <w:hideMark/>
          </w:tcPr>
          <w:p w14:paraId="7D446050" w14:textId="701B9DBA" w:rsidR="00372F91" w:rsidRPr="00243C46" w:rsidRDefault="00F05AD0" w:rsidP="00636F13">
            <w:pPr>
              <w:pStyle w:val="ExhibitText"/>
              <w:jc w:val="left"/>
              <w:rPr>
                <w:sz w:val="18"/>
                <w:szCs w:val="18"/>
                <w:lang w:val="en-GB"/>
              </w:rPr>
            </w:pPr>
            <w:r w:rsidRPr="00243C46">
              <w:rPr>
                <w:sz w:val="18"/>
                <w:szCs w:val="18"/>
                <w:lang w:val="en-GB"/>
              </w:rPr>
              <w:t>EBITDA</w:t>
            </w:r>
          </w:p>
        </w:tc>
        <w:tc>
          <w:tcPr>
            <w:tcW w:w="990" w:type="dxa"/>
            <w:shd w:val="clear" w:color="000000" w:fill="FFFFFF"/>
            <w:vAlign w:val="center"/>
            <w:hideMark/>
          </w:tcPr>
          <w:p w14:paraId="432FC8A9" w14:textId="77777777" w:rsidR="00372F91" w:rsidRPr="00243C46" w:rsidRDefault="00372F91" w:rsidP="004A0048">
            <w:pPr>
              <w:pStyle w:val="ExhibitText"/>
              <w:jc w:val="right"/>
              <w:rPr>
                <w:bCs/>
                <w:sz w:val="18"/>
                <w:szCs w:val="18"/>
                <w:lang w:val="en-GB"/>
              </w:rPr>
            </w:pPr>
            <w:r w:rsidRPr="00243C46">
              <w:rPr>
                <w:bCs/>
                <w:sz w:val="18"/>
                <w:szCs w:val="18"/>
                <w:lang w:val="en-GB"/>
              </w:rPr>
              <w:t>5.3</w:t>
            </w:r>
          </w:p>
        </w:tc>
        <w:tc>
          <w:tcPr>
            <w:tcW w:w="990" w:type="dxa"/>
            <w:shd w:val="clear" w:color="000000" w:fill="FFFFFF"/>
            <w:vAlign w:val="center"/>
            <w:hideMark/>
          </w:tcPr>
          <w:p w14:paraId="1B31CEF1" w14:textId="77777777" w:rsidR="00372F91" w:rsidRPr="00243C46" w:rsidRDefault="00372F91" w:rsidP="004A0048">
            <w:pPr>
              <w:pStyle w:val="ExhibitText"/>
              <w:jc w:val="right"/>
              <w:rPr>
                <w:bCs/>
                <w:sz w:val="18"/>
                <w:szCs w:val="18"/>
                <w:lang w:val="en-GB"/>
              </w:rPr>
            </w:pPr>
            <w:r w:rsidRPr="00243C46">
              <w:rPr>
                <w:bCs/>
                <w:sz w:val="18"/>
                <w:szCs w:val="18"/>
                <w:lang w:val="en-GB"/>
              </w:rPr>
              <w:t>5.1</w:t>
            </w:r>
          </w:p>
        </w:tc>
        <w:tc>
          <w:tcPr>
            <w:tcW w:w="900" w:type="dxa"/>
            <w:shd w:val="clear" w:color="000000" w:fill="FFFFFF"/>
            <w:vAlign w:val="center"/>
            <w:hideMark/>
          </w:tcPr>
          <w:p w14:paraId="60DCBB55" w14:textId="77777777" w:rsidR="00372F91" w:rsidRPr="00243C46" w:rsidRDefault="00372F91" w:rsidP="004A0048">
            <w:pPr>
              <w:pStyle w:val="ExhibitText"/>
              <w:jc w:val="right"/>
              <w:rPr>
                <w:bCs/>
                <w:sz w:val="18"/>
                <w:szCs w:val="18"/>
                <w:lang w:val="en-GB"/>
              </w:rPr>
            </w:pPr>
            <w:r w:rsidRPr="00243C46">
              <w:rPr>
                <w:bCs/>
                <w:sz w:val="18"/>
                <w:szCs w:val="18"/>
                <w:lang w:val="en-GB"/>
              </w:rPr>
              <w:t>4.7</w:t>
            </w:r>
          </w:p>
        </w:tc>
        <w:tc>
          <w:tcPr>
            <w:tcW w:w="900" w:type="dxa"/>
            <w:shd w:val="clear" w:color="000000" w:fill="FFFFFF"/>
            <w:vAlign w:val="center"/>
            <w:hideMark/>
          </w:tcPr>
          <w:p w14:paraId="0F0B862C" w14:textId="77777777" w:rsidR="00372F91" w:rsidRPr="00243C46" w:rsidRDefault="00372F91" w:rsidP="004A0048">
            <w:pPr>
              <w:pStyle w:val="ExhibitText"/>
              <w:jc w:val="right"/>
              <w:rPr>
                <w:bCs/>
                <w:sz w:val="18"/>
                <w:szCs w:val="18"/>
                <w:lang w:val="en-GB"/>
              </w:rPr>
            </w:pPr>
            <w:r w:rsidRPr="00243C46">
              <w:rPr>
                <w:bCs/>
                <w:sz w:val="18"/>
                <w:szCs w:val="18"/>
                <w:lang w:val="en-GB"/>
              </w:rPr>
              <w:t>4.1</w:t>
            </w:r>
          </w:p>
        </w:tc>
        <w:tc>
          <w:tcPr>
            <w:tcW w:w="900" w:type="dxa"/>
            <w:shd w:val="clear" w:color="000000" w:fill="FFFFFF"/>
            <w:vAlign w:val="center"/>
            <w:hideMark/>
          </w:tcPr>
          <w:p w14:paraId="4826F4BD" w14:textId="77777777" w:rsidR="00372F91" w:rsidRPr="00243C46" w:rsidRDefault="00372F91" w:rsidP="004A0048">
            <w:pPr>
              <w:pStyle w:val="ExhibitText"/>
              <w:jc w:val="right"/>
              <w:rPr>
                <w:bCs/>
                <w:sz w:val="18"/>
                <w:szCs w:val="18"/>
                <w:lang w:val="en-GB"/>
              </w:rPr>
            </w:pPr>
            <w:r w:rsidRPr="00243C46">
              <w:rPr>
                <w:bCs/>
                <w:sz w:val="18"/>
                <w:szCs w:val="18"/>
                <w:lang w:val="en-GB"/>
              </w:rPr>
              <w:t>3.9</w:t>
            </w:r>
          </w:p>
        </w:tc>
        <w:tc>
          <w:tcPr>
            <w:tcW w:w="990" w:type="dxa"/>
            <w:shd w:val="clear" w:color="000000" w:fill="FFFFFF"/>
            <w:vAlign w:val="center"/>
            <w:hideMark/>
          </w:tcPr>
          <w:p w14:paraId="1987DDB0" w14:textId="77777777" w:rsidR="00372F91" w:rsidRPr="00243C46" w:rsidRDefault="00372F91" w:rsidP="004A0048">
            <w:pPr>
              <w:pStyle w:val="ExhibitText"/>
              <w:jc w:val="right"/>
              <w:rPr>
                <w:bCs/>
                <w:sz w:val="18"/>
                <w:szCs w:val="18"/>
                <w:lang w:val="en-GB"/>
              </w:rPr>
            </w:pPr>
            <w:r w:rsidRPr="00243C46">
              <w:rPr>
                <w:bCs/>
                <w:sz w:val="18"/>
                <w:szCs w:val="18"/>
                <w:lang w:val="en-GB"/>
              </w:rPr>
              <w:t>3.9</w:t>
            </w:r>
          </w:p>
        </w:tc>
        <w:tc>
          <w:tcPr>
            <w:tcW w:w="806" w:type="dxa"/>
            <w:shd w:val="clear" w:color="000000" w:fill="FFFFFF"/>
            <w:vAlign w:val="center"/>
            <w:hideMark/>
          </w:tcPr>
          <w:p w14:paraId="0C50796A" w14:textId="77777777" w:rsidR="00372F91" w:rsidRPr="00243C46" w:rsidRDefault="00372F91" w:rsidP="004A0048">
            <w:pPr>
              <w:pStyle w:val="ExhibitText"/>
              <w:jc w:val="right"/>
              <w:rPr>
                <w:bCs/>
                <w:sz w:val="18"/>
                <w:szCs w:val="18"/>
                <w:lang w:val="en-GB"/>
              </w:rPr>
            </w:pPr>
            <w:r w:rsidRPr="00243C46">
              <w:rPr>
                <w:bCs/>
                <w:sz w:val="18"/>
                <w:szCs w:val="18"/>
                <w:lang w:val="en-GB"/>
              </w:rPr>
              <w:t>9%</w:t>
            </w:r>
          </w:p>
        </w:tc>
      </w:tr>
      <w:tr w:rsidR="00C60108" w:rsidRPr="00243C46" w14:paraId="304683E9" w14:textId="77777777" w:rsidTr="00636F13">
        <w:trPr>
          <w:trHeight w:val="171"/>
        </w:trPr>
        <w:tc>
          <w:tcPr>
            <w:tcW w:w="2875" w:type="dxa"/>
            <w:shd w:val="clear" w:color="000000" w:fill="FFFFFF"/>
            <w:vAlign w:val="center"/>
            <w:hideMark/>
          </w:tcPr>
          <w:p w14:paraId="0EAF71CA" w14:textId="11E65172" w:rsidR="00372F91" w:rsidRPr="00243C46" w:rsidRDefault="00F05AD0" w:rsidP="00636F13">
            <w:pPr>
              <w:pStyle w:val="ExhibitText"/>
              <w:jc w:val="left"/>
              <w:rPr>
                <w:sz w:val="18"/>
                <w:szCs w:val="18"/>
                <w:lang w:val="en-GB"/>
              </w:rPr>
            </w:pPr>
            <w:r w:rsidRPr="00243C46">
              <w:rPr>
                <w:sz w:val="18"/>
                <w:szCs w:val="18"/>
                <w:lang w:val="en-GB"/>
              </w:rPr>
              <w:t>EBIT</w:t>
            </w:r>
          </w:p>
        </w:tc>
        <w:tc>
          <w:tcPr>
            <w:tcW w:w="990" w:type="dxa"/>
            <w:shd w:val="clear" w:color="000000" w:fill="FFFFFF"/>
            <w:vAlign w:val="center"/>
            <w:hideMark/>
          </w:tcPr>
          <w:p w14:paraId="7BAD1823" w14:textId="77777777" w:rsidR="00372F91" w:rsidRPr="00243C46" w:rsidRDefault="00372F91" w:rsidP="004A0048">
            <w:pPr>
              <w:pStyle w:val="ExhibitText"/>
              <w:jc w:val="right"/>
              <w:rPr>
                <w:bCs/>
                <w:sz w:val="18"/>
                <w:szCs w:val="18"/>
                <w:lang w:val="en-GB"/>
              </w:rPr>
            </w:pPr>
            <w:r w:rsidRPr="00243C46">
              <w:rPr>
                <w:bCs/>
                <w:sz w:val="18"/>
                <w:szCs w:val="18"/>
                <w:lang w:val="en-GB"/>
              </w:rPr>
              <w:t>4.3</w:t>
            </w:r>
          </w:p>
        </w:tc>
        <w:tc>
          <w:tcPr>
            <w:tcW w:w="990" w:type="dxa"/>
            <w:shd w:val="clear" w:color="000000" w:fill="FFFFFF"/>
            <w:vAlign w:val="center"/>
            <w:hideMark/>
          </w:tcPr>
          <w:p w14:paraId="3A83FB0A" w14:textId="77777777" w:rsidR="00372F91" w:rsidRPr="00243C46" w:rsidRDefault="00372F91" w:rsidP="004A0048">
            <w:pPr>
              <w:pStyle w:val="ExhibitText"/>
              <w:jc w:val="right"/>
              <w:rPr>
                <w:bCs/>
                <w:sz w:val="18"/>
                <w:szCs w:val="18"/>
                <w:lang w:val="en-GB"/>
              </w:rPr>
            </w:pPr>
            <w:r w:rsidRPr="00243C46">
              <w:rPr>
                <w:bCs/>
                <w:sz w:val="18"/>
                <w:szCs w:val="18"/>
                <w:lang w:val="en-GB"/>
              </w:rPr>
              <w:t>4.0</w:t>
            </w:r>
          </w:p>
        </w:tc>
        <w:tc>
          <w:tcPr>
            <w:tcW w:w="900" w:type="dxa"/>
            <w:shd w:val="clear" w:color="000000" w:fill="FFFFFF"/>
            <w:vAlign w:val="center"/>
            <w:hideMark/>
          </w:tcPr>
          <w:p w14:paraId="74428014" w14:textId="77777777" w:rsidR="00372F91" w:rsidRPr="00243C46" w:rsidRDefault="00372F91" w:rsidP="004A0048">
            <w:pPr>
              <w:pStyle w:val="ExhibitText"/>
              <w:jc w:val="right"/>
              <w:rPr>
                <w:bCs/>
                <w:sz w:val="18"/>
                <w:szCs w:val="18"/>
                <w:lang w:val="en-GB"/>
              </w:rPr>
            </w:pPr>
            <w:r w:rsidRPr="00243C46">
              <w:rPr>
                <w:bCs/>
                <w:sz w:val="18"/>
                <w:szCs w:val="18"/>
                <w:lang w:val="en-GB"/>
              </w:rPr>
              <w:t>3.7</w:t>
            </w:r>
          </w:p>
        </w:tc>
        <w:tc>
          <w:tcPr>
            <w:tcW w:w="900" w:type="dxa"/>
            <w:shd w:val="clear" w:color="000000" w:fill="FFFFFF"/>
            <w:vAlign w:val="center"/>
            <w:hideMark/>
          </w:tcPr>
          <w:p w14:paraId="36386A1D" w14:textId="77777777" w:rsidR="00372F91" w:rsidRPr="00243C46" w:rsidRDefault="00372F91" w:rsidP="004A0048">
            <w:pPr>
              <w:pStyle w:val="ExhibitText"/>
              <w:jc w:val="right"/>
              <w:rPr>
                <w:bCs/>
                <w:sz w:val="18"/>
                <w:szCs w:val="18"/>
                <w:lang w:val="en-GB"/>
              </w:rPr>
            </w:pPr>
            <w:r w:rsidRPr="00243C46">
              <w:rPr>
                <w:bCs/>
                <w:sz w:val="18"/>
                <w:szCs w:val="18"/>
                <w:lang w:val="en-GB"/>
              </w:rPr>
              <w:t>3.2</w:t>
            </w:r>
          </w:p>
        </w:tc>
        <w:tc>
          <w:tcPr>
            <w:tcW w:w="900" w:type="dxa"/>
            <w:shd w:val="clear" w:color="000000" w:fill="FFFFFF"/>
            <w:vAlign w:val="center"/>
            <w:hideMark/>
          </w:tcPr>
          <w:p w14:paraId="2D4BB546" w14:textId="77777777" w:rsidR="00372F91" w:rsidRPr="00243C46" w:rsidRDefault="00372F91" w:rsidP="004A0048">
            <w:pPr>
              <w:pStyle w:val="ExhibitText"/>
              <w:jc w:val="right"/>
              <w:rPr>
                <w:bCs/>
                <w:sz w:val="18"/>
                <w:szCs w:val="18"/>
                <w:lang w:val="en-GB"/>
              </w:rPr>
            </w:pPr>
            <w:r w:rsidRPr="00243C46">
              <w:rPr>
                <w:bCs/>
                <w:sz w:val="18"/>
                <w:szCs w:val="18"/>
                <w:lang w:val="en-GB"/>
              </w:rPr>
              <w:t>3.1</w:t>
            </w:r>
          </w:p>
        </w:tc>
        <w:tc>
          <w:tcPr>
            <w:tcW w:w="990" w:type="dxa"/>
            <w:shd w:val="clear" w:color="000000" w:fill="FFFFFF"/>
            <w:vAlign w:val="center"/>
            <w:hideMark/>
          </w:tcPr>
          <w:p w14:paraId="4C7616FF" w14:textId="77777777" w:rsidR="00372F91" w:rsidRPr="00243C46" w:rsidRDefault="00372F91" w:rsidP="004A0048">
            <w:pPr>
              <w:pStyle w:val="ExhibitText"/>
              <w:jc w:val="right"/>
              <w:rPr>
                <w:bCs/>
                <w:sz w:val="18"/>
                <w:szCs w:val="18"/>
                <w:lang w:val="en-GB"/>
              </w:rPr>
            </w:pPr>
            <w:r w:rsidRPr="00243C46">
              <w:rPr>
                <w:bCs/>
                <w:sz w:val="18"/>
                <w:szCs w:val="18"/>
                <w:lang w:val="en-GB"/>
              </w:rPr>
              <w:t>3.1</w:t>
            </w:r>
          </w:p>
        </w:tc>
        <w:tc>
          <w:tcPr>
            <w:tcW w:w="806" w:type="dxa"/>
            <w:shd w:val="clear" w:color="000000" w:fill="FFFFFF"/>
            <w:vAlign w:val="center"/>
            <w:hideMark/>
          </w:tcPr>
          <w:p w14:paraId="695D02EF" w14:textId="77777777" w:rsidR="00372F91" w:rsidRPr="00243C46" w:rsidRDefault="00372F91" w:rsidP="004A0048">
            <w:pPr>
              <w:pStyle w:val="ExhibitText"/>
              <w:jc w:val="right"/>
              <w:rPr>
                <w:bCs/>
                <w:sz w:val="18"/>
                <w:szCs w:val="18"/>
                <w:lang w:val="en-GB"/>
              </w:rPr>
            </w:pPr>
            <w:r w:rsidRPr="00243C46">
              <w:rPr>
                <w:bCs/>
                <w:sz w:val="18"/>
                <w:szCs w:val="18"/>
                <w:lang w:val="en-GB"/>
              </w:rPr>
              <w:t>10%</w:t>
            </w:r>
          </w:p>
        </w:tc>
      </w:tr>
      <w:tr w:rsidR="00C60108" w:rsidRPr="00243C46" w14:paraId="60897A5D" w14:textId="77777777" w:rsidTr="00636F13">
        <w:trPr>
          <w:trHeight w:val="126"/>
        </w:trPr>
        <w:tc>
          <w:tcPr>
            <w:tcW w:w="2875" w:type="dxa"/>
            <w:shd w:val="clear" w:color="000000" w:fill="FFFFFF"/>
            <w:vAlign w:val="center"/>
            <w:hideMark/>
          </w:tcPr>
          <w:p w14:paraId="1C3F4981" w14:textId="48BACC59" w:rsidR="00372F91" w:rsidRPr="00243C46" w:rsidRDefault="00372F91" w:rsidP="00636F13">
            <w:pPr>
              <w:pStyle w:val="ExhibitText"/>
              <w:jc w:val="left"/>
              <w:rPr>
                <w:sz w:val="18"/>
                <w:szCs w:val="18"/>
                <w:lang w:val="en-GB"/>
              </w:rPr>
            </w:pPr>
            <w:r w:rsidRPr="00243C46">
              <w:rPr>
                <w:sz w:val="18"/>
                <w:szCs w:val="18"/>
                <w:lang w:val="en-GB"/>
              </w:rPr>
              <w:t xml:space="preserve">Net </w:t>
            </w:r>
            <w:r w:rsidR="00A26C7E" w:rsidRPr="00243C46">
              <w:rPr>
                <w:sz w:val="18"/>
                <w:szCs w:val="18"/>
                <w:lang w:val="en-GB"/>
              </w:rPr>
              <w:t>Income</w:t>
            </w:r>
          </w:p>
        </w:tc>
        <w:tc>
          <w:tcPr>
            <w:tcW w:w="990" w:type="dxa"/>
            <w:shd w:val="clear" w:color="000000" w:fill="FFFFFF"/>
            <w:vAlign w:val="center"/>
            <w:hideMark/>
          </w:tcPr>
          <w:p w14:paraId="42F394C2" w14:textId="77777777" w:rsidR="00372F91" w:rsidRPr="00243C46" w:rsidRDefault="00372F91" w:rsidP="004A0048">
            <w:pPr>
              <w:pStyle w:val="ExhibitText"/>
              <w:jc w:val="right"/>
              <w:rPr>
                <w:bCs/>
                <w:sz w:val="18"/>
                <w:szCs w:val="18"/>
                <w:lang w:val="en-GB"/>
              </w:rPr>
            </w:pPr>
            <w:r w:rsidRPr="00243C46">
              <w:rPr>
                <w:bCs/>
                <w:sz w:val="18"/>
                <w:szCs w:val="18"/>
                <w:lang w:val="en-GB"/>
              </w:rPr>
              <w:t>3.4</w:t>
            </w:r>
          </w:p>
        </w:tc>
        <w:tc>
          <w:tcPr>
            <w:tcW w:w="990" w:type="dxa"/>
            <w:shd w:val="clear" w:color="000000" w:fill="FFFFFF"/>
            <w:vAlign w:val="center"/>
            <w:hideMark/>
          </w:tcPr>
          <w:p w14:paraId="159EA77A" w14:textId="77777777" w:rsidR="00372F91" w:rsidRPr="00243C46" w:rsidRDefault="00372F91" w:rsidP="004A0048">
            <w:pPr>
              <w:pStyle w:val="ExhibitText"/>
              <w:jc w:val="right"/>
              <w:rPr>
                <w:bCs/>
                <w:sz w:val="18"/>
                <w:szCs w:val="18"/>
                <w:lang w:val="en-GB"/>
              </w:rPr>
            </w:pPr>
            <w:r w:rsidRPr="00243C46">
              <w:rPr>
                <w:bCs/>
                <w:sz w:val="18"/>
                <w:szCs w:val="18"/>
                <w:lang w:val="en-GB"/>
              </w:rPr>
              <w:t>3.2</w:t>
            </w:r>
          </w:p>
        </w:tc>
        <w:tc>
          <w:tcPr>
            <w:tcW w:w="900" w:type="dxa"/>
            <w:shd w:val="clear" w:color="000000" w:fill="FFFFFF"/>
            <w:vAlign w:val="center"/>
            <w:hideMark/>
          </w:tcPr>
          <w:p w14:paraId="028BB45D" w14:textId="77777777" w:rsidR="00372F91" w:rsidRPr="00243C46" w:rsidRDefault="00372F91" w:rsidP="004A0048">
            <w:pPr>
              <w:pStyle w:val="ExhibitText"/>
              <w:jc w:val="right"/>
              <w:rPr>
                <w:bCs/>
                <w:sz w:val="18"/>
                <w:szCs w:val="18"/>
                <w:lang w:val="en-GB"/>
              </w:rPr>
            </w:pPr>
            <w:r w:rsidRPr="00243C46">
              <w:rPr>
                <w:bCs/>
                <w:sz w:val="18"/>
                <w:szCs w:val="18"/>
                <w:lang w:val="en-GB"/>
              </w:rPr>
              <w:t>2.9</w:t>
            </w:r>
          </w:p>
        </w:tc>
        <w:tc>
          <w:tcPr>
            <w:tcW w:w="900" w:type="dxa"/>
            <w:shd w:val="clear" w:color="000000" w:fill="FFFFFF"/>
            <w:vAlign w:val="center"/>
            <w:hideMark/>
          </w:tcPr>
          <w:p w14:paraId="4492FA60" w14:textId="77777777" w:rsidR="00372F91" w:rsidRPr="00243C46" w:rsidRDefault="00372F91" w:rsidP="004A0048">
            <w:pPr>
              <w:pStyle w:val="ExhibitText"/>
              <w:jc w:val="right"/>
              <w:rPr>
                <w:bCs/>
                <w:sz w:val="18"/>
                <w:szCs w:val="18"/>
                <w:lang w:val="en-GB"/>
              </w:rPr>
            </w:pPr>
            <w:r w:rsidRPr="00243C46">
              <w:rPr>
                <w:bCs/>
                <w:sz w:val="18"/>
                <w:szCs w:val="18"/>
                <w:lang w:val="en-GB"/>
              </w:rPr>
              <w:t>2.5</w:t>
            </w:r>
          </w:p>
        </w:tc>
        <w:tc>
          <w:tcPr>
            <w:tcW w:w="900" w:type="dxa"/>
            <w:shd w:val="clear" w:color="000000" w:fill="FFFFFF"/>
            <w:vAlign w:val="center"/>
            <w:hideMark/>
          </w:tcPr>
          <w:p w14:paraId="559BFD42" w14:textId="77777777" w:rsidR="00372F91" w:rsidRPr="00243C46" w:rsidRDefault="00372F91" w:rsidP="004A0048">
            <w:pPr>
              <w:pStyle w:val="ExhibitText"/>
              <w:jc w:val="right"/>
              <w:rPr>
                <w:bCs/>
                <w:sz w:val="18"/>
                <w:szCs w:val="18"/>
                <w:lang w:val="en-GB"/>
              </w:rPr>
            </w:pPr>
            <w:r w:rsidRPr="00243C46">
              <w:rPr>
                <w:bCs/>
                <w:sz w:val="18"/>
                <w:szCs w:val="18"/>
                <w:lang w:val="en-GB"/>
              </w:rPr>
              <w:t>2.4</w:t>
            </w:r>
          </w:p>
        </w:tc>
        <w:tc>
          <w:tcPr>
            <w:tcW w:w="990" w:type="dxa"/>
            <w:shd w:val="clear" w:color="000000" w:fill="FFFFFF"/>
            <w:vAlign w:val="center"/>
            <w:hideMark/>
          </w:tcPr>
          <w:p w14:paraId="5C4FA949" w14:textId="77777777" w:rsidR="00372F91" w:rsidRPr="00243C46" w:rsidRDefault="00372F91" w:rsidP="004A0048">
            <w:pPr>
              <w:pStyle w:val="ExhibitText"/>
              <w:jc w:val="right"/>
              <w:rPr>
                <w:bCs/>
                <w:sz w:val="18"/>
                <w:szCs w:val="18"/>
                <w:lang w:val="en-GB"/>
              </w:rPr>
            </w:pPr>
            <w:r w:rsidRPr="00243C46">
              <w:rPr>
                <w:bCs/>
                <w:sz w:val="18"/>
                <w:szCs w:val="18"/>
                <w:lang w:val="en-GB"/>
              </w:rPr>
              <w:t>2.4</w:t>
            </w:r>
          </w:p>
        </w:tc>
        <w:tc>
          <w:tcPr>
            <w:tcW w:w="806" w:type="dxa"/>
            <w:shd w:val="clear" w:color="000000" w:fill="FFFFFF"/>
            <w:vAlign w:val="center"/>
            <w:hideMark/>
          </w:tcPr>
          <w:p w14:paraId="771E4D54" w14:textId="77777777" w:rsidR="00372F91" w:rsidRPr="00243C46" w:rsidRDefault="00372F91" w:rsidP="004A0048">
            <w:pPr>
              <w:pStyle w:val="ExhibitText"/>
              <w:jc w:val="right"/>
              <w:rPr>
                <w:bCs/>
                <w:sz w:val="18"/>
                <w:szCs w:val="18"/>
                <w:lang w:val="en-GB"/>
              </w:rPr>
            </w:pPr>
            <w:r w:rsidRPr="00243C46">
              <w:rPr>
                <w:bCs/>
                <w:sz w:val="18"/>
                <w:szCs w:val="18"/>
                <w:lang w:val="en-GB"/>
              </w:rPr>
              <w:t>10%</w:t>
            </w:r>
          </w:p>
        </w:tc>
      </w:tr>
      <w:tr w:rsidR="00C60108" w:rsidRPr="00243C46" w14:paraId="70FEE621" w14:textId="77777777" w:rsidTr="00636F13">
        <w:trPr>
          <w:trHeight w:val="270"/>
        </w:trPr>
        <w:tc>
          <w:tcPr>
            <w:tcW w:w="2875" w:type="dxa"/>
            <w:shd w:val="clear" w:color="000000" w:fill="FFFFFF"/>
            <w:vAlign w:val="center"/>
            <w:hideMark/>
          </w:tcPr>
          <w:p w14:paraId="15281C87" w14:textId="0090E360" w:rsidR="00372F91" w:rsidRPr="00243C46" w:rsidRDefault="00372F91" w:rsidP="00636F13">
            <w:pPr>
              <w:pStyle w:val="ExhibitText"/>
              <w:jc w:val="left"/>
              <w:rPr>
                <w:sz w:val="18"/>
                <w:szCs w:val="18"/>
                <w:lang w:val="en-GB"/>
              </w:rPr>
            </w:pPr>
            <w:r w:rsidRPr="00243C46">
              <w:rPr>
                <w:sz w:val="18"/>
                <w:szCs w:val="18"/>
                <w:lang w:val="en-GB"/>
              </w:rPr>
              <w:t xml:space="preserve">Net </w:t>
            </w:r>
            <w:r w:rsidR="00A26C7E" w:rsidRPr="00243C46">
              <w:rPr>
                <w:sz w:val="18"/>
                <w:szCs w:val="18"/>
                <w:lang w:val="en-GB"/>
              </w:rPr>
              <w:t>Income After Minorities</w:t>
            </w:r>
          </w:p>
        </w:tc>
        <w:tc>
          <w:tcPr>
            <w:tcW w:w="990" w:type="dxa"/>
            <w:shd w:val="clear" w:color="000000" w:fill="FFFFFF"/>
            <w:vAlign w:val="center"/>
            <w:hideMark/>
          </w:tcPr>
          <w:p w14:paraId="3EDB193F" w14:textId="77777777" w:rsidR="00372F91" w:rsidRPr="00243C46" w:rsidRDefault="00372F91" w:rsidP="004A0048">
            <w:pPr>
              <w:pStyle w:val="ExhibitText"/>
              <w:jc w:val="right"/>
              <w:rPr>
                <w:bCs/>
                <w:sz w:val="18"/>
                <w:szCs w:val="18"/>
                <w:lang w:val="en-GB"/>
              </w:rPr>
            </w:pPr>
            <w:r w:rsidRPr="00243C46">
              <w:rPr>
                <w:bCs/>
                <w:sz w:val="18"/>
                <w:szCs w:val="18"/>
                <w:lang w:val="en-GB"/>
              </w:rPr>
              <w:t>3.4</w:t>
            </w:r>
          </w:p>
        </w:tc>
        <w:tc>
          <w:tcPr>
            <w:tcW w:w="990" w:type="dxa"/>
            <w:shd w:val="clear" w:color="000000" w:fill="FFFFFF"/>
            <w:vAlign w:val="center"/>
            <w:hideMark/>
          </w:tcPr>
          <w:p w14:paraId="7664542F" w14:textId="77777777" w:rsidR="00372F91" w:rsidRPr="00243C46" w:rsidRDefault="00372F91" w:rsidP="004A0048">
            <w:pPr>
              <w:pStyle w:val="ExhibitText"/>
              <w:jc w:val="right"/>
              <w:rPr>
                <w:bCs/>
                <w:sz w:val="18"/>
                <w:szCs w:val="18"/>
                <w:lang w:val="en-GB"/>
              </w:rPr>
            </w:pPr>
            <w:r w:rsidRPr="00243C46">
              <w:rPr>
                <w:bCs/>
                <w:sz w:val="18"/>
                <w:szCs w:val="18"/>
                <w:lang w:val="en-GB"/>
              </w:rPr>
              <w:t>3.2</w:t>
            </w:r>
          </w:p>
        </w:tc>
        <w:tc>
          <w:tcPr>
            <w:tcW w:w="900" w:type="dxa"/>
            <w:shd w:val="clear" w:color="000000" w:fill="FFFFFF"/>
            <w:vAlign w:val="center"/>
            <w:hideMark/>
          </w:tcPr>
          <w:p w14:paraId="01FE882A" w14:textId="77777777" w:rsidR="00372F91" w:rsidRPr="00243C46" w:rsidRDefault="00372F91" w:rsidP="004A0048">
            <w:pPr>
              <w:pStyle w:val="ExhibitText"/>
              <w:jc w:val="right"/>
              <w:rPr>
                <w:bCs/>
                <w:sz w:val="18"/>
                <w:szCs w:val="18"/>
                <w:lang w:val="en-GB"/>
              </w:rPr>
            </w:pPr>
            <w:r w:rsidRPr="00243C46">
              <w:rPr>
                <w:bCs/>
                <w:sz w:val="18"/>
                <w:szCs w:val="18"/>
                <w:lang w:val="en-GB"/>
              </w:rPr>
              <w:t>2.9</w:t>
            </w:r>
          </w:p>
        </w:tc>
        <w:tc>
          <w:tcPr>
            <w:tcW w:w="900" w:type="dxa"/>
            <w:shd w:val="clear" w:color="000000" w:fill="FFFFFF"/>
            <w:vAlign w:val="center"/>
            <w:hideMark/>
          </w:tcPr>
          <w:p w14:paraId="1CBA54C1" w14:textId="77777777" w:rsidR="00372F91" w:rsidRPr="00243C46" w:rsidRDefault="00372F91" w:rsidP="004A0048">
            <w:pPr>
              <w:pStyle w:val="ExhibitText"/>
              <w:jc w:val="right"/>
              <w:rPr>
                <w:bCs/>
                <w:sz w:val="18"/>
                <w:szCs w:val="18"/>
                <w:lang w:val="en-GB"/>
              </w:rPr>
            </w:pPr>
            <w:r w:rsidRPr="00243C46">
              <w:rPr>
                <w:bCs/>
                <w:sz w:val="18"/>
                <w:szCs w:val="18"/>
                <w:lang w:val="en-GB"/>
              </w:rPr>
              <w:t>2.5</w:t>
            </w:r>
          </w:p>
        </w:tc>
        <w:tc>
          <w:tcPr>
            <w:tcW w:w="900" w:type="dxa"/>
            <w:shd w:val="clear" w:color="000000" w:fill="FFFFFF"/>
            <w:vAlign w:val="center"/>
            <w:hideMark/>
          </w:tcPr>
          <w:p w14:paraId="33522B03" w14:textId="77777777" w:rsidR="00372F91" w:rsidRPr="00243C46" w:rsidRDefault="00372F91" w:rsidP="004A0048">
            <w:pPr>
              <w:pStyle w:val="ExhibitText"/>
              <w:jc w:val="right"/>
              <w:rPr>
                <w:bCs/>
                <w:sz w:val="18"/>
                <w:szCs w:val="18"/>
                <w:lang w:val="en-GB"/>
              </w:rPr>
            </w:pPr>
            <w:r w:rsidRPr="00243C46">
              <w:rPr>
                <w:bCs/>
                <w:sz w:val="18"/>
                <w:szCs w:val="18"/>
                <w:lang w:val="en-GB"/>
              </w:rPr>
              <w:t>2.4</w:t>
            </w:r>
          </w:p>
        </w:tc>
        <w:tc>
          <w:tcPr>
            <w:tcW w:w="990" w:type="dxa"/>
            <w:shd w:val="clear" w:color="000000" w:fill="FFFFFF"/>
            <w:vAlign w:val="center"/>
            <w:hideMark/>
          </w:tcPr>
          <w:p w14:paraId="7248D3B9" w14:textId="77777777" w:rsidR="00372F91" w:rsidRPr="00243C46" w:rsidRDefault="00372F91" w:rsidP="004A0048">
            <w:pPr>
              <w:pStyle w:val="ExhibitText"/>
              <w:jc w:val="right"/>
              <w:rPr>
                <w:bCs/>
                <w:sz w:val="18"/>
                <w:szCs w:val="18"/>
                <w:lang w:val="en-GB"/>
              </w:rPr>
            </w:pPr>
            <w:r w:rsidRPr="00243C46">
              <w:rPr>
                <w:bCs/>
                <w:sz w:val="18"/>
                <w:szCs w:val="18"/>
                <w:lang w:val="en-GB"/>
              </w:rPr>
              <w:t>2.4</w:t>
            </w:r>
          </w:p>
        </w:tc>
        <w:tc>
          <w:tcPr>
            <w:tcW w:w="806" w:type="dxa"/>
            <w:shd w:val="clear" w:color="000000" w:fill="FFFFFF"/>
            <w:vAlign w:val="center"/>
            <w:hideMark/>
          </w:tcPr>
          <w:p w14:paraId="6EEF64E7" w14:textId="77777777" w:rsidR="00372F91" w:rsidRPr="00243C46" w:rsidRDefault="00372F91" w:rsidP="004A0048">
            <w:pPr>
              <w:pStyle w:val="ExhibitText"/>
              <w:jc w:val="right"/>
              <w:rPr>
                <w:bCs/>
                <w:sz w:val="18"/>
                <w:szCs w:val="18"/>
                <w:lang w:val="en-GB"/>
              </w:rPr>
            </w:pPr>
            <w:r w:rsidRPr="00243C46">
              <w:rPr>
                <w:bCs/>
                <w:sz w:val="18"/>
                <w:szCs w:val="18"/>
                <w:lang w:val="en-GB"/>
              </w:rPr>
              <w:t>10%</w:t>
            </w:r>
          </w:p>
        </w:tc>
      </w:tr>
      <w:tr w:rsidR="00C60108" w:rsidRPr="00243C46" w14:paraId="185FCCD4" w14:textId="77777777" w:rsidTr="00636F13">
        <w:trPr>
          <w:trHeight w:val="171"/>
        </w:trPr>
        <w:tc>
          <w:tcPr>
            <w:tcW w:w="2875" w:type="dxa"/>
            <w:shd w:val="clear" w:color="000000" w:fill="FFFFFF"/>
            <w:vAlign w:val="center"/>
            <w:hideMark/>
          </w:tcPr>
          <w:p w14:paraId="7DCF75B2" w14:textId="413AD419" w:rsidR="00372F91" w:rsidRPr="00243C46" w:rsidRDefault="00372F91" w:rsidP="00636F13">
            <w:pPr>
              <w:pStyle w:val="ExhibitText"/>
              <w:jc w:val="left"/>
              <w:rPr>
                <w:sz w:val="18"/>
                <w:szCs w:val="18"/>
                <w:lang w:val="en-GB"/>
              </w:rPr>
            </w:pPr>
            <w:r w:rsidRPr="00243C46">
              <w:rPr>
                <w:sz w:val="18"/>
                <w:szCs w:val="18"/>
                <w:lang w:val="en-GB"/>
              </w:rPr>
              <w:t>Cash</w:t>
            </w:r>
            <w:r w:rsidR="0000002D" w:rsidRPr="00243C46">
              <w:rPr>
                <w:sz w:val="18"/>
                <w:szCs w:val="18"/>
                <w:lang w:val="en-GB"/>
              </w:rPr>
              <w:t xml:space="preserve"> </w:t>
            </w:r>
            <w:r w:rsidR="00A26C7E" w:rsidRPr="00243C46">
              <w:rPr>
                <w:sz w:val="18"/>
                <w:szCs w:val="18"/>
                <w:lang w:val="en-GB"/>
              </w:rPr>
              <w:t>Flow</w:t>
            </w:r>
          </w:p>
        </w:tc>
        <w:tc>
          <w:tcPr>
            <w:tcW w:w="990" w:type="dxa"/>
            <w:shd w:val="clear" w:color="000000" w:fill="FFFFFF"/>
            <w:vAlign w:val="center"/>
            <w:hideMark/>
          </w:tcPr>
          <w:p w14:paraId="1AE33BA8" w14:textId="77777777" w:rsidR="00372F91" w:rsidRPr="00243C46" w:rsidRDefault="00372F91" w:rsidP="004A0048">
            <w:pPr>
              <w:pStyle w:val="ExhibitText"/>
              <w:jc w:val="right"/>
              <w:rPr>
                <w:bCs/>
                <w:sz w:val="18"/>
                <w:szCs w:val="18"/>
                <w:lang w:val="en-GB"/>
              </w:rPr>
            </w:pPr>
            <w:r w:rsidRPr="00243C46">
              <w:rPr>
                <w:bCs/>
                <w:sz w:val="18"/>
                <w:szCs w:val="18"/>
                <w:lang w:val="en-GB"/>
              </w:rPr>
              <w:t>4.4</w:t>
            </w:r>
          </w:p>
        </w:tc>
        <w:tc>
          <w:tcPr>
            <w:tcW w:w="990" w:type="dxa"/>
            <w:shd w:val="clear" w:color="000000" w:fill="FFFFFF"/>
            <w:vAlign w:val="center"/>
            <w:hideMark/>
          </w:tcPr>
          <w:p w14:paraId="1A74579A" w14:textId="77777777" w:rsidR="00372F91" w:rsidRPr="00243C46" w:rsidRDefault="00372F91" w:rsidP="004A0048">
            <w:pPr>
              <w:pStyle w:val="ExhibitText"/>
              <w:jc w:val="right"/>
              <w:rPr>
                <w:bCs/>
                <w:sz w:val="18"/>
                <w:szCs w:val="18"/>
                <w:lang w:val="en-GB"/>
              </w:rPr>
            </w:pPr>
            <w:r w:rsidRPr="00243C46">
              <w:rPr>
                <w:bCs/>
                <w:sz w:val="18"/>
                <w:szCs w:val="18"/>
                <w:lang w:val="en-GB"/>
              </w:rPr>
              <w:t>4.4</w:t>
            </w:r>
          </w:p>
        </w:tc>
        <w:tc>
          <w:tcPr>
            <w:tcW w:w="900" w:type="dxa"/>
            <w:shd w:val="clear" w:color="000000" w:fill="FFFFFF"/>
            <w:vAlign w:val="center"/>
            <w:hideMark/>
          </w:tcPr>
          <w:p w14:paraId="7C5171EE" w14:textId="77777777" w:rsidR="00372F91" w:rsidRPr="00243C46" w:rsidRDefault="00372F91" w:rsidP="004A0048">
            <w:pPr>
              <w:pStyle w:val="ExhibitText"/>
              <w:jc w:val="right"/>
              <w:rPr>
                <w:bCs/>
                <w:sz w:val="18"/>
                <w:szCs w:val="18"/>
                <w:lang w:val="en-GB"/>
              </w:rPr>
            </w:pPr>
            <w:r w:rsidRPr="00243C46">
              <w:rPr>
                <w:bCs/>
                <w:sz w:val="18"/>
                <w:szCs w:val="18"/>
                <w:lang w:val="en-GB"/>
              </w:rPr>
              <w:t>3.9</w:t>
            </w:r>
          </w:p>
        </w:tc>
        <w:tc>
          <w:tcPr>
            <w:tcW w:w="900" w:type="dxa"/>
            <w:shd w:val="clear" w:color="000000" w:fill="FFFFFF"/>
            <w:vAlign w:val="center"/>
            <w:hideMark/>
          </w:tcPr>
          <w:p w14:paraId="5B8CA022" w14:textId="77777777" w:rsidR="00372F91" w:rsidRPr="00243C46" w:rsidRDefault="00372F91" w:rsidP="004A0048">
            <w:pPr>
              <w:pStyle w:val="ExhibitText"/>
              <w:jc w:val="right"/>
              <w:rPr>
                <w:bCs/>
                <w:sz w:val="18"/>
                <w:szCs w:val="18"/>
                <w:lang w:val="en-GB"/>
              </w:rPr>
            </w:pPr>
            <w:r w:rsidRPr="00243C46">
              <w:rPr>
                <w:bCs/>
                <w:sz w:val="18"/>
                <w:szCs w:val="18"/>
                <w:lang w:val="en-GB"/>
              </w:rPr>
              <w:t>3.4</w:t>
            </w:r>
          </w:p>
        </w:tc>
        <w:tc>
          <w:tcPr>
            <w:tcW w:w="900" w:type="dxa"/>
            <w:shd w:val="clear" w:color="000000" w:fill="FFFFFF"/>
            <w:vAlign w:val="center"/>
            <w:hideMark/>
          </w:tcPr>
          <w:p w14:paraId="3CE82F1D" w14:textId="77777777" w:rsidR="00372F91" w:rsidRPr="00243C46" w:rsidRDefault="00372F91" w:rsidP="004A0048">
            <w:pPr>
              <w:pStyle w:val="ExhibitText"/>
              <w:jc w:val="right"/>
              <w:rPr>
                <w:bCs/>
                <w:sz w:val="18"/>
                <w:szCs w:val="18"/>
                <w:lang w:val="en-GB"/>
              </w:rPr>
            </w:pPr>
            <w:r w:rsidRPr="00243C46">
              <w:rPr>
                <w:bCs/>
                <w:sz w:val="18"/>
                <w:szCs w:val="18"/>
                <w:lang w:val="en-GB"/>
              </w:rPr>
              <w:t>3.2</w:t>
            </w:r>
          </w:p>
        </w:tc>
        <w:tc>
          <w:tcPr>
            <w:tcW w:w="990" w:type="dxa"/>
            <w:shd w:val="clear" w:color="000000" w:fill="FFFFFF"/>
            <w:vAlign w:val="center"/>
            <w:hideMark/>
          </w:tcPr>
          <w:p w14:paraId="3264418E" w14:textId="77777777" w:rsidR="00372F91" w:rsidRPr="00243C46" w:rsidRDefault="00372F91" w:rsidP="004A0048">
            <w:pPr>
              <w:pStyle w:val="ExhibitText"/>
              <w:jc w:val="right"/>
              <w:rPr>
                <w:bCs/>
                <w:sz w:val="18"/>
                <w:szCs w:val="18"/>
                <w:lang w:val="en-GB"/>
              </w:rPr>
            </w:pPr>
            <w:r w:rsidRPr="00243C46">
              <w:rPr>
                <w:bCs/>
                <w:sz w:val="18"/>
                <w:szCs w:val="18"/>
                <w:lang w:val="en-GB"/>
              </w:rPr>
              <w:t>3.2</w:t>
            </w:r>
          </w:p>
        </w:tc>
        <w:tc>
          <w:tcPr>
            <w:tcW w:w="806" w:type="dxa"/>
            <w:shd w:val="clear" w:color="000000" w:fill="FFFFFF"/>
            <w:vAlign w:val="center"/>
            <w:hideMark/>
          </w:tcPr>
          <w:p w14:paraId="4B33AC24"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r w:rsidR="00C60108" w:rsidRPr="00243C46" w14:paraId="7165070B" w14:textId="77777777" w:rsidTr="00636F13">
        <w:trPr>
          <w:trHeight w:val="135"/>
        </w:trPr>
        <w:tc>
          <w:tcPr>
            <w:tcW w:w="2875" w:type="dxa"/>
            <w:shd w:val="clear" w:color="000000" w:fill="FFFFFF"/>
            <w:noWrap/>
            <w:vAlign w:val="center"/>
            <w:hideMark/>
          </w:tcPr>
          <w:p w14:paraId="2E419C23" w14:textId="3A19C8C9" w:rsidR="00372F91" w:rsidRPr="00243C46" w:rsidRDefault="00372F91" w:rsidP="00636F13">
            <w:pPr>
              <w:pStyle w:val="ExhibitText"/>
              <w:jc w:val="left"/>
              <w:rPr>
                <w:b/>
                <w:bCs/>
                <w:sz w:val="18"/>
                <w:szCs w:val="18"/>
                <w:lang w:val="en-GB"/>
              </w:rPr>
            </w:pPr>
            <w:r w:rsidRPr="00243C46">
              <w:rPr>
                <w:b/>
                <w:bCs/>
                <w:sz w:val="18"/>
                <w:szCs w:val="18"/>
                <w:lang w:val="en-GB"/>
              </w:rPr>
              <w:t xml:space="preserve">Financial </w:t>
            </w:r>
            <w:r w:rsidR="00A26C7E" w:rsidRPr="00243C46">
              <w:rPr>
                <w:b/>
                <w:bCs/>
                <w:sz w:val="18"/>
                <w:szCs w:val="18"/>
                <w:lang w:val="en-GB"/>
              </w:rPr>
              <w:t>Structure</w:t>
            </w:r>
          </w:p>
        </w:tc>
        <w:tc>
          <w:tcPr>
            <w:tcW w:w="990" w:type="dxa"/>
            <w:shd w:val="clear" w:color="000000" w:fill="FFFFFF"/>
            <w:noWrap/>
            <w:vAlign w:val="center"/>
            <w:hideMark/>
          </w:tcPr>
          <w:p w14:paraId="260FAA42"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42035AA7"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15B986BF"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09730B35"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1D819E1D"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109B784F"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806" w:type="dxa"/>
            <w:shd w:val="clear" w:color="000000" w:fill="FFFFFF"/>
            <w:noWrap/>
            <w:vAlign w:val="bottom"/>
            <w:hideMark/>
          </w:tcPr>
          <w:p w14:paraId="376323E6"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r w:rsidR="00C60108" w:rsidRPr="00243C46" w14:paraId="39DE8B53" w14:textId="77777777" w:rsidTr="00636F13">
        <w:trPr>
          <w:trHeight w:val="99"/>
        </w:trPr>
        <w:tc>
          <w:tcPr>
            <w:tcW w:w="2875" w:type="dxa"/>
            <w:shd w:val="clear" w:color="000000" w:fill="FFFFFF"/>
            <w:vAlign w:val="center"/>
            <w:hideMark/>
          </w:tcPr>
          <w:p w14:paraId="4BCC1EB1" w14:textId="36BCC969" w:rsidR="00372F91" w:rsidRPr="00243C46" w:rsidRDefault="00372F91" w:rsidP="00636F13">
            <w:pPr>
              <w:pStyle w:val="ExhibitText"/>
              <w:jc w:val="left"/>
              <w:rPr>
                <w:sz w:val="18"/>
                <w:szCs w:val="18"/>
                <w:lang w:val="en-GB"/>
              </w:rPr>
            </w:pPr>
            <w:r w:rsidRPr="00243C46">
              <w:rPr>
                <w:sz w:val="18"/>
                <w:szCs w:val="18"/>
                <w:lang w:val="en-GB"/>
              </w:rPr>
              <w:t xml:space="preserve">Group </w:t>
            </w:r>
            <w:r w:rsidR="00A26C7E" w:rsidRPr="00243C46">
              <w:rPr>
                <w:sz w:val="18"/>
                <w:szCs w:val="18"/>
                <w:lang w:val="en-GB"/>
              </w:rPr>
              <w:t>Equity</w:t>
            </w:r>
          </w:p>
        </w:tc>
        <w:tc>
          <w:tcPr>
            <w:tcW w:w="990" w:type="dxa"/>
            <w:shd w:val="clear" w:color="000000" w:fill="FFFFFF"/>
            <w:vAlign w:val="center"/>
            <w:hideMark/>
          </w:tcPr>
          <w:p w14:paraId="70C24324" w14:textId="77777777" w:rsidR="00372F91" w:rsidRPr="00243C46" w:rsidRDefault="00372F91" w:rsidP="004A0048">
            <w:pPr>
              <w:pStyle w:val="ExhibitText"/>
              <w:jc w:val="right"/>
              <w:rPr>
                <w:bCs/>
                <w:sz w:val="18"/>
                <w:szCs w:val="18"/>
                <w:lang w:val="en-GB"/>
              </w:rPr>
            </w:pPr>
            <w:r w:rsidRPr="00243C46">
              <w:rPr>
                <w:bCs/>
                <w:sz w:val="18"/>
                <w:szCs w:val="18"/>
                <w:lang w:val="en-GB"/>
              </w:rPr>
              <w:t>13.5</w:t>
            </w:r>
          </w:p>
        </w:tc>
        <w:tc>
          <w:tcPr>
            <w:tcW w:w="990" w:type="dxa"/>
            <w:shd w:val="clear" w:color="000000" w:fill="FFFFFF"/>
            <w:vAlign w:val="center"/>
            <w:hideMark/>
          </w:tcPr>
          <w:p w14:paraId="6796A9EC" w14:textId="77777777" w:rsidR="00372F91" w:rsidRPr="00243C46" w:rsidRDefault="00372F91" w:rsidP="004A0048">
            <w:pPr>
              <w:pStyle w:val="ExhibitText"/>
              <w:jc w:val="right"/>
              <w:rPr>
                <w:bCs/>
                <w:sz w:val="18"/>
                <w:szCs w:val="18"/>
                <w:lang w:val="en-GB"/>
              </w:rPr>
            </w:pPr>
            <w:r w:rsidRPr="00243C46">
              <w:rPr>
                <w:bCs/>
                <w:sz w:val="18"/>
                <w:szCs w:val="18"/>
                <w:lang w:val="en-GB"/>
              </w:rPr>
              <w:t>12.7</w:t>
            </w:r>
          </w:p>
        </w:tc>
        <w:tc>
          <w:tcPr>
            <w:tcW w:w="900" w:type="dxa"/>
            <w:shd w:val="clear" w:color="000000" w:fill="FFFFFF"/>
            <w:vAlign w:val="center"/>
            <w:hideMark/>
          </w:tcPr>
          <w:p w14:paraId="1A01A7AA" w14:textId="77777777" w:rsidR="00372F91" w:rsidRPr="00243C46" w:rsidRDefault="00372F91" w:rsidP="004A0048">
            <w:pPr>
              <w:pStyle w:val="ExhibitText"/>
              <w:jc w:val="right"/>
              <w:rPr>
                <w:bCs/>
                <w:sz w:val="18"/>
                <w:szCs w:val="18"/>
                <w:lang w:val="en-GB"/>
              </w:rPr>
            </w:pPr>
            <w:r w:rsidRPr="00243C46">
              <w:rPr>
                <w:bCs/>
                <w:sz w:val="18"/>
                <w:szCs w:val="18"/>
                <w:lang w:val="en-GB"/>
              </w:rPr>
              <w:t>11.4</w:t>
            </w:r>
          </w:p>
        </w:tc>
        <w:tc>
          <w:tcPr>
            <w:tcW w:w="900" w:type="dxa"/>
            <w:shd w:val="clear" w:color="000000" w:fill="FFFFFF"/>
            <w:vAlign w:val="center"/>
            <w:hideMark/>
          </w:tcPr>
          <w:p w14:paraId="4C89F1EF" w14:textId="77777777" w:rsidR="00372F91" w:rsidRPr="00243C46" w:rsidRDefault="00372F91" w:rsidP="004A0048">
            <w:pPr>
              <w:pStyle w:val="ExhibitText"/>
              <w:jc w:val="right"/>
              <w:rPr>
                <w:bCs/>
                <w:sz w:val="18"/>
                <w:szCs w:val="18"/>
                <w:lang w:val="en-GB"/>
              </w:rPr>
            </w:pPr>
            <w:r w:rsidRPr="00243C46">
              <w:rPr>
                <w:bCs/>
                <w:sz w:val="18"/>
                <w:szCs w:val="18"/>
                <w:lang w:val="en-GB"/>
              </w:rPr>
              <w:t>10.4</w:t>
            </w:r>
          </w:p>
        </w:tc>
        <w:tc>
          <w:tcPr>
            <w:tcW w:w="900" w:type="dxa"/>
            <w:shd w:val="clear" w:color="000000" w:fill="FFFFFF"/>
            <w:vAlign w:val="center"/>
            <w:hideMark/>
          </w:tcPr>
          <w:p w14:paraId="63133B1C" w14:textId="77777777" w:rsidR="00372F91" w:rsidRPr="00243C46" w:rsidRDefault="00372F91" w:rsidP="004A0048">
            <w:pPr>
              <w:pStyle w:val="ExhibitText"/>
              <w:jc w:val="right"/>
              <w:rPr>
                <w:bCs/>
                <w:sz w:val="18"/>
                <w:szCs w:val="18"/>
                <w:lang w:val="en-GB"/>
              </w:rPr>
            </w:pPr>
            <w:r w:rsidRPr="00243C46">
              <w:rPr>
                <w:bCs/>
                <w:sz w:val="18"/>
                <w:szCs w:val="18"/>
                <w:lang w:val="en-GB"/>
              </w:rPr>
              <w:t>9.2</w:t>
            </w:r>
          </w:p>
        </w:tc>
        <w:tc>
          <w:tcPr>
            <w:tcW w:w="990" w:type="dxa"/>
            <w:shd w:val="clear" w:color="000000" w:fill="FFFFFF"/>
            <w:vAlign w:val="center"/>
            <w:hideMark/>
          </w:tcPr>
          <w:p w14:paraId="73CF807A" w14:textId="77777777" w:rsidR="00372F91" w:rsidRPr="00243C46" w:rsidRDefault="00372F91" w:rsidP="004A0048">
            <w:pPr>
              <w:pStyle w:val="ExhibitText"/>
              <w:jc w:val="right"/>
              <w:rPr>
                <w:bCs/>
                <w:sz w:val="18"/>
                <w:szCs w:val="18"/>
                <w:lang w:val="en-GB"/>
              </w:rPr>
            </w:pPr>
            <w:r w:rsidRPr="00243C46">
              <w:rPr>
                <w:bCs/>
                <w:sz w:val="18"/>
                <w:szCs w:val="18"/>
                <w:lang w:val="en-GB"/>
              </w:rPr>
              <w:t>8.4</w:t>
            </w:r>
          </w:p>
        </w:tc>
        <w:tc>
          <w:tcPr>
            <w:tcW w:w="806" w:type="dxa"/>
            <w:shd w:val="clear" w:color="000000" w:fill="FFFFFF"/>
            <w:vAlign w:val="center"/>
            <w:hideMark/>
          </w:tcPr>
          <w:p w14:paraId="7A80CA51" w14:textId="77777777" w:rsidR="00372F91" w:rsidRPr="00243C46" w:rsidRDefault="00372F91" w:rsidP="004A0048">
            <w:pPr>
              <w:pStyle w:val="ExhibitText"/>
              <w:jc w:val="right"/>
              <w:rPr>
                <w:bCs/>
                <w:sz w:val="18"/>
                <w:szCs w:val="18"/>
                <w:lang w:val="en-GB"/>
              </w:rPr>
            </w:pPr>
            <w:r w:rsidRPr="00243C46">
              <w:rPr>
                <w:bCs/>
                <w:sz w:val="18"/>
                <w:szCs w:val="18"/>
                <w:lang w:val="en-GB"/>
              </w:rPr>
              <w:t>11%</w:t>
            </w:r>
          </w:p>
        </w:tc>
      </w:tr>
      <w:tr w:rsidR="00C60108" w:rsidRPr="00243C46" w14:paraId="1FB2166C" w14:textId="77777777" w:rsidTr="00636F13">
        <w:trPr>
          <w:trHeight w:val="144"/>
        </w:trPr>
        <w:tc>
          <w:tcPr>
            <w:tcW w:w="2875" w:type="dxa"/>
            <w:shd w:val="clear" w:color="000000" w:fill="FFFFFF"/>
            <w:vAlign w:val="center"/>
            <w:hideMark/>
          </w:tcPr>
          <w:p w14:paraId="2993B968" w14:textId="0F45F924" w:rsidR="00372F91" w:rsidRPr="00243C46" w:rsidRDefault="00372F91" w:rsidP="00636F13">
            <w:pPr>
              <w:pStyle w:val="ExhibitText"/>
              <w:jc w:val="left"/>
              <w:rPr>
                <w:sz w:val="18"/>
                <w:szCs w:val="18"/>
                <w:lang w:val="en-GB"/>
              </w:rPr>
            </w:pPr>
            <w:r w:rsidRPr="00243C46">
              <w:rPr>
                <w:sz w:val="18"/>
                <w:szCs w:val="18"/>
                <w:lang w:val="en-GB"/>
              </w:rPr>
              <w:t xml:space="preserve">Net </w:t>
            </w:r>
            <w:r w:rsidR="00A26C7E" w:rsidRPr="00243C46">
              <w:rPr>
                <w:sz w:val="18"/>
                <w:szCs w:val="18"/>
                <w:lang w:val="en-GB"/>
              </w:rPr>
              <w:t>Financial Debt (Cash)</w:t>
            </w:r>
          </w:p>
        </w:tc>
        <w:tc>
          <w:tcPr>
            <w:tcW w:w="990" w:type="dxa"/>
            <w:shd w:val="clear" w:color="000000" w:fill="FFFFFF"/>
            <w:vAlign w:val="center"/>
            <w:hideMark/>
          </w:tcPr>
          <w:p w14:paraId="233CA4D9" w14:textId="41A2EB83" w:rsidR="00372F91" w:rsidRPr="00243C46" w:rsidRDefault="0000002D" w:rsidP="004A0048">
            <w:pPr>
              <w:pStyle w:val="ExhibitText"/>
              <w:jc w:val="right"/>
              <w:rPr>
                <w:bCs/>
                <w:sz w:val="18"/>
                <w:szCs w:val="18"/>
                <w:lang w:val="en-GB"/>
              </w:rPr>
            </w:pPr>
            <w:r w:rsidRPr="00243C46">
              <w:rPr>
                <w:bCs/>
                <w:sz w:val="18"/>
                <w:szCs w:val="18"/>
                <w:lang w:val="en-GB"/>
              </w:rPr>
              <w:t>−</w:t>
            </w:r>
            <w:r w:rsidR="00372F91" w:rsidRPr="00243C46">
              <w:rPr>
                <w:bCs/>
                <w:sz w:val="18"/>
                <w:szCs w:val="18"/>
                <w:lang w:val="en-GB"/>
              </w:rPr>
              <w:t>6.4</w:t>
            </w:r>
          </w:p>
        </w:tc>
        <w:tc>
          <w:tcPr>
            <w:tcW w:w="990" w:type="dxa"/>
            <w:shd w:val="clear" w:color="000000" w:fill="FFFFFF"/>
            <w:vAlign w:val="center"/>
            <w:hideMark/>
          </w:tcPr>
          <w:p w14:paraId="688CD90B" w14:textId="2231E5D2" w:rsidR="00372F91" w:rsidRPr="00243C46" w:rsidRDefault="0000002D" w:rsidP="004A0048">
            <w:pPr>
              <w:pStyle w:val="ExhibitText"/>
              <w:jc w:val="right"/>
              <w:rPr>
                <w:bCs/>
                <w:sz w:val="18"/>
                <w:szCs w:val="18"/>
                <w:lang w:val="en-GB"/>
              </w:rPr>
            </w:pPr>
            <w:r w:rsidRPr="00243C46">
              <w:rPr>
                <w:bCs/>
                <w:sz w:val="18"/>
                <w:szCs w:val="18"/>
                <w:lang w:val="en-GB"/>
              </w:rPr>
              <w:t>−</w:t>
            </w:r>
            <w:r w:rsidR="00372F91" w:rsidRPr="00243C46">
              <w:rPr>
                <w:bCs/>
                <w:sz w:val="18"/>
                <w:szCs w:val="18"/>
                <w:lang w:val="en-GB"/>
              </w:rPr>
              <w:t>6.1</w:t>
            </w:r>
          </w:p>
        </w:tc>
        <w:tc>
          <w:tcPr>
            <w:tcW w:w="900" w:type="dxa"/>
            <w:shd w:val="clear" w:color="000000" w:fill="FFFFFF"/>
            <w:vAlign w:val="center"/>
            <w:hideMark/>
          </w:tcPr>
          <w:p w14:paraId="7E6F6E62" w14:textId="6F4A6BF9" w:rsidR="00372F91" w:rsidRPr="00243C46" w:rsidRDefault="0000002D" w:rsidP="004A0048">
            <w:pPr>
              <w:pStyle w:val="ExhibitText"/>
              <w:jc w:val="right"/>
              <w:rPr>
                <w:bCs/>
                <w:sz w:val="18"/>
                <w:szCs w:val="18"/>
                <w:lang w:val="en-GB"/>
              </w:rPr>
            </w:pPr>
            <w:r w:rsidRPr="00243C46">
              <w:rPr>
                <w:bCs/>
                <w:sz w:val="18"/>
                <w:szCs w:val="18"/>
                <w:lang w:val="en-GB"/>
              </w:rPr>
              <w:t>−</w:t>
            </w:r>
            <w:r w:rsidR="00372F91" w:rsidRPr="00243C46">
              <w:rPr>
                <w:bCs/>
                <w:sz w:val="18"/>
                <w:szCs w:val="18"/>
                <w:lang w:val="en-GB"/>
              </w:rPr>
              <w:t>5.3</w:t>
            </w:r>
          </w:p>
        </w:tc>
        <w:tc>
          <w:tcPr>
            <w:tcW w:w="900" w:type="dxa"/>
            <w:shd w:val="clear" w:color="000000" w:fill="FFFFFF"/>
            <w:vAlign w:val="center"/>
            <w:hideMark/>
          </w:tcPr>
          <w:p w14:paraId="13EA9B51" w14:textId="151D22A0" w:rsidR="00372F91" w:rsidRPr="00243C46" w:rsidRDefault="0000002D" w:rsidP="004A0048">
            <w:pPr>
              <w:pStyle w:val="ExhibitText"/>
              <w:jc w:val="right"/>
              <w:rPr>
                <w:bCs/>
                <w:sz w:val="18"/>
                <w:szCs w:val="18"/>
                <w:lang w:val="en-GB"/>
              </w:rPr>
            </w:pPr>
            <w:r w:rsidRPr="00243C46">
              <w:rPr>
                <w:bCs/>
                <w:sz w:val="18"/>
                <w:szCs w:val="18"/>
                <w:lang w:val="en-GB"/>
              </w:rPr>
              <w:t>−</w:t>
            </w:r>
            <w:r w:rsidR="00372F91" w:rsidRPr="00243C46">
              <w:rPr>
                <w:bCs/>
                <w:sz w:val="18"/>
                <w:szCs w:val="18"/>
                <w:lang w:val="en-GB"/>
              </w:rPr>
              <w:t>4.0</w:t>
            </w:r>
          </w:p>
        </w:tc>
        <w:tc>
          <w:tcPr>
            <w:tcW w:w="900" w:type="dxa"/>
            <w:shd w:val="clear" w:color="000000" w:fill="FFFFFF"/>
            <w:vAlign w:val="center"/>
            <w:hideMark/>
          </w:tcPr>
          <w:p w14:paraId="2A5533B1" w14:textId="19C60EA6" w:rsidR="00372F91" w:rsidRPr="00243C46" w:rsidRDefault="0000002D" w:rsidP="004A0048">
            <w:pPr>
              <w:pStyle w:val="ExhibitText"/>
              <w:jc w:val="right"/>
              <w:rPr>
                <w:bCs/>
                <w:sz w:val="18"/>
                <w:szCs w:val="18"/>
                <w:lang w:val="en-GB"/>
              </w:rPr>
            </w:pPr>
            <w:r w:rsidRPr="00243C46">
              <w:rPr>
                <w:bCs/>
                <w:sz w:val="18"/>
                <w:szCs w:val="18"/>
                <w:lang w:val="en-GB"/>
              </w:rPr>
              <w:t>−</w:t>
            </w:r>
            <w:r w:rsidR="00372F91" w:rsidRPr="00243C46">
              <w:rPr>
                <w:bCs/>
                <w:sz w:val="18"/>
                <w:szCs w:val="18"/>
                <w:lang w:val="en-GB"/>
              </w:rPr>
              <w:t>4.1</w:t>
            </w:r>
          </w:p>
        </w:tc>
        <w:tc>
          <w:tcPr>
            <w:tcW w:w="990" w:type="dxa"/>
            <w:shd w:val="clear" w:color="000000" w:fill="FFFFFF"/>
            <w:vAlign w:val="center"/>
            <w:hideMark/>
          </w:tcPr>
          <w:p w14:paraId="21ACC8CC" w14:textId="5E2CA476" w:rsidR="00372F91" w:rsidRPr="00243C46" w:rsidRDefault="0000002D" w:rsidP="004A0048">
            <w:pPr>
              <w:pStyle w:val="ExhibitText"/>
              <w:jc w:val="right"/>
              <w:rPr>
                <w:bCs/>
                <w:sz w:val="18"/>
                <w:szCs w:val="18"/>
                <w:lang w:val="en-GB"/>
              </w:rPr>
            </w:pPr>
            <w:r w:rsidRPr="00243C46">
              <w:rPr>
                <w:bCs/>
                <w:sz w:val="18"/>
                <w:szCs w:val="18"/>
                <w:lang w:val="en-GB"/>
              </w:rPr>
              <w:t>−</w:t>
            </w:r>
            <w:r w:rsidR="00372F91" w:rsidRPr="00243C46">
              <w:rPr>
                <w:bCs/>
                <w:sz w:val="18"/>
                <w:szCs w:val="18"/>
                <w:lang w:val="en-GB"/>
              </w:rPr>
              <w:t>4.1</w:t>
            </w:r>
          </w:p>
        </w:tc>
        <w:tc>
          <w:tcPr>
            <w:tcW w:w="806" w:type="dxa"/>
            <w:shd w:val="clear" w:color="000000" w:fill="FFFFFF"/>
            <w:vAlign w:val="center"/>
            <w:hideMark/>
          </w:tcPr>
          <w:p w14:paraId="7C9FF620" w14:textId="77777777" w:rsidR="00372F91" w:rsidRPr="00243C46" w:rsidRDefault="00372F91" w:rsidP="004A0048">
            <w:pPr>
              <w:pStyle w:val="ExhibitText"/>
              <w:jc w:val="right"/>
              <w:rPr>
                <w:bCs/>
                <w:sz w:val="18"/>
                <w:szCs w:val="18"/>
                <w:lang w:val="en-GB"/>
              </w:rPr>
            </w:pPr>
            <w:r w:rsidRPr="00243C46">
              <w:rPr>
                <w:bCs/>
                <w:sz w:val="18"/>
                <w:szCs w:val="18"/>
                <w:lang w:val="en-GB"/>
              </w:rPr>
              <w:t>12%</w:t>
            </w:r>
          </w:p>
        </w:tc>
      </w:tr>
      <w:tr w:rsidR="00C60108" w:rsidRPr="00243C46" w14:paraId="0BFB1244" w14:textId="77777777" w:rsidTr="00636F13">
        <w:trPr>
          <w:trHeight w:val="117"/>
        </w:trPr>
        <w:tc>
          <w:tcPr>
            <w:tcW w:w="2875" w:type="dxa"/>
            <w:shd w:val="clear" w:color="000000" w:fill="FFFFFF"/>
            <w:noWrap/>
            <w:vAlign w:val="center"/>
            <w:hideMark/>
          </w:tcPr>
          <w:p w14:paraId="0E12FD30" w14:textId="0E29F0D7" w:rsidR="00372F91" w:rsidRPr="00243C46" w:rsidRDefault="00372F91" w:rsidP="00636F13">
            <w:pPr>
              <w:pStyle w:val="ExhibitText"/>
              <w:jc w:val="left"/>
              <w:rPr>
                <w:b/>
                <w:bCs/>
                <w:sz w:val="18"/>
                <w:szCs w:val="18"/>
                <w:lang w:val="en-GB"/>
              </w:rPr>
            </w:pPr>
            <w:r w:rsidRPr="00243C46">
              <w:rPr>
                <w:b/>
                <w:bCs/>
                <w:sz w:val="18"/>
                <w:szCs w:val="18"/>
                <w:lang w:val="en-GB"/>
              </w:rPr>
              <w:t xml:space="preserve">Other </w:t>
            </w:r>
            <w:r w:rsidR="00A26C7E" w:rsidRPr="00243C46">
              <w:rPr>
                <w:b/>
                <w:bCs/>
                <w:sz w:val="18"/>
                <w:szCs w:val="18"/>
                <w:lang w:val="en-GB"/>
              </w:rPr>
              <w:t>Information</w:t>
            </w:r>
          </w:p>
        </w:tc>
        <w:tc>
          <w:tcPr>
            <w:tcW w:w="990" w:type="dxa"/>
            <w:shd w:val="clear" w:color="000000" w:fill="FFFFFF"/>
            <w:noWrap/>
            <w:vAlign w:val="center"/>
            <w:hideMark/>
          </w:tcPr>
          <w:p w14:paraId="0987C6A6"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38DC883A"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7F62DC34"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0EA6AD81"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00" w:type="dxa"/>
            <w:shd w:val="clear" w:color="000000" w:fill="FFFFFF"/>
            <w:noWrap/>
            <w:vAlign w:val="bottom"/>
            <w:hideMark/>
          </w:tcPr>
          <w:p w14:paraId="2B5AF605"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990" w:type="dxa"/>
            <w:shd w:val="clear" w:color="000000" w:fill="FFFFFF"/>
            <w:noWrap/>
            <w:vAlign w:val="bottom"/>
            <w:hideMark/>
          </w:tcPr>
          <w:p w14:paraId="5B9CF495"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c>
          <w:tcPr>
            <w:tcW w:w="806" w:type="dxa"/>
            <w:shd w:val="clear" w:color="000000" w:fill="FFFFFF"/>
            <w:noWrap/>
            <w:vAlign w:val="bottom"/>
            <w:hideMark/>
          </w:tcPr>
          <w:p w14:paraId="2F5FDF02"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r w:rsidR="00C60108" w:rsidRPr="00243C46" w14:paraId="5AB1A0D3" w14:textId="77777777" w:rsidTr="00636F13">
        <w:trPr>
          <w:trHeight w:val="81"/>
        </w:trPr>
        <w:tc>
          <w:tcPr>
            <w:tcW w:w="2875" w:type="dxa"/>
            <w:shd w:val="clear" w:color="000000" w:fill="FFFFFF"/>
            <w:vAlign w:val="center"/>
            <w:hideMark/>
          </w:tcPr>
          <w:p w14:paraId="39F87992" w14:textId="7C40933A" w:rsidR="00372F91" w:rsidRPr="00243C46" w:rsidRDefault="00372F91" w:rsidP="00636F13">
            <w:pPr>
              <w:pStyle w:val="ExhibitText"/>
              <w:jc w:val="left"/>
              <w:rPr>
                <w:sz w:val="18"/>
                <w:szCs w:val="18"/>
                <w:lang w:val="en-GB"/>
              </w:rPr>
            </w:pPr>
            <w:r w:rsidRPr="00243C46">
              <w:rPr>
                <w:sz w:val="18"/>
                <w:szCs w:val="18"/>
                <w:lang w:val="en-GB"/>
              </w:rPr>
              <w:t xml:space="preserve">Number </w:t>
            </w:r>
            <w:r w:rsidR="00F05AD0" w:rsidRPr="00243C46">
              <w:rPr>
                <w:sz w:val="18"/>
                <w:szCs w:val="18"/>
                <w:lang w:val="en-GB"/>
              </w:rPr>
              <w:t xml:space="preserve">of </w:t>
            </w:r>
            <w:r w:rsidR="00A26C7E" w:rsidRPr="00243C46">
              <w:rPr>
                <w:sz w:val="18"/>
                <w:szCs w:val="18"/>
                <w:lang w:val="en-GB"/>
              </w:rPr>
              <w:t>Stores</w:t>
            </w:r>
          </w:p>
        </w:tc>
        <w:tc>
          <w:tcPr>
            <w:tcW w:w="990" w:type="dxa"/>
            <w:shd w:val="clear" w:color="000000" w:fill="FFFFFF"/>
            <w:noWrap/>
            <w:vAlign w:val="center"/>
            <w:hideMark/>
          </w:tcPr>
          <w:p w14:paraId="0C5C98BB" w14:textId="77777777" w:rsidR="00372F91" w:rsidRPr="00243C46" w:rsidRDefault="00372F91" w:rsidP="004A0048">
            <w:pPr>
              <w:pStyle w:val="ExhibitText"/>
              <w:jc w:val="right"/>
              <w:rPr>
                <w:bCs/>
                <w:sz w:val="18"/>
                <w:szCs w:val="18"/>
                <w:lang w:val="en-GB"/>
              </w:rPr>
            </w:pPr>
            <w:r w:rsidRPr="00243C46">
              <w:rPr>
                <w:bCs/>
                <w:sz w:val="18"/>
                <w:szCs w:val="18"/>
                <w:lang w:val="en-GB"/>
              </w:rPr>
              <w:t>7,475</w:t>
            </w:r>
          </w:p>
        </w:tc>
        <w:tc>
          <w:tcPr>
            <w:tcW w:w="990" w:type="dxa"/>
            <w:shd w:val="clear" w:color="000000" w:fill="FFFFFF"/>
            <w:noWrap/>
            <w:vAlign w:val="center"/>
            <w:hideMark/>
          </w:tcPr>
          <w:p w14:paraId="575BE45F" w14:textId="77777777" w:rsidR="00372F91" w:rsidRPr="00243C46" w:rsidRDefault="00372F91" w:rsidP="004A0048">
            <w:pPr>
              <w:pStyle w:val="ExhibitText"/>
              <w:jc w:val="right"/>
              <w:rPr>
                <w:bCs/>
                <w:sz w:val="18"/>
                <w:szCs w:val="18"/>
                <w:lang w:val="en-GB"/>
              </w:rPr>
            </w:pPr>
            <w:r w:rsidRPr="00243C46">
              <w:rPr>
                <w:bCs/>
                <w:sz w:val="18"/>
                <w:szCs w:val="18"/>
                <w:lang w:val="en-GB"/>
              </w:rPr>
              <w:t>7,292</w:t>
            </w:r>
          </w:p>
        </w:tc>
        <w:tc>
          <w:tcPr>
            <w:tcW w:w="900" w:type="dxa"/>
            <w:shd w:val="clear" w:color="000000" w:fill="FFFFFF"/>
            <w:noWrap/>
            <w:vAlign w:val="center"/>
            <w:hideMark/>
          </w:tcPr>
          <w:p w14:paraId="7B54F151" w14:textId="77777777" w:rsidR="00372F91" w:rsidRPr="00243C46" w:rsidRDefault="00372F91" w:rsidP="004A0048">
            <w:pPr>
              <w:pStyle w:val="ExhibitText"/>
              <w:jc w:val="right"/>
              <w:rPr>
                <w:bCs/>
                <w:sz w:val="18"/>
                <w:szCs w:val="18"/>
                <w:lang w:val="en-GB"/>
              </w:rPr>
            </w:pPr>
            <w:r w:rsidRPr="00243C46">
              <w:rPr>
                <w:bCs/>
                <w:sz w:val="18"/>
                <w:szCs w:val="18"/>
                <w:lang w:val="en-GB"/>
              </w:rPr>
              <w:t>7,013</w:t>
            </w:r>
          </w:p>
        </w:tc>
        <w:tc>
          <w:tcPr>
            <w:tcW w:w="900" w:type="dxa"/>
            <w:shd w:val="clear" w:color="000000" w:fill="FFFFFF"/>
            <w:noWrap/>
            <w:vAlign w:val="center"/>
            <w:hideMark/>
          </w:tcPr>
          <w:p w14:paraId="04BAA458" w14:textId="77777777" w:rsidR="00372F91" w:rsidRPr="00243C46" w:rsidRDefault="00372F91" w:rsidP="004A0048">
            <w:pPr>
              <w:pStyle w:val="ExhibitText"/>
              <w:jc w:val="right"/>
              <w:rPr>
                <w:bCs/>
                <w:sz w:val="18"/>
                <w:szCs w:val="18"/>
                <w:lang w:val="en-GB"/>
              </w:rPr>
            </w:pPr>
            <w:r w:rsidRPr="00243C46">
              <w:rPr>
                <w:bCs/>
                <w:sz w:val="18"/>
                <w:szCs w:val="18"/>
                <w:lang w:val="en-GB"/>
              </w:rPr>
              <w:t>6,683</w:t>
            </w:r>
          </w:p>
        </w:tc>
        <w:tc>
          <w:tcPr>
            <w:tcW w:w="900" w:type="dxa"/>
            <w:shd w:val="clear" w:color="000000" w:fill="FFFFFF"/>
            <w:noWrap/>
            <w:vAlign w:val="center"/>
            <w:hideMark/>
          </w:tcPr>
          <w:p w14:paraId="073F7773" w14:textId="77777777" w:rsidR="00372F91" w:rsidRPr="00243C46" w:rsidRDefault="00372F91" w:rsidP="004A0048">
            <w:pPr>
              <w:pStyle w:val="ExhibitText"/>
              <w:jc w:val="right"/>
              <w:rPr>
                <w:bCs/>
                <w:sz w:val="18"/>
                <w:szCs w:val="18"/>
                <w:lang w:val="en-GB"/>
              </w:rPr>
            </w:pPr>
            <w:r w:rsidRPr="00243C46">
              <w:rPr>
                <w:bCs/>
                <w:sz w:val="18"/>
                <w:szCs w:val="18"/>
                <w:lang w:val="en-GB"/>
              </w:rPr>
              <w:t>6,340</w:t>
            </w:r>
          </w:p>
        </w:tc>
        <w:tc>
          <w:tcPr>
            <w:tcW w:w="990" w:type="dxa"/>
            <w:shd w:val="clear" w:color="000000" w:fill="FFFFFF"/>
            <w:noWrap/>
            <w:vAlign w:val="center"/>
            <w:hideMark/>
          </w:tcPr>
          <w:p w14:paraId="28D62216" w14:textId="77777777" w:rsidR="00372F91" w:rsidRPr="00243C46" w:rsidRDefault="00372F91" w:rsidP="004A0048">
            <w:pPr>
              <w:pStyle w:val="ExhibitText"/>
              <w:jc w:val="right"/>
              <w:rPr>
                <w:bCs/>
                <w:sz w:val="18"/>
                <w:szCs w:val="18"/>
                <w:lang w:val="en-GB"/>
              </w:rPr>
            </w:pPr>
            <w:r w:rsidRPr="00243C46">
              <w:rPr>
                <w:bCs/>
                <w:sz w:val="18"/>
                <w:szCs w:val="18"/>
                <w:lang w:val="en-GB"/>
              </w:rPr>
              <w:t>6,009</w:t>
            </w:r>
          </w:p>
        </w:tc>
        <w:tc>
          <w:tcPr>
            <w:tcW w:w="806" w:type="dxa"/>
            <w:shd w:val="clear" w:color="000000" w:fill="FFFFFF"/>
            <w:noWrap/>
            <w:vAlign w:val="center"/>
            <w:hideMark/>
          </w:tcPr>
          <w:p w14:paraId="39E67F62"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r w:rsidR="00C60108" w:rsidRPr="00243C46" w14:paraId="5A634EE7" w14:textId="77777777" w:rsidTr="00636F13">
        <w:trPr>
          <w:trHeight w:val="56"/>
        </w:trPr>
        <w:tc>
          <w:tcPr>
            <w:tcW w:w="2875" w:type="dxa"/>
            <w:shd w:val="clear" w:color="000000" w:fill="FFFFFF"/>
            <w:vAlign w:val="center"/>
            <w:hideMark/>
          </w:tcPr>
          <w:p w14:paraId="6B73B0C4" w14:textId="20125A6A" w:rsidR="00372F91" w:rsidRPr="00243C46" w:rsidRDefault="00A26C7E" w:rsidP="00636F13">
            <w:pPr>
              <w:pStyle w:val="ExhibitText"/>
              <w:jc w:val="left"/>
              <w:rPr>
                <w:sz w:val="18"/>
                <w:szCs w:val="18"/>
                <w:lang w:val="en-GB"/>
              </w:rPr>
            </w:pPr>
            <w:r w:rsidRPr="00243C46">
              <w:rPr>
                <w:sz w:val="18"/>
                <w:szCs w:val="18"/>
                <w:lang w:val="en-GB"/>
              </w:rPr>
              <w:t xml:space="preserve">In </w:t>
            </w:r>
            <w:r w:rsidR="00372F91" w:rsidRPr="00243C46">
              <w:rPr>
                <w:sz w:val="18"/>
                <w:szCs w:val="18"/>
                <w:lang w:val="en-GB"/>
              </w:rPr>
              <w:t>Spain</w:t>
            </w:r>
          </w:p>
        </w:tc>
        <w:tc>
          <w:tcPr>
            <w:tcW w:w="990" w:type="dxa"/>
            <w:shd w:val="clear" w:color="000000" w:fill="FFFFFF"/>
            <w:noWrap/>
            <w:vAlign w:val="center"/>
            <w:hideMark/>
          </w:tcPr>
          <w:p w14:paraId="5051418B" w14:textId="77777777" w:rsidR="00372F91" w:rsidRPr="00243C46" w:rsidRDefault="00372F91" w:rsidP="004A0048">
            <w:pPr>
              <w:pStyle w:val="ExhibitText"/>
              <w:jc w:val="right"/>
              <w:rPr>
                <w:bCs/>
                <w:sz w:val="18"/>
                <w:szCs w:val="18"/>
                <w:lang w:val="en-GB"/>
              </w:rPr>
            </w:pPr>
            <w:r w:rsidRPr="00243C46">
              <w:rPr>
                <w:bCs/>
                <w:sz w:val="18"/>
                <w:szCs w:val="18"/>
                <w:lang w:val="en-GB"/>
              </w:rPr>
              <w:t>1,688</w:t>
            </w:r>
          </w:p>
        </w:tc>
        <w:tc>
          <w:tcPr>
            <w:tcW w:w="990" w:type="dxa"/>
            <w:shd w:val="clear" w:color="000000" w:fill="FFFFFF"/>
            <w:vAlign w:val="center"/>
            <w:hideMark/>
          </w:tcPr>
          <w:p w14:paraId="584C5287" w14:textId="77777777" w:rsidR="00372F91" w:rsidRPr="00243C46" w:rsidRDefault="00372F91" w:rsidP="004A0048">
            <w:pPr>
              <w:pStyle w:val="ExhibitText"/>
              <w:jc w:val="right"/>
              <w:rPr>
                <w:bCs/>
                <w:sz w:val="18"/>
                <w:szCs w:val="18"/>
                <w:lang w:val="en-GB"/>
              </w:rPr>
            </w:pPr>
            <w:r w:rsidRPr="00243C46">
              <w:rPr>
                <w:bCs/>
                <w:sz w:val="18"/>
                <w:szCs w:val="18"/>
                <w:lang w:val="en-GB"/>
              </w:rPr>
              <w:t>1,787</w:t>
            </w:r>
          </w:p>
        </w:tc>
        <w:tc>
          <w:tcPr>
            <w:tcW w:w="900" w:type="dxa"/>
            <w:shd w:val="clear" w:color="000000" w:fill="FFFFFF"/>
            <w:vAlign w:val="center"/>
            <w:hideMark/>
          </w:tcPr>
          <w:p w14:paraId="0306E781" w14:textId="77777777" w:rsidR="00372F91" w:rsidRPr="00243C46" w:rsidRDefault="00372F91" w:rsidP="004A0048">
            <w:pPr>
              <w:pStyle w:val="ExhibitText"/>
              <w:jc w:val="right"/>
              <w:rPr>
                <w:bCs/>
                <w:sz w:val="18"/>
                <w:szCs w:val="18"/>
                <w:lang w:val="en-GB"/>
              </w:rPr>
            </w:pPr>
            <w:r w:rsidRPr="00243C46">
              <w:rPr>
                <w:bCs/>
                <w:sz w:val="18"/>
                <w:szCs w:val="18"/>
                <w:lang w:val="en-GB"/>
              </w:rPr>
              <w:t>1,826</w:t>
            </w:r>
          </w:p>
        </w:tc>
        <w:tc>
          <w:tcPr>
            <w:tcW w:w="900" w:type="dxa"/>
            <w:shd w:val="clear" w:color="000000" w:fill="FFFFFF"/>
            <w:vAlign w:val="center"/>
            <w:hideMark/>
          </w:tcPr>
          <w:p w14:paraId="3AEBE6E7" w14:textId="77777777" w:rsidR="00372F91" w:rsidRPr="00243C46" w:rsidRDefault="00372F91" w:rsidP="004A0048">
            <w:pPr>
              <w:pStyle w:val="ExhibitText"/>
              <w:jc w:val="right"/>
              <w:rPr>
                <w:bCs/>
                <w:sz w:val="18"/>
                <w:szCs w:val="18"/>
                <w:lang w:val="en-GB"/>
              </w:rPr>
            </w:pPr>
            <w:r w:rsidRPr="00243C46">
              <w:rPr>
                <w:bCs/>
                <w:sz w:val="18"/>
                <w:szCs w:val="18"/>
                <w:lang w:val="en-GB"/>
              </w:rPr>
              <w:t>1,822</w:t>
            </w:r>
          </w:p>
        </w:tc>
        <w:tc>
          <w:tcPr>
            <w:tcW w:w="900" w:type="dxa"/>
            <w:shd w:val="clear" w:color="000000" w:fill="FFFFFF"/>
            <w:vAlign w:val="center"/>
            <w:hideMark/>
          </w:tcPr>
          <w:p w14:paraId="0705F7C0" w14:textId="77777777" w:rsidR="00372F91" w:rsidRPr="00243C46" w:rsidRDefault="00372F91" w:rsidP="004A0048">
            <w:pPr>
              <w:pStyle w:val="ExhibitText"/>
              <w:jc w:val="right"/>
              <w:rPr>
                <w:bCs/>
                <w:sz w:val="18"/>
                <w:szCs w:val="18"/>
                <w:lang w:val="en-GB"/>
              </w:rPr>
            </w:pPr>
            <w:r w:rsidRPr="00243C46">
              <w:rPr>
                <w:bCs/>
                <w:sz w:val="18"/>
                <w:szCs w:val="18"/>
                <w:lang w:val="en-GB"/>
              </w:rPr>
              <w:t>1,858</w:t>
            </w:r>
          </w:p>
        </w:tc>
        <w:tc>
          <w:tcPr>
            <w:tcW w:w="990" w:type="dxa"/>
            <w:shd w:val="clear" w:color="000000" w:fill="FFFFFF"/>
            <w:vAlign w:val="center"/>
            <w:hideMark/>
          </w:tcPr>
          <w:p w14:paraId="0AFE4457" w14:textId="77777777" w:rsidR="00372F91" w:rsidRPr="00243C46" w:rsidRDefault="00372F91" w:rsidP="004A0048">
            <w:pPr>
              <w:pStyle w:val="ExhibitText"/>
              <w:jc w:val="right"/>
              <w:rPr>
                <w:bCs/>
                <w:sz w:val="18"/>
                <w:szCs w:val="18"/>
                <w:lang w:val="en-GB"/>
              </w:rPr>
            </w:pPr>
            <w:r w:rsidRPr="00243C46">
              <w:rPr>
                <w:bCs/>
                <w:sz w:val="18"/>
                <w:szCs w:val="18"/>
                <w:lang w:val="en-GB"/>
              </w:rPr>
              <w:t>1,930</w:t>
            </w:r>
          </w:p>
        </w:tc>
        <w:tc>
          <w:tcPr>
            <w:tcW w:w="806" w:type="dxa"/>
            <w:shd w:val="clear" w:color="000000" w:fill="FFFFFF"/>
            <w:vAlign w:val="center"/>
            <w:hideMark/>
          </w:tcPr>
          <w:p w14:paraId="57906AF0"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r w:rsidR="00C60108" w:rsidRPr="00243C46" w14:paraId="1A7AE70C" w14:textId="77777777" w:rsidTr="00636F13">
        <w:trPr>
          <w:trHeight w:val="56"/>
        </w:trPr>
        <w:tc>
          <w:tcPr>
            <w:tcW w:w="2875" w:type="dxa"/>
            <w:shd w:val="clear" w:color="000000" w:fill="FFFFFF"/>
            <w:vAlign w:val="center"/>
            <w:hideMark/>
          </w:tcPr>
          <w:p w14:paraId="2ED6EC54" w14:textId="71AE1882" w:rsidR="00372F91" w:rsidRPr="00243C46" w:rsidRDefault="0000002D" w:rsidP="00636F13">
            <w:pPr>
              <w:pStyle w:val="ExhibitText"/>
              <w:jc w:val="left"/>
              <w:rPr>
                <w:sz w:val="18"/>
                <w:szCs w:val="18"/>
                <w:lang w:val="en-GB"/>
              </w:rPr>
            </w:pPr>
            <w:r w:rsidRPr="00243C46">
              <w:rPr>
                <w:sz w:val="18"/>
                <w:szCs w:val="18"/>
                <w:lang w:val="en-GB"/>
              </w:rPr>
              <w:t>A</w:t>
            </w:r>
            <w:r w:rsidR="00372F91" w:rsidRPr="00243C46">
              <w:rPr>
                <w:sz w:val="18"/>
                <w:szCs w:val="18"/>
                <w:lang w:val="en-GB"/>
              </w:rPr>
              <w:t>broad</w:t>
            </w:r>
          </w:p>
        </w:tc>
        <w:tc>
          <w:tcPr>
            <w:tcW w:w="990" w:type="dxa"/>
            <w:shd w:val="clear" w:color="000000" w:fill="FFFFFF"/>
            <w:noWrap/>
            <w:vAlign w:val="center"/>
            <w:hideMark/>
          </w:tcPr>
          <w:p w14:paraId="06352863" w14:textId="77777777" w:rsidR="00372F91" w:rsidRPr="00243C46" w:rsidRDefault="00372F91" w:rsidP="004A0048">
            <w:pPr>
              <w:pStyle w:val="ExhibitText"/>
              <w:jc w:val="right"/>
              <w:rPr>
                <w:bCs/>
                <w:sz w:val="18"/>
                <w:szCs w:val="18"/>
                <w:lang w:val="en-GB"/>
              </w:rPr>
            </w:pPr>
            <w:r w:rsidRPr="00243C46">
              <w:rPr>
                <w:bCs/>
                <w:sz w:val="18"/>
                <w:szCs w:val="18"/>
                <w:lang w:val="en-GB"/>
              </w:rPr>
              <w:t>5,787</w:t>
            </w:r>
          </w:p>
        </w:tc>
        <w:tc>
          <w:tcPr>
            <w:tcW w:w="990" w:type="dxa"/>
            <w:shd w:val="clear" w:color="000000" w:fill="FFFFFF"/>
            <w:vAlign w:val="center"/>
            <w:hideMark/>
          </w:tcPr>
          <w:p w14:paraId="405B1796" w14:textId="77777777" w:rsidR="00372F91" w:rsidRPr="00243C46" w:rsidRDefault="00372F91" w:rsidP="004A0048">
            <w:pPr>
              <w:pStyle w:val="ExhibitText"/>
              <w:jc w:val="right"/>
              <w:rPr>
                <w:bCs/>
                <w:sz w:val="18"/>
                <w:szCs w:val="18"/>
                <w:lang w:val="en-GB"/>
              </w:rPr>
            </w:pPr>
            <w:r w:rsidRPr="00243C46">
              <w:rPr>
                <w:bCs/>
                <w:sz w:val="18"/>
                <w:szCs w:val="18"/>
                <w:lang w:val="en-GB"/>
              </w:rPr>
              <w:t>5,505</w:t>
            </w:r>
          </w:p>
        </w:tc>
        <w:tc>
          <w:tcPr>
            <w:tcW w:w="900" w:type="dxa"/>
            <w:shd w:val="clear" w:color="000000" w:fill="FFFFFF"/>
            <w:vAlign w:val="center"/>
            <w:hideMark/>
          </w:tcPr>
          <w:p w14:paraId="01A4A31F" w14:textId="77777777" w:rsidR="00372F91" w:rsidRPr="00243C46" w:rsidRDefault="00372F91" w:rsidP="004A0048">
            <w:pPr>
              <w:pStyle w:val="ExhibitText"/>
              <w:jc w:val="right"/>
              <w:rPr>
                <w:bCs/>
                <w:sz w:val="18"/>
                <w:szCs w:val="18"/>
                <w:lang w:val="en-GB"/>
              </w:rPr>
            </w:pPr>
            <w:r w:rsidRPr="00243C46">
              <w:rPr>
                <w:bCs/>
                <w:sz w:val="18"/>
                <w:szCs w:val="18"/>
                <w:lang w:val="en-GB"/>
              </w:rPr>
              <w:t>5,187</w:t>
            </w:r>
          </w:p>
        </w:tc>
        <w:tc>
          <w:tcPr>
            <w:tcW w:w="900" w:type="dxa"/>
            <w:shd w:val="clear" w:color="000000" w:fill="FFFFFF"/>
            <w:vAlign w:val="center"/>
            <w:hideMark/>
          </w:tcPr>
          <w:p w14:paraId="241296A2" w14:textId="77777777" w:rsidR="00372F91" w:rsidRPr="00243C46" w:rsidRDefault="00372F91" w:rsidP="004A0048">
            <w:pPr>
              <w:pStyle w:val="ExhibitText"/>
              <w:jc w:val="right"/>
              <w:rPr>
                <w:bCs/>
                <w:sz w:val="18"/>
                <w:szCs w:val="18"/>
                <w:lang w:val="en-GB"/>
              </w:rPr>
            </w:pPr>
            <w:r w:rsidRPr="00243C46">
              <w:rPr>
                <w:bCs/>
                <w:sz w:val="18"/>
                <w:szCs w:val="18"/>
                <w:lang w:val="en-GB"/>
              </w:rPr>
              <w:t>4,861</w:t>
            </w:r>
          </w:p>
        </w:tc>
        <w:tc>
          <w:tcPr>
            <w:tcW w:w="900" w:type="dxa"/>
            <w:shd w:val="clear" w:color="000000" w:fill="FFFFFF"/>
            <w:vAlign w:val="center"/>
            <w:hideMark/>
          </w:tcPr>
          <w:p w14:paraId="78298B6F" w14:textId="77777777" w:rsidR="00372F91" w:rsidRPr="00243C46" w:rsidRDefault="00372F91" w:rsidP="004A0048">
            <w:pPr>
              <w:pStyle w:val="ExhibitText"/>
              <w:jc w:val="right"/>
              <w:rPr>
                <w:bCs/>
                <w:sz w:val="18"/>
                <w:szCs w:val="18"/>
                <w:lang w:val="en-GB"/>
              </w:rPr>
            </w:pPr>
            <w:r w:rsidRPr="00243C46">
              <w:rPr>
                <w:bCs/>
                <w:sz w:val="18"/>
                <w:szCs w:val="18"/>
                <w:lang w:val="en-GB"/>
              </w:rPr>
              <w:t>4,482</w:t>
            </w:r>
          </w:p>
        </w:tc>
        <w:tc>
          <w:tcPr>
            <w:tcW w:w="990" w:type="dxa"/>
            <w:shd w:val="clear" w:color="000000" w:fill="FFFFFF"/>
            <w:vAlign w:val="center"/>
            <w:hideMark/>
          </w:tcPr>
          <w:p w14:paraId="6CD70AB5" w14:textId="77777777" w:rsidR="00372F91" w:rsidRPr="00243C46" w:rsidRDefault="00372F91" w:rsidP="004A0048">
            <w:pPr>
              <w:pStyle w:val="ExhibitText"/>
              <w:jc w:val="right"/>
              <w:rPr>
                <w:bCs/>
                <w:sz w:val="18"/>
                <w:szCs w:val="18"/>
                <w:lang w:val="en-GB"/>
              </w:rPr>
            </w:pPr>
            <w:r w:rsidRPr="00243C46">
              <w:rPr>
                <w:bCs/>
                <w:sz w:val="18"/>
                <w:szCs w:val="18"/>
                <w:lang w:val="en-GB"/>
              </w:rPr>
              <w:t>4,079</w:t>
            </w:r>
          </w:p>
        </w:tc>
        <w:tc>
          <w:tcPr>
            <w:tcW w:w="806" w:type="dxa"/>
            <w:shd w:val="clear" w:color="000000" w:fill="FFFFFF"/>
            <w:vAlign w:val="center"/>
            <w:hideMark/>
          </w:tcPr>
          <w:p w14:paraId="10C2C136" w14:textId="77777777" w:rsidR="00372F91" w:rsidRPr="00243C46" w:rsidRDefault="00372F91" w:rsidP="004A0048">
            <w:pPr>
              <w:pStyle w:val="ExhibitText"/>
              <w:jc w:val="right"/>
              <w:rPr>
                <w:bCs/>
                <w:sz w:val="18"/>
                <w:szCs w:val="18"/>
                <w:lang w:val="en-GB"/>
              </w:rPr>
            </w:pPr>
            <w:r w:rsidRPr="00243C46">
              <w:rPr>
                <w:bCs/>
                <w:sz w:val="18"/>
                <w:szCs w:val="18"/>
                <w:lang w:val="en-GB"/>
              </w:rPr>
              <w:t> </w:t>
            </w:r>
          </w:p>
        </w:tc>
      </w:tr>
    </w:tbl>
    <w:p w14:paraId="06931450" w14:textId="77777777" w:rsidR="00372F91" w:rsidRPr="00243C46" w:rsidRDefault="00372F91" w:rsidP="00FD1D4E">
      <w:pPr>
        <w:pStyle w:val="Casehead1"/>
        <w:jc w:val="center"/>
        <w:rPr>
          <w:sz w:val="16"/>
          <w:szCs w:val="16"/>
          <w:lang w:val="en-GB"/>
        </w:rPr>
      </w:pPr>
    </w:p>
    <w:p w14:paraId="57AC8DC0" w14:textId="0B9991EE" w:rsidR="002612FB" w:rsidRPr="00243C46" w:rsidRDefault="002612FB" w:rsidP="00636F13">
      <w:pPr>
        <w:pStyle w:val="ExhibitText"/>
        <w:rPr>
          <w:lang w:val="en-GB"/>
        </w:rPr>
      </w:pPr>
    </w:p>
    <w:p w14:paraId="57418D81" w14:textId="30082E4E" w:rsidR="000B4961" w:rsidRPr="00243C46" w:rsidRDefault="004F1FFC" w:rsidP="00B30C87">
      <w:pPr>
        <w:pStyle w:val="Footnote"/>
        <w:rPr>
          <w:b/>
          <w:lang w:val="en-GB"/>
        </w:rPr>
      </w:pPr>
      <w:r w:rsidRPr="00243C46">
        <w:rPr>
          <w:lang w:val="en-GB"/>
        </w:rPr>
        <w:t>Note</w:t>
      </w:r>
      <w:r w:rsidR="00F05AD0" w:rsidRPr="00243C46">
        <w:rPr>
          <w:lang w:val="en-GB"/>
        </w:rPr>
        <w:t>s</w:t>
      </w:r>
      <w:r w:rsidRPr="00243C46">
        <w:rPr>
          <w:lang w:val="en-GB"/>
        </w:rPr>
        <w:t>: € = EUR = euro; €1 = US$1.147 as of January 9, 2019</w:t>
      </w:r>
      <w:r w:rsidR="0000002D" w:rsidRPr="00243C46">
        <w:rPr>
          <w:lang w:val="en-GB"/>
        </w:rPr>
        <w:t>. CAGR = compound annual growth rate; EBITDA =earnings before interest, tax, depreciation, and amortization; EBIT = earnings before interest and taxes</w:t>
      </w:r>
      <w:r w:rsidR="00F05AD0" w:rsidRPr="00243C46">
        <w:rPr>
          <w:lang w:val="en-GB"/>
        </w:rPr>
        <w:t>.</w:t>
      </w:r>
    </w:p>
    <w:p w14:paraId="50BD41D3" w14:textId="01846787" w:rsidR="00997947" w:rsidRPr="00243C46" w:rsidRDefault="00AE162D" w:rsidP="002C35F3">
      <w:pPr>
        <w:pStyle w:val="Footnote"/>
        <w:rPr>
          <w:lang w:val="en-GB"/>
        </w:rPr>
      </w:pPr>
      <w:r w:rsidRPr="00243C46">
        <w:rPr>
          <w:lang w:val="en-GB"/>
        </w:rPr>
        <w:t xml:space="preserve">Source: </w:t>
      </w:r>
      <w:r w:rsidR="000B4961" w:rsidRPr="00243C46">
        <w:rPr>
          <w:lang w:val="en-GB"/>
        </w:rPr>
        <w:t>Inditex, “Financial Data</w:t>
      </w:r>
      <w:r w:rsidR="0000002D" w:rsidRPr="00243C46">
        <w:rPr>
          <w:lang w:val="en-GB"/>
        </w:rPr>
        <w:t>,</w:t>
      </w:r>
      <w:r w:rsidR="000B4961" w:rsidRPr="00243C46">
        <w:rPr>
          <w:lang w:val="en-GB"/>
        </w:rPr>
        <w:t>”</w:t>
      </w:r>
      <w:r w:rsidR="0000002D" w:rsidRPr="00243C46">
        <w:rPr>
          <w:lang w:val="en-GB"/>
        </w:rPr>
        <w:t xml:space="preserve"> accessed January 15, 2019,</w:t>
      </w:r>
      <w:r w:rsidR="000B4961" w:rsidRPr="00243C46">
        <w:rPr>
          <w:lang w:val="en-GB"/>
        </w:rPr>
        <w:t xml:space="preserve"> </w:t>
      </w:r>
      <w:hyperlink r:id="rId9" w:history="1">
        <w:r w:rsidR="000B4961" w:rsidRPr="00243C46">
          <w:rPr>
            <w:rStyle w:val="Hyperlink"/>
            <w:i/>
            <w:color w:val="auto"/>
            <w:u w:val="none"/>
            <w:lang w:val="en-GB"/>
          </w:rPr>
          <w:t>https://www.inditex.com/en/investors/investor-relations/financial-data</w:t>
        </w:r>
      </w:hyperlink>
      <w:r w:rsidR="000B4961" w:rsidRPr="00243C46">
        <w:rPr>
          <w:lang w:val="en-GB"/>
        </w:rPr>
        <w:t>.</w:t>
      </w:r>
    </w:p>
    <w:p w14:paraId="62094C03" w14:textId="30EC9976" w:rsidR="00715FE5" w:rsidRPr="00243C46" w:rsidRDefault="00715FE5" w:rsidP="00636F13">
      <w:pPr>
        <w:pStyle w:val="ExhibitText"/>
        <w:rPr>
          <w:lang w:val="en-GB"/>
        </w:rPr>
      </w:pPr>
    </w:p>
    <w:p w14:paraId="7FC81B74" w14:textId="77777777" w:rsidR="00636F13" w:rsidRPr="00243C46" w:rsidRDefault="00636F13" w:rsidP="00636F13">
      <w:pPr>
        <w:pStyle w:val="ExhibitText"/>
        <w:rPr>
          <w:lang w:val="en-GB"/>
        </w:rPr>
      </w:pPr>
    </w:p>
    <w:p w14:paraId="730C0040" w14:textId="059ABEE3" w:rsidR="00715FE5" w:rsidRPr="00243C46" w:rsidRDefault="00197135" w:rsidP="002721AC">
      <w:pPr>
        <w:pStyle w:val="Casehead1"/>
        <w:jc w:val="center"/>
        <w:rPr>
          <w:lang w:val="en-GB"/>
        </w:rPr>
      </w:pPr>
      <w:r w:rsidRPr="00243C46">
        <w:rPr>
          <w:lang w:val="en-GB"/>
        </w:rPr>
        <w:t>Exhibit</w:t>
      </w:r>
      <w:r w:rsidR="00727BCF" w:rsidRPr="00243C46">
        <w:rPr>
          <w:lang w:val="en-GB"/>
        </w:rPr>
        <w:t xml:space="preserve"> </w:t>
      </w:r>
      <w:r w:rsidR="002721AC" w:rsidRPr="00243C46">
        <w:rPr>
          <w:lang w:val="en-GB"/>
        </w:rPr>
        <w:t>2:</w:t>
      </w:r>
      <w:r w:rsidR="00727BCF" w:rsidRPr="00243C46">
        <w:rPr>
          <w:lang w:val="en-GB"/>
        </w:rPr>
        <w:t xml:space="preserve"> The growing </w:t>
      </w:r>
      <w:r w:rsidR="00387CF1" w:rsidRPr="00243C46">
        <w:rPr>
          <w:lang w:val="en-GB"/>
        </w:rPr>
        <w:t>Emerging economy</w:t>
      </w:r>
      <w:r w:rsidR="00727BCF" w:rsidRPr="00243C46">
        <w:rPr>
          <w:lang w:val="en-GB"/>
        </w:rPr>
        <w:t xml:space="preserve"> and Middle Class Household</w:t>
      </w:r>
      <w:r w:rsidR="00387CF1" w:rsidRPr="00243C46">
        <w:rPr>
          <w:lang w:val="en-GB"/>
        </w:rPr>
        <w:t xml:space="preserve"> spend</w:t>
      </w:r>
    </w:p>
    <w:p w14:paraId="5DDE98FE" w14:textId="77777777" w:rsidR="00727BCF" w:rsidRPr="00243C46" w:rsidRDefault="00727BCF" w:rsidP="00636F13">
      <w:pPr>
        <w:pStyle w:val="ExhibitText"/>
        <w:rPr>
          <w:lang w:val="en-GB"/>
        </w:rPr>
      </w:pPr>
    </w:p>
    <w:p w14:paraId="4065779A" w14:textId="0D1918E8" w:rsidR="00286B0B" w:rsidRPr="00243C46" w:rsidRDefault="00E64EEE" w:rsidP="00E24FF1">
      <w:pPr>
        <w:pStyle w:val="BodyTextMain"/>
        <w:jc w:val="center"/>
        <w:rPr>
          <w:lang w:val="en-GB"/>
        </w:rPr>
      </w:pPr>
      <w:r w:rsidRPr="00243C46">
        <w:rPr>
          <w:noProof/>
        </w:rPr>
        <w:drawing>
          <wp:inline distT="0" distB="0" distL="0" distR="0" wp14:anchorId="5ED77234" wp14:editId="110E7F91">
            <wp:extent cx="4032914" cy="2559348"/>
            <wp:effectExtent l="19050" t="19050" r="2476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18 at 3.53.40 PM.png"/>
                    <pic:cNvPicPr/>
                  </pic:nvPicPr>
                  <pic:blipFill>
                    <a:blip r:embed="rId10">
                      <a:grayscl/>
                      <a:extLst>
                        <a:ext uri="{28A0092B-C50C-407E-A947-70E740481C1C}">
                          <a14:useLocalDpi xmlns:a14="http://schemas.microsoft.com/office/drawing/2010/main" val="0"/>
                        </a:ext>
                      </a:extLst>
                    </a:blip>
                    <a:stretch>
                      <a:fillRect/>
                    </a:stretch>
                  </pic:blipFill>
                  <pic:spPr>
                    <a:xfrm>
                      <a:off x="0" y="0"/>
                      <a:ext cx="4043056" cy="2565784"/>
                    </a:xfrm>
                    <a:prstGeom prst="rect">
                      <a:avLst/>
                    </a:prstGeom>
                    <a:ln>
                      <a:solidFill>
                        <a:srgbClr val="000000"/>
                      </a:solidFill>
                    </a:ln>
                  </pic:spPr>
                </pic:pic>
              </a:graphicData>
            </a:graphic>
          </wp:inline>
        </w:drawing>
      </w:r>
    </w:p>
    <w:p w14:paraId="3C2B73C3" w14:textId="77777777" w:rsidR="00F96DBD" w:rsidRPr="00243C46" w:rsidRDefault="00F96DBD" w:rsidP="00636F13">
      <w:pPr>
        <w:pStyle w:val="ExhibitText"/>
        <w:rPr>
          <w:lang w:val="en-GB"/>
        </w:rPr>
      </w:pPr>
    </w:p>
    <w:p w14:paraId="658B8B5E" w14:textId="638C503C" w:rsidR="009C2C08" w:rsidRPr="00243C46" w:rsidRDefault="00A61CA9" w:rsidP="00B30C87">
      <w:pPr>
        <w:pStyle w:val="Footnote"/>
        <w:rPr>
          <w:lang w:val="en-GB"/>
        </w:rPr>
      </w:pPr>
      <w:r w:rsidRPr="00243C46">
        <w:rPr>
          <w:lang w:val="en-GB"/>
        </w:rPr>
        <w:t>Copyright</w:t>
      </w:r>
      <w:r w:rsidR="00F96DBD" w:rsidRPr="00243C46">
        <w:rPr>
          <w:lang w:val="en-GB"/>
        </w:rPr>
        <w:t>:</w:t>
      </w:r>
      <w:r w:rsidRPr="00243C46">
        <w:rPr>
          <w:lang w:val="en-GB"/>
        </w:rPr>
        <w:t xml:space="preserve"> @</w:t>
      </w:r>
      <w:r w:rsidR="00F96DBD" w:rsidRPr="00243C46">
        <w:rPr>
          <w:lang w:val="en-GB"/>
        </w:rPr>
        <w:t xml:space="preserve"> </w:t>
      </w:r>
      <w:r w:rsidR="00E64EEE" w:rsidRPr="00243C46">
        <w:rPr>
          <w:lang w:val="en-GB"/>
        </w:rPr>
        <w:t>McKinsey</w:t>
      </w:r>
      <w:r w:rsidR="00E00FEA" w:rsidRPr="00243C46">
        <w:rPr>
          <w:lang w:val="en-GB"/>
        </w:rPr>
        <w:t xml:space="preserve"> </w:t>
      </w:r>
      <w:r w:rsidR="00E64EEE" w:rsidRPr="00243C46">
        <w:rPr>
          <w:lang w:val="en-GB"/>
        </w:rPr>
        <w:t>&amp;</w:t>
      </w:r>
      <w:r w:rsidR="00E00FEA" w:rsidRPr="00243C46">
        <w:rPr>
          <w:lang w:val="en-GB"/>
        </w:rPr>
        <w:t xml:space="preserve"> </w:t>
      </w:r>
      <w:r w:rsidR="00E64EEE" w:rsidRPr="00243C46">
        <w:rPr>
          <w:lang w:val="en-GB"/>
        </w:rPr>
        <w:t>Company</w:t>
      </w:r>
      <w:r w:rsidRPr="00243C46">
        <w:rPr>
          <w:lang w:val="en-GB"/>
        </w:rPr>
        <w:t>.</w:t>
      </w:r>
      <w:r w:rsidR="00F96DBD" w:rsidRPr="00243C46">
        <w:rPr>
          <w:lang w:val="en-GB"/>
        </w:rPr>
        <w:t xml:space="preserve"> </w:t>
      </w:r>
    </w:p>
    <w:p w14:paraId="0A27CF13" w14:textId="125BC298" w:rsidR="00FF4D2C" w:rsidRPr="00243C46" w:rsidRDefault="009C2C08" w:rsidP="00B30C87">
      <w:pPr>
        <w:pStyle w:val="Footnote"/>
        <w:rPr>
          <w:lang w:val="en-GB"/>
        </w:rPr>
      </w:pPr>
      <w:r w:rsidRPr="00243C46">
        <w:rPr>
          <w:lang w:val="en-GB"/>
        </w:rPr>
        <w:t>Source: Richard Dobbs, Jaana Remes, James Manyika, Charles Roxburgh, Sven Smit</w:t>
      </w:r>
      <w:r w:rsidR="003012F8" w:rsidRPr="00243C46">
        <w:rPr>
          <w:lang w:val="en-GB"/>
        </w:rPr>
        <w:t>,</w:t>
      </w:r>
      <w:r w:rsidRPr="00243C46">
        <w:rPr>
          <w:lang w:val="en-GB"/>
        </w:rPr>
        <w:t xml:space="preserve"> and Fabian Schaer</w:t>
      </w:r>
      <w:r w:rsidR="00684EDF" w:rsidRPr="00243C46">
        <w:rPr>
          <w:lang w:val="en-GB"/>
        </w:rPr>
        <w:t>,</w:t>
      </w:r>
      <w:r w:rsidRPr="00243C46">
        <w:rPr>
          <w:lang w:val="en-GB"/>
        </w:rPr>
        <w:t xml:space="preserve"> </w:t>
      </w:r>
      <w:r w:rsidR="00E64EEE" w:rsidRPr="00243C46">
        <w:rPr>
          <w:lang w:val="en-GB"/>
        </w:rPr>
        <w:t xml:space="preserve">Urban </w:t>
      </w:r>
      <w:r w:rsidR="00A17F10" w:rsidRPr="00243C46">
        <w:rPr>
          <w:lang w:val="en-GB"/>
        </w:rPr>
        <w:t>W</w:t>
      </w:r>
      <w:r w:rsidR="00E64EEE" w:rsidRPr="00243C46">
        <w:rPr>
          <w:lang w:val="en-GB"/>
        </w:rPr>
        <w:t xml:space="preserve">orld: Cities and the </w:t>
      </w:r>
      <w:r w:rsidR="00A17F10" w:rsidRPr="00243C46">
        <w:rPr>
          <w:lang w:val="en-GB"/>
        </w:rPr>
        <w:t>R</w:t>
      </w:r>
      <w:r w:rsidR="00E64EEE" w:rsidRPr="00243C46">
        <w:rPr>
          <w:lang w:val="en-GB"/>
        </w:rPr>
        <w:t xml:space="preserve">ise of the </w:t>
      </w:r>
      <w:r w:rsidR="00A17F10" w:rsidRPr="00243C46">
        <w:rPr>
          <w:lang w:val="en-GB"/>
        </w:rPr>
        <w:t>C</w:t>
      </w:r>
      <w:r w:rsidR="00E64EEE" w:rsidRPr="00243C46">
        <w:rPr>
          <w:lang w:val="en-GB"/>
        </w:rPr>
        <w:t xml:space="preserve">onsuming </w:t>
      </w:r>
      <w:r w:rsidR="00A17F10" w:rsidRPr="00243C46">
        <w:rPr>
          <w:lang w:val="en-GB"/>
        </w:rPr>
        <w:t>C</w:t>
      </w:r>
      <w:r w:rsidR="00E64EEE" w:rsidRPr="00243C46">
        <w:rPr>
          <w:lang w:val="en-GB"/>
        </w:rPr>
        <w:t>lass</w:t>
      </w:r>
      <w:r w:rsidR="00684EDF" w:rsidRPr="00243C46">
        <w:rPr>
          <w:lang w:val="en-GB"/>
        </w:rPr>
        <w:t xml:space="preserve">, </w:t>
      </w:r>
      <w:r w:rsidR="00DA1403" w:rsidRPr="00243C46">
        <w:rPr>
          <w:lang w:val="en-GB"/>
        </w:rPr>
        <w:t xml:space="preserve">27, </w:t>
      </w:r>
      <w:r w:rsidR="00684EDF" w:rsidRPr="00243C46">
        <w:rPr>
          <w:lang w:val="en-GB"/>
        </w:rPr>
        <w:t>McKinsey</w:t>
      </w:r>
      <w:r w:rsidR="00A17F10" w:rsidRPr="00243C46">
        <w:rPr>
          <w:lang w:val="en-GB"/>
        </w:rPr>
        <w:t xml:space="preserve"> </w:t>
      </w:r>
      <w:r w:rsidR="00684EDF" w:rsidRPr="00243C46">
        <w:rPr>
          <w:lang w:val="en-GB"/>
        </w:rPr>
        <w:t>&amp;</w:t>
      </w:r>
      <w:r w:rsidR="00A17F10" w:rsidRPr="00243C46">
        <w:rPr>
          <w:lang w:val="en-GB"/>
        </w:rPr>
        <w:t xml:space="preserve"> </w:t>
      </w:r>
      <w:r w:rsidR="00684EDF" w:rsidRPr="00243C46">
        <w:rPr>
          <w:lang w:val="en-GB"/>
        </w:rPr>
        <w:t>Company, June</w:t>
      </w:r>
      <w:r w:rsidR="00F96DBD" w:rsidRPr="00243C46">
        <w:rPr>
          <w:lang w:val="en-GB"/>
        </w:rPr>
        <w:t xml:space="preserve"> </w:t>
      </w:r>
      <w:r w:rsidR="00684EDF" w:rsidRPr="00243C46">
        <w:rPr>
          <w:lang w:val="en-GB"/>
        </w:rPr>
        <w:t xml:space="preserve">2012, </w:t>
      </w:r>
      <w:r w:rsidR="003012F8" w:rsidRPr="00243C46">
        <w:rPr>
          <w:lang w:val="en-GB"/>
        </w:rPr>
        <w:t xml:space="preserve">accessed February 18, 2015, </w:t>
      </w:r>
      <w:r w:rsidR="00F05AD0" w:rsidRPr="00243C46">
        <w:rPr>
          <w:lang w:val="en-GB"/>
        </w:rPr>
        <w:t>https://www.mckinsey.com/featured-insights/urbanization/urban-world-cities-and-the-rise-of-the-consuming-class</w:t>
      </w:r>
      <w:r w:rsidR="002721AC" w:rsidRPr="00243C46">
        <w:rPr>
          <w:lang w:val="en-GB"/>
        </w:rPr>
        <w:t>.</w:t>
      </w:r>
      <w:r w:rsidR="00E64EEE" w:rsidRPr="00243C46">
        <w:rPr>
          <w:lang w:val="en-GB"/>
        </w:rPr>
        <w:t xml:space="preserve"> </w:t>
      </w:r>
    </w:p>
    <w:p w14:paraId="187C0A94" w14:textId="77777777" w:rsidR="00F0156D" w:rsidRPr="00243C46" w:rsidRDefault="00F0156D" w:rsidP="00DA6D54">
      <w:pPr>
        <w:pStyle w:val="ExhibitText"/>
        <w:rPr>
          <w:lang w:val="en-GB"/>
        </w:rPr>
      </w:pPr>
    </w:p>
    <w:p w14:paraId="20CAAF7B" w14:textId="40E5100E" w:rsidR="00636F13" w:rsidRPr="00243C46" w:rsidRDefault="00636F13">
      <w:pPr>
        <w:spacing w:after="200" w:line="276" w:lineRule="auto"/>
        <w:rPr>
          <w:rFonts w:ascii="Arial" w:hAnsi="Arial" w:cs="Arial"/>
          <w:sz w:val="20"/>
          <w:szCs w:val="20"/>
          <w:lang w:val="en-GB"/>
        </w:rPr>
      </w:pPr>
      <w:r w:rsidRPr="00243C46">
        <w:rPr>
          <w:lang w:val="en-GB"/>
        </w:rPr>
        <w:br w:type="page"/>
      </w:r>
    </w:p>
    <w:p w14:paraId="1A63CF3C" w14:textId="4D2E26A5" w:rsidR="00C04471" w:rsidRPr="00243C46" w:rsidRDefault="00C04471" w:rsidP="00521929">
      <w:pPr>
        <w:pStyle w:val="Casehead1"/>
        <w:jc w:val="center"/>
        <w:rPr>
          <w:lang w:val="en-GB"/>
        </w:rPr>
      </w:pPr>
      <w:r w:rsidRPr="00243C46">
        <w:rPr>
          <w:lang w:val="en-GB"/>
        </w:rPr>
        <w:lastRenderedPageBreak/>
        <w:t xml:space="preserve">Exhibit </w:t>
      </w:r>
      <w:r w:rsidR="00521929" w:rsidRPr="00243C46">
        <w:rPr>
          <w:lang w:val="en-GB"/>
        </w:rPr>
        <w:t>3</w:t>
      </w:r>
      <w:r w:rsidRPr="00243C46">
        <w:rPr>
          <w:lang w:val="en-GB"/>
        </w:rPr>
        <w:t>: Global Women</w:t>
      </w:r>
      <w:r w:rsidR="003375EE" w:rsidRPr="00243C46">
        <w:rPr>
          <w:lang w:val="en-GB"/>
        </w:rPr>
        <w:t>’</w:t>
      </w:r>
      <w:r w:rsidRPr="00243C46">
        <w:rPr>
          <w:lang w:val="en-GB"/>
        </w:rPr>
        <w:t>s apparel market growth</w:t>
      </w:r>
    </w:p>
    <w:p w14:paraId="0211E95F" w14:textId="77777777" w:rsidR="00C04471" w:rsidRPr="00243C46" w:rsidRDefault="00C04471" w:rsidP="00DA6D54">
      <w:pPr>
        <w:pStyle w:val="ExhibitText"/>
        <w:rPr>
          <w:lang w:val="en-GB"/>
        </w:rPr>
      </w:pPr>
    </w:p>
    <w:p w14:paraId="04329A50" w14:textId="77777777" w:rsidR="00C04471" w:rsidRPr="00243C46" w:rsidRDefault="00C04471" w:rsidP="00C04471">
      <w:pPr>
        <w:spacing w:after="200" w:line="276" w:lineRule="auto"/>
        <w:jc w:val="center"/>
        <w:rPr>
          <w:lang w:val="en-GB"/>
        </w:rPr>
      </w:pPr>
      <w:r w:rsidRPr="00243C46">
        <w:rPr>
          <w:noProof/>
          <w:lang w:val="en-US"/>
        </w:rPr>
        <w:drawing>
          <wp:inline distT="0" distB="0" distL="0" distR="0" wp14:anchorId="4BD98349" wp14:editId="728E72F7">
            <wp:extent cx="4298912" cy="2540000"/>
            <wp:effectExtent l="19050" t="19050" r="2603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2 at 4.00.36 PM.png"/>
                    <pic:cNvPicPr/>
                  </pic:nvPicPr>
                  <pic:blipFill>
                    <a:blip r:embed="rId11">
                      <a:grayscl/>
                      <a:extLst>
                        <a:ext uri="{28A0092B-C50C-407E-A947-70E740481C1C}">
                          <a14:useLocalDpi xmlns:a14="http://schemas.microsoft.com/office/drawing/2010/main" val="0"/>
                        </a:ext>
                      </a:extLst>
                    </a:blip>
                    <a:stretch>
                      <a:fillRect/>
                    </a:stretch>
                  </pic:blipFill>
                  <pic:spPr>
                    <a:xfrm>
                      <a:off x="0" y="0"/>
                      <a:ext cx="4301772" cy="2541690"/>
                    </a:xfrm>
                    <a:prstGeom prst="rect">
                      <a:avLst/>
                    </a:prstGeom>
                    <a:ln>
                      <a:solidFill>
                        <a:srgbClr val="000000"/>
                      </a:solidFill>
                    </a:ln>
                  </pic:spPr>
                </pic:pic>
              </a:graphicData>
            </a:graphic>
          </wp:inline>
        </w:drawing>
      </w:r>
    </w:p>
    <w:p w14:paraId="4110FE97" w14:textId="360EDB5B" w:rsidR="003012F8" w:rsidRPr="00243C46" w:rsidRDefault="003012F8" w:rsidP="00B30C87">
      <w:pPr>
        <w:pStyle w:val="Footnote"/>
        <w:rPr>
          <w:lang w:val="en-GB"/>
        </w:rPr>
      </w:pPr>
      <w:r w:rsidRPr="00243C46">
        <w:rPr>
          <w:lang w:val="en-GB"/>
        </w:rPr>
        <w:t>Note: CAGR = compound annual growth rate</w:t>
      </w:r>
      <w:r w:rsidR="00F05AD0" w:rsidRPr="00243C46">
        <w:rPr>
          <w:lang w:val="en-GB"/>
        </w:rPr>
        <w:t>.</w:t>
      </w:r>
    </w:p>
    <w:p w14:paraId="24569667" w14:textId="77777777" w:rsidR="00C04471" w:rsidRPr="00243C46" w:rsidRDefault="00C04471" w:rsidP="00B30C87">
      <w:pPr>
        <w:pStyle w:val="Footnote"/>
        <w:rPr>
          <w:lang w:val="en-GB"/>
        </w:rPr>
      </w:pPr>
      <w:r w:rsidRPr="00243C46">
        <w:rPr>
          <w:lang w:val="en-GB"/>
        </w:rPr>
        <w:t xml:space="preserve">Copyright: @ McKinsey &amp; Company. </w:t>
      </w:r>
    </w:p>
    <w:p w14:paraId="28D4C5C1" w14:textId="28E93012" w:rsidR="00C04471" w:rsidRPr="00243C46" w:rsidRDefault="00C04471" w:rsidP="00B30C87">
      <w:pPr>
        <w:pStyle w:val="Footnote"/>
        <w:rPr>
          <w:lang w:val="en-GB"/>
        </w:rPr>
      </w:pPr>
      <w:r w:rsidRPr="00243C46">
        <w:rPr>
          <w:lang w:val="en-GB"/>
        </w:rPr>
        <w:t>Source:</w:t>
      </w:r>
      <w:r w:rsidR="00F05AD0" w:rsidRPr="00243C46">
        <w:rPr>
          <w:lang w:val="en-GB"/>
        </w:rPr>
        <w:t xml:space="preserve"> Nathalie Remy, Jennifer Schmidt, Charlotte Werner, and Maggie Lu,</w:t>
      </w:r>
      <w:r w:rsidRPr="00243C46">
        <w:rPr>
          <w:lang w:val="en-GB"/>
        </w:rPr>
        <w:t xml:space="preserve"> Unleashing Fashion Growth City by City, </w:t>
      </w:r>
      <w:r w:rsidR="00955053">
        <w:rPr>
          <w:lang w:val="en-GB"/>
        </w:rPr>
        <w:t>McKinsey &amp; Company, September </w:t>
      </w:r>
      <w:r w:rsidRPr="00243C46">
        <w:rPr>
          <w:lang w:val="en-GB"/>
        </w:rPr>
        <w:t>2014,</w:t>
      </w:r>
      <w:r w:rsidR="00955053">
        <w:rPr>
          <w:lang w:val="en-GB"/>
        </w:rPr>
        <w:t> </w:t>
      </w:r>
      <w:r w:rsidR="00DA1403" w:rsidRPr="00243C46">
        <w:rPr>
          <w:lang w:val="en-GB"/>
        </w:rPr>
        <w:t>2,</w:t>
      </w:r>
      <w:r w:rsidR="00955053">
        <w:rPr>
          <w:lang w:val="en-GB"/>
        </w:rPr>
        <w:t> accessed January 22, </w:t>
      </w:r>
      <w:r w:rsidR="003012F8" w:rsidRPr="00243C46">
        <w:rPr>
          <w:lang w:val="en-GB"/>
        </w:rPr>
        <w:t>2015,</w:t>
      </w:r>
      <w:r w:rsidR="00955053">
        <w:rPr>
          <w:lang w:val="en-GB"/>
        </w:rPr>
        <w:t> </w:t>
      </w:r>
      <w:r w:rsidR="00C07C93" w:rsidRPr="00243C46">
        <w:rPr>
          <w:rStyle w:val="Hyperlink"/>
          <w:color w:val="auto"/>
          <w:u w:val="none"/>
          <w:lang w:val="en-GB"/>
        </w:rPr>
        <w:t>https://www.mckinsey.com/~/media/mckinsey/dotcom/client_service/marketing%20and%20sales/pdfs/unleashing_fashion_growth.ashx</w:t>
      </w:r>
      <w:r w:rsidRPr="00243C46">
        <w:rPr>
          <w:lang w:val="en-GB"/>
        </w:rPr>
        <w:t>.</w:t>
      </w:r>
    </w:p>
    <w:p w14:paraId="2A5B0E09" w14:textId="77777777" w:rsidR="00C57DE9" w:rsidRPr="00243C46" w:rsidRDefault="00C57DE9" w:rsidP="00DA6D54">
      <w:pPr>
        <w:pStyle w:val="ExhibitText"/>
        <w:rPr>
          <w:lang w:val="en-GB"/>
        </w:rPr>
      </w:pPr>
    </w:p>
    <w:p w14:paraId="2B4E9C02" w14:textId="77777777" w:rsidR="003012F8" w:rsidRPr="00243C46" w:rsidRDefault="003012F8" w:rsidP="004A0048">
      <w:pPr>
        <w:pStyle w:val="ExhibitHeading"/>
        <w:rPr>
          <w:lang w:val="en-GB"/>
        </w:rPr>
      </w:pPr>
    </w:p>
    <w:p w14:paraId="32357FDA" w14:textId="7E8D6B11" w:rsidR="006D7CE2" w:rsidRPr="00243C46" w:rsidRDefault="00197135" w:rsidP="004A0048">
      <w:pPr>
        <w:pStyle w:val="ExhibitHeading"/>
        <w:rPr>
          <w:lang w:val="en-GB"/>
        </w:rPr>
      </w:pPr>
      <w:r w:rsidRPr="00243C46">
        <w:rPr>
          <w:lang w:val="en-GB"/>
        </w:rPr>
        <w:t>Exhibit</w:t>
      </w:r>
      <w:r w:rsidR="006D7CE2" w:rsidRPr="00243C46">
        <w:rPr>
          <w:lang w:val="en-GB"/>
        </w:rPr>
        <w:t xml:space="preserve"> </w:t>
      </w:r>
      <w:r w:rsidR="00246975" w:rsidRPr="00243C46">
        <w:rPr>
          <w:lang w:val="en-GB"/>
        </w:rPr>
        <w:t>4</w:t>
      </w:r>
      <w:r w:rsidR="004A321E" w:rsidRPr="00243C46">
        <w:rPr>
          <w:lang w:val="en-GB"/>
        </w:rPr>
        <w:t xml:space="preserve">: </w:t>
      </w:r>
      <w:r w:rsidR="006A1A09" w:rsidRPr="00243C46">
        <w:rPr>
          <w:lang w:val="en-GB"/>
        </w:rPr>
        <w:t>Inditex Brands at a Glance</w:t>
      </w:r>
    </w:p>
    <w:p w14:paraId="2B99EE9A" w14:textId="77777777" w:rsidR="006A1A09" w:rsidRPr="00243C46" w:rsidRDefault="006A1A09" w:rsidP="00DA6D54">
      <w:pPr>
        <w:pStyle w:val="ExhibitText"/>
        <w:rPr>
          <w:lang w:val="en-GB"/>
        </w:rPr>
      </w:pPr>
    </w:p>
    <w:tbl>
      <w:tblPr>
        <w:tblW w:w="8162" w:type="dxa"/>
        <w:tblInd w:w="660" w:type="dxa"/>
        <w:tblLook w:val="04A0" w:firstRow="1" w:lastRow="0" w:firstColumn="1" w:lastColumn="0" w:noHBand="0" w:noVBand="1"/>
      </w:tblPr>
      <w:tblGrid>
        <w:gridCol w:w="1740"/>
        <w:gridCol w:w="1276"/>
        <w:gridCol w:w="1276"/>
        <w:gridCol w:w="1559"/>
        <w:gridCol w:w="1011"/>
        <w:gridCol w:w="1300"/>
      </w:tblGrid>
      <w:tr w:rsidR="00784484" w:rsidRPr="00243C46" w14:paraId="06217EEF" w14:textId="77777777" w:rsidTr="00DA6D54">
        <w:trPr>
          <w:trHeight w:val="300"/>
        </w:trPr>
        <w:tc>
          <w:tcPr>
            <w:tcW w:w="1740" w:type="dxa"/>
            <w:tcBorders>
              <w:top w:val="single" w:sz="8" w:space="0" w:color="auto"/>
              <w:left w:val="single" w:sz="8" w:space="0" w:color="auto"/>
              <w:bottom w:val="nil"/>
              <w:right w:val="nil"/>
            </w:tcBorders>
            <w:shd w:val="clear" w:color="000000" w:fill="FFFFFF"/>
            <w:noWrap/>
            <w:vAlign w:val="bottom"/>
            <w:hideMark/>
          </w:tcPr>
          <w:p w14:paraId="03A5C294"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 </w:t>
            </w:r>
          </w:p>
        </w:tc>
        <w:tc>
          <w:tcPr>
            <w:tcW w:w="1276" w:type="dxa"/>
            <w:tcBorders>
              <w:top w:val="single" w:sz="8" w:space="0" w:color="auto"/>
              <w:left w:val="nil"/>
              <w:bottom w:val="nil"/>
              <w:right w:val="nil"/>
            </w:tcBorders>
            <w:shd w:val="clear" w:color="000000" w:fill="FFFFFF"/>
            <w:noWrap/>
            <w:vAlign w:val="bottom"/>
            <w:hideMark/>
          </w:tcPr>
          <w:p w14:paraId="09265D6B"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Net Sales</w:t>
            </w:r>
          </w:p>
        </w:tc>
        <w:tc>
          <w:tcPr>
            <w:tcW w:w="1276" w:type="dxa"/>
            <w:tcBorders>
              <w:top w:val="single" w:sz="8" w:space="0" w:color="auto"/>
              <w:left w:val="nil"/>
              <w:bottom w:val="nil"/>
              <w:right w:val="nil"/>
            </w:tcBorders>
            <w:shd w:val="clear" w:color="000000" w:fill="FFFFFF"/>
            <w:noWrap/>
            <w:vAlign w:val="bottom"/>
            <w:hideMark/>
          </w:tcPr>
          <w:p w14:paraId="1FDA8772"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Number of</w:t>
            </w:r>
          </w:p>
        </w:tc>
        <w:tc>
          <w:tcPr>
            <w:tcW w:w="1559" w:type="dxa"/>
            <w:tcBorders>
              <w:top w:val="single" w:sz="8" w:space="0" w:color="auto"/>
              <w:left w:val="nil"/>
              <w:bottom w:val="nil"/>
              <w:right w:val="nil"/>
            </w:tcBorders>
            <w:shd w:val="clear" w:color="000000" w:fill="FFFFFF"/>
            <w:noWrap/>
            <w:vAlign w:val="bottom"/>
            <w:hideMark/>
          </w:tcPr>
          <w:p w14:paraId="1D8AF563"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Net Openings</w:t>
            </w:r>
          </w:p>
        </w:tc>
        <w:tc>
          <w:tcPr>
            <w:tcW w:w="1011" w:type="dxa"/>
            <w:tcBorders>
              <w:top w:val="single" w:sz="8" w:space="0" w:color="auto"/>
              <w:left w:val="nil"/>
              <w:bottom w:val="nil"/>
              <w:right w:val="nil"/>
            </w:tcBorders>
            <w:shd w:val="clear" w:color="000000" w:fill="FFFFFF"/>
            <w:noWrap/>
            <w:vAlign w:val="bottom"/>
            <w:hideMark/>
          </w:tcPr>
          <w:p w14:paraId="76F489B0"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Markets</w:t>
            </w:r>
          </w:p>
        </w:tc>
        <w:tc>
          <w:tcPr>
            <w:tcW w:w="1300" w:type="dxa"/>
            <w:tcBorders>
              <w:top w:val="single" w:sz="8" w:space="0" w:color="auto"/>
              <w:left w:val="nil"/>
              <w:bottom w:val="nil"/>
              <w:right w:val="single" w:sz="8" w:space="0" w:color="auto"/>
            </w:tcBorders>
            <w:shd w:val="clear" w:color="000000" w:fill="FFFFFF"/>
            <w:noWrap/>
            <w:vAlign w:val="bottom"/>
            <w:hideMark/>
          </w:tcPr>
          <w:p w14:paraId="1E532405"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 xml:space="preserve">Online </w:t>
            </w:r>
          </w:p>
        </w:tc>
      </w:tr>
      <w:tr w:rsidR="00784484" w:rsidRPr="00243C46" w14:paraId="1A77C1F3" w14:textId="77777777" w:rsidTr="00DA6D54">
        <w:trPr>
          <w:trHeight w:val="300"/>
        </w:trPr>
        <w:tc>
          <w:tcPr>
            <w:tcW w:w="1740" w:type="dxa"/>
            <w:tcBorders>
              <w:top w:val="nil"/>
              <w:left w:val="single" w:sz="8" w:space="0" w:color="auto"/>
              <w:bottom w:val="single" w:sz="4" w:space="0" w:color="auto"/>
              <w:right w:val="nil"/>
            </w:tcBorders>
            <w:shd w:val="clear" w:color="000000" w:fill="FFFFFF"/>
            <w:noWrap/>
            <w:vAlign w:val="bottom"/>
            <w:hideMark/>
          </w:tcPr>
          <w:p w14:paraId="7B4415C7"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 </w:t>
            </w:r>
          </w:p>
        </w:tc>
        <w:tc>
          <w:tcPr>
            <w:tcW w:w="1276" w:type="dxa"/>
            <w:tcBorders>
              <w:top w:val="nil"/>
              <w:left w:val="nil"/>
              <w:bottom w:val="single" w:sz="4" w:space="0" w:color="auto"/>
              <w:right w:val="nil"/>
            </w:tcBorders>
            <w:shd w:val="clear" w:color="000000" w:fill="FFFFFF"/>
            <w:noWrap/>
            <w:vAlign w:val="bottom"/>
            <w:hideMark/>
          </w:tcPr>
          <w:p w14:paraId="7E046268" w14:textId="51DEBDE5" w:rsidR="00784484" w:rsidRPr="00243C46" w:rsidRDefault="00784484" w:rsidP="003012F8">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w:t>
            </w:r>
            <w:r w:rsidR="003012F8" w:rsidRPr="00243C46">
              <w:rPr>
                <w:rFonts w:ascii="Arial" w:hAnsi="Arial" w:cs="Arial"/>
                <w:b/>
                <w:bCs/>
                <w:color w:val="000000"/>
                <w:sz w:val="20"/>
                <w:szCs w:val="20"/>
                <w:lang w:val="en-GB"/>
              </w:rPr>
              <w:t xml:space="preserve">€ </w:t>
            </w:r>
            <w:r w:rsidRPr="00243C46">
              <w:rPr>
                <w:rFonts w:ascii="Arial" w:hAnsi="Arial" w:cs="Arial"/>
                <w:b/>
                <w:bCs/>
                <w:color w:val="000000"/>
                <w:sz w:val="20"/>
                <w:szCs w:val="20"/>
                <w:lang w:val="en-GB"/>
              </w:rPr>
              <w:t>millions)</w:t>
            </w:r>
          </w:p>
        </w:tc>
        <w:tc>
          <w:tcPr>
            <w:tcW w:w="1276" w:type="dxa"/>
            <w:tcBorders>
              <w:top w:val="nil"/>
              <w:left w:val="nil"/>
              <w:bottom w:val="single" w:sz="4" w:space="0" w:color="auto"/>
              <w:right w:val="nil"/>
            </w:tcBorders>
            <w:shd w:val="clear" w:color="000000" w:fill="FFFFFF"/>
            <w:noWrap/>
            <w:vAlign w:val="bottom"/>
            <w:hideMark/>
          </w:tcPr>
          <w:p w14:paraId="09403E60"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Stores</w:t>
            </w:r>
          </w:p>
        </w:tc>
        <w:tc>
          <w:tcPr>
            <w:tcW w:w="1559" w:type="dxa"/>
            <w:tcBorders>
              <w:top w:val="nil"/>
              <w:left w:val="nil"/>
              <w:bottom w:val="single" w:sz="4" w:space="0" w:color="auto"/>
              <w:right w:val="nil"/>
            </w:tcBorders>
            <w:shd w:val="clear" w:color="000000" w:fill="FFFFFF"/>
            <w:noWrap/>
            <w:vAlign w:val="bottom"/>
            <w:hideMark/>
          </w:tcPr>
          <w:p w14:paraId="00A58F78"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in 2017</w:t>
            </w:r>
          </w:p>
        </w:tc>
        <w:tc>
          <w:tcPr>
            <w:tcW w:w="1011" w:type="dxa"/>
            <w:tcBorders>
              <w:top w:val="nil"/>
              <w:left w:val="nil"/>
              <w:bottom w:val="single" w:sz="4" w:space="0" w:color="auto"/>
              <w:right w:val="nil"/>
            </w:tcBorders>
            <w:shd w:val="clear" w:color="000000" w:fill="FFFFFF"/>
            <w:noWrap/>
            <w:vAlign w:val="bottom"/>
            <w:hideMark/>
          </w:tcPr>
          <w:p w14:paraId="6A7D909C"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Served</w:t>
            </w:r>
          </w:p>
        </w:tc>
        <w:tc>
          <w:tcPr>
            <w:tcW w:w="1300" w:type="dxa"/>
            <w:tcBorders>
              <w:top w:val="nil"/>
              <w:left w:val="nil"/>
              <w:bottom w:val="single" w:sz="4" w:space="0" w:color="auto"/>
              <w:right w:val="single" w:sz="8" w:space="0" w:color="auto"/>
            </w:tcBorders>
            <w:shd w:val="clear" w:color="000000" w:fill="FFFFFF"/>
            <w:noWrap/>
            <w:vAlign w:val="bottom"/>
            <w:hideMark/>
          </w:tcPr>
          <w:p w14:paraId="6E219C58" w14:textId="77777777" w:rsidR="00784484" w:rsidRPr="00243C46" w:rsidRDefault="00784484" w:rsidP="00784484">
            <w:pPr>
              <w:jc w:val="center"/>
              <w:rPr>
                <w:rFonts w:ascii="Arial" w:hAnsi="Arial" w:cs="Arial"/>
                <w:b/>
                <w:bCs/>
                <w:color w:val="000000"/>
                <w:sz w:val="20"/>
                <w:szCs w:val="20"/>
                <w:lang w:val="en-GB"/>
              </w:rPr>
            </w:pPr>
            <w:r w:rsidRPr="00243C46">
              <w:rPr>
                <w:rFonts w:ascii="Arial" w:hAnsi="Arial" w:cs="Arial"/>
                <w:b/>
                <w:bCs/>
                <w:color w:val="000000"/>
                <w:sz w:val="20"/>
                <w:szCs w:val="20"/>
                <w:lang w:val="en-GB"/>
              </w:rPr>
              <w:t>Markets</w:t>
            </w:r>
          </w:p>
        </w:tc>
      </w:tr>
      <w:tr w:rsidR="00784484" w:rsidRPr="00243C46" w14:paraId="71EFE02D" w14:textId="77777777" w:rsidTr="00DA6D54">
        <w:trPr>
          <w:trHeight w:val="300"/>
        </w:trPr>
        <w:tc>
          <w:tcPr>
            <w:tcW w:w="1740" w:type="dxa"/>
            <w:tcBorders>
              <w:top w:val="nil"/>
              <w:left w:val="single" w:sz="8" w:space="0" w:color="auto"/>
              <w:bottom w:val="nil"/>
              <w:right w:val="nil"/>
            </w:tcBorders>
            <w:shd w:val="clear" w:color="000000" w:fill="FFFFFF"/>
            <w:noWrap/>
            <w:vAlign w:val="bottom"/>
            <w:hideMark/>
          </w:tcPr>
          <w:p w14:paraId="7F5842FE"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Zara</w:t>
            </w:r>
          </w:p>
        </w:tc>
        <w:tc>
          <w:tcPr>
            <w:tcW w:w="1276" w:type="dxa"/>
            <w:tcBorders>
              <w:top w:val="nil"/>
              <w:left w:val="nil"/>
              <w:bottom w:val="nil"/>
              <w:right w:val="nil"/>
            </w:tcBorders>
            <w:shd w:val="clear" w:color="000000" w:fill="FFFFFF"/>
            <w:noWrap/>
            <w:vAlign w:val="bottom"/>
            <w:hideMark/>
          </w:tcPr>
          <w:p w14:paraId="780F018E"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16,620</w:t>
            </w:r>
          </w:p>
        </w:tc>
        <w:tc>
          <w:tcPr>
            <w:tcW w:w="1276" w:type="dxa"/>
            <w:tcBorders>
              <w:top w:val="nil"/>
              <w:left w:val="nil"/>
              <w:bottom w:val="nil"/>
              <w:right w:val="nil"/>
            </w:tcBorders>
            <w:shd w:val="clear" w:color="000000" w:fill="FFFFFF"/>
            <w:noWrap/>
            <w:vAlign w:val="bottom"/>
            <w:hideMark/>
          </w:tcPr>
          <w:p w14:paraId="72BBAB61"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2,251</w:t>
            </w:r>
          </w:p>
        </w:tc>
        <w:tc>
          <w:tcPr>
            <w:tcW w:w="1559" w:type="dxa"/>
            <w:tcBorders>
              <w:top w:val="nil"/>
              <w:left w:val="nil"/>
              <w:bottom w:val="nil"/>
              <w:right w:val="nil"/>
            </w:tcBorders>
            <w:shd w:val="clear" w:color="000000" w:fill="FFFFFF"/>
            <w:noWrap/>
            <w:vAlign w:val="bottom"/>
            <w:hideMark/>
          </w:tcPr>
          <w:p w14:paraId="24AA9FC0"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51</w:t>
            </w:r>
          </w:p>
        </w:tc>
        <w:tc>
          <w:tcPr>
            <w:tcW w:w="1011" w:type="dxa"/>
            <w:tcBorders>
              <w:top w:val="nil"/>
              <w:left w:val="nil"/>
              <w:bottom w:val="nil"/>
              <w:right w:val="nil"/>
            </w:tcBorders>
            <w:shd w:val="clear" w:color="000000" w:fill="FFFFFF"/>
            <w:noWrap/>
            <w:vAlign w:val="bottom"/>
            <w:hideMark/>
          </w:tcPr>
          <w:p w14:paraId="40BF57CD"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96</w:t>
            </w:r>
          </w:p>
        </w:tc>
        <w:tc>
          <w:tcPr>
            <w:tcW w:w="1300" w:type="dxa"/>
            <w:tcBorders>
              <w:top w:val="nil"/>
              <w:left w:val="nil"/>
              <w:bottom w:val="nil"/>
              <w:right w:val="single" w:sz="8" w:space="0" w:color="auto"/>
            </w:tcBorders>
            <w:shd w:val="clear" w:color="000000" w:fill="FFFFFF"/>
            <w:noWrap/>
            <w:vAlign w:val="bottom"/>
            <w:hideMark/>
          </w:tcPr>
          <w:p w14:paraId="07981F27"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46</w:t>
            </w:r>
          </w:p>
        </w:tc>
      </w:tr>
      <w:tr w:rsidR="00784484" w:rsidRPr="00243C46" w14:paraId="7D7B85D6" w14:textId="77777777" w:rsidTr="00DA6D54">
        <w:trPr>
          <w:trHeight w:val="300"/>
        </w:trPr>
        <w:tc>
          <w:tcPr>
            <w:tcW w:w="1740" w:type="dxa"/>
            <w:tcBorders>
              <w:top w:val="nil"/>
              <w:left w:val="single" w:sz="8" w:space="0" w:color="auto"/>
              <w:bottom w:val="nil"/>
              <w:right w:val="nil"/>
            </w:tcBorders>
            <w:shd w:val="clear" w:color="000000" w:fill="FFFFFF"/>
            <w:noWrap/>
            <w:vAlign w:val="bottom"/>
            <w:hideMark/>
          </w:tcPr>
          <w:p w14:paraId="1A78035B"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Pull &amp; Bear</w:t>
            </w:r>
          </w:p>
        </w:tc>
        <w:tc>
          <w:tcPr>
            <w:tcW w:w="1276" w:type="dxa"/>
            <w:tcBorders>
              <w:top w:val="nil"/>
              <w:left w:val="nil"/>
              <w:bottom w:val="nil"/>
              <w:right w:val="nil"/>
            </w:tcBorders>
            <w:shd w:val="clear" w:color="000000" w:fill="FFFFFF"/>
            <w:noWrap/>
            <w:vAlign w:val="bottom"/>
            <w:hideMark/>
          </w:tcPr>
          <w:p w14:paraId="092567D8"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1,747</w:t>
            </w:r>
          </w:p>
        </w:tc>
        <w:tc>
          <w:tcPr>
            <w:tcW w:w="1276" w:type="dxa"/>
            <w:tcBorders>
              <w:top w:val="nil"/>
              <w:left w:val="nil"/>
              <w:bottom w:val="nil"/>
              <w:right w:val="nil"/>
            </w:tcBorders>
            <w:shd w:val="clear" w:color="000000" w:fill="FFFFFF"/>
            <w:noWrap/>
            <w:vAlign w:val="bottom"/>
            <w:hideMark/>
          </w:tcPr>
          <w:p w14:paraId="7B0D7C44"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979</w:t>
            </w:r>
          </w:p>
        </w:tc>
        <w:tc>
          <w:tcPr>
            <w:tcW w:w="1559" w:type="dxa"/>
            <w:tcBorders>
              <w:top w:val="nil"/>
              <w:left w:val="nil"/>
              <w:bottom w:val="nil"/>
              <w:right w:val="nil"/>
            </w:tcBorders>
            <w:shd w:val="clear" w:color="000000" w:fill="FFFFFF"/>
            <w:noWrap/>
            <w:vAlign w:val="bottom"/>
            <w:hideMark/>
          </w:tcPr>
          <w:p w14:paraId="4F6542C0"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6</w:t>
            </w:r>
          </w:p>
        </w:tc>
        <w:tc>
          <w:tcPr>
            <w:tcW w:w="1011" w:type="dxa"/>
            <w:tcBorders>
              <w:top w:val="nil"/>
              <w:left w:val="nil"/>
              <w:bottom w:val="nil"/>
              <w:right w:val="nil"/>
            </w:tcBorders>
            <w:shd w:val="clear" w:color="000000" w:fill="FFFFFF"/>
            <w:noWrap/>
            <w:vAlign w:val="bottom"/>
            <w:hideMark/>
          </w:tcPr>
          <w:p w14:paraId="7ABE97F0"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77</w:t>
            </w:r>
          </w:p>
        </w:tc>
        <w:tc>
          <w:tcPr>
            <w:tcW w:w="1300" w:type="dxa"/>
            <w:tcBorders>
              <w:top w:val="nil"/>
              <w:left w:val="nil"/>
              <w:bottom w:val="nil"/>
              <w:right w:val="single" w:sz="8" w:space="0" w:color="auto"/>
            </w:tcBorders>
            <w:shd w:val="clear" w:color="000000" w:fill="FFFFFF"/>
            <w:noWrap/>
            <w:vAlign w:val="bottom"/>
            <w:hideMark/>
          </w:tcPr>
          <w:p w14:paraId="7CD7CA5E"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33</w:t>
            </w:r>
          </w:p>
        </w:tc>
      </w:tr>
      <w:tr w:rsidR="00784484" w:rsidRPr="00243C46" w14:paraId="60B58302" w14:textId="77777777" w:rsidTr="00DA6D54">
        <w:trPr>
          <w:trHeight w:val="300"/>
        </w:trPr>
        <w:tc>
          <w:tcPr>
            <w:tcW w:w="1740" w:type="dxa"/>
            <w:tcBorders>
              <w:top w:val="nil"/>
              <w:left w:val="single" w:sz="8" w:space="0" w:color="auto"/>
              <w:bottom w:val="nil"/>
              <w:right w:val="nil"/>
            </w:tcBorders>
            <w:shd w:val="clear" w:color="000000" w:fill="FFFFFF"/>
            <w:noWrap/>
            <w:vAlign w:val="bottom"/>
            <w:hideMark/>
          </w:tcPr>
          <w:p w14:paraId="06CA4F2B"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Massimo Dutti</w:t>
            </w:r>
          </w:p>
        </w:tc>
        <w:tc>
          <w:tcPr>
            <w:tcW w:w="1276" w:type="dxa"/>
            <w:tcBorders>
              <w:top w:val="nil"/>
              <w:left w:val="nil"/>
              <w:bottom w:val="nil"/>
              <w:right w:val="nil"/>
            </w:tcBorders>
            <w:shd w:val="clear" w:color="000000" w:fill="FFFFFF"/>
            <w:noWrap/>
            <w:vAlign w:val="bottom"/>
            <w:hideMark/>
          </w:tcPr>
          <w:p w14:paraId="1A4BD1CE"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1,765</w:t>
            </w:r>
          </w:p>
        </w:tc>
        <w:tc>
          <w:tcPr>
            <w:tcW w:w="1276" w:type="dxa"/>
            <w:tcBorders>
              <w:top w:val="nil"/>
              <w:left w:val="nil"/>
              <w:bottom w:val="nil"/>
              <w:right w:val="nil"/>
            </w:tcBorders>
            <w:shd w:val="clear" w:color="000000" w:fill="FFFFFF"/>
            <w:noWrap/>
            <w:vAlign w:val="bottom"/>
            <w:hideMark/>
          </w:tcPr>
          <w:p w14:paraId="69BC939D"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780</w:t>
            </w:r>
          </w:p>
        </w:tc>
        <w:tc>
          <w:tcPr>
            <w:tcW w:w="1559" w:type="dxa"/>
            <w:tcBorders>
              <w:top w:val="nil"/>
              <w:left w:val="nil"/>
              <w:bottom w:val="nil"/>
              <w:right w:val="nil"/>
            </w:tcBorders>
            <w:shd w:val="clear" w:color="000000" w:fill="FFFFFF"/>
            <w:noWrap/>
            <w:vAlign w:val="bottom"/>
            <w:hideMark/>
          </w:tcPr>
          <w:p w14:paraId="0277EEB1"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15</w:t>
            </w:r>
          </w:p>
        </w:tc>
        <w:tc>
          <w:tcPr>
            <w:tcW w:w="1011" w:type="dxa"/>
            <w:tcBorders>
              <w:top w:val="nil"/>
              <w:left w:val="nil"/>
              <w:bottom w:val="nil"/>
              <w:right w:val="nil"/>
            </w:tcBorders>
            <w:shd w:val="clear" w:color="000000" w:fill="FFFFFF"/>
            <w:noWrap/>
            <w:vAlign w:val="bottom"/>
            <w:hideMark/>
          </w:tcPr>
          <w:p w14:paraId="4E0CAB0E"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77</w:t>
            </w:r>
          </w:p>
        </w:tc>
        <w:tc>
          <w:tcPr>
            <w:tcW w:w="1300" w:type="dxa"/>
            <w:tcBorders>
              <w:top w:val="nil"/>
              <w:left w:val="nil"/>
              <w:bottom w:val="nil"/>
              <w:right w:val="single" w:sz="8" w:space="0" w:color="auto"/>
            </w:tcBorders>
            <w:shd w:val="clear" w:color="000000" w:fill="FFFFFF"/>
            <w:noWrap/>
            <w:vAlign w:val="bottom"/>
            <w:hideMark/>
          </w:tcPr>
          <w:p w14:paraId="570B1F1D"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37</w:t>
            </w:r>
          </w:p>
        </w:tc>
      </w:tr>
      <w:tr w:rsidR="00784484" w:rsidRPr="00243C46" w14:paraId="35305E49" w14:textId="77777777" w:rsidTr="00DA6D54">
        <w:trPr>
          <w:trHeight w:val="300"/>
        </w:trPr>
        <w:tc>
          <w:tcPr>
            <w:tcW w:w="1740" w:type="dxa"/>
            <w:tcBorders>
              <w:top w:val="nil"/>
              <w:left w:val="single" w:sz="8" w:space="0" w:color="auto"/>
              <w:bottom w:val="nil"/>
              <w:right w:val="nil"/>
            </w:tcBorders>
            <w:shd w:val="clear" w:color="000000" w:fill="FFFFFF"/>
            <w:noWrap/>
            <w:vAlign w:val="bottom"/>
            <w:hideMark/>
          </w:tcPr>
          <w:p w14:paraId="2E6FDE03"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Bershka</w:t>
            </w:r>
          </w:p>
        </w:tc>
        <w:tc>
          <w:tcPr>
            <w:tcW w:w="1276" w:type="dxa"/>
            <w:tcBorders>
              <w:top w:val="nil"/>
              <w:left w:val="nil"/>
              <w:bottom w:val="nil"/>
              <w:right w:val="nil"/>
            </w:tcBorders>
            <w:shd w:val="clear" w:color="000000" w:fill="FFFFFF"/>
            <w:noWrap/>
            <w:vAlign w:val="bottom"/>
            <w:hideMark/>
          </w:tcPr>
          <w:p w14:paraId="14A4DD5A"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2,227</w:t>
            </w:r>
          </w:p>
        </w:tc>
        <w:tc>
          <w:tcPr>
            <w:tcW w:w="1276" w:type="dxa"/>
            <w:tcBorders>
              <w:top w:val="nil"/>
              <w:left w:val="nil"/>
              <w:bottom w:val="nil"/>
              <w:right w:val="nil"/>
            </w:tcBorders>
            <w:shd w:val="clear" w:color="000000" w:fill="FFFFFF"/>
            <w:noWrap/>
            <w:vAlign w:val="bottom"/>
            <w:hideMark/>
          </w:tcPr>
          <w:p w14:paraId="13CC8B62"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1,098</w:t>
            </w:r>
          </w:p>
        </w:tc>
        <w:tc>
          <w:tcPr>
            <w:tcW w:w="1559" w:type="dxa"/>
            <w:tcBorders>
              <w:top w:val="nil"/>
              <w:left w:val="nil"/>
              <w:bottom w:val="nil"/>
              <w:right w:val="nil"/>
            </w:tcBorders>
            <w:shd w:val="clear" w:color="000000" w:fill="FFFFFF"/>
            <w:noWrap/>
            <w:vAlign w:val="bottom"/>
            <w:hideMark/>
          </w:tcPr>
          <w:p w14:paraId="290BDF3B"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17</w:t>
            </w:r>
          </w:p>
        </w:tc>
        <w:tc>
          <w:tcPr>
            <w:tcW w:w="1011" w:type="dxa"/>
            <w:tcBorders>
              <w:top w:val="nil"/>
              <w:left w:val="nil"/>
              <w:bottom w:val="nil"/>
              <w:right w:val="nil"/>
            </w:tcBorders>
            <w:shd w:val="clear" w:color="000000" w:fill="FFFFFF"/>
            <w:noWrap/>
            <w:vAlign w:val="bottom"/>
            <w:hideMark/>
          </w:tcPr>
          <w:p w14:paraId="477FAFDA"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79</w:t>
            </w:r>
          </w:p>
        </w:tc>
        <w:tc>
          <w:tcPr>
            <w:tcW w:w="1300" w:type="dxa"/>
            <w:tcBorders>
              <w:top w:val="nil"/>
              <w:left w:val="nil"/>
              <w:bottom w:val="nil"/>
              <w:right w:val="single" w:sz="8" w:space="0" w:color="auto"/>
            </w:tcBorders>
            <w:shd w:val="clear" w:color="000000" w:fill="FFFFFF"/>
            <w:noWrap/>
            <w:vAlign w:val="bottom"/>
            <w:hideMark/>
          </w:tcPr>
          <w:p w14:paraId="088A1ABC"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35</w:t>
            </w:r>
          </w:p>
        </w:tc>
      </w:tr>
      <w:tr w:rsidR="00784484" w:rsidRPr="00243C46" w14:paraId="0CEC7E76" w14:textId="77777777" w:rsidTr="00DA6D54">
        <w:trPr>
          <w:trHeight w:val="300"/>
        </w:trPr>
        <w:tc>
          <w:tcPr>
            <w:tcW w:w="1740" w:type="dxa"/>
            <w:tcBorders>
              <w:top w:val="nil"/>
              <w:left w:val="single" w:sz="8" w:space="0" w:color="auto"/>
              <w:bottom w:val="nil"/>
              <w:right w:val="nil"/>
            </w:tcBorders>
            <w:shd w:val="clear" w:color="000000" w:fill="FFFFFF"/>
            <w:noWrap/>
            <w:vAlign w:val="bottom"/>
            <w:hideMark/>
          </w:tcPr>
          <w:p w14:paraId="1B9DF502"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Stradivarius</w:t>
            </w:r>
          </w:p>
        </w:tc>
        <w:tc>
          <w:tcPr>
            <w:tcW w:w="1276" w:type="dxa"/>
            <w:tcBorders>
              <w:top w:val="nil"/>
              <w:left w:val="nil"/>
              <w:bottom w:val="nil"/>
              <w:right w:val="nil"/>
            </w:tcBorders>
            <w:shd w:val="clear" w:color="000000" w:fill="FFFFFF"/>
            <w:noWrap/>
            <w:vAlign w:val="bottom"/>
            <w:hideMark/>
          </w:tcPr>
          <w:p w14:paraId="15CD0314"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1,480</w:t>
            </w:r>
          </w:p>
        </w:tc>
        <w:tc>
          <w:tcPr>
            <w:tcW w:w="1276" w:type="dxa"/>
            <w:tcBorders>
              <w:top w:val="nil"/>
              <w:left w:val="nil"/>
              <w:bottom w:val="nil"/>
              <w:right w:val="nil"/>
            </w:tcBorders>
            <w:shd w:val="clear" w:color="000000" w:fill="FFFFFF"/>
            <w:noWrap/>
            <w:vAlign w:val="bottom"/>
            <w:hideMark/>
          </w:tcPr>
          <w:p w14:paraId="74FBD654"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1,017</w:t>
            </w:r>
          </w:p>
        </w:tc>
        <w:tc>
          <w:tcPr>
            <w:tcW w:w="1559" w:type="dxa"/>
            <w:tcBorders>
              <w:top w:val="nil"/>
              <w:left w:val="nil"/>
              <w:bottom w:val="nil"/>
              <w:right w:val="nil"/>
            </w:tcBorders>
            <w:shd w:val="clear" w:color="000000" w:fill="FFFFFF"/>
            <w:noWrap/>
            <w:vAlign w:val="bottom"/>
            <w:hideMark/>
          </w:tcPr>
          <w:p w14:paraId="7C5A39F7"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23</w:t>
            </w:r>
          </w:p>
        </w:tc>
        <w:tc>
          <w:tcPr>
            <w:tcW w:w="1011" w:type="dxa"/>
            <w:tcBorders>
              <w:top w:val="nil"/>
              <w:left w:val="nil"/>
              <w:bottom w:val="nil"/>
              <w:right w:val="nil"/>
            </w:tcBorders>
            <w:shd w:val="clear" w:color="000000" w:fill="FFFFFF"/>
            <w:noWrap/>
            <w:vAlign w:val="bottom"/>
            <w:hideMark/>
          </w:tcPr>
          <w:p w14:paraId="2C6EB6D6"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76</w:t>
            </w:r>
          </w:p>
        </w:tc>
        <w:tc>
          <w:tcPr>
            <w:tcW w:w="1300" w:type="dxa"/>
            <w:tcBorders>
              <w:top w:val="nil"/>
              <w:left w:val="nil"/>
              <w:bottom w:val="nil"/>
              <w:right w:val="single" w:sz="8" w:space="0" w:color="auto"/>
            </w:tcBorders>
            <w:shd w:val="clear" w:color="000000" w:fill="FFFFFF"/>
            <w:noWrap/>
            <w:vAlign w:val="bottom"/>
            <w:hideMark/>
          </w:tcPr>
          <w:p w14:paraId="2E68FE32"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32</w:t>
            </w:r>
          </w:p>
        </w:tc>
      </w:tr>
      <w:tr w:rsidR="00784484" w:rsidRPr="00243C46" w14:paraId="26D411DD" w14:textId="77777777" w:rsidTr="00DA6D54">
        <w:trPr>
          <w:trHeight w:val="300"/>
        </w:trPr>
        <w:tc>
          <w:tcPr>
            <w:tcW w:w="1740" w:type="dxa"/>
            <w:tcBorders>
              <w:top w:val="nil"/>
              <w:left w:val="single" w:sz="8" w:space="0" w:color="auto"/>
              <w:bottom w:val="nil"/>
              <w:right w:val="nil"/>
            </w:tcBorders>
            <w:shd w:val="clear" w:color="000000" w:fill="FFFFFF"/>
            <w:noWrap/>
            <w:vAlign w:val="bottom"/>
            <w:hideMark/>
          </w:tcPr>
          <w:p w14:paraId="67BC347B"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Oysho</w:t>
            </w:r>
          </w:p>
        </w:tc>
        <w:tc>
          <w:tcPr>
            <w:tcW w:w="1276" w:type="dxa"/>
            <w:tcBorders>
              <w:top w:val="nil"/>
              <w:left w:val="nil"/>
              <w:bottom w:val="nil"/>
              <w:right w:val="nil"/>
            </w:tcBorders>
            <w:shd w:val="clear" w:color="000000" w:fill="FFFFFF"/>
            <w:noWrap/>
            <w:vAlign w:val="bottom"/>
            <w:hideMark/>
          </w:tcPr>
          <w:p w14:paraId="3A3634B1"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570</w:t>
            </w:r>
          </w:p>
        </w:tc>
        <w:tc>
          <w:tcPr>
            <w:tcW w:w="1276" w:type="dxa"/>
            <w:tcBorders>
              <w:top w:val="nil"/>
              <w:left w:val="nil"/>
              <w:bottom w:val="nil"/>
              <w:right w:val="nil"/>
            </w:tcBorders>
            <w:shd w:val="clear" w:color="000000" w:fill="FFFFFF"/>
            <w:noWrap/>
            <w:vAlign w:val="bottom"/>
            <w:hideMark/>
          </w:tcPr>
          <w:p w14:paraId="4C903441"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670</w:t>
            </w:r>
          </w:p>
        </w:tc>
        <w:tc>
          <w:tcPr>
            <w:tcW w:w="1559" w:type="dxa"/>
            <w:tcBorders>
              <w:top w:val="nil"/>
              <w:left w:val="nil"/>
              <w:bottom w:val="nil"/>
              <w:right w:val="nil"/>
            </w:tcBorders>
            <w:shd w:val="clear" w:color="000000" w:fill="FFFFFF"/>
            <w:noWrap/>
            <w:vAlign w:val="bottom"/>
            <w:hideMark/>
          </w:tcPr>
          <w:p w14:paraId="5331862B"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34</w:t>
            </w:r>
          </w:p>
        </w:tc>
        <w:tc>
          <w:tcPr>
            <w:tcW w:w="1011" w:type="dxa"/>
            <w:tcBorders>
              <w:top w:val="nil"/>
              <w:left w:val="nil"/>
              <w:bottom w:val="nil"/>
              <w:right w:val="nil"/>
            </w:tcBorders>
            <w:shd w:val="clear" w:color="000000" w:fill="FFFFFF"/>
            <w:noWrap/>
            <w:vAlign w:val="bottom"/>
            <w:hideMark/>
          </w:tcPr>
          <w:p w14:paraId="2DF4F052"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65</w:t>
            </w:r>
          </w:p>
        </w:tc>
        <w:tc>
          <w:tcPr>
            <w:tcW w:w="1300" w:type="dxa"/>
            <w:tcBorders>
              <w:top w:val="nil"/>
              <w:left w:val="nil"/>
              <w:bottom w:val="nil"/>
              <w:right w:val="single" w:sz="8" w:space="0" w:color="auto"/>
            </w:tcBorders>
            <w:shd w:val="clear" w:color="000000" w:fill="FFFFFF"/>
            <w:noWrap/>
            <w:vAlign w:val="bottom"/>
            <w:hideMark/>
          </w:tcPr>
          <w:p w14:paraId="28B44552"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33</w:t>
            </w:r>
          </w:p>
        </w:tc>
      </w:tr>
      <w:tr w:rsidR="00784484" w:rsidRPr="00243C46" w14:paraId="12ACC14C" w14:textId="77777777" w:rsidTr="00DA6D54">
        <w:trPr>
          <w:trHeight w:val="300"/>
        </w:trPr>
        <w:tc>
          <w:tcPr>
            <w:tcW w:w="1740" w:type="dxa"/>
            <w:tcBorders>
              <w:top w:val="nil"/>
              <w:left w:val="single" w:sz="8" w:space="0" w:color="auto"/>
              <w:bottom w:val="nil"/>
              <w:right w:val="nil"/>
            </w:tcBorders>
            <w:shd w:val="clear" w:color="000000" w:fill="FFFFFF"/>
            <w:noWrap/>
            <w:vAlign w:val="bottom"/>
            <w:hideMark/>
          </w:tcPr>
          <w:p w14:paraId="30BE122B"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Zara Home</w:t>
            </w:r>
          </w:p>
        </w:tc>
        <w:tc>
          <w:tcPr>
            <w:tcW w:w="1276" w:type="dxa"/>
            <w:tcBorders>
              <w:top w:val="nil"/>
              <w:left w:val="nil"/>
              <w:bottom w:val="nil"/>
              <w:right w:val="nil"/>
            </w:tcBorders>
            <w:shd w:val="clear" w:color="000000" w:fill="FFFFFF"/>
            <w:noWrap/>
            <w:vAlign w:val="bottom"/>
            <w:hideMark/>
          </w:tcPr>
          <w:p w14:paraId="06CBCF05"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830</w:t>
            </w:r>
          </w:p>
        </w:tc>
        <w:tc>
          <w:tcPr>
            <w:tcW w:w="1276" w:type="dxa"/>
            <w:tcBorders>
              <w:top w:val="nil"/>
              <w:left w:val="nil"/>
              <w:bottom w:val="nil"/>
              <w:right w:val="nil"/>
            </w:tcBorders>
            <w:shd w:val="clear" w:color="000000" w:fill="FFFFFF"/>
            <w:noWrap/>
            <w:vAlign w:val="bottom"/>
            <w:hideMark/>
          </w:tcPr>
          <w:p w14:paraId="53D1ACA9"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590</w:t>
            </w:r>
          </w:p>
        </w:tc>
        <w:tc>
          <w:tcPr>
            <w:tcW w:w="1559" w:type="dxa"/>
            <w:tcBorders>
              <w:top w:val="nil"/>
              <w:left w:val="nil"/>
              <w:bottom w:val="nil"/>
              <w:right w:val="nil"/>
            </w:tcBorders>
            <w:shd w:val="clear" w:color="000000" w:fill="FFFFFF"/>
            <w:noWrap/>
            <w:vAlign w:val="bottom"/>
            <w:hideMark/>
          </w:tcPr>
          <w:p w14:paraId="2DD9B1ED"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38</w:t>
            </w:r>
          </w:p>
        </w:tc>
        <w:tc>
          <w:tcPr>
            <w:tcW w:w="1011" w:type="dxa"/>
            <w:tcBorders>
              <w:top w:val="nil"/>
              <w:left w:val="nil"/>
              <w:bottom w:val="nil"/>
              <w:right w:val="nil"/>
            </w:tcBorders>
            <w:shd w:val="clear" w:color="000000" w:fill="FFFFFF"/>
            <w:noWrap/>
            <w:vAlign w:val="bottom"/>
            <w:hideMark/>
          </w:tcPr>
          <w:p w14:paraId="138BA578"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75</w:t>
            </w:r>
          </w:p>
        </w:tc>
        <w:tc>
          <w:tcPr>
            <w:tcW w:w="1300" w:type="dxa"/>
            <w:tcBorders>
              <w:top w:val="nil"/>
              <w:left w:val="nil"/>
              <w:bottom w:val="nil"/>
              <w:right w:val="single" w:sz="8" w:space="0" w:color="auto"/>
            </w:tcBorders>
            <w:shd w:val="clear" w:color="000000" w:fill="FFFFFF"/>
            <w:noWrap/>
            <w:vAlign w:val="bottom"/>
            <w:hideMark/>
          </w:tcPr>
          <w:p w14:paraId="6F57B44C"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37</w:t>
            </w:r>
          </w:p>
        </w:tc>
      </w:tr>
      <w:tr w:rsidR="00784484" w:rsidRPr="00243C46" w14:paraId="6B2B0B51" w14:textId="77777777" w:rsidTr="00DA6D54">
        <w:trPr>
          <w:trHeight w:val="300"/>
        </w:trPr>
        <w:tc>
          <w:tcPr>
            <w:tcW w:w="1740" w:type="dxa"/>
            <w:tcBorders>
              <w:top w:val="nil"/>
              <w:left w:val="single" w:sz="8" w:space="0" w:color="auto"/>
              <w:bottom w:val="single" w:sz="4" w:space="0" w:color="auto"/>
              <w:right w:val="nil"/>
            </w:tcBorders>
            <w:shd w:val="clear" w:color="000000" w:fill="FFFFFF"/>
            <w:noWrap/>
            <w:vAlign w:val="bottom"/>
            <w:hideMark/>
          </w:tcPr>
          <w:p w14:paraId="0880337D" w14:textId="77777777"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Uterque</w:t>
            </w:r>
          </w:p>
        </w:tc>
        <w:tc>
          <w:tcPr>
            <w:tcW w:w="1276" w:type="dxa"/>
            <w:tcBorders>
              <w:top w:val="nil"/>
              <w:left w:val="nil"/>
              <w:bottom w:val="single" w:sz="4" w:space="0" w:color="auto"/>
              <w:right w:val="nil"/>
            </w:tcBorders>
            <w:shd w:val="clear" w:color="000000" w:fill="FFFFFF"/>
            <w:noWrap/>
            <w:vAlign w:val="bottom"/>
            <w:hideMark/>
          </w:tcPr>
          <w:p w14:paraId="394402B3"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97</w:t>
            </w:r>
          </w:p>
        </w:tc>
        <w:tc>
          <w:tcPr>
            <w:tcW w:w="1276" w:type="dxa"/>
            <w:tcBorders>
              <w:top w:val="nil"/>
              <w:left w:val="nil"/>
              <w:bottom w:val="single" w:sz="4" w:space="0" w:color="auto"/>
              <w:right w:val="nil"/>
            </w:tcBorders>
            <w:shd w:val="clear" w:color="000000" w:fill="FFFFFF"/>
            <w:noWrap/>
            <w:vAlign w:val="bottom"/>
            <w:hideMark/>
          </w:tcPr>
          <w:p w14:paraId="01286107"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90</w:t>
            </w:r>
          </w:p>
        </w:tc>
        <w:tc>
          <w:tcPr>
            <w:tcW w:w="1559" w:type="dxa"/>
            <w:tcBorders>
              <w:top w:val="nil"/>
              <w:left w:val="nil"/>
              <w:bottom w:val="single" w:sz="4" w:space="0" w:color="auto"/>
              <w:right w:val="nil"/>
            </w:tcBorders>
            <w:shd w:val="clear" w:color="000000" w:fill="FFFFFF"/>
            <w:noWrap/>
            <w:vAlign w:val="bottom"/>
            <w:hideMark/>
          </w:tcPr>
          <w:p w14:paraId="051EEE69"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12</w:t>
            </w:r>
          </w:p>
        </w:tc>
        <w:tc>
          <w:tcPr>
            <w:tcW w:w="1011" w:type="dxa"/>
            <w:tcBorders>
              <w:top w:val="nil"/>
              <w:left w:val="nil"/>
              <w:bottom w:val="single" w:sz="4" w:space="0" w:color="auto"/>
              <w:right w:val="nil"/>
            </w:tcBorders>
            <w:shd w:val="clear" w:color="000000" w:fill="FFFFFF"/>
            <w:noWrap/>
            <w:vAlign w:val="bottom"/>
            <w:hideMark/>
          </w:tcPr>
          <w:p w14:paraId="0EACF3B6"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41</w:t>
            </w:r>
          </w:p>
        </w:tc>
        <w:tc>
          <w:tcPr>
            <w:tcW w:w="1300" w:type="dxa"/>
            <w:tcBorders>
              <w:top w:val="nil"/>
              <w:left w:val="nil"/>
              <w:bottom w:val="single" w:sz="4" w:space="0" w:color="auto"/>
              <w:right w:val="single" w:sz="8" w:space="0" w:color="auto"/>
            </w:tcBorders>
            <w:shd w:val="clear" w:color="000000" w:fill="FFFFFF"/>
            <w:noWrap/>
            <w:vAlign w:val="bottom"/>
            <w:hideMark/>
          </w:tcPr>
          <w:p w14:paraId="1C0E499F" w14:textId="77777777" w:rsidR="00784484" w:rsidRPr="00243C46" w:rsidRDefault="00784484" w:rsidP="004A0048">
            <w:pPr>
              <w:jc w:val="right"/>
              <w:rPr>
                <w:rFonts w:ascii="Arial" w:hAnsi="Arial" w:cs="Arial"/>
                <w:color w:val="000000"/>
                <w:sz w:val="20"/>
                <w:szCs w:val="20"/>
                <w:lang w:val="en-GB"/>
              </w:rPr>
            </w:pPr>
            <w:r w:rsidRPr="00243C46">
              <w:rPr>
                <w:rFonts w:ascii="Arial" w:hAnsi="Arial" w:cs="Arial"/>
                <w:color w:val="000000"/>
                <w:sz w:val="20"/>
                <w:szCs w:val="20"/>
                <w:lang w:val="en-GB"/>
              </w:rPr>
              <w:t>30</w:t>
            </w:r>
          </w:p>
        </w:tc>
      </w:tr>
      <w:tr w:rsidR="00784484" w:rsidRPr="00243C46" w14:paraId="470B456A" w14:textId="77777777" w:rsidTr="00DA6D54">
        <w:trPr>
          <w:trHeight w:val="320"/>
        </w:trPr>
        <w:tc>
          <w:tcPr>
            <w:tcW w:w="1740" w:type="dxa"/>
            <w:tcBorders>
              <w:top w:val="nil"/>
              <w:left w:val="single" w:sz="8" w:space="0" w:color="auto"/>
              <w:bottom w:val="single" w:sz="8" w:space="0" w:color="auto"/>
              <w:right w:val="nil"/>
            </w:tcBorders>
            <w:shd w:val="clear" w:color="000000" w:fill="FFFFFF"/>
            <w:noWrap/>
            <w:vAlign w:val="bottom"/>
            <w:hideMark/>
          </w:tcPr>
          <w:p w14:paraId="6D5E1B6F" w14:textId="6927E51D" w:rsidR="00784484" w:rsidRPr="00243C46" w:rsidRDefault="00784484" w:rsidP="00784484">
            <w:pPr>
              <w:rPr>
                <w:rFonts w:ascii="Arial" w:hAnsi="Arial" w:cs="Arial"/>
                <w:b/>
                <w:bCs/>
                <w:color w:val="000000"/>
                <w:sz w:val="20"/>
                <w:szCs w:val="20"/>
                <w:lang w:val="en-GB"/>
              </w:rPr>
            </w:pPr>
            <w:r w:rsidRPr="00243C46">
              <w:rPr>
                <w:rFonts w:ascii="Arial" w:hAnsi="Arial" w:cs="Arial"/>
                <w:b/>
                <w:bCs/>
                <w:color w:val="000000"/>
                <w:sz w:val="20"/>
                <w:szCs w:val="20"/>
                <w:lang w:val="en-GB"/>
              </w:rPr>
              <w:t>Total</w:t>
            </w:r>
          </w:p>
        </w:tc>
        <w:tc>
          <w:tcPr>
            <w:tcW w:w="1276" w:type="dxa"/>
            <w:tcBorders>
              <w:top w:val="nil"/>
              <w:left w:val="nil"/>
              <w:bottom w:val="single" w:sz="8" w:space="0" w:color="auto"/>
              <w:right w:val="nil"/>
            </w:tcBorders>
            <w:shd w:val="clear" w:color="000000" w:fill="FFFFFF"/>
            <w:noWrap/>
            <w:vAlign w:val="bottom"/>
            <w:hideMark/>
          </w:tcPr>
          <w:p w14:paraId="4E4F58A6" w14:textId="77777777" w:rsidR="00784484" w:rsidRPr="00243C46" w:rsidRDefault="00784484" w:rsidP="004A0048">
            <w:pPr>
              <w:jc w:val="right"/>
              <w:rPr>
                <w:rFonts w:ascii="Arial" w:hAnsi="Arial" w:cs="Arial"/>
                <w:b/>
                <w:bCs/>
                <w:color w:val="000000"/>
                <w:sz w:val="20"/>
                <w:szCs w:val="20"/>
                <w:lang w:val="en-GB"/>
              </w:rPr>
            </w:pPr>
            <w:r w:rsidRPr="00243C46">
              <w:rPr>
                <w:rFonts w:ascii="Arial" w:hAnsi="Arial" w:cs="Arial"/>
                <w:b/>
                <w:bCs/>
                <w:color w:val="000000"/>
                <w:sz w:val="20"/>
                <w:szCs w:val="20"/>
                <w:lang w:val="en-GB"/>
              </w:rPr>
              <w:t>25,336</w:t>
            </w:r>
          </w:p>
        </w:tc>
        <w:tc>
          <w:tcPr>
            <w:tcW w:w="1276" w:type="dxa"/>
            <w:tcBorders>
              <w:top w:val="nil"/>
              <w:left w:val="nil"/>
              <w:bottom w:val="single" w:sz="8" w:space="0" w:color="auto"/>
              <w:right w:val="nil"/>
            </w:tcBorders>
            <w:shd w:val="clear" w:color="000000" w:fill="FFFFFF"/>
            <w:noWrap/>
            <w:vAlign w:val="bottom"/>
            <w:hideMark/>
          </w:tcPr>
          <w:p w14:paraId="5508C4BA" w14:textId="77777777" w:rsidR="00784484" w:rsidRPr="00243C46" w:rsidRDefault="00784484" w:rsidP="004A0048">
            <w:pPr>
              <w:jc w:val="right"/>
              <w:rPr>
                <w:rFonts w:ascii="Arial" w:hAnsi="Arial" w:cs="Arial"/>
                <w:b/>
                <w:bCs/>
                <w:color w:val="000000"/>
                <w:sz w:val="20"/>
                <w:szCs w:val="20"/>
                <w:lang w:val="en-GB"/>
              </w:rPr>
            </w:pPr>
            <w:r w:rsidRPr="00243C46">
              <w:rPr>
                <w:rFonts w:ascii="Arial" w:hAnsi="Arial" w:cs="Arial"/>
                <w:b/>
                <w:bCs/>
                <w:color w:val="000000"/>
                <w:sz w:val="20"/>
                <w:szCs w:val="20"/>
                <w:lang w:val="en-GB"/>
              </w:rPr>
              <w:t>7,475</w:t>
            </w:r>
          </w:p>
        </w:tc>
        <w:tc>
          <w:tcPr>
            <w:tcW w:w="1559" w:type="dxa"/>
            <w:tcBorders>
              <w:top w:val="nil"/>
              <w:left w:val="nil"/>
              <w:bottom w:val="single" w:sz="8" w:space="0" w:color="auto"/>
              <w:right w:val="nil"/>
            </w:tcBorders>
            <w:shd w:val="clear" w:color="000000" w:fill="FFFFFF"/>
            <w:noWrap/>
            <w:vAlign w:val="bottom"/>
            <w:hideMark/>
          </w:tcPr>
          <w:p w14:paraId="4C6FE70A" w14:textId="77777777" w:rsidR="00784484" w:rsidRPr="00243C46" w:rsidRDefault="00784484" w:rsidP="004A0048">
            <w:pPr>
              <w:jc w:val="right"/>
              <w:rPr>
                <w:rFonts w:ascii="Arial" w:hAnsi="Arial" w:cs="Arial"/>
                <w:b/>
                <w:bCs/>
                <w:color w:val="000000"/>
                <w:sz w:val="20"/>
                <w:szCs w:val="20"/>
                <w:lang w:val="en-GB"/>
              </w:rPr>
            </w:pPr>
            <w:r w:rsidRPr="00243C46">
              <w:rPr>
                <w:rFonts w:ascii="Arial" w:hAnsi="Arial" w:cs="Arial"/>
                <w:b/>
                <w:bCs/>
                <w:color w:val="000000"/>
                <w:sz w:val="20"/>
                <w:szCs w:val="20"/>
                <w:lang w:val="en-GB"/>
              </w:rPr>
              <w:t>196</w:t>
            </w:r>
          </w:p>
        </w:tc>
        <w:tc>
          <w:tcPr>
            <w:tcW w:w="1011" w:type="dxa"/>
            <w:tcBorders>
              <w:top w:val="nil"/>
              <w:left w:val="nil"/>
              <w:bottom w:val="single" w:sz="8" w:space="0" w:color="auto"/>
              <w:right w:val="nil"/>
            </w:tcBorders>
            <w:shd w:val="clear" w:color="000000" w:fill="FFFFFF"/>
            <w:noWrap/>
            <w:vAlign w:val="bottom"/>
            <w:hideMark/>
          </w:tcPr>
          <w:p w14:paraId="7BFF51CE" w14:textId="77777777" w:rsidR="00784484" w:rsidRPr="00243C46" w:rsidRDefault="00784484" w:rsidP="004A0048">
            <w:pPr>
              <w:jc w:val="right"/>
              <w:rPr>
                <w:rFonts w:ascii="Arial" w:hAnsi="Arial" w:cs="Arial"/>
                <w:b/>
                <w:bCs/>
                <w:color w:val="000000"/>
                <w:sz w:val="20"/>
                <w:szCs w:val="20"/>
                <w:lang w:val="en-GB"/>
              </w:rPr>
            </w:pPr>
            <w:r w:rsidRPr="00243C46">
              <w:rPr>
                <w:rFonts w:ascii="Arial" w:hAnsi="Arial" w:cs="Arial"/>
                <w:b/>
                <w:bCs/>
                <w:color w:val="000000"/>
                <w:sz w:val="20"/>
                <w:szCs w:val="20"/>
                <w:lang w:val="en-GB"/>
              </w:rPr>
              <w:t> </w:t>
            </w:r>
          </w:p>
        </w:tc>
        <w:tc>
          <w:tcPr>
            <w:tcW w:w="1300" w:type="dxa"/>
            <w:tcBorders>
              <w:top w:val="nil"/>
              <w:left w:val="nil"/>
              <w:bottom w:val="single" w:sz="8" w:space="0" w:color="auto"/>
              <w:right w:val="single" w:sz="8" w:space="0" w:color="auto"/>
            </w:tcBorders>
            <w:shd w:val="clear" w:color="000000" w:fill="FFFFFF"/>
            <w:noWrap/>
            <w:vAlign w:val="bottom"/>
            <w:hideMark/>
          </w:tcPr>
          <w:p w14:paraId="0CF2509D" w14:textId="77777777" w:rsidR="00784484" w:rsidRPr="00243C46" w:rsidRDefault="00784484" w:rsidP="004A0048">
            <w:pPr>
              <w:jc w:val="right"/>
              <w:rPr>
                <w:rFonts w:ascii="Arial" w:hAnsi="Arial" w:cs="Arial"/>
                <w:b/>
                <w:bCs/>
                <w:color w:val="000000"/>
                <w:sz w:val="20"/>
                <w:szCs w:val="20"/>
                <w:lang w:val="en-GB"/>
              </w:rPr>
            </w:pPr>
            <w:r w:rsidRPr="00243C46">
              <w:rPr>
                <w:rFonts w:ascii="Arial" w:hAnsi="Arial" w:cs="Arial"/>
                <w:b/>
                <w:bCs/>
                <w:color w:val="000000"/>
                <w:sz w:val="20"/>
                <w:szCs w:val="20"/>
                <w:lang w:val="en-GB"/>
              </w:rPr>
              <w:t> </w:t>
            </w:r>
          </w:p>
        </w:tc>
      </w:tr>
    </w:tbl>
    <w:p w14:paraId="4B63637C" w14:textId="1251774B" w:rsidR="006A1A09" w:rsidRPr="00243C46" w:rsidRDefault="006A1A09" w:rsidP="00E24FF1">
      <w:pPr>
        <w:pStyle w:val="Casehead1"/>
        <w:jc w:val="center"/>
        <w:rPr>
          <w:lang w:val="en-GB"/>
        </w:rPr>
      </w:pPr>
    </w:p>
    <w:p w14:paraId="06C61C44" w14:textId="625566DC" w:rsidR="0023299E" w:rsidRPr="00243C46" w:rsidRDefault="0023299E" w:rsidP="00B30C87">
      <w:pPr>
        <w:pStyle w:val="Footnote"/>
        <w:rPr>
          <w:lang w:val="en-GB"/>
        </w:rPr>
      </w:pPr>
      <w:r w:rsidRPr="00243C46">
        <w:rPr>
          <w:lang w:val="en-GB"/>
        </w:rPr>
        <w:t>Note: € = EUR = euro; €1 = US$1.147 as of January 9, 2019</w:t>
      </w:r>
      <w:r w:rsidR="00DA1403" w:rsidRPr="00243C46">
        <w:rPr>
          <w:lang w:val="en-GB"/>
        </w:rPr>
        <w:t>.</w:t>
      </w:r>
    </w:p>
    <w:p w14:paraId="5D108D74" w14:textId="0157FAF7" w:rsidR="00AA1B7D" w:rsidRPr="00243C46" w:rsidRDefault="00DA6D54" w:rsidP="00B30C87">
      <w:pPr>
        <w:pStyle w:val="Footnote"/>
        <w:rPr>
          <w:lang w:val="en-GB"/>
        </w:rPr>
      </w:pPr>
      <w:r w:rsidRPr="00243C46">
        <w:rPr>
          <w:lang w:val="en-GB"/>
        </w:rPr>
        <w:t>S</w:t>
      </w:r>
      <w:r w:rsidR="00C45FD2" w:rsidRPr="00243C46">
        <w:rPr>
          <w:lang w:val="en-GB"/>
        </w:rPr>
        <w:t>ource</w:t>
      </w:r>
      <w:r w:rsidR="00AB5EC6" w:rsidRPr="00243C46">
        <w:rPr>
          <w:lang w:val="en-GB"/>
        </w:rPr>
        <w:t xml:space="preserve">: </w:t>
      </w:r>
      <w:r w:rsidR="00DA1403" w:rsidRPr="00243C46">
        <w:rPr>
          <w:lang w:val="en-GB"/>
        </w:rPr>
        <w:t xml:space="preserve">Created by case authors based on data from </w:t>
      </w:r>
      <w:r w:rsidR="00910987" w:rsidRPr="00243C46">
        <w:rPr>
          <w:lang w:val="en-GB"/>
        </w:rPr>
        <w:t xml:space="preserve">Inditex, </w:t>
      </w:r>
      <w:r w:rsidR="00AB5EC6" w:rsidRPr="00243C46">
        <w:rPr>
          <w:lang w:val="en-GB"/>
        </w:rPr>
        <w:t>Inditex</w:t>
      </w:r>
      <w:r w:rsidR="001B6238" w:rsidRPr="00243C46">
        <w:rPr>
          <w:lang w:val="en-GB"/>
        </w:rPr>
        <w:t xml:space="preserve"> </w:t>
      </w:r>
      <w:r w:rsidR="00AA1B7D" w:rsidRPr="00243C46">
        <w:rPr>
          <w:lang w:val="en-GB"/>
        </w:rPr>
        <w:t>Annual Report</w:t>
      </w:r>
      <w:r w:rsidR="001B6238" w:rsidRPr="00243C46">
        <w:rPr>
          <w:lang w:val="en-GB"/>
        </w:rPr>
        <w:t xml:space="preserve"> 2017</w:t>
      </w:r>
      <w:r w:rsidR="00AB5EC6" w:rsidRPr="00243C46">
        <w:rPr>
          <w:lang w:val="en-GB"/>
        </w:rPr>
        <w:t xml:space="preserve">, </w:t>
      </w:r>
      <w:r w:rsidR="00B7106D" w:rsidRPr="00243C46">
        <w:rPr>
          <w:lang w:val="en-GB"/>
        </w:rPr>
        <w:t>16</w:t>
      </w:r>
      <w:r w:rsidR="001B6238" w:rsidRPr="00243C46">
        <w:rPr>
          <w:lang w:val="en-GB"/>
        </w:rPr>
        <w:t>–</w:t>
      </w:r>
      <w:r w:rsidR="00B7106D" w:rsidRPr="00243C46">
        <w:rPr>
          <w:lang w:val="en-GB"/>
        </w:rPr>
        <w:t xml:space="preserve">23, </w:t>
      </w:r>
      <w:r w:rsidR="00AB5EC6" w:rsidRPr="00243C46">
        <w:rPr>
          <w:lang w:val="en-GB"/>
        </w:rPr>
        <w:t xml:space="preserve">June </w:t>
      </w:r>
      <w:r w:rsidR="00B7106D" w:rsidRPr="00243C46">
        <w:rPr>
          <w:lang w:val="en-GB"/>
        </w:rPr>
        <w:t>2017</w:t>
      </w:r>
      <w:r w:rsidR="00AB5EC6" w:rsidRPr="00243C46">
        <w:rPr>
          <w:lang w:val="en-GB"/>
        </w:rPr>
        <w:t>,</w:t>
      </w:r>
      <w:r w:rsidR="00E54086" w:rsidRPr="00243C46">
        <w:rPr>
          <w:lang w:val="en-GB"/>
        </w:rPr>
        <w:t xml:space="preserve"> </w:t>
      </w:r>
      <w:r w:rsidR="003012F8" w:rsidRPr="00243C46">
        <w:rPr>
          <w:lang w:val="en-GB"/>
        </w:rPr>
        <w:t xml:space="preserve">accessed January 15, 2017, </w:t>
      </w:r>
      <w:r w:rsidR="00B7106D" w:rsidRPr="00243C46">
        <w:rPr>
          <w:lang w:val="en-GB"/>
        </w:rPr>
        <w:t>https://www.inditex.com/documents/10279/563475/2017+Inditex+Annual+Report.pdf/f5bebfa4-edd2-ed6d-248a-8afb85c731d0</w:t>
      </w:r>
      <w:r w:rsidR="004A321E" w:rsidRPr="00243C46">
        <w:rPr>
          <w:rStyle w:val="Hyperlink"/>
          <w:i/>
          <w:color w:val="auto"/>
          <w:u w:val="none"/>
          <w:lang w:val="en-GB"/>
        </w:rPr>
        <w:t>.</w:t>
      </w:r>
      <w:r w:rsidR="00AA1B7D" w:rsidRPr="00243C46">
        <w:rPr>
          <w:lang w:val="en-GB"/>
        </w:rPr>
        <w:t xml:space="preserve"> </w:t>
      </w:r>
    </w:p>
    <w:p w14:paraId="7B9815D0" w14:textId="66F37DF0" w:rsidR="004A321E" w:rsidRPr="00243C46" w:rsidRDefault="004A321E" w:rsidP="005063AC">
      <w:pPr>
        <w:pStyle w:val="BodyTextMain"/>
        <w:rPr>
          <w:sz w:val="18"/>
          <w:lang w:val="en-GB"/>
        </w:rPr>
      </w:pPr>
    </w:p>
    <w:p w14:paraId="40318037" w14:textId="77777777" w:rsidR="00C04471" w:rsidRPr="00243C46" w:rsidRDefault="00C04471" w:rsidP="00B30C87">
      <w:pPr>
        <w:pStyle w:val="Footnote"/>
        <w:rPr>
          <w:lang w:val="en-GB"/>
        </w:rPr>
      </w:pPr>
    </w:p>
    <w:p w14:paraId="03F977D9" w14:textId="77777777" w:rsidR="00C04471" w:rsidRPr="00243C46" w:rsidRDefault="00C04471" w:rsidP="00C04471">
      <w:pPr>
        <w:pStyle w:val="Casehead1"/>
        <w:rPr>
          <w:sz w:val="14"/>
          <w:lang w:val="en-GB"/>
        </w:rPr>
      </w:pPr>
    </w:p>
    <w:p w14:paraId="147766B9" w14:textId="1C444498" w:rsidR="00C04471" w:rsidRPr="00243C46" w:rsidRDefault="00C45FD2" w:rsidP="00DA6D54">
      <w:pPr>
        <w:spacing w:after="200" w:line="276" w:lineRule="auto"/>
        <w:rPr>
          <w:sz w:val="20"/>
          <w:szCs w:val="20"/>
          <w:lang w:val="en-GB"/>
        </w:rPr>
      </w:pPr>
      <w:r w:rsidRPr="00243C46">
        <w:rPr>
          <w:sz w:val="20"/>
          <w:szCs w:val="20"/>
          <w:lang w:val="en-GB"/>
        </w:rPr>
        <w:br w:type="page"/>
      </w:r>
    </w:p>
    <w:p w14:paraId="11EDED00" w14:textId="6FA9CBA6" w:rsidR="00AD2E0D" w:rsidRPr="00243C46" w:rsidRDefault="00AD2E0D" w:rsidP="00AD2E0D">
      <w:pPr>
        <w:pStyle w:val="Casehead1"/>
        <w:rPr>
          <w:lang w:val="en-GB"/>
        </w:rPr>
      </w:pPr>
      <w:r w:rsidRPr="00243C46">
        <w:rPr>
          <w:lang w:val="en-GB"/>
        </w:rPr>
        <w:lastRenderedPageBreak/>
        <w:t>endnotes</w:t>
      </w:r>
    </w:p>
    <w:sectPr w:rsidR="00AD2E0D" w:rsidRPr="00243C46" w:rsidSect="0021785D">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698EC" w16cid:durableId="2051EAD5"/>
  <w16cid:commentId w16cid:paraId="7D7170D0" w16cid:durableId="2051EAD6"/>
  <w16cid:commentId w16cid:paraId="49442E26" w16cid:durableId="2051EAD7"/>
  <w16cid:commentId w16cid:paraId="127CA040" w16cid:durableId="2051EB3A"/>
  <w16cid:commentId w16cid:paraId="34DF903A" w16cid:durableId="2051EAD8"/>
  <w16cid:commentId w16cid:paraId="596B4EEE" w16cid:durableId="2051EB4A"/>
  <w16cid:commentId w16cid:paraId="32E0362B" w16cid:durableId="2051EAD9"/>
  <w16cid:commentId w16cid:paraId="55B96E2B" w16cid:durableId="2051EB72"/>
  <w16cid:commentId w16cid:paraId="3E9D5756" w16cid:durableId="2051EADA"/>
  <w16cid:commentId w16cid:paraId="2A11ED55" w16cid:durableId="2051EB87"/>
  <w16cid:commentId w16cid:paraId="5BDC568D" w16cid:durableId="2051EADB"/>
  <w16cid:commentId w16cid:paraId="2D542625" w16cid:durableId="2051EB93"/>
  <w16cid:commentId w16cid:paraId="5BF41790" w16cid:durableId="2051EADC"/>
  <w16cid:commentId w16cid:paraId="219D3474" w16cid:durableId="2051EBAB"/>
  <w16cid:commentId w16cid:paraId="6470D60D" w16cid:durableId="2051EADD"/>
  <w16cid:commentId w16cid:paraId="4A39C2D7" w16cid:durableId="2051EBB3"/>
  <w16cid:commentId w16cid:paraId="72FF178D" w16cid:durableId="2051EADE"/>
  <w16cid:commentId w16cid:paraId="02795EE0" w16cid:durableId="2051EBBF"/>
  <w16cid:commentId w16cid:paraId="27437E91" w16cid:durableId="2051EADF"/>
  <w16cid:commentId w16cid:paraId="0D4CE424" w16cid:durableId="2051EBD7"/>
  <w16cid:commentId w16cid:paraId="624C39C1" w16cid:durableId="2051EAE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81A6E" w14:textId="77777777" w:rsidR="00694D16" w:rsidRDefault="00694D16" w:rsidP="00D75295">
      <w:r>
        <w:separator/>
      </w:r>
    </w:p>
  </w:endnote>
  <w:endnote w:type="continuationSeparator" w:id="0">
    <w:p w14:paraId="19EDA16B" w14:textId="77777777" w:rsidR="00694D16" w:rsidRDefault="00694D16" w:rsidP="00D75295">
      <w:r>
        <w:continuationSeparator/>
      </w:r>
    </w:p>
  </w:endnote>
  <w:endnote w:id="1">
    <w:p w14:paraId="40DF020B" w14:textId="50F63662" w:rsidR="006B71D3" w:rsidRPr="00BF495B" w:rsidRDefault="006B71D3" w:rsidP="005F18D5">
      <w:pPr>
        <w:pStyle w:val="Footnote"/>
      </w:pPr>
      <w:r w:rsidRPr="00BF495B">
        <w:rPr>
          <w:rStyle w:val="EndnoteReference"/>
        </w:rPr>
        <w:endnoteRef/>
      </w:r>
      <w:r w:rsidRPr="00BF495B">
        <w:t xml:space="preserve"> This case has been written on the basis of published sources only. Consequently, the interpretation and perspectives presented in this case are not necessarily those of Inditex or any of its employees.</w:t>
      </w:r>
    </w:p>
  </w:endnote>
  <w:endnote w:id="2">
    <w:p w14:paraId="33EBF5DE" w14:textId="198DB802" w:rsidR="006B71D3" w:rsidRPr="00BF495B" w:rsidRDefault="006B71D3" w:rsidP="005F18D5">
      <w:pPr>
        <w:pStyle w:val="Footnote"/>
      </w:pPr>
      <w:r w:rsidRPr="00BF495B">
        <w:rPr>
          <w:rStyle w:val="EndnoteReference"/>
        </w:rPr>
        <w:endnoteRef/>
      </w:r>
      <w:r w:rsidRPr="00BF495B">
        <w:t xml:space="preserve"> Most would agree that the term fast fashion represented only a part of Zara’s core business model, not the entire foundation of its success. </w:t>
      </w:r>
    </w:p>
  </w:endnote>
  <w:endnote w:id="3">
    <w:p w14:paraId="69759132" w14:textId="5591F892" w:rsidR="006B71D3" w:rsidRPr="00BF495B" w:rsidRDefault="006B71D3" w:rsidP="005F18D5">
      <w:pPr>
        <w:pStyle w:val="Footnote"/>
      </w:pPr>
      <w:r w:rsidRPr="00BF495B">
        <w:rPr>
          <w:rStyle w:val="EndnoteReference"/>
        </w:rPr>
        <w:endnoteRef/>
      </w:r>
      <w:r w:rsidRPr="00BF495B">
        <w:t xml:space="preserve"> Devangshu Dutta, “Retail @ The Speed of Fashion,” Third Eyesight, 3, 2002, accessed August 31, 2015, http://thirdeyesight.in/articles/ImagesFashion_Zara_Part_I.pdf.</w:t>
      </w:r>
    </w:p>
  </w:endnote>
  <w:endnote w:id="4">
    <w:p w14:paraId="0C46EBAD" w14:textId="7635420F" w:rsidR="006B71D3" w:rsidRPr="00BF495B" w:rsidRDefault="006B71D3" w:rsidP="005F18D5">
      <w:pPr>
        <w:pStyle w:val="Footnote"/>
      </w:pPr>
      <w:r w:rsidRPr="00BF495B">
        <w:rPr>
          <w:rStyle w:val="EndnoteReference"/>
        </w:rPr>
        <w:endnoteRef/>
      </w:r>
      <w:r w:rsidRPr="00BF495B">
        <w:t xml:space="preserve"> Graham Ruddick, “How Zara Became the World’s Biggest Fashion Retailer,” </w:t>
      </w:r>
      <w:r w:rsidRPr="00BF495B">
        <w:rPr>
          <w:i/>
        </w:rPr>
        <w:t>Telegraph</w:t>
      </w:r>
      <w:r w:rsidRPr="00BF495B">
        <w:t xml:space="preserve">, October 20, 2014, accessed August 31, 2015, </w:t>
      </w:r>
      <w:r w:rsidR="00BF495B">
        <w:t>www</w:t>
      </w:r>
      <w:r w:rsidRPr="00BF495B">
        <w:t>.telegraph.co.uk/finance/newsbysector/retailandconsumer/11172562/How-Inditex-became-the-worlds-biggest-fashion-retailer.html.</w:t>
      </w:r>
    </w:p>
  </w:endnote>
  <w:endnote w:id="5">
    <w:p w14:paraId="65771369" w14:textId="0E3318BD" w:rsidR="006B71D3" w:rsidRPr="00BF495B" w:rsidRDefault="006B71D3" w:rsidP="00B30C87">
      <w:pPr>
        <w:pStyle w:val="Footnote"/>
      </w:pPr>
      <w:r w:rsidRPr="00BF495B">
        <w:rPr>
          <w:rStyle w:val="EndnoteReference"/>
        </w:rPr>
        <w:endnoteRef/>
      </w:r>
      <w:r w:rsidRPr="00BF495B">
        <w:t xml:space="preserve"> Vivienne Walt, “Meet Amancio Ortega: The Third-Richest Man in the World,” </w:t>
      </w:r>
      <w:r w:rsidRPr="00BF495B">
        <w:rPr>
          <w:i/>
        </w:rPr>
        <w:t>Fortune</w:t>
      </w:r>
      <w:r w:rsidRPr="00BF495B">
        <w:t xml:space="preserve">, January 8, 2013, accessed January 20, 2015, http://fortune.com/2013/01/08/meet-amancio-ortega-the-third-richest-man-in-the-world/. </w:t>
      </w:r>
    </w:p>
  </w:endnote>
  <w:endnote w:id="6">
    <w:p w14:paraId="27FBACB9" w14:textId="09B745C1" w:rsidR="006B71D3" w:rsidRPr="00BF495B" w:rsidRDefault="006B71D3" w:rsidP="006B71D3">
      <w:pPr>
        <w:pStyle w:val="Footnote"/>
      </w:pPr>
      <w:r w:rsidRPr="00BF495B">
        <w:rPr>
          <w:rStyle w:val="EndnoteReference"/>
        </w:rPr>
        <w:endnoteRef/>
      </w:r>
      <w:r w:rsidRPr="00BF495B">
        <w:t xml:space="preserve"> “The World’s Billionaires,” </w:t>
      </w:r>
      <w:r w:rsidRPr="00BF495B">
        <w:rPr>
          <w:i/>
        </w:rPr>
        <w:t>Forbes</w:t>
      </w:r>
      <w:r w:rsidRPr="00BF495B">
        <w:t>, accessed January 20, 2015, www.forbes.com/profile/amancio-ortega/.</w:t>
      </w:r>
    </w:p>
  </w:endnote>
  <w:endnote w:id="7">
    <w:p w14:paraId="2B51CCE6" w14:textId="47248340" w:rsidR="006B71D3" w:rsidRPr="00BF495B" w:rsidRDefault="006B71D3" w:rsidP="006B71D3">
      <w:pPr>
        <w:pStyle w:val="Footnote"/>
      </w:pPr>
      <w:r w:rsidRPr="00BF495B">
        <w:rPr>
          <w:rStyle w:val="EndnoteReference"/>
        </w:rPr>
        <w:endnoteRef/>
      </w:r>
      <w:r w:rsidRPr="00BF495B">
        <w:t xml:space="preserve"> Inditex, “Our History,” accessed January 20, 2015, www.inditex.com/our_group/our_history.</w:t>
      </w:r>
    </w:p>
  </w:endnote>
  <w:endnote w:id="8">
    <w:p w14:paraId="033F7AE8" w14:textId="51F247F6" w:rsidR="006B71D3" w:rsidRPr="00BF495B" w:rsidRDefault="006B71D3" w:rsidP="006B71D3">
      <w:pPr>
        <w:pStyle w:val="Footnote"/>
      </w:pPr>
      <w:r w:rsidRPr="00BF495B">
        <w:rPr>
          <w:rStyle w:val="EndnoteReference"/>
        </w:rPr>
        <w:endnoteRef/>
      </w:r>
      <w:r w:rsidRPr="00BF495B">
        <w:t xml:space="preserve"> Andrew McAfee, Vincent Dessain, and Anders Sjoman, Zara: IT for Fast Fashion, Case Study (Boston, MA: Harvard Business Publishing, 2004), 3. Available from Ivey Publishing, product no. 604081.</w:t>
      </w:r>
    </w:p>
  </w:endnote>
  <w:endnote w:id="9">
    <w:p w14:paraId="121EB13B" w14:textId="3689E282" w:rsidR="006B71D3" w:rsidRPr="00BF495B" w:rsidRDefault="006B71D3" w:rsidP="004A0048">
      <w:pPr>
        <w:pStyle w:val="EndnoteText"/>
        <w:jc w:val="both"/>
        <w:rPr>
          <w:rFonts w:ascii="Arial" w:hAnsi="Arial" w:cs="Arial"/>
          <w:iCs/>
          <w:sz w:val="17"/>
          <w:szCs w:val="17"/>
          <w:lang w:val="en-CA"/>
        </w:rPr>
      </w:pPr>
      <w:r w:rsidRPr="00BF495B">
        <w:rPr>
          <w:rStyle w:val="EndnoteReference"/>
          <w:rFonts w:ascii="Arial" w:hAnsi="Arial" w:cs="Arial"/>
          <w:iCs/>
          <w:sz w:val="17"/>
          <w:szCs w:val="17"/>
        </w:rPr>
        <w:endnoteRef/>
      </w:r>
      <w:r w:rsidRPr="00BF495B">
        <w:rPr>
          <w:rFonts w:ascii="Arial" w:hAnsi="Arial" w:cs="Arial"/>
          <w:iCs/>
          <w:sz w:val="17"/>
          <w:szCs w:val="17"/>
        </w:rPr>
        <w:t xml:space="preserve"> </w:t>
      </w:r>
      <w:r w:rsidRPr="00BF495B">
        <w:rPr>
          <w:rFonts w:ascii="Arial" w:hAnsi="Arial" w:cs="Arial"/>
          <w:iCs/>
          <w:sz w:val="17"/>
          <w:szCs w:val="17"/>
          <w:lang w:val="en-CA"/>
        </w:rPr>
        <w:t>€ = EUR = euro; €1 = US$1.147 as of January 9, 2019; all currency amounts are in € unless specified otherwise.</w:t>
      </w:r>
    </w:p>
  </w:endnote>
  <w:endnote w:id="10">
    <w:p w14:paraId="74495F73" w14:textId="5D57FF38" w:rsidR="006B71D3" w:rsidRPr="00BF495B" w:rsidRDefault="006B71D3" w:rsidP="00B30C87">
      <w:pPr>
        <w:pStyle w:val="Footnote"/>
      </w:pPr>
      <w:r w:rsidRPr="00BF495B">
        <w:rPr>
          <w:rStyle w:val="EndnoteReference"/>
          <w:i/>
        </w:rPr>
        <w:endnoteRef/>
      </w:r>
      <w:r w:rsidRPr="00BF495B">
        <w:t> Inditex, Inditex Annual Report 2017, accessed January 9, 2019, </w:t>
      </w:r>
      <w:r w:rsidR="00BF495B">
        <w:t>www</w:t>
      </w:r>
      <w:r w:rsidRPr="00BF495B">
        <w:t xml:space="preserve">.inditex.com/documents/10279/563475/2017+Inditex+Annual+Report.pdf/f5bebfa4-edd2-ed6d-248a-8afb85c731d0. </w:t>
      </w:r>
    </w:p>
  </w:endnote>
  <w:endnote w:id="11">
    <w:p w14:paraId="79E7140D" w14:textId="1B201C56"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US"/>
        </w:rPr>
        <w:t xml:space="preserve">Inditex, “Financial Data,” accessed January 9, 2019, </w:t>
      </w:r>
      <w:r w:rsidR="00BF495B">
        <w:rPr>
          <w:rFonts w:ascii="Arial" w:hAnsi="Arial" w:cs="Arial"/>
          <w:sz w:val="17"/>
          <w:szCs w:val="17"/>
          <w:lang w:val="en-US"/>
        </w:rPr>
        <w:t>www</w:t>
      </w:r>
      <w:r w:rsidRPr="00BF495B">
        <w:rPr>
          <w:rFonts w:ascii="Arial" w:hAnsi="Arial" w:cs="Arial"/>
          <w:sz w:val="17"/>
          <w:szCs w:val="17"/>
          <w:lang w:val="en-US"/>
        </w:rPr>
        <w:t>.inditex.com/en/investors/investor-relations/financial-data.</w:t>
      </w:r>
    </w:p>
  </w:endnote>
  <w:endnote w:id="12">
    <w:p w14:paraId="53B5F1F5" w14:textId="25631577"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rPr>
        <w:t>Imran Amed, Anita Balchandani, Marco Beltrami, Achim Berg, Saskia Hedrich, and Felix Rölkens</w:t>
      </w:r>
      <w:r w:rsidRPr="00BF495B">
        <w:rPr>
          <w:rFonts w:ascii="Arial" w:hAnsi="Arial" w:cs="Arial"/>
          <w:sz w:val="17"/>
          <w:szCs w:val="17"/>
          <w:lang w:val="en-CA"/>
        </w:rPr>
        <w:t>,</w:t>
      </w:r>
      <w:r w:rsidRPr="00BF495B">
        <w:rPr>
          <w:rFonts w:ascii="Arial" w:hAnsi="Arial" w:cs="Arial"/>
          <w:sz w:val="17"/>
          <w:szCs w:val="17"/>
        </w:rPr>
        <w:t xml:space="preserve"> </w:t>
      </w:r>
      <w:r w:rsidRPr="00BF495B">
        <w:rPr>
          <w:rFonts w:ascii="Arial" w:hAnsi="Arial" w:cs="Arial"/>
          <w:i/>
          <w:sz w:val="17"/>
          <w:szCs w:val="17"/>
          <w:lang w:val="en-US"/>
        </w:rPr>
        <w:t>The State of Fashion 2019: A Year of Awakening</w:t>
      </w:r>
      <w:r w:rsidRPr="00BF495B">
        <w:rPr>
          <w:rFonts w:ascii="Arial" w:hAnsi="Arial" w:cs="Arial"/>
          <w:sz w:val="17"/>
          <w:szCs w:val="17"/>
          <w:lang w:val="en-US"/>
        </w:rPr>
        <w:t xml:space="preserve">, 64, McKinsey &amp; Company, November 2018, accessed January 9, 2019, </w:t>
      </w:r>
      <w:r w:rsidR="00BF495B">
        <w:rPr>
          <w:rFonts w:ascii="Arial" w:hAnsi="Arial" w:cs="Arial"/>
          <w:sz w:val="17"/>
          <w:szCs w:val="17"/>
          <w:lang w:val="en-US"/>
        </w:rPr>
        <w:t>www</w:t>
      </w:r>
      <w:r w:rsidRPr="00BF495B">
        <w:rPr>
          <w:rFonts w:ascii="Arial" w:hAnsi="Arial" w:cs="Arial"/>
          <w:sz w:val="17"/>
          <w:szCs w:val="17"/>
          <w:lang w:val="en-US"/>
        </w:rPr>
        <w:t>.mckinsey.com/~/media/McKinsey/Industries/Retail/Our%20Insights/The%20State%20of%20Fashion%202019%20A%20year%20of%20awakening/The-State-of-Fashion-2019-vF.ashx</w:t>
      </w:r>
      <w:r w:rsidRPr="00BF495B">
        <w:rPr>
          <w:rFonts w:ascii="Arial" w:hAnsi="Arial" w:cs="Arial"/>
          <w:sz w:val="17"/>
          <w:szCs w:val="17"/>
        </w:rPr>
        <w:t>;</w:t>
      </w:r>
      <w:r w:rsidRPr="00BF495B">
        <w:rPr>
          <w:rFonts w:ascii="Arial" w:hAnsi="Arial" w:cs="Arial"/>
          <w:i/>
          <w:sz w:val="17"/>
          <w:szCs w:val="17"/>
        </w:rPr>
        <w:t xml:space="preserve"> </w:t>
      </w:r>
      <w:r w:rsidRPr="00BF495B">
        <w:rPr>
          <w:rFonts w:ascii="Arial" w:hAnsi="Arial" w:cs="Arial"/>
          <w:sz w:val="17"/>
          <w:szCs w:val="17"/>
        </w:rPr>
        <w:t>All dollar amounts in the case are U.S. dollars.</w:t>
      </w:r>
    </w:p>
  </w:endnote>
  <w:endnote w:id="13">
    <w:p w14:paraId="5023D2D5" w14:textId="317A42B4" w:rsidR="006B71D3" w:rsidRPr="00BF495B" w:rsidRDefault="006B71D3" w:rsidP="00B30C87">
      <w:pPr>
        <w:pStyle w:val="Footnote"/>
      </w:pPr>
      <w:r w:rsidRPr="00BF495B">
        <w:rPr>
          <w:rStyle w:val="EndnoteReference"/>
        </w:rPr>
        <w:endnoteRef/>
      </w:r>
      <w:r w:rsidRPr="00BF495B">
        <w:t xml:space="preserve"> Ibid.</w:t>
      </w:r>
    </w:p>
  </w:endnote>
  <w:endnote w:id="14">
    <w:p w14:paraId="38A77B85" w14:textId="2C6DB764"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w:t>
      </w:r>
      <w:r w:rsidRPr="00BF495B">
        <w:rPr>
          <w:rFonts w:ascii="Arial" w:hAnsi="Arial" w:cs="Arial"/>
          <w:sz w:val="17"/>
          <w:szCs w:val="17"/>
          <w:lang w:val="en-US"/>
        </w:rPr>
        <w:t xml:space="preserve">“The Future of Fashion is Urban,” TranslateMedia, January 24, 2018, accessed January 9, 2019, </w:t>
      </w:r>
      <w:r w:rsidR="00BF495B">
        <w:rPr>
          <w:rFonts w:ascii="Arial" w:hAnsi="Arial" w:cs="Arial"/>
          <w:sz w:val="17"/>
          <w:szCs w:val="17"/>
          <w:lang w:val="en-US"/>
        </w:rPr>
        <w:t>www</w:t>
      </w:r>
      <w:r w:rsidRPr="00BF495B">
        <w:rPr>
          <w:rFonts w:ascii="Arial" w:hAnsi="Arial" w:cs="Arial"/>
          <w:sz w:val="17"/>
          <w:szCs w:val="17"/>
          <w:lang w:val="en-US"/>
        </w:rPr>
        <w:t>.translatemedia.com/translation-blog/future-fashion-urban/.</w:t>
      </w:r>
    </w:p>
  </w:endnote>
  <w:endnote w:id="15">
    <w:p w14:paraId="158FA7AF" w14:textId="7CA4A4CC" w:rsidR="006B71D3" w:rsidRPr="00BF495B" w:rsidRDefault="006B71D3" w:rsidP="00B30C87">
      <w:pPr>
        <w:pStyle w:val="Footnote"/>
      </w:pPr>
      <w:r w:rsidRPr="00BF495B">
        <w:rPr>
          <w:rStyle w:val="EndnoteReference"/>
        </w:rPr>
        <w:endnoteRef/>
      </w:r>
      <w:r w:rsidRPr="00BF495B">
        <w:t xml:space="preserve"> Krones AG, </w:t>
      </w:r>
      <w:r w:rsidRPr="00BF495B">
        <w:rPr>
          <w:i/>
        </w:rPr>
        <w:t>Annual Report for Krones AG 2013</w:t>
      </w:r>
      <w:r w:rsidRPr="00BF495B">
        <w:t xml:space="preserve">, 57, accessed January 21, 2015, </w:t>
      </w:r>
      <w:r w:rsidR="00BF495B">
        <w:t>www</w:t>
      </w:r>
      <w:r w:rsidRPr="00BF495B">
        <w:t xml:space="preserve">.krones.com/media/downloads/GB_2013_AG_e.pdf. </w:t>
      </w:r>
    </w:p>
  </w:endnote>
  <w:endnote w:id="16">
    <w:p w14:paraId="2C0C94B2" w14:textId="2FD7ED63" w:rsidR="006B71D3" w:rsidRPr="00BF495B" w:rsidRDefault="006B71D3" w:rsidP="001D7D10">
      <w:pPr>
        <w:pStyle w:val="Footnote"/>
        <w:rPr>
          <w:spacing w:val="-4"/>
          <w:kern w:val="17"/>
        </w:rPr>
      </w:pPr>
      <w:r w:rsidRPr="00BF495B">
        <w:rPr>
          <w:rStyle w:val="EndnoteReference"/>
          <w:spacing w:val="-4"/>
          <w:kern w:val="17"/>
        </w:rPr>
        <w:endnoteRef/>
      </w:r>
      <w:r w:rsidRPr="00BF495B">
        <w:rPr>
          <w:spacing w:val="-4"/>
          <w:kern w:val="17"/>
        </w:rPr>
        <w:t xml:space="preserve"> Carsten Keller, Karl-Hendrik Magnus, Saskia Hedrich, Patrick Nava, and Thomas Tochtermann, “Succeedi</w:t>
      </w:r>
      <w:r w:rsidR="00955053" w:rsidRPr="00BF495B">
        <w:rPr>
          <w:spacing w:val="-4"/>
          <w:kern w:val="17"/>
        </w:rPr>
        <w:t>ng in Tomorrow’s Global Fashion Market,” McKinsey &amp; Company, September 2014, accessed January 22, 2015, </w:t>
      </w:r>
      <w:r w:rsidRPr="00BF495B">
        <w:rPr>
          <w:spacing w:val="-4"/>
          <w:kern w:val="17"/>
        </w:rPr>
        <w:t xml:space="preserve">http://mckinseyonmarketingandsales.com/succeeding-in-tomorrows-global-fashion-market; “The Future of Fashion is Urban,” op. cit. </w:t>
      </w:r>
    </w:p>
  </w:endnote>
  <w:endnote w:id="17">
    <w:p w14:paraId="6F72EB70" w14:textId="34251E7A" w:rsidR="006B71D3" w:rsidRPr="00BF495B" w:rsidRDefault="006B71D3" w:rsidP="00B30C87">
      <w:pPr>
        <w:pStyle w:val="Footnote"/>
      </w:pPr>
      <w:r w:rsidRPr="00BF495B">
        <w:rPr>
          <w:rStyle w:val="EndnoteReference"/>
        </w:rPr>
        <w:endnoteRef/>
      </w:r>
      <w:r w:rsidRPr="00BF495B">
        <w:t xml:space="preserve"> Neil Newman, “The Rise and Rise of Asia’s Middle Class,” GLINT, August 16, 2018, accessed January 9, 2019, https://glintpay.com/economics/rise-rise-asias-middle-class/; Deere &amp; Company, </w:t>
      </w:r>
      <w:r w:rsidRPr="00BF495B">
        <w:rPr>
          <w:i/>
        </w:rPr>
        <w:t>John Deere Committed to Those Linked to the Land — Strategy Overview</w:t>
      </w:r>
      <w:r w:rsidRPr="00BF495B">
        <w:t>, 19, December 2014, accessed January 20, 2019,</w:t>
      </w:r>
      <w:r w:rsidR="00584A8E" w:rsidRPr="00BF495B">
        <w:t xml:space="preserve"> https://glintpay.com/economics/rise-rise-asias-middle-class/</w:t>
      </w:r>
      <w:r w:rsidRPr="00BF495B">
        <w:t xml:space="preserve">. </w:t>
      </w:r>
    </w:p>
  </w:endnote>
  <w:endnote w:id="18">
    <w:p w14:paraId="4FD9AE95" w14:textId="09F35E17" w:rsidR="006B71D3" w:rsidRPr="00BF495B" w:rsidRDefault="006B71D3" w:rsidP="00B30C87">
      <w:pPr>
        <w:pStyle w:val="Footnote"/>
      </w:pPr>
      <w:r w:rsidRPr="00BF495B">
        <w:rPr>
          <w:rStyle w:val="EndnoteReference"/>
          <w:i/>
        </w:rPr>
        <w:endnoteRef/>
      </w:r>
      <w:r w:rsidRPr="00BF495B">
        <w:t xml:space="preserve"> Amed, Balchandani, Beltrami, Berg, Hedrich, and Rölkens, op. cit. 7; Lily Kuo, “The World’s Middle Class Will Number 5 Billion by 2030,” Quartz, January 14, 2013, accessed January 20, 2015, http://qz.com/43411/the-worlds-middle-class-will-number-5-billion-by-2030/. </w:t>
      </w:r>
    </w:p>
  </w:endnote>
  <w:endnote w:id="19">
    <w:p w14:paraId="77FE3AE5" w14:textId="35A73731" w:rsidR="006B71D3" w:rsidRPr="00BF495B" w:rsidRDefault="006B71D3" w:rsidP="006B71D3">
      <w:pPr>
        <w:pStyle w:val="Footnote"/>
      </w:pPr>
      <w:r w:rsidRPr="00BF495B">
        <w:rPr>
          <w:rStyle w:val="EndnoteReference"/>
        </w:rPr>
        <w:endnoteRef/>
      </w:r>
      <w:r w:rsidRPr="00BF495B">
        <w:t xml:space="preserve"> Nathalie Remy, Jennifer Schmidt, Charlotte Werner, and Maggie Lu, Unleashing Fashion Growth City by City, McKinsey &amp; Company, 2, October 2013, accessed January 20, 2015, </w:t>
      </w:r>
      <w:r w:rsidR="00BF495B">
        <w:t>www</w:t>
      </w:r>
      <w:r w:rsidRPr="00BF495B">
        <w:t xml:space="preserve">.mckinsey.com/~/media/mckinsey/dotcom/client_service/marketing%20and%20sales/pdfs/unleashing_fashion_growth.ashx. </w:t>
      </w:r>
    </w:p>
  </w:endnote>
  <w:endnote w:id="20">
    <w:p w14:paraId="3B0BBEAE" w14:textId="6604D170" w:rsidR="006B71D3" w:rsidRPr="00BF495B" w:rsidRDefault="006B71D3" w:rsidP="006B71D3">
      <w:pPr>
        <w:pStyle w:val="Footnote"/>
      </w:pPr>
      <w:r w:rsidRPr="00BF495B">
        <w:rPr>
          <w:rStyle w:val="EndnoteReference"/>
        </w:rPr>
        <w:endnoteRef/>
      </w:r>
      <w:r w:rsidRPr="00BF495B">
        <w:t xml:space="preserve"> Nathalie Remy, Jennifer Schmidt, Charlotte Werner, and Maggie Lu, “Fashion Sense: Apparel Companies Should Look to Cities for Growth,” </w:t>
      </w:r>
      <w:r w:rsidRPr="00BF495B">
        <w:rPr>
          <w:i/>
        </w:rPr>
        <w:t>Forbes</w:t>
      </w:r>
      <w:r w:rsidRPr="00BF495B">
        <w:t xml:space="preserve">, April 23, 2013, accessed January 20, 2015, www.forbes.com/sites/mckinsey/2013/04/23/fashion-sense-apparel-companies-should-look-to-cities-for-growth/. </w:t>
      </w:r>
    </w:p>
  </w:endnote>
  <w:endnote w:id="21">
    <w:p w14:paraId="5A168726" w14:textId="0CAA49E2" w:rsidR="006B71D3" w:rsidRPr="00BF495B" w:rsidRDefault="006B71D3" w:rsidP="006B71D3">
      <w:pPr>
        <w:pStyle w:val="Footnote"/>
      </w:pPr>
      <w:r w:rsidRPr="00BF495B">
        <w:rPr>
          <w:rStyle w:val="EndnoteReference"/>
        </w:rPr>
        <w:endnoteRef/>
      </w:r>
      <w:r w:rsidRPr="00BF495B">
        <w:t xml:space="preserve"> J.C., “A ‘Distinctly South Asian’ Tragedy,” </w:t>
      </w:r>
      <w:r w:rsidRPr="00BF495B">
        <w:rPr>
          <w:i/>
        </w:rPr>
        <w:t>Economist</w:t>
      </w:r>
      <w:r w:rsidRPr="00BF495B">
        <w:t>, December 6, 2012, accessed August 31, 2015, www.economist.com/blogs/banyan/2012/12/garment-factory-fires.</w:t>
      </w:r>
    </w:p>
  </w:endnote>
  <w:endnote w:id="22">
    <w:p w14:paraId="4A57AB62" w14:textId="0E21FBB1" w:rsidR="006B71D3" w:rsidRPr="00BF495B" w:rsidRDefault="006B71D3" w:rsidP="006F312A">
      <w:pPr>
        <w:pStyle w:val="Footnote"/>
      </w:pPr>
      <w:r w:rsidRPr="00BF495B">
        <w:rPr>
          <w:rStyle w:val="EndnoteReference"/>
        </w:rPr>
        <w:endnoteRef/>
      </w:r>
      <w:r w:rsidRPr="00BF495B">
        <w:t xml:space="preserve"> “Sizing Up the Plus Sized Market: Segment Up 5 Per cent, Reaching $17.5 Billion,” The NPD Group, June 30, 2014, accessed January 20, 215, </w:t>
      </w:r>
      <w:r w:rsidR="00BF495B">
        <w:t>www</w:t>
      </w:r>
      <w:r w:rsidRPr="00BF495B">
        <w:t xml:space="preserve">.npd.com/wps/portal/npd/us/news/press-releases/sizing-up-the-plus-sized-market-segment-up-5-percent-reaching-17-billion/; Katie </w:t>
      </w:r>
      <w:proofErr w:type="gramStart"/>
      <w:r w:rsidRPr="00BF495B">
        <w:t>Little</w:t>
      </w:r>
      <w:proofErr w:type="gramEnd"/>
      <w:r w:rsidRPr="00BF495B">
        <w:t xml:space="preserve">, “Outsize Growth, Underserved Market: Rent the Runway’s Plus-Size Bet,” CNBC, September 29, 2013, accessed January 20, 2015, www.cnbc.com/id/101065567#. </w:t>
      </w:r>
    </w:p>
  </w:endnote>
  <w:endnote w:id="23">
    <w:p w14:paraId="3E63571D" w14:textId="7E784602" w:rsidR="006B71D3" w:rsidRPr="00BF495B" w:rsidRDefault="006B71D3" w:rsidP="004A0048">
      <w:pPr>
        <w:pStyle w:val="EndnoteText"/>
        <w:jc w:val="both"/>
        <w:rPr>
          <w:rFonts w:ascii="Arial" w:hAnsi="Arial" w:cs="Arial"/>
          <w:spacing w:val="-2"/>
          <w:kern w:val="17"/>
          <w:sz w:val="17"/>
          <w:szCs w:val="17"/>
          <w:lang w:val="en-US"/>
        </w:rPr>
      </w:pPr>
      <w:r w:rsidRPr="00BF495B">
        <w:rPr>
          <w:rStyle w:val="EndnoteReference"/>
          <w:rFonts w:ascii="Arial" w:hAnsi="Arial" w:cs="Arial"/>
          <w:spacing w:val="-2"/>
          <w:kern w:val="17"/>
          <w:sz w:val="17"/>
          <w:szCs w:val="17"/>
        </w:rPr>
        <w:endnoteRef/>
      </w:r>
      <w:r w:rsidRPr="00BF495B">
        <w:rPr>
          <w:rFonts w:ascii="Arial" w:hAnsi="Arial" w:cs="Arial"/>
          <w:spacing w:val="-2"/>
          <w:kern w:val="17"/>
          <w:sz w:val="17"/>
          <w:szCs w:val="17"/>
        </w:rPr>
        <w:t xml:space="preserve"> </w:t>
      </w:r>
      <w:r w:rsidRPr="00BF495B">
        <w:rPr>
          <w:rFonts w:ascii="Arial" w:hAnsi="Arial" w:cs="Arial"/>
          <w:spacing w:val="-2"/>
          <w:kern w:val="17"/>
          <w:sz w:val="17"/>
          <w:szCs w:val="17"/>
          <w:lang w:val="en-US"/>
        </w:rPr>
        <w:t>Deborah Weinswig, “Will J. Crew Announcement Disrupt The $46 Billion Women’s Plus-Size Market</w:t>
      </w:r>
      <w:proofErr w:type="gramStart"/>
      <w:r w:rsidRPr="00BF495B">
        <w:rPr>
          <w:rFonts w:ascii="Arial" w:hAnsi="Arial" w:cs="Arial"/>
          <w:spacing w:val="-2"/>
          <w:kern w:val="17"/>
          <w:sz w:val="17"/>
          <w:szCs w:val="17"/>
          <w:lang w:val="en-US"/>
        </w:rPr>
        <w:t>?,</w:t>
      </w:r>
      <w:proofErr w:type="gramEnd"/>
      <w:r w:rsidRPr="00BF495B">
        <w:rPr>
          <w:rFonts w:ascii="Arial" w:hAnsi="Arial" w:cs="Arial"/>
          <w:spacing w:val="-2"/>
          <w:kern w:val="17"/>
          <w:sz w:val="17"/>
          <w:szCs w:val="17"/>
          <w:lang w:val="en-US"/>
        </w:rPr>
        <w:t xml:space="preserve">” </w:t>
      </w:r>
      <w:r w:rsidRPr="00BF495B">
        <w:rPr>
          <w:rFonts w:ascii="Arial" w:hAnsi="Arial" w:cs="Arial"/>
          <w:i/>
          <w:spacing w:val="-2"/>
          <w:kern w:val="17"/>
          <w:sz w:val="17"/>
          <w:szCs w:val="17"/>
          <w:lang w:val="en-US"/>
        </w:rPr>
        <w:t>Forbes</w:t>
      </w:r>
      <w:r w:rsidRPr="00BF495B">
        <w:rPr>
          <w:rFonts w:ascii="Arial" w:hAnsi="Arial" w:cs="Arial"/>
          <w:spacing w:val="-2"/>
          <w:kern w:val="17"/>
          <w:sz w:val="17"/>
          <w:szCs w:val="17"/>
          <w:lang w:val="en-US"/>
        </w:rPr>
        <w:t xml:space="preserve">, July 20, 2018, accessed January 14, 2019, </w:t>
      </w:r>
      <w:r w:rsidR="00BF495B">
        <w:rPr>
          <w:rFonts w:ascii="Arial" w:hAnsi="Arial" w:cs="Arial"/>
          <w:spacing w:val="-2"/>
          <w:kern w:val="17"/>
          <w:sz w:val="17"/>
          <w:szCs w:val="17"/>
          <w:lang w:val="en-US"/>
        </w:rPr>
        <w:t>www</w:t>
      </w:r>
      <w:r w:rsidRPr="00BF495B">
        <w:rPr>
          <w:rFonts w:ascii="Arial" w:hAnsi="Arial" w:cs="Arial"/>
          <w:spacing w:val="-2"/>
          <w:kern w:val="17"/>
          <w:sz w:val="17"/>
          <w:szCs w:val="17"/>
          <w:lang w:val="en-US"/>
        </w:rPr>
        <w:t>.forbes.com/sites/deborahweinswig/2018/07/20/a-land-grab-is-likely-under-way-for-the-46-billion-womens-plus-size-market-opportunity/#325d4de03489</w:t>
      </w:r>
      <w:r w:rsidRPr="00BF495B">
        <w:rPr>
          <w:rFonts w:ascii="Arial" w:hAnsi="Arial" w:cs="Arial"/>
          <w:spacing w:val="-2"/>
          <w:kern w:val="17"/>
          <w:sz w:val="17"/>
          <w:szCs w:val="17"/>
        </w:rPr>
        <w:t xml:space="preserve">; </w:t>
      </w:r>
      <w:r w:rsidRPr="00BF495B">
        <w:rPr>
          <w:rFonts w:ascii="Arial" w:hAnsi="Arial" w:cs="Arial"/>
          <w:spacing w:val="-2"/>
          <w:kern w:val="17"/>
          <w:sz w:val="17"/>
          <w:szCs w:val="17"/>
          <w:lang w:val="en-US"/>
        </w:rPr>
        <w:t xml:space="preserve">“The Plus-Size Clothing Market in 2018 and Beyond,” LUXLife Magazine, accessed January 14, 2019, </w:t>
      </w:r>
      <w:r w:rsidR="00BF495B">
        <w:rPr>
          <w:rFonts w:ascii="Arial" w:hAnsi="Arial" w:cs="Arial"/>
          <w:spacing w:val="-2"/>
          <w:kern w:val="17"/>
          <w:sz w:val="17"/>
          <w:szCs w:val="17"/>
          <w:lang w:val="en-US"/>
        </w:rPr>
        <w:t>www</w:t>
      </w:r>
      <w:r w:rsidRPr="00BF495B">
        <w:rPr>
          <w:rFonts w:ascii="Arial" w:hAnsi="Arial" w:cs="Arial"/>
          <w:spacing w:val="-2"/>
          <w:kern w:val="17"/>
          <w:sz w:val="17"/>
          <w:szCs w:val="17"/>
          <w:lang w:val="en-US"/>
        </w:rPr>
        <w:t>.lux-review.com/the-plus-size-clothing-market-in-2018-and-beyond/.</w:t>
      </w:r>
    </w:p>
  </w:endnote>
  <w:endnote w:id="24">
    <w:p w14:paraId="5898C08A" w14:textId="678BF002" w:rsidR="006B71D3" w:rsidRPr="00BF495B" w:rsidRDefault="006B71D3" w:rsidP="004A0048">
      <w:pPr>
        <w:pStyle w:val="EndnoteText"/>
        <w:jc w:val="both"/>
        <w:rPr>
          <w:rFonts w:ascii="Arial" w:hAnsi="Arial" w:cs="Arial"/>
          <w:spacing w:val="-2"/>
          <w:kern w:val="17"/>
          <w:sz w:val="17"/>
          <w:szCs w:val="17"/>
          <w:lang w:val="en-US"/>
        </w:rPr>
      </w:pPr>
      <w:r w:rsidRPr="00BF495B">
        <w:rPr>
          <w:rStyle w:val="EndnoteReference"/>
          <w:rFonts w:ascii="Arial" w:hAnsi="Arial" w:cs="Arial"/>
          <w:spacing w:val="-2"/>
          <w:kern w:val="17"/>
          <w:sz w:val="17"/>
          <w:szCs w:val="17"/>
        </w:rPr>
        <w:endnoteRef/>
      </w:r>
      <w:r w:rsidRPr="00BF495B">
        <w:rPr>
          <w:rFonts w:ascii="Arial" w:hAnsi="Arial" w:cs="Arial"/>
          <w:spacing w:val="-2"/>
          <w:kern w:val="17"/>
          <w:sz w:val="17"/>
          <w:szCs w:val="17"/>
          <w:lang w:val="en-CA"/>
        </w:rPr>
        <w:t xml:space="preserve">Imran Amed, Achim Berg, Sara Kappelmark, Saskia Hedrich, Johanna Andersson, and Martine Drageset, </w:t>
      </w:r>
      <w:r w:rsidRPr="00BF495B">
        <w:rPr>
          <w:rFonts w:ascii="Arial" w:hAnsi="Arial" w:cs="Arial"/>
          <w:i/>
          <w:spacing w:val="-2"/>
          <w:kern w:val="17"/>
          <w:sz w:val="17"/>
          <w:szCs w:val="17"/>
          <w:lang w:val="en-US"/>
        </w:rPr>
        <w:t>The State of Fashion 2018</w:t>
      </w:r>
      <w:r w:rsidR="00955053" w:rsidRPr="00BF495B">
        <w:rPr>
          <w:rFonts w:ascii="Arial" w:hAnsi="Arial" w:cs="Arial"/>
          <w:spacing w:val="-2"/>
          <w:kern w:val="17"/>
          <w:sz w:val="17"/>
          <w:szCs w:val="17"/>
          <w:lang w:val="en-US"/>
        </w:rPr>
        <w:t>, </w:t>
      </w:r>
      <w:r w:rsidRPr="00BF495B">
        <w:rPr>
          <w:rFonts w:ascii="Arial" w:hAnsi="Arial" w:cs="Arial"/>
          <w:spacing w:val="-2"/>
          <w:kern w:val="17"/>
          <w:sz w:val="17"/>
          <w:szCs w:val="17"/>
          <w:lang w:val="en-US"/>
        </w:rPr>
        <w:t>16,</w:t>
      </w:r>
      <w:r w:rsidR="00955053" w:rsidRPr="00BF495B">
        <w:rPr>
          <w:rFonts w:ascii="Arial" w:hAnsi="Arial" w:cs="Arial"/>
          <w:spacing w:val="-2"/>
          <w:kern w:val="17"/>
          <w:sz w:val="17"/>
          <w:szCs w:val="17"/>
          <w:lang w:val="en-US"/>
        </w:rPr>
        <w:t> </w:t>
      </w:r>
      <w:r w:rsidRPr="00BF495B">
        <w:rPr>
          <w:rFonts w:ascii="Arial" w:hAnsi="Arial" w:cs="Arial"/>
          <w:spacing w:val="-2"/>
          <w:kern w:val="17"/>
          <w:sz w:val="17"/>
          <w:szCs w:val="17"/>
          <w:lang w:val="en-US"/>
        </w:rPr>
        <w:t>McKinsey</w:t>
      </w:r>
      <w:r w:rsidR="00955053" w:rsidRPr="00BF495B">
        <w:rPr>
          <w:rFonts w:ascii="Arial" w:hAnsi="Arial" w:cs="Arial"/>
          <w:spacing w:val="-2"/>
          <w:kern w:val="17"/>
          <w:sz w:val="17"/>
          <w:szCs w:val="17"/>
          <w:lang w:val="en-US"/>
        </w:rPr>
        <w:t> </w:t>
      </w:r>
      <w:r w:rsidRPr="00BF495B">
        <w:rPr>
          <w:rFonts w:ascii="Arial" w:hAnsi="Arial" w:cs="Arial"/>
          <w:spacing w:val="-2"/>
          <w:kern w:val="17"/>
          <w:sz w:val="17"/>
          <w:szCs w:val="17"/>
          <w:lang w:val="en-US"/>
        </w:rPr>
        <w:t>&amp;</w:t>
      </w:r>
      <w:r w:rsidR="00955053" w:rsidRPr="00BF495B">
        <w:rPr>
          <w:rFonts w:ascii="Arial" w:hAnsi="Arial" w:cs="Arial"/>
          <w:spacing w:val="-2"/>
          <w:kern w:val="17"/>
          <w:sz w:val="17"/>
          <w:szCs w:val="17"/>
          <w:lang w:val="en-US"/>
        </w:rPr>
        <w:t> Company, 2017, accessed January 9, </w:t>
      </w:r>
      <w:r w:rsidRPr="00BF495B">
        <w:rPr>
          <w:rFonts w:ascii="Arial" w:hAnsi="Arial" w:cs="Arial"/>
          <w:spacing w:val="-2"/>
          <w:kern w:val="17"/>
          <w:sz w:val="17"/>
          <w:szCs w:val="17"/>
          <w:lang w:val="en-US"/>
        </w:rPr>
        <w:t>2019,</w:t>
      </w:r>
      <w:r w:rsidR="00955053" w:rsidRPr="00BF495B">
        <w:rPr>
          <w:rFonts w:ascii="Arial" w:hAnsi="Arial" w:cs="Arial"/>
          <w:spacing w:val="-2"/>
          <w:kern w:val="17"/>
          <w:sz w:val="17"/>
          <w:szCs w:val="17"/>
          <w:lang w:val="en-US"/>
        </w:rPr>
        <w:t> </w:t>
      </w:r>
      <w:r w:rsidRPr="00BF495B">
        <w:rPr>
          <w:rFonts w:ascii="Arial" w:hAnsi="Arial" w:cs="Arial"/>
          <w:spacing w:val="-2"/>
          <w:kern w:val="17"/>
          <w:sz w:val="17"/>
          <w:szCs w:val="17"/>
        </w:rPr>
        <w:t xml:space="preserve">https://cdn.businessoffashion.com/reports/The_State_of_Fashion_2018_v2.pdf; </w:t>
      </w:r>
      <w:r w:rsidRPr="00BF495B">
        <w:rPr>
          <w:rFonts w:ascii="Arial" w:hAnsi="Arial" w:cs="Arial"/>
          <w:spacing w:val="-2"/>
          <w:kern w:val="17"/>
          <w:sz w:val="17"/>
          <w:szCs w:val="17"/>
          <w:lang w:val="en-US"/>
        </w:rPr>
        <w:t xml:space="preserve">James Melton, “E-commerce Accounts for 27% of US Apparel Sales,” Digital Commerce 360, July 11, </w:t>
      </w:r>
      <w:r w:rsidR="00955053" w:rsidRPr="00BF495B">
        <w:rPr>
          <w:rFonts w:ascii="Arial" w:hAnsi="Arial" w:cs="Arial"/>
          <w:spacing w:val="-2"/>
          <w:kern w:val="17"/>
          <w:sz w:val="17"/>
          <w:szCs w:val="17"/>
          <w:lang w:val="en-US"/>
        </w:rPr>
        <w:t>2018, accessed January 9, 2019, </w:t>
      </w:r>
      <w:r w:rsidR="00BF495B">
        <w:rPr>
          <w:rFonts w:ascii="Arial" w:hAnsi="Arial" w:cs="Arial"/>
          <w:spacing w:val="-2"/>
          <w:kern w:val="17"/>
          <w:sz w:val="17"/>
          <w:szCs w:val="17"/>
          <w:lang w:val="en-US"/>
        </w:rPr>
        <w:t>www</w:t>
      </w:r>
      <w:r w:rsidR="00955053" w:rsidRPr="00BF495B">
        <w:rPr>
          <w:rFonts w:ascii="Arial" w:hAnsi="Arial" w:cs="Arial"/>
          <w:spacing w:val="-2"/>
          <w:kern w:val="17"/>
          <w:sz w:val="17"/>
          <w:szCs w:val="17"/>
          <w:lang w:val="en-US"/>
        </w:rPr>
        <w:t xml:space="preserve">.digitalcommerce360.com/article/online-apparel-sales-us/; “Apparel: United States,” </w:t>
      </w:r>
      <w:r w:rsidRPr="00BF495B">
        <w:rPr>
          <w:rFonts w:ascii="Arial" w:hAnsi="Arial" w:cs="Arial"/>
          <w:spacing w:val="-2"/>
          <w:kern w:val="17"/>
          <w:sz w:val="17"/>
          <w:szCs w:val="17"/>
          <w:lang w:val="en-US"/>
        </w:rPr>
        <w:t>Statista, accessed January 14, 2019, </w:t>
      </w:r>
      <w:r w:rsidR="00BF495B">
        <w:rPr>
          <w:rFonts w:ascii="Arial" w:hAnsi="Arial" w:cs="Arial"/>
          <w:spacing w:val="-2"/>
          <w:kern w:val="17"/>
          <w:sz w:val="17"/>
          <w:szCs w:val="17"/>
          <w:lang w:val="en-US"/>
        </w:rPr>
        <w:t>www</w:t>
      </w:r>
      <w:r w:rsidRPr="00BF495B">
        <w:rPr>
          <w:rFonts w:ascii="Arial" w:hAnsi="Arial" w:cs="Arial"/>
          <w:spacing w:val="-2"/>
          <w:kern w:val="17"/>
          <w:sz w:val="17"/>
          <w:szCs w:val="17"/>
          <w:lang w:val="en-US"/>
        </w:rPr>
        <w:t>.statista.com/outlook/90000000/109/apparel/united-states.</w:t>
      </w:r>
    </w:p>
  </w:endnote>
  <w:endnote w:id="25">
    <w:p w14:paraId="1941F6DE" w14:textId="13543F8B"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CA"/>
        </w:rPr>
        <w:t xml:space="preserve">Achim </w:t>
      </w:r>
      <w:r w:rsidRPr="00BF495B">
        <w:rPr>
          <w:rFonts w:ascii="Arial" w:hAnsi="Arial" w:cs="Arial"/>
          <w:sz w:val="17"/>
          <w:szCs w:val="17"/>
          <w:lang w:val="en-US"/>
        </w:rPr>
        <w:t xml:space="preserve">Berg, Miriam Heyn, Felix Rolkens, and Patrick Simon, “Faster Fashion: How to Shorten the Apparel Calendar,” McKinsey &amp; Company, May 2018, accessed January 14, 2019, </w:t>
      </w:r>
      <w:r w:rsidR="00BF495B">
        <w:rPr>
          <w:rFonts w:ascii="Arial" w:hAnsi="Arial" w:cs="Arial"/>
          <w:sz w:val="17"/>
          <w:szCs w:val="17"/>
          <w:lang w:val="en-US"/>
        </w:rPr>
        <w:t>www</w:t>
      </w:r>
      <w:r w:rsidRPr="00BF495B">
        <w:rPr>
          <w:rFonts w:ascii="Arial" w:hAnsi="Arial" w:cs="Arial"/>
          <w:sz w:val="17"/>
          <w:szCs w:val="17"/>
          <w:lang w:val="en-US"/>
        </w:rPr>
        <w:t>.mckinsey.com/industries/retail/our-insights/faster-fashion-how-to-shorten-the-apparel-calendar.</w:t>
      </w:r>
    </w:p>
  </w:endnote>
  <w:endnote w:id="26">
    <w:p w14:paraId="74A5F71C" w14:textId="03829C15" w:rsidR="006B71D3" w:rsidRPr="00BF495B" w:rsidRDefault="006B71D3" w:rsidP="00B30C87">
      <w:pPr>
        <w:pStyle w:val="Footnote"/>
        <w:rPr>
          <w:i/>
        </w:rPr>
      </w:pPr>
      <w:r w:rsidRPr="00BF495B">
        <w:endnoteRef/>
      </w:r>
      <w:r w:rsidRPr="00BF495B">
        <w:t xml:space="preserve"> Textile Exchange, </w:t>
      </w:r>
      <w:r w:rsidRPr="00BF495B">
        <w:rPr>
          <w:i/>
        </w:rPr>
        <w:t>Preferred Fiber &amp; Materials – Market Report 2018</w:t>
      </w:r>
      <w:r w:rsidRPr="00BF495B">
        <w:t>, 9, accessed January 14, 2019, https://textileexchange.org/downloads/2018-preferred-fiber-and-materials-market-report/</w:t>
      </w:r>
      <w:r w:rsidRPr="00BF495B">
        <w:rPr>
          <w:i/>
        </w:rPr>
        <w:t xml:space="preserve">. </w:t>
      </w:r>
    </w:p>
  </w:endnote>
  <w:endnote w:id="27">
    <w:p w14:paraId="6A67C815" w14:textId="5390C76B" w:rsidR="006B71D3" w:rsidRPr="00BF495B" w:rsidRDefault="006B71D3" w:rsidP="006B71D3">
      <w:pPr>
        <w:pStyle w:val="Footnote"/>
      </w:pPr>
      <w:r w:rsidRPr="00BF495B">
        <w:rPr>
          <w:rStyle w:val="EndnoteReference"/>
        </w:rPr>
        <w:endnoteRef/>
      </w:r>
      <w:r w:rsidRPr="00BF495B">
        <w:t xml:space="preserve"> Cotton Incorporated, “Monthly Economic Letter,” December 2018, accessed January 14, 2019, </w:t>
      </w:r>
      <w:r w:rsidR="00BF495B">
        <w:t>www</w:t>
      </w:r>
      <w:r w:rsidRPr="00BF495B">
        <w:t>.cottoninc.com/market-data/monthly-economic-newsletter/.</w:t>
      </w:r>
    </w:p>
  </w:endnote>
  <w:endnote w:id="28">
    <w:p w14:paraId="480BDBB9" w14:textId="3798677A" w:rsidR="006B71D3" w:rsidRPr="00BF495B" w:rsidRDefault="006B71D3" w:rsidP="006B71D3">
      <w:pPr>
        <w:pStyle w:val="Footnote"/>
      </w:pPr>
      <w:r w:rsidRPr="00BF495B">
        <w:rPr>
          <w:rStyle w:val="EndnoteReference"/>
          <w:b/>
          <w:i/>
        </w:rPr>
        <w:endnoteRef/>
      </w:r>
      <w:r w:rsidRPr="00BF495B">
        <w:t xml:space="preserve"> Katerine Fox, “Facing an Ageing Population in Fashion,” Not Just a Label, February 22, 2018, accessed January 14, 2019, </w:t>
      </w:r>
      <w:r w:rsidR="00BF495B">
        <w:t>www</w:t>
      </w:r>
      <w:r w:rsidRPr="00BF495B">
        <w:t>.notjustalabel.com/editorial/facing-ageing-population-fashion.</w:t>
      </w:r>
    </w:p>
  </w:endnote>
  <w:endnote w:id="29">
    <w:p w14:paraId="1FCD97F3" w14:textId="5E4DDCA2" w:rsidR="006B71D3" w:rsidRPr="00BF495B" w:rsidRDefault="006B71D3" w:rsidP="006B71D3">
      <w:pPr>
        <w:pStyle w:val="Footnote"/>
      </w:pPr>
      <w:r w:rsidRPr="00BF495B">
        <w:rPr>
          <w:rStyle w:val="EndnoteReference"/>
        </w:rPr>
        <w:endnoteRef/>
      </w:r>
      <w:r w:rsidRPr="00BF495B">
        <w:t xml:space="preserve"> Zara defined its target customers as “young, price conscious and highly sensitive to the latest fashion trends.” Arif Harbott, “Analysing Zara’s Business Model,” </w:t>
      </w:r>
      <w:r w:rsidRPr="00BF495B">
        <w:rPr>
          <w:i/>
        </w:rPr>
        <w:t>Medium</w:t>
      </w:r>
      <w:r w:rsidRPr="00BF495B">
        <w:t xml:space="preserve"> (blog), March 3, 2011, accessed August 31, 2015, www.harbott.com/2011/03/03/analysing-zaras-business-model/.</w:t>
      </w:r>
    </w:p>
  </w:endnote>
  <w:endnote w:id="30">
    <w:p w14:paraId="6D6E2990" w14:textId="0E1EE848" w:rsidR="006B71D3" w:rsidRPr="00BF495B" w:rsidRDefault="006B71D3" w:rsidP="006B71D3">
      <w:pPr>
        <w:pStyle w:val="Footnote"/>
      </w:pPr>
      <w:r w:rsidRPr="00BF495B">
        <w:rPr>
          <w:rStyle w:val="EndnoteReference"/>
        </w:rPr>
        <w:endnoteRef/>
      </w:r>
      <w:r w:rsidRPr="00BF495B">
        <w:t xml:space="preserve"> Pam Danziger, “Battle of the Fast Fashion Giants: Why Zara Wins, H&amp;M Loses,” Unity Marketing, May 12, 2018, accessed January 14, 2019, https://unitymarketingonline.com/battle-of-the-fast-fashion-giants-why-zara-wins-hm-loses/. </w:t>
      </w:r>
    </w:p>
  </w:endnote>
  <w:endnote w:id="31">
    <w:p w14:paraId="3F4DC32C" w14:textId="2D46317C" w:rsidR="006B71D3" w:rsidRPr="00BF495B" w:rsidRDefault="006B71D3" w:rsidP="006B71D3">
      <w:pPr>
        <w:pStyle w:val="Footnote"/>
      </w:pPr>
      <w:r w:rsidRPr="00BF495B">
        <w:rPr>
          <w:rStyle w:val="EndnoteReference"/>
        </w:rPr>
        <w:endnoteRef/>
      </w:r>
      <w:r w:rsidRPr="00BF495B">
        <w:t xml:space="preserve"> Doug Hardman, Simon Harper, and Ashok Notaney, Keeping Inventory — and Profits — Off the Discount Rack, PWC, 2, 2008, accessed January 20, 2015, </w:t>
      </w:r>
      <w:r w:rsidR="00555758" w:rsidRPr="00BF495B">
        <w:t>https://nanopdf.com/download/keeping-inventory-and-profitsoff-the-discount-rack_</w:t>
      </w:r>
      <w:r w:rsidR="00955053" w:rsidRPr="00BF495B">
        <w:t>pdf</w:t>
      </w:r>
      <w:r w:rsidR="00955053" w:rsidRPr="00BF495B" w:rsidDel="00555758">
        <w:t>.</w:t>
      </w:r>
    </w:p>
  </w:endnote>
  <w:endnote w:id="32">
    <w:p w14:paraId="05DF7991" w14:textId="199D9E7F" w:rsidR="006B71D3" w:rsidRPr="00BF495B" w:rsidRDefault="006B71D3" w:rsidP="001D7D10">
      <w:pPr>
        <w:pStyle w:val="Footnote"/>
      </w:pPr>
      <w:r w:rsidRPr="00BF495B">
        <w:rPr>
          <w:rStyle w:val="EndnoteReference"/>
        </w:rPr>
        <w:endnoteRef/>
      </w:r>
      <w:r w:rsidRPr="00BF495B">
        <w:t xml:space="preserve"> “</w:t>
      </w:r>
      <w:r w:rsidR="00555758" w:rsidRPr="00BF495B">
        <w:t>Advertising expenditure of The Gap, In. worldwide from 2012 to</w:t>
      </w:r>
      <w:r w:rsidR="00955053" w:rsidRPr="00BF495B">
        <w:t xml:space="preserve"> 2018 (in million U.S. dollars)</w:t>
      </w:r>
      <w:r w:rsidRPr="00BF495B">
        <w:t xml:space="preserve">,” </w:t>
      </w:r>
      <w:r w:rsidR="00555758" w:rsidRPr="00BF495B">
        <w:t>statista</w:t>
      </w:r>
      <w:r w:rsidRPr="00BF495B">
        <w:t xml:space="preserve">, accessed </w:t>
      </w:r>
      <w:r w:rsidR="00555758" w:rsidRPr="00BF495B">
        <w:t xml:space="preserve">April 5, 2019, </w:t>
      </w:r>
      <w:r w:rsidR="00BF495B">
        <w:t>www</w:t>
      </w:r>
      <w:r w:rsidR="00555758" w:rsidRPr="00BF495B">
        <w:t>.statista.com/statistics/422492/ad-spend-of-the-gap-inc-worldwide/</w:t>
      </w:r>
      <w:r w:rsidRPr="00BF495B">
        <w:t>.</w:t>
      </w:r>
    </w:p>
  </w:endnote>
  <w:endnote w:id="33">
    <w:p w14:paraId="5E03F869" w14:textId="52665AE0" w:rsidR="006B71D3" w:rsidRPr="00BF495B" w:rsidRDefault="006B71D3" w:rsidP="004A0048">
      <w:pPr>
        <w:pStyle w:val="EndnoteText"/>
        <w:jc w:val="both"/>
        <w:rPr>
          <w:rFonts w:ascii="Arial" w:hAnsi="Arial" w:cs="Arial"/>
          <w:sz w:val="17"/>
          <w:szCs w:val="17"/>
          <w:lang w:val="en-CA"/>
        </w:rPr>
      </w:pPr>
      <w:r w:rsidRPr="00BF495B">
        <w:rPr>
          <w:rStyle w:val="EndnoteReference"/>
          <w:rFonts w:ascii="Arial" w:hAnsi="Arial" w:cs="Arial"/>
          <w:iCs/>
          <w:sz w:val="17"/>
          <w:szCs w:val="17"/>
        </w:rPr>
        <w:endnoteRef/>
      </w:r>
      <w:r w:rsidRPr="00BF495B">
        <w:rPr>
          <w:rFonts w:ascii="Arial" w:hAnsi="Arial" w:cs="Arial"/>
          <w:iCs/>
          <w:sz w:val="17"/>
          <w:szCs w:val="17"/>
        </w:rPr>
        <w:t xml:space="preserve"> </w:t>
      </w:r>
      <w:r w:rsidRPr="00BF495B">
        <w:rPr>
          <w:rFonts w:ascii="Arial" w:hAnsi="Arial" w:cs="Arial"/>
          <w:iCs/>
          <w:sz w:val="17"/>
          <w:szCs w:val="17"/>
          <w:lang w:val="en-US"/>
        </w:rPr>
        <w:t>Kexin, “Speed to Sellout: What is it &amp; how do Zara’s and H&amp;M’s compare</w:t>
      </w:r>
      <w:proofErr w:type="gramStart"/>
      <w:r w:rsidRPr="00BF495B">
        <w:rPr>
          <w:rFonts w:ascii="Arial" w:hAnsi="Arial" w:cs="Arial"/>
          <w:iCs/>
          <w:sz w:val="17"/>
          <w:szCs w:val="17"/>
          <w:lang w:val="en-US"/>
        </w:rPr>
        <w:t>?,</w:t>
      </w:r>
      <w:proofErr w:type="gramEnd"/>
      <w:r w:rsidRPr="00BF495B">
        <w:rPr>
          <w:rFonts w:ascii="Arial" w:hAnsi="Arial" w:cs="Arial"/>
          <w:iCs/>
          <w:sz w:val="17"/>
          <w:szCs w:val="17"/>
          <w:lang w:val="en-US"/>
        </w:rPr>
        <w:t>” omnilytics, November 30, 2018, accessed January 14, 2019, https://omnilytics.co/blog/what-is-speed-to-sellout-rate-retail.</w:t>
      </w:r>
    </w:p>
  </w:endnote>
  <w:endnote w:id="34">
    <w:p w14:paraId="665FAFE2" w14:textId="7CE05FB1" w:rsidR="006B71D3" w:rsidRPr="00BF495B" w:rsidRDefault="006B71D3" w:rsidP="00B30C87">
      <w:pPr>
        <w:pStyle w:val="Footnote"/>
      </w:pPr>
      <w:r w:rsidRPr="00BF495B">
        <w:rPr>
          <w:rStyle w:val="EndnoteReference"/>
          <w:spacing w:val="-4"/>
          <w:kern w:val="17"/>
        </w:rPr>
        <w:endnoteRef/>
      </w:r>
      <w:r w:rsidRPr="00BF495B">
        <w:t xml:space="preserve"> Adrian Swinscoe, “Customer Focus in Action: Why ZARA Stores Became a Customer Magnet,” </w:t>
      </w:r>
      <w:r w:rsidRPr="00BF495B">
        <w:rPr>
          <w:i/>
        </w:rPr>
        <w:t>Adrian Swinscoe</w:t>
      </w:r>
      <w:r w:rsidRPr="00BF495B">
        <w:t xml:space="preserve"> (blog), December 21, 2011, accessed August 31, 2015, www.adrianswinscoe.com/customer-focus-in-action-why-zara-stores-became-a-customer-magnet/.</w:t>
      </w:r>
    </w:p>
  </w:endnote>
  <w:endnote w:id="35">
    <w:p w14:paraId="73ECA6E2" w14:textId="3BFA040B" w:rsidR="006B71D3" w:rsidRPr="00BF495B" w:rsidRDefault="006B71D3" w:rsidP="006B71D3">
      <w:pPr>
        <w:pStyle w:val="Footnote"/>
      </w:pPr>
      <w:r w:rsidRPr="00BF495B">
        <w:rPr>
          <w:rStyle w:val="EndnoteReference"/>
        </w:rPr>
        <w:endnoteRef/>
      </w:r>
      <w:r w:rsidRPr="00BF495B">
        <w:t xml:space="preserve"> In 2017, Zara represented €3.024 billion of Inditex’s €4.314 billion in earnings before interest and taxes; Inditex, Inditex Annual Report 2017, op. cit., 325.</w:t>
      </w:r>
    </w:p>
  </w:endnote>
  <w:endnote w:id="36">
    <w:p w14:paraId="06EFFD52" w14:textId="7FE5A36B" w:rsidR="006B71D3" w:rsidRPr="00BF495B" w:rsidRDefault="006B71D3" w:rsidP="006B71D3">
      <w:pPr>
        <w:pStyle w:val="Footnote"/>
      </w:pPr>
      <w:r w:rsidRPr="00BF495B">
        <w:rPr>
          <w:rStyle w:val="EndnoteReference"/>
        </w:rPr>
        <w:endnoteRef/>
      </w:r>
      <w:r w:rsidRPr="00BF495B">
        <w:t xml:space="preserve"> </w:t>
      </w:r>
      <w:r w:rsidR="00955053" w:rsidRPr="00BF495B">
        <w:t>Ibid,</w:t>
      </w:r>
      <w:r w:rsidRPr="00BF495B">
        <w:t xml:space="preserve"> 17, 326.</w:t>
      </w:r>
    </w:p>
  </w:endnote>
  <w:endnote w:id="37">
    <w:p w14:paraId="1F9E24BD" w14:textId="0C801FE9" w:rsidR="006B71D3" w:rsidRPr="00BF495B" w:rsidRDefault="006B71D3" w:rsidP="006B71D3">
      <w:pPr>
        <w:pStyle w:val="Footnote"/>
      </w:pPr>
      <w:r w:rsidRPr="00BF495B">
        <w:rPr>
          <w:rStyle w:val="EndnoteReference"/>
        </w:rPr>
        <w:endnoteRef/>
      </w:r>
      <w:r w:rsidR="00955053" w:rsidRPr="00BF495B">
        <w:t> </w:t>
      </w:r>
      <w:r w:rsidRPr="00BF495B">
        <w:t>Inditex</w:t>
      </w:r>
      <w:r w:rsidRPr="00BF495B">
        <w:rPr>
          <w:i/>
        </w:rPr>
        <w:t xml:space="preserve">, Inditex Annual Report 2004, </w:t>
      </w:r>
      <w:r w:rsidRPr="00BF495B">
        <w:t>13, June 2005, accessed January 20, 2015</w:t>
      </w:r>
      <w:r w:rsidRPr="00BF495B">
        <w:rPr>
          <w:i/>
        </w:rPr>
        <w:t xml:space="preserve">, </w:t>
      </w:r>
      <w:r w:rsidR="00BF495B">
        <w:t>www</w:t>
      </w:r>
      <w:r w:rsidRPr="00BF495B">
        <w:t>.inditex.com/documents/10279/245571/AnnualReport_2004.pdf/2bf4a31f-aa2e-4efc-86c4-1fb201211be6;</w:t>
      </w:r>
      <w:r w:rsidRPr="00BF495B">
        <w:rPr>
          <w:i/>
        </w:rPr>
        <w:t xml:space="preserve"> </w:t>
      </w:r>
      <w:proofErr w:type="spellStart"/>
      <w:r w:rsidRPr="00BF495B">
        <w:t>Inditex</w:t>
      </w:r>
      <w:proofErr w:type="spellEnd"/>
      <w:r w:rsidRPr="00BF495B">
        <w:t xml:space="preserve">, </w:t>
      </w:r>
      <w:proofErr w:type="spellStart"/>
      <w:r w:rsidRPr="00BF495B">
        <w:rPr>
          <w:i/>
        </w:rPr>
        <w:t>Inditex</w:t>
      </w:r>
      <w:proofErr w:type="spellEnd"/>
      <w:r w:rsidRPr="00BF495B">
        <w:rPr>
          <w:i/>
        </w:rPr>
        <w:t xml:space="preserve"> Annual Report 2017</w:t>
      </w:r>
      <w:r w:rsidRPr="00BF495B">
        <w:t>, op. cit., 325.</w:t>
      </w:r>
    </w:p>
  </w:endnote>
  <w:endnote w:id="38">
    <w:p w14:paraId="0BAE7F76" w14:textId="536E037B" w:rsidR="006B71D3" w:rsidRPr="00BF495B" w:rsidRDefault="006B71D3" w:rsidP="006F312A">
      <w:pPr>
        <w:pStyle w:val="Footnote"/>
      </w:pPr>
      <w:r w:rsidRPr="00BF495B">
        <w:rPr>
          <w:rStyle w:val="EndnoteReference"/>
        </w:rPr>
        <w:endnoteRef/>
      </w:r>
      <w:r w:rsidRPr="00BF495B">
        <w:t xml:space="preserve"> </w:t>
      </w:r>
      <w:r w:rsidR="00955053" w:rsidRPr="00BF495B">
        <w:t>Ibid,</w:t>
      </w:r>
      <w:r w:rsidRPr="00BF495B">
        <w:t xml:space="preserve"> 8, 325.</w:t>
      </w:r>
    </w:p>
  </w:endnote>
  <w:endnote w:id="39">
    <w:p w14:paraId="16CA962B" w14:textId="1707E005" w:rsidR="006B71D3" w:rsidRPr="00BF495B" w:rsidRDefault="006B71D3" w:rsidP="006F312A">
      <w:pPr>
        <w:pStyle w:val="Footnote"/>
      </w:pPr>
      <w:r w:rsidRPr="00BF495B">
        <w:rPr>
          <w:rStyle w:val="EndnoteReference"/>
        </w:rPr>
        <w:endnoteRef/>
      </w:r>
      <w:r w:rsidRPr="00BF495B">
        <w:t xml:space="preserve"> “Inditex Group’s Number of Stores in Asia and Africa in 2018, by Country,” Statista, March 2018, accessed January 14, 2019, </w:t>
      </w:r>
      <w:r w:rsidR="00BF495B">
        <w:t>www</w:t>
      </w:r>
      <w:r w:rsidRPr="00BF495B">
        <w:t xml:space="preserve">.statista.com/statistics/268829/number-of-stores-of-the-inditex-group-in-asia-and-africa-by-country/. </w:t>
      </w:r>
    </w:p>
  </w:endnote>
  <w:endnote w:id="40">
    <w:p w14:paraId="46DDA423" w14:textId="3290E357" w:rsidR="006B71D3" w:rsidRPr="00BF495B" w:rsidRDefault="006B71D3" w:rsidP="006F312A">
      <w:pPr>
        <w:pStyle w:val="Footnote"/>
      </w:pPr>
      <w:r w:rsidRPr="00BF495B">
        <w:rPr>
          <w:rStyle w:val="EndnoteReference"/>
        </w:rPr>
        <w:endnoteRef/>
      </w:r>
      <w:r w:rsidRPr="00BF495B">
        <w:t xml:space="preserve"> Nick, “How Zara Sells out 450+ Million Items a Year without Wasting Money on Marketing,” Beeketing, March 1, 2018, accessed January 14, 2019, https://beeketing.com/blog/zara-growth-story/. </w:t>
      </w:r>
    </w:p>
  </w:endnote>
  <w:endnote w:id="41">
    <w:p w14:paraId="4C2C4B99" w14:textId="762B186E" w:rsidR="006B71D3" w:rsidRPr="00BF495B" w:rsidRDefault="006B71D3" w:rsidP="006F312A">
      <w:pPr>
        <w:pStyle w:val="Footnote"/>
      </w:pPr>
      <w:r w:rsidRPr="00BF495B">
        <w:rPr>
          <w:rStyle w:val="EndnoteReference"/>
        </w:rPr>
        <w:endnoteRef/>
      </w:r>
      <w:r w:rsidRPr="00BF495B">
        <w:t xml:space="preserve"> </w:t>
      </w:r>
      <w:r w:rsidR="00CB0FD1" w:rsidRPr="00BF495B">
        <w:t>Greg Petro</w:t>
      </w:r>
      <w:r w:rsidRPr="00BF495B">
        <w:t>, “</w:t>
      </w:r>
      <w:r w:rsidR="00CB0FD1" w:rsidRPr="00BF495B">
        <w:t>The Future of Fashion Retailing: The Zara Approach (Part 2 of 3)</w:t>
      </w:r>
      <w:r w:rsidRPr="00BF495B">
        <w:t xml:space="preserve">,” </w:t>
      </w:r>
      <w:r w:rsidR="00CB0FD1" w:rsidRPr="00BF495B">
        <w:t>Forbes</w:t>
      </w:r>
      <w:r w:rsidRPr="00BF495B">
        <w:t xml:space="preserve">, accessed </w:t>
      </w:r>
      <w:r w:rsidR="00CB0FD1" w:rsidRPr="00BF495B">
        <w:t>April 5, 2019</w:t>
      </w:r>
      <w:r w:rsidRPr="00BF495B">
        <w:t>,</w:t>
      </w:r>
      <w:r w:rsidR="00CB0FD1" w:rsidRPr="00BF495B">
        <w:t xml:space="preserve"> </w:t>
      </w:r>
      <w:r w:rsidR="00BF495B">
        <w:t>www</w:t>
      </w:r>
      <w:r w:rsidR="00CB0FD1" w:rsidRPr="00BF495B">
        <w:t>.forbes.com/sites/gregpetro/2012/10/25/the-future-of-fashion-retailing-the-zara-approach-part-2-of-3/#6b345b77aa4b</w:t>
      </w:r>
      <w:r w:rsidRPr="00BF495B">
        <w:t>.</w:t>
      </w:r>
    </w:p>
  </w:endnote>
  <w:endnote w:id="42">
    <w:p w14:paraId="4EE3CFD3" w14:textId="511B1568" w:rsidR="006B71D3" w:rsidRPr="00BF495B" w:rsidRDefault="006B71D3" w:rsidP="006F312A">
      <w:pPr>
        <w:pStyle w:val="Footnote"/>
      </w:pPr>
      <w:r w:rsidRPr="00BF495B">
        <w:rPr>
          <w:rStyle w:val="EndnoteReference"/>
        </w:rPr>
        <w:endnoteRef/>
      </w:r>
      <w:r w:rsidRPr="00BF495B">
        <w:t xml:space="preserve"> Tobias Buck, “Fashion: A Better Business Model,” </w:t>
      </w:r>
      <w:r w:rsidRPr="00BF495B">
        <w:rPr>
          <w:i/>
        </w:rPr>
        <w:t>Financial Times</w:t>
      </w:r>
      <w:r w:rsidRPr="00BF495B">
        <w:t xml:space="preserve">, June 18, 2014, accessed January 22, 2015, www.ft.com/intl/cms/s/2/a7008958-f2f3-11e3-a3f8-00144feabdc0.html#slide0. </w:t>
      </w:r>
    </w:p>
  </w:endnote>
  <w:endnote w:id="43">
    <w:p w14:paraId="058A90B4" w14:textId="4D6360FA"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US"/>
        </w:rPr>
        <w:t>“The Secret of Zara’s Success: A Culture of Customer Co-creation,” Martin Roll, March 2018, accessed January 14, 2019, https://martinroll.com/resources/articles/strategy/the-secret-of-zaras-success-a-culture-of-customer-co-creation/.</w:t>
      </w:r>
    </w:p>
  </w:endnote>
  <w:endnote w:id="44">
    <w:p w14:paraId="521B641C" w14:textId="4E4B7AC6" w:rsidR="006B71D3" w:rsidRPr="00BF495B" w:rsidRDefault="006B71D3" w:rsidP="00B30C87">
      <w:pPr>
        <w:pStyle w:val="Footnote"/>
      </w:pPr>
      <w:r w:rsidRPr="00BF495B">
        <w:rPr>
          <w:rStyle w:val="EndnoteReference"/>
          <w:i/>
        </w:rPr>
        <w:endnoteRef/>
      </w:r>
      <w:r w:rsidRPr="00BF495B">
        <w:rPr>
          <w:i/>
        </w:rPr>
        <w:t xml:space="preserve"> </w:t>
      </w:r>
      <w:r w:rsidRPr="00BF495B">
        <w:t>Ruddick, op. cit.</w:t>
      </w:r>
    </w:p>
  </w:endnote>
  <w:endnote w:id="45">
    <w:p w14:paraId="7BB15C2B" w14:textId="45BE2FD9" w:rsidR="006B71D3" w:rsidRPr="00BF495B" w:rsidRDefault="006B71D3" w:rsidP="006B71D3">
      <w:pPr>
        <w:pStyle w:val="Footnote"/>
      </w:pPr>
      <w:r w:rsidRPr="00BF495B">
        <w:rPr>
          <w:rStyle w:val="EndnoteReference"/>
        </w:rPr>
        <w:endnoteRef/>
      </w:r>
      <w:r w:rsidRPr="00BF495B">
        <w:t xml:space="preserve"> Kerry Capell, “Zara Thrives by Breaking All the Rules,” Bloomberg, October 8, 2008, accessed August 31, 2015, www.bloomberg.com/bw/stories/2008-10-08/zara-thrives-by-breaking-all-the-rules.</w:t>
      </w:r>
    </w:p>
  </w:endnote>
  <w:endnote w:id="46">
    <w:p w14:paraId="713B2692" w14:textId="3127AEE4" w:rsidR="006B71D3" w:rsidRPr="00BF495B" w:rsidRDefault="006B71D3" w:rsidP="006F312A">
      <w:pPr>
        <w:pStyle w:val="Footnote"/>
      </w:pPr>
      <w:r w:rsidRPr="00BF495B">
        <w:rPr>
          <w:rStyle w:val="EndnoteReference"/>
        </w:rPr>
        <w:endnoteRef/>
      </w:r>
      <w:r w:rsidRPr="00BF495B">
        <w:t xml:space="preserve"> Katie Smith, “Zara vs H&amp;M — Who’s in the Global Lead</w:t>
      </w:r>
      <w:proofErr w:type="gramStart"/>
      <w:r w:rsidRPr="00BF495B">
        <w:t>?,</w:t>
      </w:r>
      <w:proofErr w:type="gramEnd"/>
      <w:r w:rsidRPr="00BF495B">
        <w:t xml:space="preserve">” </w:t>
      </w:r>
      <w:r w:rsidRPr="00BF495B">
        <w:rPr>
          <w:i/>
        </w:rPr>
        <w:t>Edited</w:t>
      </w:r>
      <w:r w:rsidRPr="00BF495B">
        <w:t xml:space="preserve"> (blog), April 15, 2014, accessed August 31, 2015, https://editd.com/blog/2014/04/zara-vs-hm-whos-in-the-global-lead/.</w:t>
      </w:r>
    </w:p>
  </w:endnote>
  <w:endnote w:id="47">
    <w:p w14:paraId="2FF757CB" w14:textId="52D9625F" w:rsidR="006B71D3" w:rsidRPr="00BF495B" w:rsidRDefault="006B71D3" w:rsidP="006F312A">
      <w:pPr>
        <w:pStyle w:val="Footnote"/>
      </w:pPr>
      <w:r w:rsidRPr="00BF495B">
        <w:rPr>
          <w:rStyle w:val="EndnoteReference"/>
        </w:rPr>
        <w:endnoteRef/>
      </w:r>
      <w:r w:rsidRPr="00BF495B">
        <w:t xml:space="preserve"> Deborah Weinswig, “Retailers Should Think </w:t>
      </w:r>
      <w:proofErr w:type="gramStart"/>
      <w:r w:rsidRPr="00BF495B">
        <w:t>Like</w:t>
      </w:r>
      <w:proofErr w:type="gramEnd"/>
      <w:r w:rsidRPr="00BF495B">
        <w:t xml:space="preserve"> Zara: What We Learned At The August Magic Trade Show,” </w:t>
      </w:r>
      <w:r w:rsidRPr="00BF495B">
        <w:rPr>
          <w:i/>
        </w:rPr>
        <w:t>Forbes</w:t>
      </w:r>
      <w:r w:rsidRPr="00BF495B">
        <w:t xml:space="preserve">, August 28, 2017, accessed January 14, 2019, </w:t>
      </w:r>
      <w:r w:rsidR="00BF495B">
        <w:t>www</w:t>
      </w:r>
      <w:r w:rsidRPr="00BF495B">
        <w:t>.forbes.com/sites/deborahweinswig/2017/08/28/retailers-should-think-like-zara-what-we-learned-at-the-august-magic-trade-show/#630ab2f13e52.</w:t>
      </w:r>
    </w:p>
  </w:endnote>
  <w:endnote w:id="48">
    <w:p w14:paraId="5FC829EE" w14:textId="67AD8E18" w:rsidR="006B71D3" w:rsidRPr="00BF495B" w:rsidRDefault="006B71D3" w:rsidP="006F312A">
      <w:pPr>
        <w:pStyle w:val="Footnote"/>
      </w:pPr>
      <w:r w:rsidRPr="00BF495B">
        <w:rPr>
          <w:rStyle w:val="EndnoteReference"/>
        </w:rPr>
        <w:endnoteRef/>
      </w:r>
      <w:r w:rsidRPr="00BF495B">
        <w:t xml:space="preserve"> “Zara Investment Holding (ZARA),” Investing.com, accessed January 14, 2019, https://ca.investing.com/equities/zara-investmen-ratios. </w:t>
      </w:r>
    </w:p>
  </w:endnote>
  <w:endnote w:id="49">
    <w:p w14:paraId="2485FF79" w14:textId="08311A8C" w:rsidR="006B71D3" w:rsidRPr="00BF495B" w:rsidRDefault="006B71D3" w:rsidP="006F312A">
      <w:pPr>
        <w:pStyle w:val="Footnote"/>
      </w:pPr>
      <w:r w:rsidRPr="00BF495B">
        <w:rPr>
          <w:rStyle w:val="EndnoteReference"/>
        </w:rPr>
        <w:endnoteRef/>
      </w:r>
      <w:r w:rsidRPr="00BF495B">
        <w:t xml:space="preserve"> Gemma Goldfingle, “Inside Inditex: How Zara Became a Global Fashion Phenomenon,” </w:t>
      </w:r>
      <w:r w:rsidRPr="00BF495B">
        <w:rPr>
          <w:i/>
        </w:rPr>
        <w:t>Retail Week</w:t>
      </w:r>
      <w:r w:rsidRPr="00BF495B">
        <w:t>, October 20, 2014, accessed August 31, 2015, www.retail-week.com/sectors/fashion/inside-inditex-how-zara-became-a-global-fashion-phenomenon/5065325.article.</w:t>
      </w:r>
    </w:p>
  </w:endnote>
  <w:endnote w:id="50">
    <w:p w14:paraId="0FCFD187" w14:textId="6650B0E0" w:rsidR="006B71D3" w:rsidRPr="00BF495B" w:rsidRDefault="006B71D3" w:rsidP="006F312A">
      <w:pPr>
        <w:pStyle w:val="Footnote"/>
      </w:pPr>
      <w:r w:rsidRPr="00BF495B">
        <w:rPr>
          <w:rStyle w:val="EndnoteReference"/>
        </w:rPr>
        <w:endnoteRef/>
      </w:r>
      <w:r w:rsidRPr="00BF495B">
        <w:t xml:space="preserve"> Hardman, Harper, and Notaney, op. cit., 2.</w:t>
      </w:r>
    </w:p>
  </w:endnote>
  <w:endnote w:id="51">
    <w:p w14:paraId="2C724983" w14:textId="39DB2B7C" w:rsidR="006B71D3" w:rsidRPr="00BF495B" w:rsidRDefault="006B71D3" w:rsidP="00B30C87">
      <w:pPr>
        <w:pStyle w:val="Footnote"/>
      </w:pPr>
      <w:r w:rsidRPr="00BF495B">
        <w:rPr>
          <w:rStyle w:val="EndnoteReference"/>
        </w:rPr>
        <w:endnoteRef/>
      </w:r>
      <w:r w:rsidRPr="00BF495B">
        <w:t xml:space="preserve"> Susan Berfield and Manuel Baigorri, “Zara’s Fast-Fashion Edge,” Bloomberg, November 14, 2013, accessed January 22, 2015, www.businessweek.com/articles/2013-11-14/2014-outlook-zaras-fashion-supply-chain-edge. </w:t>
      </w:r>
    </w:p>
  </w:endnote>
  <w:endnote w:id="52">
    <w:p w14:paraId="5AFD2F88" w14:textId="4EB16EF8" w:rsidR="006B71D3" w:rsidRPr="00BF495B" w:rsidRDefault="006B71D3" w:rsidP="006B71D3">
      <w:pPr>
        <w:pStyle w:val="Footnote"/>
      </w:pPr>
      <w:r w:rsidRPr="00BF495B">
        <w:rPr>
          <w:rStyle w:val="EndnoteReference"/>
        </w:rPr>
        <w:endnoteRef/>
      </w:r>
      <w:r w:rsidRPr="00BF495B">
        <w:t xml:space="preserve"> Calculated as follows: 7,475 stores to the end of 2017, compared with 6,340 in 2013 across 1,825 days; Inditex, </w:t>
      </w:r>
      <w:r w:rsidRPr="00BF495B">
        <w:rPr>
          <w:i/>
        </w:rPr>
        <w:t>Inditex Annual Report 2017</w:t>
      </w:r>
      <w:r w:rsidRPr="00BF495B">
        <w:t>, op. cit.</w:t>
      </w:r>
    </w:p>
  </w:endnote>
  <w:endnote w:id="53">
    <w:p w14:paraId="7C3872BE" w14:textId="209685DF"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US"/>
        </w:rPr>
        <w:t xml:space="preserve">Mary Hanbury, “Zara Has a Fleet of Secret Stores Where it Masters its Shop Design and Plots How to Get You to Spend Money,” Business Insider, September 24, 2018, accessed January 14, 2019, </w:t>
      </w:r>
      <w:r w:rsidR="00BF495B">
        <w:rPr>
          <w:rFonts w:ascii="Arial" w:hAnsi="Arial" w:cs="Arial"/>
          <w:sz w:val="17"/>
          <w:szCs w:val="17"/>
          <w:lang w:val="en-US"/>
        </w:rPr>
        <w:t>www</w:t>
      </w:r>
      <w:r w:rsidRPr="00BF495B">
        <w:rPr>
          <w:rFonts w:ascii="Arial" w:hAnsi="Arial" w:cs="Arial"/>
          <w:sz w:val="17"/>
          <w:szCs w:val="17"/>
          <w:lang w:val="en-US"/>
        </w:rPr>
        <w:t>.businessinsider.com/zara-has-secret-test-stores-photos-2018-9.</w:t>
      </w:r>
    </w:p>
  </w:endnote>
  <w:endnote w:id="54">
    <w:p w14:paraId="5F7D9BCD" w14:textId="3B68441D" w:rsidR="006B71D3" w:rsidRPr="00BF495B" w:rsidRDefault="006B71D3" w:rsidP="00B30C87">
      <w:pPr>
        <w:pStyle w:val="Footnote"/>
      </w:pPr>
      <w:r w:rsidRPr="00BF495B">
        <w:rPr>
          <w:rStyle w:val="EndnoteReference"/>
        </w:rPr>
        <w:endnoteRef/>
      </w:r>
      <w:r w:rsidRPr="00BF495B">
        <w:t xml:space="preserve"> Belle Kwan, “Spanish Domination — Zara Brand Profile,” Marketing, September 23, 2011, accessed February 4, 2015, www.marketingmag.com.au/blogs/spanish-domination-6575/#.VNJL7lXF_uI. </w:t>
      </w:r>
    </w:p>
  </w:endnote>
  <w:endnote w:id="55">
    <w:p w14:paraId="7D110FFC" w14:textId="45F5D199"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w:t>
      </w:r>
      <w:r w:rsidRPr="00BF495B">
        <w:rPr>
          <w:rFonts w:ascii="Arial" w:hAnsi="Arial" w:cs="Arial"/>
          <w:sz w:val="17"/>
          <w:szCs w:val="17"/>
          <w:lang w:val="en-US"/>
        </w:rPr>
        <w:t xml:space="preserve">“Company Profile – Global Growth Opportunities,” Inditex, accessed January 9, 2019, </w:t>
      </w:r>
      <w:r w:rsidR="00BF495B">
        <w:rPr>
          <w:rFonts w:ascii="Arial" w:hAnsi="Arial" w:cs="Arial"/>
          <w:sz w:val="17"/>
          <w:szCs w:val="17"/>
          <w:lang w:val="en-US"/>
        </w:rPr>
        <w:t>www</w:t>
      </w:r>
      <w:r w:rsidRPr="00BF495B">
        <w:rPr>
          <w:rFonts w:ascii="Arial" w:hAnsi="Arial" w:cs="Arial"/>
          <w:sz w:val="17"/>
          <w:szCs w:val="17"/>
          <w:lang w:val="en-US"/>
        </w:rPr>
        <w:t>.inditex.com/en/investors/investor-relations/results-and-presentations.</w:t>
      </w:r>
    </w:p>
  </w:endnote>
  <w:endnote w:id="56">
    <w:p w14:paraId="3F224980" w14:textId="0A88ED3C"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CA"/>
        </w:rPr>
        <w:t xml:space="preserve">Laura </w:t>
      </w:r>
      <w:r w:rsidRPr="00BF495B">
        <w:rPr>
          <w:rFonts w:ascii="Arial" w:hAnsi="Arial" w:cs="Arial"/>
          <w:sz w:val="17"/>
          <w:szCs w:val="17"/>
          <w:lang w:val="en-US"/>
        </w:rPr>
        <w:t xml:space="preserve">Gurfein, “Zara’s New Soho Store Is Open and So Ready for </w:t>
      </w:r>
      <w:proofErr w:type="gramStart"/>
      <w:r w:rsidRPr="00BF495B">
        <w:rPr>
          <w:rFonts w:ascii="Arial" w:hAnsi="Arial" w:cs="Arial"/>
          <w:sz w:val="17"/>
          <w:szCs w:val="17"/>
          <w:lang w:val="en-US"/>
        </w:rPr>
        <w:t>Spring</w:t>
      </w:r>
      <w:proofErr w:type="gramEnd"/>
      <w:r w:rsidRPr="00BF495B">
        <w:rPr>
          <w:rFonts w:ascii="Arial" w:hAnsi="Arial" w:cs="Arial"/>
          <w:sz w:val="17"/>
          <w:szCs w:val="17"/>
          <w:lang w:val="en-US"/>
        </w:rPr>
        <w:t>,” Racked, March 3, 2016, accessed January 9, 2019, https://ny.racked.com/2016/3/3/11153970/zara-nyc-soho-now-open.</w:t>
      </w:r>
    </w:p>
  </w:endnote>
  <w:endnote w:id="57">
    <w:p w14:paraId="5891C3F9" w14:textId="5A3DEB27"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US"/>
        </w:rPr>
        <w:t>Matt Duczeminski, “Spotlight on Zara: Lessons from a Brand that Spends Next to Nothing on Ads,” PostFunnel, November 5, 2018, accessed January 14, 2019, https://postfunnel.com/spotlight-zara-lessons-brand-spends-next-nothing-ads/.</w:t>
      </w:r>
    </w:p>
  </w:endnote>
  <w:endnote w:id="58">
    <w:p w14:paraId="55EA046E" w14:textId="184FABDE" w:rsidR="006B71D3" w:rsidRPr="00BF495B" w:rsidRDefault="006B71D3" w:rsidP="00B30C87">
      <w:pPr>
        <w:pStyle w:val="Footnote"/>
      </w:pPr>
      <w:r w:rsidRPr="00BF495B">
        <w:rPr>
          <w:rStyle w:val="EndnoteReference"/>
        </w:rPr>
        <w:endnoteRef/>
      </w:r>
      <w:r w:rsidRPr="00BF495B">
        <w:t xml:space="preserve"> Kwan, op. cit.</w:t>
      </w:r>
    </w:p>
  </w:endnote>
  <w:endnote w:id="59">
    <w:p w14:paraId="3DBD43D0" w14:textId="0E713031" w:rsidR="006B71D3" w:rsidRPr="00BF495B" w:rsidRDefault="006B71D3" w:rsidP="006B71D3">
      <w:pPr>
        <w:pStyle w:val="Footnote"/>
      </w:pPr>
      <w:r w:rsidRPr="00BF495B">
        <w:rPr>
          <w:rStyle w:val="EndnoteReference"/>
        </w:rPr>
        <w:endnoteRef/>
      </w:r>
      <w:r w:rsidRPr="00BF495B">
        <w:t xml:space="preserve"> Hardman, Harper, and Notaney, op. cit., 2.</w:t>
      </w:r>
    </w:p>
  </w:endnote>
  <w:endnote w:id="60">
    <w:p w14:paraId="4D9CAF24" w14:textId="1EB527C1" w:rsidR="006B71D3" w:rsidRPr="00BF495B" w:rsidRDefault="006B71D3" w:rsidP="006B71D3">
      <w:pPr>
        <w:pStyle w:val="Footnote"/>
      </w:pPr>
      <w:r w:rsidRPr="00BF495B">
        <w:rPr>
          <w:rStyle w:val="EndnoteReference"/>
        </w:rPr>
        <w:endnoteRef/>
      </w:r>
      <w:r w:rsidRPr="00BF495B">
        <w:t xml:space="preserve"> </w:t>
      </w:r>
      <w:r w:rsidR="00E07C87" w:rsidRPr="00BF495B">
        <w:t>Channing Hargrove,</w:t>
      </w:r>
      <w:r w:rsidRPr="00BF495B">
        <w:t xml:space="preserve"> </w:t>
      </w:r>
      <w:r w:rsidR="00E07C87" w:rsidRPr="00BF495B">
        <w:t xml:space="preserve">“10 Crazy Things You Didn’t Know About Zara,” REFINERY29, July 25, 2017, accessed April 5, 2019, </w:t>
      </w:r>
      <w:r w:rsidR="00BF495B">
        <w:t>www</w:t>
      </w:r>
      <w:r w:rsidR="00E07C87" w:rsidRPr="00BF495B">
        <w:t>.refinery29.com/en-us/2017/07/165057/zara-secrets-richest-man-documentary-preview</w:t>
      </w:r>
      <w:r w:rsidRPr="00BF495B">
        <w:t>.</w:t>
      </w:r>
    </w:p>
  </w:endnote>
  <w:endnote w:id="61">
    <w:p w14:paraId="765DE810" w14:textId="43812968" w:rsidR="006B71D3" w:rsidRPr="00BF495B" w:rsidRDefault="006B71D3" w:rsidP="002C35F3">
      <w:pPr>
        <w:pStyle w:val="Footnote"/>
      </w:pPr>
      <w:r w:rsidRPr="00BF495B">
        <w:rPr>
          <w:rStyle w:val="EndnoteReference"/>
        </w:rPr>
        <w:endnoteRef/>
      </w:r>
      <w:r w:rsidRPr="00BF495B">
        <w:t xml:space="preserve"> Derek Thompson, “Zara’s Big Idea: What the World’s Top Fashion Retailer Tells Us about Innovation,” </w:t>
      </w:r>
      <w:r w:rsidRPr="00BF495B">
        <w:rPr>
          <w:i/>
        </w:rPr>
        <w:t>Atlantic</w:t>
      </w:r>
      <w:r w:rsidRPr="00BF495B">
        <w:t xml:space="preserve">, November 13, 2012, accessed January 23, 2015, www.theatlantic.com/business/archive/2012/11/zaras-big-idea-what-the-worlds-top-fashion-retailer-tells-us-about-innovation/265126/. </w:t>
      </w:r>
    </w:p>
  </w:endnote>
  <w:endnote w:id="62">
    <w:p w14:paraId="12F64F31" w14:textId="4D1E58BE" w:rsidR="006B71D3" w:rsidRPr="00BF495B" w:rsidRDefault="006B71D3" w:rsidP="006B71D3">
      <w:pPr>
        <w:pStyle w:val="Footnote"/>
      </w:pPr>
      <w:r w:rsidRPr="00BF495B">
        <w:rPr>
          <w:rStyle w:val="EndnoteReference"/>
        </w:rPr>
        <w:endnoteRef/>
      </w:r>
      <w:r w:rsidRPr="00BF495B">
        <w:t xml:space="preserve"> Hiroko Tabuchi and Hilary Stout, “Gap’s Fashion-Backward Moment,” </w:t>
      </w:r>
      <w:r w:rsidRPr="00BF495B">
        <w:rPr>
          <w:i/>
        </w:rPr>
        <w:t>New York Times</w:t>
      </w:r>
      <w:r w:rsidRPr="00BF495B">
        <w:t xml:space="preserve">, June 20, 2015, accessed August 31, 2015, www.nytimes.com/2015/06/21/business/gaps-fashion-backward-moment.html?_r=0. </w:t>
      </w:r>
    </w:p>
  </w:endnote>
  <w:endnote w:id="63">
    <w:p w14:paraId="0F13C16A" w14:textId="60990FE8" w:rsidR="006B71D3" w:rsidRPr="00BF495B" w:rsidRDefault="006B71D3" w:rsidP="006B71D3">
      <w:pPr>
        <w:pStyle w:val="Footnote"/>
      </w:pPr>
      <w:r w:rsidRPr="00BF495B">
        <w:rPr>
          <w:rStyle w:val="EndnoteReference"/>
        </w:rPr>
        <w:endnoteRef/>
      </w:r>
      <w:r w:rsidRPr="00BF495B">
        <w:t xml:space="preserve"> GAP Inc., </w:t>
      </w:r>
      <w:r w:rsidRPr="00BF495B">
        <w:rPr>
          <w:i/>
        </w:rPr>
        <w:t>2017 Annual Report</w:t>
      </w:r>
      <w:r w:rsidRPr="00BF495B">
        <w:t xml:space="preserve">, 17, March 20, 2018, accessed January 15, 2019, http://investors.gapinc.com/phoenix.zhtml?c=111302&amp;p=irol-reportsAnnual. </w:t>
      </w:r>
    </w:p>
  </w:endnote>
  <w:endnote w:id="64">
    <w:p w14:paraId="52103FD2" w14:textId="181CCC66" w:rsidR="006B71D3" w:rsidRPr="00BF495B" w:rsidRDefault="006B71D3" w:rsidP="006B71D3">
      <w:pPr>
        <w:pStyle w:val="Footnote"/>
      </w:pPr>
      <w:r w:rsidRPr="00BF495B">
        <w:rPr>
          <w:rStyle w:val="EndnoteReference"/>
        </w:rPr>
        <w:endnoteRef/>
      </w:r>
      <w:r w:rsidRPr="00BF495B">
        <w:t xml:space="preserve"> Gap Inc., </w:t>
      </w:r>
      <w:r w:rsidRPr="00BF495B">
        <w:rPr>
          <w:i/>
        </w:rPr>
        <w:t>2004 Annual Report</w:t>
      </w:r>
      <w:r w:rsidRPr="00BF495B">
        <w:t xml:space="preserve">, 9, accessed January 29, 2015, http://media.corporate-ir.net/media_files/IROL/11/111302/GPS_AR_04.pdf. </w:t>
      </w:r>
    </w:p>
  </w:endnote>
  <w:endnote w:id="65">
    <w:p w14:paraId="64872267" w14:textId="362E6BEB" w:rsidR="006B71D3" w:rsidRPr="00BF495B" w:rsidRDefault="006B71D3" w:rsidP="006B71D3">
      <w:pPr>
        <w:pStyle w:val="Footnote"/>
      </w:pPr>
      <w:r w:rsidRPr="00BF495B">
        <w:rPr>
          <w:rStyle w:val="EndnoteReference"/>
        </w:rPr>
        <w:endnoteRef/>
      </w:r>
      <w:r w:rsidRPr="00BF495B">
        <w:t xml:space="preserve"> GAP Inc., </w:t>
      </w:r>
      <w:r w:rsidRPr="00BF495B">
        <w:rPr>
          <w:i/>
        </w:rPr>
        <w:t>2017 Annual Report</w:t>
      </w:r>
      <w:r w:rsidRPr="00BF495B">
        <w:t>, op. cit., 17.</w:t>
      </w:r>
    </w:p>
  </w:endnote>
  <w:endnote w:id="66">
    <w:p w14:paraId="4D2EDA35" w14:textId="4F30AE01" w:rsidR="006B71D3" w:rsidRPr="00BF495B" w:rsidRDefault="006B71D3" w:rsidP="006B71D3">
      <w:pPr>
        <w:pStyle w:val="Footnote"/>
      </w:pPr>
      <w:r w:rsidRPr="00BF495B">
        <w:rPr>
          <w:rStyle w:val="EndnoteReference"/>
        </w:rPr>
        <w:endnoteRef/>
      </w:r>
      <w:r w:rsidRPr="00BF495B">
        <w:t xml:space="preserve"> Intermix was a brand with 30 boutiques across Canada and the United States that was acquired by Gap in December 2012.</w:t>
      </w:r>
    </w:p>
  </w:endnote>
  <w:endnote w:id="67">
    <w:p w14:paraId="4D95C76F" w14:textId="203F4253" w:rsidR="006B71D3" w:rsidRPr="00BF495B" w:rsidRDefault="006B71D3" w:rsidP="002C35F3">
      <w:pPr>
        <w:pStyle w:val="Footnote"/>
      </w:pPr>
      <w:r w:rsidRPr="00BF495B">
        <w:rPr>
          <w:rStyle w:val="EndnoteReference"/>
        </w:rPr>
        <w:endnoteRef/>
      </w:r>
      <w:r w:rsidRPr="00BF495B">
        <w:t xml:space="preserve"> Vikram Alexei Kansara, “With an Evolutionary Approach, Uniqlo Aims to Create New Category,” The Business of Fashion, April 19, 2013, accessed February 2, 2015, www.businessoffashion.com/2013/04/with-an-evolutionary-approach-uniqlo-aims-to-create-new-category.html. Disclosure: Vikram Kansara travelled to Paris as a guest of Uniqlo.</w:t>
      </w:r>
    </w:p>
  </w:endnote>
  <w:endnote w:id="68">
    <w:p w14:paraId="31B89C87" w14:textId="64CF897B" w:rsidR="006B71D3" w:rsidRPr="00BF495B" w:rsidRDefault="006B71D3" w:rsidP="006B71D3">
      <w:pPr>
        <w:pStyle w:val="Footnote"/>
      </w:pPr>
      <w:r w:rsidRPr="00BF495B">
        <w:rPr>
          <w:rStyle w:val="EndnoteReference"/>
        </w:rPr>
        <w:endnoteRef/>
      </w:r>
      <w:r w:rsidRPr="00BF495B">
        <w:t> </w:t>
      </w:r>
      <w:r w:rsidR="00955053" w:rsidRPr="00BF495B">
        <w:t>“About Fast </w:t>
      </w:r>
      <w:r w:rsidRPr="00BF495B">
        <w:t>Retailing,</w:t>
      </w:r>
      <w:r w:rsidR="00955053" w:rsidRPr="00BF495B">
        <w:t>” Fast Retailing, accessed </w:t>
      </w:r>
      <w:r w:rsidRPr="00BF495B">
        <w:t>Janua</w:t>
      </w:r>
      <w:r w:rsidR="00955053" w:rsidRPr="00BF495B">
        <w:t>ry 15, 2019, </w:t>
      </w:r>
      <w:r w:rsidR="00BF495B">
        <w:t>www</w:t>
      </w:r>
      <w:r w:rsidRPr="00BF495B">
        <w:t xml:space="preserve">.fastretailing.com/eng/about/business/aboutfr.html; “#181 Fast Retailing,” </w:t>
      </w:r>
      <w:r w:rsidRPr="00BF495B">
        <w:rPr>
          <w:i/>
        </w:rPr>
        <w:t>Forbes</w:t>
      </w:r>
      <w:r w:rsidRPr="00BF495B">
        <w:t xml:space="preserve">, accessed January 15, 2019, </w:t>
      </w:r>
      <w:r w:rsidR="00BF495B">
        <w:t>www</w:t>
      </w:r>
      <w:r w:rsidRPr="00BF495B">
        <w:t>.forbes.com/companies/fast-retailing/#2eb0e96446f7.</w:t>
      </w:r>
    </w:p>
  </w:endnote>
  <w:endnote w:id="69">
    <w:p w14:paraId="4536F495" w14:textId="30E3B83D"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US"/>
        </w:rPr>
        <w:t>“About Fast Retailing,” op. cit</w:t>
      </w:r>
      <w:r w:rsidR="00955053" w:rsidRPr="00BF495B">
        <w:rPr>
          <w:rFonts w:ascii="Arial" w:hAnsi="Arial" w:cs="Arial"/>
          <w:sz w:val="17"/>
          <w:szCs w:val="17"/>
          <w:lang w:val="en-US"/>
        </w:rPr>
        <w:t>.</w:t>
      </w:r>
      <w:r w:rsidRPr="00BF495B">
        <w:rPr>
          <w:rFonts w:ascii="Arial" w:hAnsi="Arial" w:cs="Arial"/>
          <w:sz w:val="17"/>
          <w:szCs w:val="17"/>
        </w:rPr>
        <w:t xml:space="preserve">; </w:t>
      </w:r>
      <w:r w:rsidRPr="00BF495B">
        <w:rPr>
          <w:rFonts w:ascii="Arial" w:hAnsi="Arial" w:cs="Arial"/>
          <w:sz w:val="17"/>
          <w:szCs w:val="17"/>
          <w:lang w:val="en-US"/>
        </w:rPr>
        <w:t xml:space="preserve">Nikita Biryukov, “Uniqlo Head Would Close U.S. Stores over Trump’s Suggested Policy,” NBC News, March 31, 2017, accessed January 15, 2019, </w:t>
      </w:r>
      <w:r w:rsidR="00BF495B">
        <w:rPr>
          <w:rFonts w:ascii="Arial" w:hAnsi="Arial" w:cs="Arial"/>
          <w:sz w:val="17"/>
          <w:szCs w:val="17"/>
          <w:lang w:val="en-US"/>
        </w:rPr>
        <w:t>www</w:t>
      </w:r>
      <w:r w:rsidRPr="00BF495B">
        <w:rPr>
          <w:rFonts w:ascii="Arial" w:hAnsi="Arial" w:cs="Arial"/>
          <w:sz w:val="17"/>
          <w:szCs w:val="17"/>
          <w:lang w:val="en-US"/>
        </w:rPr>
        <w:t>.nbcnews.com/news/us-news/uniqlo-head-would-close-u-s-stores-over-trump-s-n741371.</w:t>
      </w:r>
    </w:p>
  </w:endnote>
  <w:endnote w:id="70">
    <w:p w14:paraId="147C7AE6" w14:textId="69C671BA" w:rsidR="006B71D3" w:rsidRPr="00BF495B" w:rsidRDefault="006B71D3" w:rsidP="00B30C87">
      <w:pPr>
        <w:pStyle w:val="Footnote"/>
      </w:pPr>
      <w:r w:rsidRPr="00BF495B">
        <w:rPr>
          <w:rStyle w:val="EndnoteReference"/>
          <w:i/>
        </w:rPr>
        <w:endnoteRef/>
      </w:r>
      <w:r w:rsidRPr="00BF495B">
        <w:t xml:space="preserve"> £ = GBP = British pound; </w:t>
      </w:r>
      <w:r w:rsidRPr="00BF495B">
        <w:rPr>
          <w:iCs/>
        </w:rPr>
        <w:t xml:space="preserve">€1 = </w:t>
      </w:r>
      <w:r w:rsidRPr="00BF495B">
        <w:t>£0.8995 on January 9, 2019.</w:t>
      </w:r>
    </w:p>
  </w:endnote>
  <w:endnote w:id="71">
    <w:p w14:paraId="7B0BCBDA" w14:textId="463315F4"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w:t>
      </w:r>
      <w:r w:rsidRPr="00BF495B">
        <w:rPr>
          <w:rFonts w:ascii="Arial" w:hAnsi="Arial" w:cs="Arial"/>
          <w:sz w:val="17"/>
          <w:szCs w:val="17"/>
          <w:lang w:val="en-US"/>
        </w:rPr>
        <w:t xml:space="preserve">Boohoo.com PLC, </w:t>
      </w:r>
      <w:r w:rsidRPr="00BF495B">
        <w:rPr>
          <w:rFonts w:ascii="Arial" w:hAnsi="Arial" w:cs="Arial"/>
          <w:i/>
          <w:sz w:val="17"/>
          <w:szCs w:val="17"/>
          <w:lang w:val="en-US"/>
        </w:rPr>
        <w:t>Boohoo.com PLC Annual Report and Accounts 2018</w:t>
      </w:r>
      <w:r w:rsidRPr="00BF495B">
        <w:rPr>
          <w:rFonts w:ascii="Arial" w:hAnsi="Arial" w:cs="Arial"/>
          <w:sz w:val="17"/>
          <w:szCs w:val="17"/>
          <w:lang w:val="en-US"/>
        </w:rPr>
        <w:t>, accessed January 15, 2019, www.boohooplc.com/~/media/Files/B/Boohoo/reports-and-presentations/4042-boohoo-randa-hyperlink.pdf.</w:t>
      </w:r>
    </w:p>
  </w:endnote>
  <w:endnote w:id="72">
    <w:p w14:paraId="3832D756" w14:textId="7FD76A5E" w:rsidR="006B71D3" w:rsidRPr="00BF495B"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US"/>
        </w:rPr>
        <w:t xml:space="preserve">Daphne Howland, “Report: ‘Ultra-Fast’ Fashion Players Gain on Zara, H&amp;M,” Retail Dive, May 22, 2017, accessed January 15, 2019, </w:t>
      </w:r>
      <w:r w:rsidR="00BF495B">
        <w:rPr>
          <w:rFonts w:ascii="Arial" w:hAnsi="Arial" w:cs="Arial"/>
          <w:sz w:val="17"/>
          <w:szCs w:val="17"/>
          <w:lang w:val="en-US"/>
        </w:rPr>
        <w:t>www</w:t>
      </w:r>
      <w:r w:rsidRPr="00BF495B">
        <w:rPr>
          <w:rFonts w:ascii="Arial" w:hAnsi="Arial" w:cs="Arial"/>
          <w:sz w:val="17"/>
          <w:szCs w:val="17"/>
          <w:lang w:val="en-US"/>
        </w:rPr>
        <w:t xml:space="preserve">.retaildive.com/news/report-ultra-fast-fashion-players-gain-on-zara-hm/443250/.  </w:t>
      </w:r>
    </w:p>
  </w:endnote>
  <w:endnote w:id="73">
    <w:p w14:paraId="5B94D498" w14:textId="0081053B" w:rsidR="006B71D3" w:rsidRPr="00DA6D54" w:rsidRDefault="006B71D3" w:rsidP="004A0048">
      <w:pPr>
        <w:pStyle w:val="EndnoteText"/>
        <w:jc w:val="both"/>
        <w:rPr>
          <w:rFonts w:ascii="Arial" w:hAnsi="Arial" w:cs="Arial"/>
          <w:sz w:val="17"/>
          <w:szCs w:val="17"/>
          <w:lang w:val="en-US"/>
        </w:rPr>
      </w:pPr>
      <w:r w:rsidRPr="00BF495B">
        <w:rPr>
          <w:rStyle w:val="EndnoteReference"/>
          <w:rFonts w:ascii="Arial" w:hAnsi="Arial" w:cs="Arial"/>
          <w:sz w:val="17"/>
          <w:szCs w:val="17"/>
        </w:rPr>
        <w:endnoteRef/>
      </w:r>
      <w:r w:rsidRPr="00BF495B">
        <w:rPr>
          <w:rFonts w:ascii="Arial" w:hAnsi="Arial" w:cs="Arial"/>
          <w:sz w:val="17"/>
          <w:szCs w:val="17"/>
        </w:rPr>
        <w:t xml:space="preserve"> </w:t>
      </w:r>
      <w:r w:rsidRPr="00BF495B">
        <w:rPr>
          <w:rFonts w:ascii="Arial" w:hAnsi="Arial" w:cs="Arial"/>
          <w:sz w:val="17"/>
          <w:szCs w:val="17"/>
          <w:lang w:val="en-US"/>
        </w:rPr>
        <w:t>Boohoo.com PLC, op. cit., 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5E69A" w14:textId="77777777" w:rsidR="00694D16" w:rsidRDefault="00694D16" w:rsidP="00D75295">
      <w:r>
        <w:separator/>
      </w:r>
    </w:p>
  </w:footnote>
  <w:footnote w:type="continuationSeparator" w:id="0">
    <w:p w14:paraId="1E8C7F74" w14:textId="77777777" w:rsidR="00694D16" w:rsidRDefault="00694D1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5BE97" w14:textId="4316F973" w:rsidR="00DA1403" w:rsidRPr="004A0048" w:rsidRDefault="00DA1403" w:rsidP="00DA740C">
    <w:pPr>
      <w:pBdr>
        <w:bottom w:val="single" w:sz="18" w:space="1" w:color="auto"/>
      </w:pBdr>
      <w:tabs>
        <w:tab w:val="left" w:pos="-1440"/>
        <w:tab w:val="left" w:pos="-720"/>
        <w:tab w:val="right" w:pos="9360"/>
      </w:tabs>
      <w:rPr>
        <w:rFonts w:ascii="Arial" w:hAnsi="Arial"/>
        <w:sz w:val="20"/>
        <w:szCs w:val="20"/>
      </w:rPr>
    </w:pPr>
    <w:r w:rsidRPr="004A0048">
      <w:rPr>
        <w:rFonts w:ascii="Arial" w:hAnsi="Arial"/>
        <w:b/>
        <w:sz w:val="20"/>
        <w:szCs w:val="20"/>
      </w:rPr>
      <w:t xml:space="preserve">Page </w:t>
    </w:r>
    <w:r w:rsidRPr="004A0048">
      <w:rPr>
        <w:rFonts w:ascii="Arial" w:hAnsi="Arial"/>
        <w:b/>
        <w:sz w:val="20"/>
        <w:szCs w:val="20"/>
      </w:rPr>
      <w:fldChar w:fldCharType="begin"/>
    </w:r>
    <w:r w:rsidRPr="004A0048">
      <w:rPr>
        <w:rFonts w:ascii="Arial" w:hAnsi="Arial"/>
        <w:b/>
        <w:sz w:val="20"/>
        <w:szCs w:val="20"/>
      </w:rPr>
      <w:instrText>PAGE</w:instrText>
    </w:r>
    <w:r w:rsidRPr="004A0048">
      <w:rPr>
        <w:rFonts w:ascii="Arial" w:hAnsi="Arial"/>
        <w:b/>
        <w:sz w:val="20"/>
        <w:szCs w:val="20"/>
      </w:rPr>
      <w:fldChar w:fldCharType="separate"/>
    </w:r>
    <w:r w:rsidR="00BF495B">
      <w:rPr>
        <w:rFonts w:ascii="Arial" w:hAnsi="Arial"/>
        <w:b/>
        <w:noProof/>
        <w:sz w:val="20"/>
        <w:szCs w:val="20"/>
      </w:rPr>
      <w:t>13</w:t>
    </w:r>
    <w:r w:rsidRPr="004A0048">
      <w:rPr>
        <w:rFonts w:ascii="Arial" w:hAnsi="Arial"/>
        <w:b/>
        <w:sz w:val="20"/>
        <w:szCs w:val="20"/>
      </w:rPr>
      <w:fldChar w:fldCharType="end"/>
    </w:r>
    <w:r>
      <w:rPr>
        <w:rFonts w:ascii="Arial" w:hAnsi="Arial"/>
        <w:b/>
        <w:sz w:val="20"/>
        <w:szCs w:val="20"/>
      </w:rPr>
      <w:tab/>
      <w:t>9B19M</w:t>
    </w:r>
    <w:r w:rsidR="00955053">
      <w:rPr>
        <w:rFonts w:ascii="Arial" w:hAnsi="Arial"/>
        <w:b/>
        <w:sz w:val="20"/>
        <w:szCs w:val="20"/>
      </w:rPr>
      <w:t>029</w:t>
    </w:r>
  </w:p>
  <w:p w14:paraId="5F9D6ABD" w14:textId="77777777" w:rsidR="00DA1403" w:rsidRPr="00C92CC4" w:rsidRDefault="00DA1403" w:rsidP="00DA740C">
    <w:pPr>
      <w:pStyle w:val="Header"/>
      <w:tabs>
        <w:tab w:val="clear" w:pos="4680"/>
      </w:tabs>
      <w:rPr>
        <w:sz w:val="18"/>
        <w:szCs w:val="18"/>
      </w:rPr>
    </w:pPr>
  </w:p>
  <w:p w14:paraId="3514C43B" w14:textId="77777777" w:rsidR="00DA1403" w:rsidRPr="00C92CC4" w:rsidRDefault="00DA1403" w:rsidP="00DA740C">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 w15:restartNumberingAfterBreak="0">
    <w:nsid w:val="499467A9"/>
    <w:multiLevelType w:val="hybridMultilevel"/>
    <w:tmpl w:val="19BC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0"/>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02D"/>
    <w:rsid w:val="00000537"/>
    <w:rsid w:val="0000085A"/>
    <w:rsid w:val="00000DEE"/>
    <w:rsid w:val="000021EF"/>
    <w:rsid w:val="00002566"/>
    <w:rsid w:val="00003181"/>
    <w:rsid w:val="0000627D"/>
    <w:rsid w:val="00011ABA"/>
    <w:rsid w:val="00013360"/>
    <w:rsid w:val="00013D45"/>
    <w:rsid w:val="00013F36"/>
    <w:rsid w:val="00014D25"/>
    <w:rsid w:val="0001662C"/>
    <w:rsid w:val="00016759"/>
    <w:rsid w:val="00016940"/>
    <w:rsid w:val="00016B80"/>
    <w:rsid w:val="0001709B"/>
    <w:rsid w:val="000216CE"/>
    <w:rsid w:val="00021E94"/>
    <w:rsid w:val="00023129"/>
    <w:rsid w:val="00025A00"/>
    <w:rsid w:val="00025DC7"/>
    <w:rsid w:val="00025DD2"/>
    <w:rsid w:val="00030669"/>
    <w:rsid w:val="00035622"/>
    <w:rsid w:val="000359EC"/>
    <w:rsid w:val="00035F60"/>
    <w:rsid w:val="00036F42"/>
    <w:rsid w:val="000375EA"/>
    <w:rsid w:val="00037728"/>
    <w:rsid w:val="0004282B"/>
    <w:rsid w:val="00042B56"/>
    <w:rsid w:val="00044ECC"/>
    <w:rsid w:val="0004513F"/>
    <w:rsid w:val="00045306"/>
    <w:rsid w:val="00046D2D"/>
    <w:rsid w:val="0005240B"/>
    <w:rsid w:val="000525BA"/>
    <w:rsid w:val="00052683"/>
    <w:rsid w:val="000531D3"/>
    <w:rsid w:val="0005487F"/>
    <w:rsid w:val="0005646B"/>
    <w:rsid w:val="0005648E"/>
    <w:rsid w:val="0005654C"/>
    <w:rsid w:val="00057549"/>
    <w:rsid w:val="00070290"/>
    <w:rsid w:val="00071937"/>
    <w:rsid w:val="00075277"/>
    <w:rsid w:val="00080A0E"/>
    <w:rsid w:val="0008102D"/>
    <w:rsid w:val="00082F10"/>
    <w:rsid w:val="00083B85"/>
    <w:rsid w:val="000863CA"/>
    <w:rsid w:val="00091DA6"/>
    <w:rsid w:val="00093FF6"/>
    <w:rsid w:val="00094C0E"/>
    <w:rsid w:val="00095B16"/>
    <w:rsid w:val="00096D2E"/>
    <w:rsid w:val="000A015C"/>
    <w:rsid w:val="000A1ED3"/>
    <w:rsid w:val="000A4531"/>
    <w:rsid w:val="000A4559"/>
    <w:rsid w:val="000A591E"/>
    <w:rsid w:val="000A6A3A"/>
    <w:rsid w:val="000A6F5A"/>
    <w:rsid w:val="000A7631"/>
    <w:rsid w:val="000B3CFB"/>
    <w:rsid w:val="000B4961"/>
    <w:rsid w:val="000B6089"/>
    <w:rsid w:val="000C4655"/>
    <w:rsid w:val="000C4A13"/>
    <w:rsid w:val="000C5403"/>
    <w:rsid w:val="000C7BE9"/>
    <w:rsid w:val="000D001A"/>
    <w:rsid w:val="000D08B8"/>
    <w:rsid w:val="000D0D3F"/>
    <w:rsid w:val="000D1EF9"/>
    <w:rsid w:val="000D36C3"/>
    <w:rsid w:val="000D3B1C"/>
    <w:rsid w:val="000D4423"/>
    <w:rsid w:val="000D4930"/>
    <w:rsid w:val="000D70CE"/>
    <w:rsid w:val="000E1734"/>
    <w:rsid w:val="000E2EE7"/>
    <w:rsid w:val="000E7DA6"/>
    <w:rsid w:val="000E7E88"/>
    <w:rsid w:val="000F0C22"/>
    <w:rsid w:val="000F2E94"/>
    <w:rsid w:val="000F5630"/>
    <w:rsid w:val="000F6B09"/>
    <w:rsid w:val="000F6C41"/>
    <w:rsid w:val="000F6F73"/>
    <w:rsid w:val="000F6FDC"/>
    <w:rsid w:val="000F7FFB"/>
    <w:rsid w:val="00103C2D"/>
    <w:rsid w:val="00103EAF"/>
    <w:rsid w:val="001040FC"/>
    <w:rsid w:val="00104567"/>
    <w:rsid w:val="00104768"/>
    <w:rsid w:val="00104916"/>
    <w:rsid w:val="00104AA7"/>
    <w:rsid w:val="00104B06"/>
    <w:rsid w:val="00104E96"/>
    <w:rsid w:val="00104FB6"/>
    <w:rsid w:val="0010502E"/>
    <w:rsid w:val="0010662D"/>
    <w:rsid w:val="00112DF0"/>
    <w:rsid w:val="001141B8"/>
    <w:rsid w:val="00114A1C"/>
    <w:rsid w:val="00124AC8"/>
    <w:rsid w:val="001263ED"/>
    <w:rsid w:val="0012732D"/>
    <w:rsid w:val="001305E6"/>
    <w:rsid w:val="00132133"/>
    <w:rsid w:val="00132EC8"/>
    <w:rsid w:val="00133FCF"/>
    <w:rsid w:val="00137F8B"/>
    <w:rsid w:val="001403FC"/>
    <w:rsid w:val="00141C7A"/>
    <w:rsid w:val="00143F25"/>
    <w:rsid w:val="0014651F"/>
    <w:rsid w:val="00150EFE"/>
    <w:rsid w:val="0015257A"/>
    <w:rsid w:val="00152682"/>
    <w:rsid w:val="001544F3"/>
    <w:rsid w:val="00154FC9"/>
    <w:rsid w:val="001552B2"/>
    <w:rsid w:val="00157B83"/>
    <w:rsid w:val="00162347"/>
    <w:rsid w:val="001624FE"/>
    <w:rsid w:val="001626CB"/>
    <w:rsid w:val="00163EDE"/>
    <w:rsid w:val="001657D6"/>
    <w:rsid w:val="00173311"/>
    <w:rsid w:val="00175D50"/>
    <w:rsid w:val="00176C86"/>
    <w:rsid w:val="00177257"/>
    <w:rsid w:val="00177A91"/>
    <w:rsid w:val="00181A1B"/>
    <w:rsid w:val="001823CA"/>
    <w:rsid w:val="00185799"/>
    <w:rsid w:val="0019241A"/>
    <w:rsid w:val="00193390"/>
    <w:rsid w:val="00193F1C"/>
    <w:rsid w:val="00194CD5"/>
    <w:rsid w:val="00195FE6"/>
    <w:rsid w:val="00197135"/>
    <w:rsid w:val="001973C6"/>
    <w:rsid w:val="001A272E"/>
    <w:rsid w:val="001A691C"/>
    <w:rsid w:val="001A6FC7"/>
    <w:rsid w:val="001A752D"/>
    <w:rsid w:val="001B0976"/>
    <w:rsid w:val="001B0FC5"/>
    <w:rsid w:val="001B38F5"/>
    <w:rsid w:val="001B5032"/>
    <w:rsid w:val="001B6238"/>
    <w:rsid w:val="001B6D92"/>
    <w:rsid w:val="001C12A3"/>
    <w:rsid w:val="001C22E9"/>
    <w:rsid w:val="001C49E2"/>
    <w:rsid w:val="001C68CE"/>
    <w:rsid w:val="001C6ABD"/>
    <w:rsid w:val="001C7269"/>
    <w:rsid w:val="001C738F"/>
    <w:rsid w:val="001C74C5"/>
    <w:rsid w:val="001C7E38"/>
    <w:rsid w:val="001D00CC"/>
    <w:rsid w:val="001D06AC"/>
    <w:rsid w:val="001D2209"/>
    <w:rsid w:val="001D275C"/>
    <w:rsid w:val="001D3985"/>
    <w:rsid w:val="001D3A1D"/>
    <w:rsid w:val="001D7D10"/>
    <w:rsid w:val="001E153C"/>
    <w:rsid w:val="001E1F09"/>
    <w:rsid w:val="001E3055"/>
    <w:rsid w:val="001E364F"/>
    <w:rsid w:val="001E5D67"/>
    <w:rsid w:val="001E72B4"/>
    <w:rsid w:val="001F2D53"/>
    <w:rsid w:val="001F508B"/>
    <w:rsid w:val="001F77AF"/>
    <w:rsid w:val="00200DA9"/>
    <w:rsid w:val="00203AA1"/>
    <w:rsid w:val="002041BA"/>
    <w:rsid w:val="0020451B"/>
    <w:rsid w:val="00205EA0"/>
    <w:rsid w:val="00206EF7"/>
    <w:rsid w:val="00207B81"/>
    <w:rsid w:val="00212689"/>
    <w:rsid w:val="00213E98"/>
    <w:rsid w:val="00214293"/>
    <w:rsid w:val="00215E15"/>
    <w:rsid w:val="0021785D"/>
    <w:rsid w:val="00221139"/>
    <w:rsid w:val="002211E4"/>
    <w:rsid w:val="002215B9"/>
    <w:rsid w:val="00222EE6"/>
    <w:rsid w:val="00226F9E"/>
    <w:rsid w:val="0022756E"/>
    <w:rsid w:val="00227D7C"/>
    <w:rsid w:val="00227F2A"/>
    <w:rsid w:val="0023299E"/>
    <w:rsid w:val="0023342D"/>
    <w:rsid w:val="00235D75"/>
    <w:rsid w:val="00236C64"/>
    <w:rsid w:val="00236EC9"/>
    <w:rsid w:val="00237312"/>
    <w:rsid w:val="00243C46"/>
    <w:rsid w:val="002448E2"/>
    <w:rsid w:val="00245D9B"/>
    <w:rsid w:val="00246975"/>
    <w:rsid w:val="00250143"/>
    <w:rsid w:val="0025063F"/>
    <w:rsid w:val="00251B8A"/>
    <w:rsid w:val="00256941"/>
    <w:rsid w:val="00260664"/>
    <w:rsid w:val="002612FB"/>
    <w:rsid w:val="00264C05"/>
    <w:rsid w:val="00264D0B"/>
    <w:rsid w:val="00265DDA"/>
    <w:rsid w:val="002662A3"/>
    <w:rsid w:val="00266B52"/>
    <w:rsid w:val="00266DC1"/>
    <w:rsid w:val="002702E7"/>
    <w:rsid w:val="002721AC"/>
    <w:rsid w:val="0027257A"/>
    <w:rsid w:val="002725DC"/>
    <w:rsid w:val="00275149"/>
    <w:rsid w:val="002757EB"/>
    <w:rsid w:val="00275D2E"/>
    <w:rsid w:val="00280044"/>
    <w:rsid w:val="00283085"/>
    <w:rsid w:val="002837F8"/>
    <w:rsid w:val="00283B63"/>
    <w:rsid w:val="00286858"/>
    <w:rsid w:val="00286B0B"/>
    <w:rsid w:val="00287DD2"/>
    <w:rsid w:val="0029100C"/>
    <w:rsid w:val="002912F1"/>
    <w:rsid w:val="0029730E"/>
    <w:rsid w:val="002A034F"/>
    <w:rsid w:val="002A0765"/>
    <w:rsid w:val="002A1966"/>
    <w:rsid w:val="002A5D4B"/>
    <w:rsid w:val="002B1D5F"/>
    <w:rsid w:val="002B29F6"/>
    <w:rsid w:val="002B3534"/>
    <w:rsid w:val="002B40CC"/>
    <w:rsid w:val="002B7689"/>
    <w:rsid w:val="002C1A62"/>
    <w:rsid w:val="002C1C25"/>
    <w:rsid w:val="002C35F3"/>
    <w:rsid w:val="002C3F75"/>
    <w:rsid w:val="002C56EB"/>
    <w:rsid w:val="002C5F9E"/>
    <w:rsid w:val="002C6B61"/>
    <w:rsid w:val="002D1F9D"/>
    <w:rsid w:val="002D24FC"/>
    <w:rsid w:val="002D30CF"/>
    <w:rsid w:val="002D4D02"/>
    <w:rsid w:val="002D75CC"/>
    <w:rsid w:val="002E07CD"/>
    <w:rsid w:val="002E2E2F"/>
    <w:rsid w:val="002E35C6"/>
    <w:rsid w:val="002E4B31"/>
    <w:rsid w:val="002F15A6"/>
    <w:rsid w:val="002F2901"/>
    <w:rsid w:val="002F2B02"/>
    <w:rsid w:val="002F460C"/>
    <w:rsid w:val="002F48D6"/>
    <w:rsid w:val="002F7243"/>
    <w:rsid w:val="002F730A"/>
    <w:rsid w:val="003012F8"/>
    <w:rsid w:val="00301EE6"/>
    <w:rsid w:val="00303A4F"/>
    <w:rsid w:val="00303C25"/>
    <w:rsid w:val="003045AF"/>
    <w:rsid w:val="003059A7"/>
    <w:rsid w:val="00306ADD"/>
    <w:rsid w:val="00306C56"/>
    <w:rsid w:val="003070F8"/>
    <w:rsid w:val="00307A3E"/>
    <w:rsid w:val="00310746"/>
    <w:rsid w:val="00314C8C"/>
    <w:rsid w:val="00315354"/>
    <w:rsid w:val="00317391"/>
    <w:rsid w:val="00320452"/>
    <w:rsid w:val="00320BA5"/>
    <w:rsid w:val="00321630"/>
    <w:rsid w:val="003217EF"/>
    <w:rsid w:val="0032351C"/>
    <w:rsid w:val="003241CC"/>
    <w:rsid w:val="00325660"/>
    <w:rsid w:val="00326216"/>
    <w:rsid w:val="0032634D"/>
    <w:rsid w:val="00327FB6"/>
    <w:rsid w:val="00332F08"/>
    <w:rsid w:val="00335527"/>
    <w:rsid w:val="00336580"/>
    <w:rsid w:val="00337315"/>
    <w:rsid w:val="003375EE"/>
    <w:rsid w:val="003425FB"/>
    <w:rsid w:val="0034282C"/>
    <w:rsid w:val="00342B94"/>
    <w:rsid w:val="003431B3"/>
    <w:rsid w:val="00343334"/>
    <w:rsid w:val="003449A4"/>
    <w:rsid w:val="00347AFC"/>
    <w:rsid w:val="0035008A"/>
    <w:rsid w:val="0035014A"/>
    <w:rsid w:val="0035444A"/>
    <w:rsid w:val="00354899"/>
    <w:rsid w:val="00355FD6"/>
    <w:rsid w:val="003562FE"/>
    <w:rsid w:val="00356DC7"/>
    <w:rsid w:val="00361681"/>
    <w:rsid w:val="00362487"/>
    <w:rsid w:val="00362F05"/>
    <w:rsid w:val="0036464A"/>
    <w:rsid w:val="00364A5C"/>
    <w:rsid w:val="0036655E"/>
    <w:rsid w:val="003669D5"/>
    <w:rsid w:val="00370DF3"/>
    <w:rsid w:val="00372F91"/>
    <w:rsid w:val="00373FB1"/>
    <w:rsid w:val="00374778"/>
    <w:rsid w:val="00375D1F"/>
    <w:rsid w:val="00375E2D"/>
    <w:rsid w:val="00384AFF"/>
    <w:rsid w:val="003872F6"/>
    <w:rsid w:val="00387B8B"/>
    <w:rsid w:val="00387CF1"/>
    <w:rsid w:val="00394872"/>
    <w:rsid w:val="00396153"/>
    <w:rsid w:val="00396C1B"/>
    <w:rsid w:val="00396C76"/>
    <w:rsid w:val="0039736F"/>
    <w:rsid w:val="00397FB1"/>
    <w:rsid w:val="003A1A2B"/>
    <w:rsid w:val="003A2231"/>
    <w:rsid w:val="003A23C3"/>
    <w:rsid w:val="003A2A88"/>
    <w:rsid w:val="003A2C93"/>
    <w:rsid w:val="003A71CB"/>
    <w:rsid w:val="003B009F"/>
    <w:rsid w:val="003B17BB"/>
    <w:rsid w:val="003B30D8"/>
    <w:rsid w:val="003B5F48"/>
    <w:rsid w:val="003B608E"/>
    <w:rsid w:val="003B7B86"/>
    <w:rsid w:val="003B7EF2"/>
    <w:rsid w:val="003C0966"/>
    <w:rsid w:val="003C0C4C"/>
    <w:rsid w:val="003C25D6"/>
    <w:rsid w:val="003C3FA4"/>
    <w:rsid w:val="003C6E18"/>
    <w:rsid w:val="003C77DA"/>
    <w:rsid w:val="003D1116"/>
    <w:rsid w:val="003D2854"/>
    <w:rsid w:val="003D2B80"/>
    <w:rsid w:val="003D31DA"/>
    <w:rsid w:val="003D5B62"/>
    <w:rsid w:val="003D6E35"/>
    <w:rsid w:val="003E11E7"/>
    <w:rsid w:val="003E15C0"/>
    <w:rsid w:val="003E15CF"/>
    <w:rsid w:val="003E2DC1"/>
    <w:rsid w:val="003E3AD6"/>
    <w:rsid w:val="003E6A57"/>
    <w:rsid w:val="003E7EB9"/>
    <w:rsid w:val="003F0059"/>
    <w:rsid w:val="003F07D8"/>
    <w:rsid w:val="003F1A8E"/>
    <w:rsid w:val="003F2B0C"/>
    <w:rsid w:val="003F3BF9"/>
    <w:rsid w:val="00400BEE"/>
    <w:rsid w:val="004012E1"/>
    <w:rsid w:val="004015E1"/>
    <w:rsid w:val="00402815"/>
    <w:rsid w:val="004033B2"/>
    <w:rsid w:val="0040418F"/>
    <w:rsid w:val="00404226"/>
    <w:rsid w:val="00405667"/>
    <w:rsid w:val="00405F30"/>
    <w:rsid w:val="004063CD"/>
    <w:rsid w:val="004064E4"/>
    <w:rsid w:val="00406EF9"/>
    <w:rsid w:val="004075D2"/>
    <w:rsid w:val="0040771D"/>
    <w:rsid w:val="00410AE5"/>
    <w:rsid w:val="004162E7"/>
    <w:rsid w:val="004206AA"/>
    <w:rsid w:val="00420D64"/>
    <w:rsid w:val="004221E4"/>
    <w:rsid w:val="00422BA2"/>
    <w:rsid w:val="0042512F"/>
    <w:rsid w:val="004256D9"/>
    <w:rsid w:val="00426888"/>
    <w:rsid w:val="00426AF9"/>
    <w:rsid w:val="004273F8"/>
    <w:rsid w:val="00427D9E"/>
    <w:rsid w:val="00430AA9"/>
    <w:rsid w:val="00433723"/>
    <w:rsid w:val="004355A3"/>
    <w:rsid w:val="00437B50"/>
    <w:rsid w:val="00441571"/>
    <w:rsid w:val="0044390F"/>
    <w:rsid w:val="004443FE"/>
    <w:rsid w:val="004455A5"/>
    <w:rsid w:val="004462F9"/>
    <w:rsid w:val="00446546"/>
    <w:rsid w:val="00446E31"/>
    <w:rsid w:val="0045178C"/>
    <w:rsid w:val="0045204C"/>
    <w:rsid w:val="00452749"/>
    <w:rsid w:val="00452769"/>
    <w:rsid w:val="00453671"/>
    <w:rsid w:val="00453BE7"/>
    <w:rsid w:val="00461613"/>
    <w:rsid w:val="00461A15"/>
    <w:rsid w:val="00461BC3"/>
    <w:rsid w:val="004623BB"/>
    <w:rsid w:val="00462751"/>
    <w:rsid w:val="00464AFF"/>
    <w:rsid w:val="00466779"/>
    <w:rsid w:val="00466D45"/>
    <w:rsid w:val="0047010B"/>
    <w:rsid w:val="004711D5"/>
    <w:rsid w:val="004717D6"/>
    <w:rsid w:val="004751B8"/>
    <w:rsid w:val="00480B8F"/>
    <w:rsid w:val="004815AB"/>
    <w:rsid w:val="0048328B"/>
    <w:rsid w:val="00483430"/>
    <w:rsid w:val="0048496B"/>
    <w:rsid w:val="0049006C"/>
    <w:rsid w:val="004904B4"/>
    <w:rsid w:val="00491A55"/>
    <w:rsid w:val="0049255A"/>
    <w:rsid w:val="00493186"/>
    <w:rsid w:val="00496313"/>
    <w:rsid w:val="00497675"/>
    <w:rsid w:val="004A0048"/>
    <w:rsid w:val="004A008E"/>
    <w:rsid w:val="004A2DDF"/>
    <w:rsid w:val="004A321E"/>
    <w:rsid w:val="004A4642"/>
    <w:rsid w:val="004A70D5"/>
    <w:rsid w:val="004B19B0"/>
    <w:rsid w:val="004B1CCB"/>
    <w:rsid w:val="004B294C"/>
    <w:rsid w:val="004B2BA5"/>
    <w:rsid w:val="004B57BF"/>
    <w:rsid w:val="004B5FE2"/>
    <w:rsid w:val="004B632F"/>
    <w:rsid w:val="004B6DD7"/>
    <w:rsid w:val="004B724E"/>
    <w:rsid w:val="004B7601"/>
    <w:rsid w:val="004C1136"/>
    <w:rsid w:val="004C12A4"/>
    <w:rsid w:val="004C34D5"/>
    <w:rsid w:val="004C5247"/>
    <w:rsid w:val="004C606D"/>
    <w:rsid w:val="004D07F2"/>
    <w:rsid w:val="004D0F8A"/>
    <w:rsid w:val="004D19D0"/>
    <w:rsid w:val="004D3652"/>
    <w:rsid w:val="004D3FB1"/>
    <w:rsid w:val="004D4E11"/>
    <w:rsid w:val="004D6F21"/>
    <w:rsid w:val="004D73A5"/>
    <w:rsid w:val="004E1748"/>
    <w:rsid w:val="004E215B"/>
    <w:rsid w:val="004E2998"/>
    <w:rsid w:val="004F0D9E"/>
    <w:rsid w:val="004F17E2"/>
    <w:rsid w:val="004F1E0B"/>
    <w:rsid w:val="004F1FFC"/>
    <w:rsid w:val="004F28E2"/>
    <w:rsid w:val="004F2F2D"/>
    <w:rsid w:val="004F3459"/>
    <w:rsid w:val="004F6FB9"/>
    <w:rsid w:val="00500EA2"/>
    <w:rsid w:val="0050269C"/>
    <w:rsid w:val="00504325"/>
    <w:rsid w:val="005063AC"/>
    <w:rsid w:val="00506748"/>
    <w:rsid w:val="005107E2"/>
    <w:rsid w:val="00510F46"/>
    <w:rsid w:val="00511D38"/>
    <w:rsid w:val="00514937"/>
    <w:rsid w:val="00515F01"/>
    <w:rsid w:val="005160F1"/>
    <w:rsid w:val="005164D3"/>
    <w:rsid w:val="0051660E"/>
    <w:rsid w:val="005168C2"/>
    <w:rsid w:val="00520CA1"/>
    <w:rsid w:val="00521929"/>
    <w:rsid w:val="00523A1F"/>
    <w:rsid w:val="00524BF9"/>
    <w:rsid w:val="00524F2F"/>
    <w:rsid w:val="00525935"/>
    <w:rsid w:val="0052709E"/>
    <w:rsid w:val="00527399"/>
    <w:rsid w:val="0052793E"/>
    <w:rsid w:val="00527E5C"/>
    <w:rsid w:val="00530BC1"/>
    <w:rsid w:val="005310BE"/>
    <w:rsid w:val="005325DA"/>
    <w:rsid w:val="00532CF5"/>
    <w:rsid w:val="005349D4"/>
    <w:rsid w:val="00535E27"/>
    <w:rsid w:val="00535E32"/>
    <w:rsid w:val="00540852"/>
    <w:rsid w:val="00543A60"/>
    <w:rsid w:val="00546628"/>
    <w:rsid w:val="0054684F"/>
    <w:rsid w:val="00546B7A"/>
    <w:rsid w:val="005528CB"/>
    <w:rsid w:val="00555758"/>
    <w:rsid w:val="00555891"/>
    <w:rsid w:val="005631DD"/>
    <w:rsid w:val="0056489C"/>
    <w:rsid w:val="00566771"/>
    <w:rsid w:val="005668D9"/>
    <w:rsid w:val="00567883"/>
    <w:rsid w:val="0057040C"/>
    <w:rsid w:val="00571160"/>
    <w:rsid w:val="005720D1"/>
    <w:rsid w:val="00572D9E"/>
    <w:rsid w:val="005750AF"/>
    <w:rsid w:val="00576793"/>
    <w:rsid w:val="00576CBA"/>
    <w:rsid w:val="0057754F"/>
    <w:rsid w:val="0058130A"/>
    <w:rsid w:val="00581777"/>
    <w:rsid w:val="00581E2E"/>
    <w:rsid w:val="00584A8E"/>
    <w:rsid w:val="00584F15"/>
    <w:rsid w:val="005857EE"/>
    <w:rsid w:val="005877B3"/>
    <w:rsid w:val="0059124F"/>
    <w:rsid w:val="00592BF2"/>
    <w:rsid w:val="0059514B"/>
    <w:rsid w:val="005A0566"/>
    <w:rsid w:val="005A0A19"/>
    <w:rsid w:val="005A23A2"/>
    <w:rsid w:val="005A672F"/>
    <w:rsid w:val="005A7500"/>
    <w:rsid w:val="005B29D8"/>
    <w:rsid w:val="005B5D22"/>
    <w:rsid w:val="005B69A0"/>
    <w:rsid w:val="005C0B39"/>
    <w:rsid w:val="005C2A56"/>
    <w:rsid w:val="005C2F63"/>
    <w:rsid w:val="005C5278"/>
    <w:rsid w:val="005C56F9"/>
    <w:rsid w:val="005C5BAB"/>
    <w:rsid w:val="005D146F"/>
    <w:rsid w:val="005D3610"/>
    <w:rsid w:val="005D3CCA"/>
    <w:rsid w:val="005D4AF7"/>
    <w:rsid w:val="005D516B"/>
    <w:rsid w:val="005D5A38"/>
    <w:rsid w:val="005D5F93"/>
    <w:rsid w:val="005D635F"/>
    <w:rsid w:val="005E3D82"/>
    <w:rsid w:val="005E4994"/>
    <w:rsid w:val="005E6428"/>
    <w:rsid w:val="005E6436"/>
    <w:rsid w:val="005E6A89"/>
    <w:rsid w:val="005E71EB"/>
    <w:rsid w:val="005F0B27"/>
    <w:rsid w:val="005F18D5"/>
    <w:rsid w:val="005F20A8"/>
    <w:rsid w:val="005F26CA"/>
    <w:rsid w:val="005F348E"/>
    <w:rsid w:val="005F36C6"/>
    <w:rsid w:val="005F4771"/>
    <w:rsid w:val="005F757B"/>
    <w:rsid w:val="00605505"/>
    <w:rsid w:val="006074B9"/>
    <w:rsid w:val="006079C3"/>
    <w:rsid w:val="006111A0"/>
    <w:rsid w:val="006124AD"/>
    <w:rsid w:val="006155DB"/>
    <w:rsid w:val="006163F7"/>
    <w:rsid w:val="00620B58"/>
    <w:rsid w:val="00621A56"/>
    <w:rsid w:val="0062205A"/>
    <w:rsid w:val="006243E7"/>
    <w:rsid w:val="00625FFD"/>
    <w:rsid w:val="00626767"/>
    <w:rsid w:val="00626D3A"/>
    <w:rsid w:val="00627C63"/>
    <w:rsid w:val="00630CE0"/>
    <w:rsid w:val="00634508"/>
    <w:rsid w:val="0063665A"/>
    <w:rsid w:val="00636F13"/>
    <w:rsid w:val="00637FC2"/>
    <w:rsid w:val="006403C3"/>
    <w:rsid w:val="00640453"/>
    <w:rsid w:val="006407C1"/>
    <w:rsid w:val="00641219"/>
    <w:rsid w:val="006415F3"/>
    <w:rsid w:val="00645B17"/>
    <w:rsid w:val="00645CBB"/>
    <w:rsid w:val="00646E61"/>
    <w:rsid w:val="0065148D"/>
    <w:rsid w:val="00652606"/>
    <w:rsid w:val="00653745"/>
    <w:rsid w:val="00654FBF"/>
    <w:rsid w:val="00655071"/>
    <w:rsid w:val="006625CD"/>
    <w:rsid w:val="006630F7"/>
    <w:rsid w:val="006643C3"/>
    <w:rsid w:val="00664F11"/>
    <w:rsid w:val="00670891"/>
    <w:rsid w:val="00670C85"/>
    <w:rsid w:val="0067274E"/>
    <w:rsid w:val="006736D4"/>
    <w:rsid w:val="00673FBC"/>
    <w:rsid w:val="00674508"/>
    <w:rsid w:val="00674EB5"/>
    <w:rsid w:val="0067627B"/>
    <w:rsid w:val="00677A47"/>
    <w:rsid w:val="00680266"/>
    <w:rsid w:val="00682F16"/>
    <w:rsid w:val="00683821"/>
    <w:rsid w:val="00683CBD"/>
    <w:rsid w:val="00684EDF"/>
    <w:rsid w:val="00685825"/>
    <w:rsid w:val="00690162"/>
    <w:rsid w:val="00690752"/>
    <w:rsid w:val="006946EE"/>
    <w:rsid w:val="00694D16"/>
    <w:rsid w:val="00695935"/>
    <w:rsid w:val="006967C1"/>
    <w:rsid w:val="006A1A09"/>
    <w:rsid w:val="006A397E"/>
    <w:rsid w:val="006A4241"/>
    <w:rsid w:val="006A5242"/>
    <w:rsid w:val="006A58A9"/>
    <w:rsid w:val="006A606D"/>
    <w:rsid w:val="006A6756"/>
    <w:rsid w:val="006B2070"/>
    <w:rsid w:val="006B5BA2"/>
    <w:rsid w:val="006B6181"/>
    <w:rsid w:val="006B6E9E"/>
    <w:rsid w:val="006B71D3"/>
    <w:rsid w:val="006B7C98"/>
    <w:rsid w:val="006C0371"/>
    <w:rsid w:val="006C046F"/>
    <w:rsid w:val="006C08B6"/>
    <w:rsid w:val="006C0A9A"/>
    <w:rsid w:val="006C0B1A"/>
    <w:rsid w:val="006C11B3"/>
    <w:rsid w:val="006C24AC"/>
    <w:rsid w:val="006C3125"/>
    <w:rsid w:val="006C3E49"/>
    <w:rsid w:val="006C6065"/>
    <w:rsid w:val="006C716E"/>
    <w:rsid w:val="006C7F9F"/>
    <w:rsid w:val="006D2927"/>
    <w:rsid w:val="006D4136"/>
    <w:rsid w:val="006D4A7C"/>
    <w:rsid w:val="006D4C03"/>
    <w:rsid w:val="006D5ABD"/>
    <w:rsid w:val="006D5F79"/>
    <w:rsid w:val="006D5FB2"/>
    <w:rsid w:val="006D60D1"/>
    <w:rsid w:val="006D7CE2"/>
    <w:rsid w:val="006E16BF"/>
    <w:rsid w:val="006E248B"/>
    <w:rsid w:val="006E2F6D"/>
    <w:rsid w:val="006E4A66"/>
    <w:rsid w:val="006E4A7F"/>
    <w:rsid w:val="006E58F6"/>
    <w:rsid w:val="006E77E1"/>
    <w:rsid w:val="006E7C8B"/>
    <w:rsid w:val="006F131D"/>
    <w:rsid w:val="006F1538"/>
    <w:rsid w:val="006F297F"/>
    <w:rsid w:val="006F312A"/>
    <w:rsid w:val="006F417B"/>
    <w:rsid w:val="006F5059"/>
    <w:rsid w:val="006F7B9D"/>
    <w:rsid w:val="00700706"/>
    <w:rsid w:val="00703469"/>
    <w:rsid w:val="00703CD8"/>
    <w:rsid w:val="00703D96"/>
    <w:rsid w:val="00705B59"/>
    <w:rsid w:val="00710045"/>
    <w:rsid w:val="00710134"/>
    <w:rsid w:val="00711642"/>
    <w:rsid w:val="00715929"/>
    <w:rsid w:val="00715FE5"/>
    <w:rsid w:val="0071645F"/>
    <w:rsid w:val="0072066A"/>
    <w:rsid w:val="00724946"/>
    <w:rsid w:val="0072693E"/>
    <w:rsid w:val="00727BCF"/>
    <w:rsid w:val="007350F1"/>
    <w:rsid w:val="00741CA9"/>
    <w:rsid w:val="00743F62"/>
    <w:rsid w:val="00744EDB"/>
    <w:rsid w:val="007460FE"/>
    <w:rsid w:val="007507C6"/>
    <w:rsid w:val="00751E0B"/>
    <w:rsid w:val="00752BCD"/>
    <w:rsid w:val="00762C42"/>
    <w:rsid w:val="00762D17"/>
    <w:rsid w:val="00763C9C"/>
    <w:rsid w:val="00764BE3"/>
    <w:rsid w:val="0076585E"/>
    <w:rsid w:val="00766DA1"/>
    <w:rsid w:val="00773F8F"/>
    <w:rsid w:val="007743E7"/>
    <w:rsid w:val="00775489"/>
    <w:rsid w:val="00775494"/>
    <w:rsid w:val="00776593"/>
    <w:rsid w:val="00784484"/>
    <w:rsid w:val="00785AAB"/>
    <w:rsid w:val="007866A6"/>
    <w:rsid w:val="00791112"/>
    <w:rsid w:val="00794A59"/>
    <w:rsid w:val="007963AA"/>
    <w:rsid w:val="007A130D"/>
    <w:rsid w:val="007A1E88"/>
    <w:rsid w:val="007A4633"/>
    <w:rsid w:val="007A4FF3"/>
    <w:rsid w:val="007A62FA"/>
    <w:rsid w:val="007B09E0"/>
    <w:rsid w:val="007B4A86"/>
    <w:rsid w:val="007B7BAF"/>
    <w:rsid w:val="007C1C59"/>
    <w:rsid w:val="007C2022"/>
    <w:rsid w:val="007C3F8B"/>
    <w:rsid w:val="007C5C18"/>
    <w:rsid w:val="007C5FA5"/>
    <w:rsid w:val="007C65C6"/>
    <w:rsid w:val="007D1A2D"/>
    <w:rsid w:val="007D2876"/>
    <w:rsid w:val="007D2F85"/>
    <w:rsid w:val="007D3A6F"/>
    <w:rsid w:val="007D4102"/>
    <w:rsid w:val="007E0003"/>
    <w:rsid w:val="007E0805"/>
    <w:rsid w:val="007E198D"/>
    <w:rsid w:val="007E2707"/>
    <w:rsid w:val="007E3050"/>
    <w:rsid w:val="007E5331"/>
    <w:rsid w:val="007E6ABF"/>
    <w:rsid w:val="007E6EB6"/>
    <w:rsid w:val="007F0FC9"/>
    <w:rsid w:val="007F43B7"/>
    <w:rsid w:val="007F58EF"/>
    <w:rsid w:val="007F5A80"/>
    <w:rsid w:val="007F6940"/>
    <w:rsid w:val="008001FE"/>
    <w:rsid w:val="00800E6D"/>
    <w:rsid w:val="008014AE"/>
    <w:rsid w:val="008031B2"/>
    <w:rsid w:val="0080329D"/>
    <w:rsid w:val="00803506"/>
    <w:rsid w:val="00804BC5"/>
    <w:rsid w:val="00804F19"/>
    <w:rsid w:val="0080620C"/>
    <w:rsid w:val="008076C7"/>
    <w:rsid w:val="00807F50"/>
    <w:rsid w:val="00813FCE"/>
    <w:rsid w:val="00814576"/>
    <w:rsid w:val="008148C6"/>
    <w:rsid w:val="00821FFC"/>
    <w:rsid w:val="00822D78"/>
    <w:rsid w:val="00823328"/>
    <w:rsid w:val="00825C01"/>
    <w:rsid w:val="008271CA"/>
    <w:rsid w:val="00827759"/>
    <w:rsid w:val="00831BB5"/>
    <w:rsid w:val="00831E03"/>
    <w:rsid w:val="008331C9"/>
    <w:rsid w:val="00842367"/>
    <w:rsid w:val="008445CB"/>
    <w:rsid w:val="008467D5"/>
    <w:rsid w:val="008479C2"/>
    <w:rsid w:val="00847FC7"/>
    <w:rsid w:val="00850798"/>
    <w:rsid w:val="00850B4B"/>
    <w:rsid w:val="00851409"/>
    <w:rsid w:val="00851BF1"/>
    <w:rsid w:val="00851E96"/>
    <w:rsid w:val="00853293"/>
    <w:rsid w:val="0085356D"/>
    <w:rsid w:val="00853A18"/>
    <w:rsid w:val="0085407B"/>
    <w:rsid w:val="0085579B"/>
    <w:rsid w:val="00861126"/>
    <w:rsid w:val="00861A81"/>
    <w:rsid w:val="008624AB"/>
    <w:rsid w:val="00870BA6"/>
    <w:rsid w:val="00871687"/>
    <w:rsid w:val="00872568"/>
    <w:rsid w:val="008742B3"/>
    <w:rsid w:val="00874317"/>
    <w:rsid w:val="00874C18"/>
    <w:rsid w:val="00877D92"/>
    <w:rsid w:val="00881F73"/>
    <w:rsid w:val="00881FA4"/>
    <w:rsid w:val="00883918"/>
    <w:rsid w:val="0088470D"/>
    <w:rsid w:val="0088505C"/>
    <w:rsid w:val="00886465"/>
    <w:rsid w:val="00893754"/>
    <w:rsid w:val="008942B2"/>
    <w:rsid w:val="00896EE1"/>
    <w:rsid w:val="00897449"/>
    <w:rsid w:val="00897D9D"/>
    <w:rsid w:val="008A3CC6"/>
    <w:rsid w:val="008A4DC4"/>
    <w:rsid w:val="008A5451"/>
    <w:rsid w:val="008A5C3E"/>
    <w:rsid w:val="008A688E"/>
    <w:rsid w:val="008A729A"/>
    <w:rsid w:val="008B27C3"/>
    <w:rsid w:val="008B7433"/>
    <w:rsid w:val="008B7C13"/>
    <w:rsid w:val="008B7C46"/>
    <w:rsid w:val="008C1127"/>
    <w:rsid w:val="008C7407"/>
    <w:rsid w:val="008D1479"/>
    <w:rsid w:val="008D2C1E"/>
    <w:rsid w:val="008D3801"/>
    <w:rsid w:val="008D3979"/>
    <w:rsid w:val="008D3A46"/>
    <w:rsid w:val="008D6E31"/>
    <w:rsid w:val="008D70A0"/>
    <w:rsid w:val="008E0F62"/>
    <w:rsid w:val="008E536D"/>
    <w:rsid w:val="008E5A34"/>
    <w:rsid w:val="008E656C"/>
    <w:rsid w:val="008E79D2"/>
    <w:rsid w:val="008F32FF"/>
    <w:rsid w:val="008F3C2D"/>
    <w:rsid w:val="008F40F8"/>
    <w:rsid w:val="008F47D4"/>
    <w:rsid w:val="008F4DA8"/>
    <w:rsid w:val="008F73B5"/>
    <w:rsid w:val="008F7A98"/>
    <w:rsid w:val="00901BB1"/>
    <w:rsid w:val="009033CD"/>
    <w:rsid w:val="00904211"/>
    <w:rsid w:val="009067A4"/>
    <w:rsid w:val="0091028A"/>
    <w:rsid w:val="00910987"/>
    <w:rsid w:val="00913D9B"/>
    <w:rsid w:val="00914F2D"/>
    <w:rsid w:val="00920455"/>
    <w:rsid w:val="0092170B"/>
    <w:rsid w:val="00921715"/>
    <w:rsid w:val="00921E03"/>
    <w:rsid w:val="00926062"/>
    <w:rsid w:val="00926111"/>
    <w:rsid w:val="00926E1A"/>
    <w:rsid w:val="00930598"/>
    <w:rsid w:val="0093068D"/>
    <w:rsid w:val="0093099A"/>
    <w:rsid w:val="00933D68"/>
    <w:rsid w:val="00933FDF"/>
    <w:rsid w:val="009340DB"/>
    <w:rsid w:val="00934ECB"/>
    <w:rsid w:val="00935E06"/>
    <w:rsid w:val="0094161B"/>
    <w:rsid w:val="00944DBE"/>
    <w:rsid w:val="00944FD1"/>
    <w:rsid w:val="00946085"/>
    <w:rsid w:val="0094618C"/>
    <w:rsid w:val="00952297"/>
    <w:rsid w:val="0095368F"/>
    <w:rsid w:val="00954445"/>
    <w:rsid w:val="00954C89"/>
    <w:rsid w:val="00955053"/>
    <w:rsid w:val="00956419"/>
    <w:rsid w:val="0095684B"/>
    <w:rsid w:val="009576E1"/>
    <w:rsid w:val="009577BE"/>
    <w:rsid w:val="009614F3"/>
    <w:rsid w:val="00961880"/>
    <w:rsid w:val="00962E82"/>
    <w:rsid w:val="009644F4"/>
    <w:rsid w:val="00966317"/>
    <w:rsid w:val="00966B98"/>
    <w:rsid w:val="00967BBE"/>
    <w:rsid w:val="009709A0"/>
    <w:rsid w:val="00970AF3"/>
    <w:rsid w:val="00971BB1"/>
    <w:rsid w:val="00972498"/>
    <w:rsid w:val="00973686"/>
    <w:rsid w:val="00973E06"/>
    <w:rsid w:val="0097481F"/>
    <w:rsid w:val="00974C12"/>
    <w:rsid w:val="00974CC6"/>
    <w:rsid w:val="009765EE"/>
    <w:rsid w:val="00976869"/>
    <w:rsid w:val="00976937"/>
    <w:rsid w:val="00976AD4"/>
    <w:rsid w:val="00976D9A"/>
    <w:rsid w:val="0097740E"/>
    <w:rsid w:val="00977C17"/>
    <w:rsid w:val="00980836"/>
    <w:rsid w:val="009808BC"/>
    <w:rsid w:val="009825E3"/>
    <w:rsid w:val="00984072"/>
    <w:rsid w:val="00985C2C"/>
    <w:rsid w:val="00994834"/>
    <w:rsid w:val="00995547"/>
    <w:rsid w:val="00995D25"/>
    <w:rsid w:val="00996873"/>
    <w:rsid w:val="00997947"/>
    <w:rsid w:val="009A0631"/>
    <w:rsid w:val="009A08C1"/>
    <w:rsid w:val="009A312F"/>
    <w:rsid w:val="009A5348"/>
    <w:rsid w:val="009A75A9"/>
    <w:rsid w:val="009A7D13"/>
    <w:rsid w:val="009B0AB7"/>
    <w:rsid w:val="009B1269"/>
    <w:rsid w:val="009C05BB"/>
    <w:rsid w:val="009C2C08"/>
    <w:rsid w:val="009C421A"/>
    <w:rsid w:val="009C76D5"/>
    <w:rsid w:val="009D018C"/>
    <w:rsid w:val="009D11C1"/>
    <w:rsid w:val="009D1A15"/>
    <w:rsid w:val="009D1CA9"/>
    <w:rsid w:val="009D7793"/>
    <w:rsid w:val="009E6202"/>
    <w:rsid w:val="009E64B8"/>
    <w:rsid w:val="009E6567"/>
    <w:rsid w:val="009E7270"/>
    <w:rsid w:val="009F0B33"/>
    <w:rsid w:val="009F0E3D"/>
    <w:rsid w:val="009F1586"/>
    <w:rsid w:val="009F2A08"/>
    <w:rsid w:val="009F4386"/>
    <w:rsid w:val="009F60AD"/>
    <w:rsid w:val="009F69F5"/>
    <w:rsid w:val="009F6FFD"/>
    <w:rsid w:val="009F7AA4"/>
    <w:rsid w:val="009F7EA9"/>
    <w:rsid w:val="00A00310"/>
    <w:rsid w:val="00A10AD7"/>
    <w:rsid w:val="00A10CBC"/>
    <w:rsid w:val="00A11B8B"/>
    <w:rsid w:val="00A1232B"/>
    <w:rsid w:val="00A1407C"/>
    <w:rsid w:val="00A15381"/>
    <w:rsid w:val="00A15C0B"/>
    <w:rsid w:val="00A17692"/>
    <w:rsid w:val="00A17F10"/>
    <w:rsid w:val="00A206EB"/>
    <w:rsid w:val="00A21B91"/>
    <w:rsid w:val="00A25949"/>
    <w:rsid w:val="00A26C7E"/>
    <w:rsid w:val="00A30110"/>
    <w:rsid w:val="00A3280D"/>
    <w:rsid w:val="00A349BE"/>
    <w:rsid w:val="00A34C76"/>
    <w:rsid w:val="00A34F52"/>
    <w:rsid w:val="00A36480"/>
    <w:rsid w:val="00A377C5"/>
    <w:rsid w:val="00A40728"/>
    <w:rsid w:val="00A42ECB"/>
    <w:rsid w:val="00A43361"/>
    <w:rsid w:val="00A446E6"/>
    <w:rsid w:val="00A463E0"/>
    <w:rsid w:val="00A52D29"/>
    <w:rsid w:val="00A54029"/>
    <w:rsid w:val="00A54B51"/>
    <w:rsid w:val="00A553B2"/>
    <w:rsid w:val="00A559DB"/>
    <w:rsid w:val="00A563FF"/>
    <w:rsid w:val="00A607F4"/>
    <w:rsid w:val="00A61649"/>
    <w:rsid w:val="00A618B7"/>
    <w:rsid w:val="00A61CA9"/>
    <w:rsid w:val="00A64859"/>
    <w:rsid w:val="00A64C53"/>
    <w:rsid w:val="00A665DC"/>
    <w:rsid w:val="00A704CC"/>
    <w:rsid w:val="00A7063F"/>
    <w:rsid w:val="00A70B3E"/>
    <w:rsid w:val="00A729DB"/>
    <w:rsid w:val="00A7504E"/>
    <w:rsid w:val="00A80744"/>
    <w:rsid w:val="00A80DDC"/>
    <w:rsid w:val="00A8197C"/>
    <w:rsid w:val="00A82256"/>
    <w:rsid w:val="00A83023"/>
    <w:rsid w:val="00A83E70"/>
    <w:rsid w:val="00A84D60"/>
    <w:rsid w:val="00A92257"/>
    <w:rsid w:val="00A924D5"/>
    <w:rsid w:val="00A94298"/>
    <w:rsid w:val="00A966D0"/>
    <w:rsid w:val="00A97591"/>
    <w:rsid w:val="00A97E01"/>
    <w:rsid w:val="00AA04CB"/>
    <w:rsid w:val="00AA1B7D"/>
    <w:rsid w:val="00AA4899"/>
    <w:rsid w:val="00AB0EB8"/>
    <w:rsid w:val="00AB127A"/>
    <w:rsid w:val="00AB1535"/>
    <w:rsid w:val="00AB1CB9"/>
    <w:rsid w:val="00AB1FB2"/>
    <w:rsid w:val="00AB5E46"/>
    <w:rsid w:val="00AB5EC6"/>
    <w:rsid w:val="00AB6F1B"/>
    <w:rsid w:val="00AB76BF"/>
    <w:rsid w:val="00AC0504"/>
    <w:rsid w:val="00AC0511"/>
    <w:rsid w:val="00AC0AE3"/>
    <w:rsid w:val="00AC5CB8"/>
    <w:rsid w:val="00AC7D82"/>
    <w:rsid w:val="00AD200C"/>
    <w:rsid w:val="00AD220E"/>
    <w:rsid w:val="00AD2E0D"/>
    <w:rsid w:val="00AD34E1"/>
    <w:rsid w:val="00AD5CA4"/>
    <w:rsid w:val="00AD783F"/>
    <w:rsid w:val="00AE0144"/>
    <w:rsid w:val="00AE162D"/>
    <w:rsid w:val="00AE22AF"/>
    <w:rsid w:val="00AE25BA"/>
    <w:rsid w:val="00AE4475"/>
    <w:rsid w:val="00AE482C"/>
    <w:rsid w:val="00AE4FC0"/>
    <w:rsid w:val="00AF35FC"/>
    <w:rsid w:val="00AF4B5A"/>
    <w:rsid w:val="00AF5556"/>
    <w:rsid w:val="00AF5978"/>
    <w:rsid w:val="00AF6A74"/>
    <w:rsid w:val="00AF7E68"/>
    <w:rsid w:val="00B03639"/>
    <w:rsid w:val="00B03B40"/>
    <w:rsid w:val="00B042E2"/>
    <w:rsid w:val="00B04657"/>
    <w:rsid w:val="00B0652A"/>
    <w:rsid w:val="00B128A5"/>
    <w:rsid w:val="00B15C93"/>
    <w:rsid w:val="00B15EE4"/>
    <w:rsid w:val="00B164BB"/>
    <w:rsid w:val="00B17E11"/>
    <w:rsid w:val="00B2253A"/>
    <w:rsid w:val="00B22966"/>
    <w:rsid w:val="00B2352F"/>
    <w:rsid w:val="00B24CCD"/>
    <w:rsid w:val="00B26214"/>
    <w:rsid w:val="00B26A5A"/>
    <w:rsid w:val="00B30614"/>
    <w:rsid w:val="00B30C87"/>
    <w:rsid w:val="00B336A0"/>
    <w:rsid w:val="00B35A04"/>
    <w:rsid w:val="00B369E8"/>
    <w:rsid w:val="00B40937"/>
    <w:rsid w:val="00B423EF"/>
    <w:rsid w:val="00B43313"/>
    <w:rsid w:val="00B44B0D"/>
    <w:rsid w:val="00B4518A"/>
    <w:rsid w:val="00B453DE"/>
    <w:rsid w:val="00B455D2"/>
    <w:rsid w:val="00B4740D"/>
    <w:rsid w:val="00B5032E"/>
    <w:rsid w:val="00B52A8C"/>
    <w:rsid w:val="00B52C1E"/>
    <w:rsid w:val="00B537DD"/>
    <w:rsid w:val="00B54F0E"/>
    <w:rsid w:val="00B56CBC"/>
    <w:rsid w:val="00B579B6"/>
    <w:rsid w:val="00B57F59"/>
    <w:rsid w:val="00B603BC"/>
    <w:rsid w:val="00B6100D"/>
    <w:rsid w:val="00B618E4"/>
    <w:rsid w:val="00B63C8F"/>
    <w:rsid w:val="00B70DD5"/>
    <w:rsid w:val="00B70EDF"/>
    <w:rsid w:val="00B7106D"/>
    <w:rsid w:val="00B71BC5"/>
    <w:rsid w:val="00B723AF"/>
    <w:rsid w:val="00B731A0"/>
    <w:rsid w:val="00B73400"/>
    <w:rsid w:val="00B739F7"/>
    <w:rsid w:val="00B745B9"/>
    <w:rsid w:val="00B76D82"/>
    <w:rsid w:val="00B8094D"/>
    <w:rsid w:val="00B82B59"/>
    <w:rsid w:val="00B831AF"/>
    <w:rsid w:val="00B832CA"/>
    <w:rsid w:val="00B84D90"/>
    <w:rsid w:val="00B8556D"/>
    <w:rsid w:val="00B86D71"/>
    <w:rsid w:val="00B901F9"/>
    <w:rsid w:val="00B90648"/>
    <w:rsid w:val="00B92108"/>
    <w:rsid w:val="00B9320D"/>
    <w:rsid w:val="00B934B5"/>
    <w:rsid w:val="00B94EB0"/>
    <w:rsid w:val="00B966E8"/>
    <w:rsid w:val="00BA611B"/>
    <w:rsid w:val="00BA6A28"/>
    <w:rsid w:val="00BA6B0F"/>
    <w:rsid w:val="00BA6BAD"/>
    <w:rsid w:val="00BA6F80"/>
    <w:rsid w:val="00BA792E"/>
    <w:rsid w:val="00BB2220"/>
    <w:rsid w:val="00BB2E9C"/>
    <w:rsid w:val="00BB3C06"/>
    <w:rsid w:val="00BB7B5E"/>
    <w:rsid w:val="00BC35FF"/>
    <w:rsid w:val="00BC71FF"/>
    <w:rsid w:val="00BC7B62"/>
    <w:rsid w:val="00BD1183"/>
    <w:rsid w:val="00BD20A5"/>
    <w:rsid w:val="00BD557C"/>
    <w:rsid w:val="00BD59DB"/>
    <w:rsid w:val="00BD6317"/>
    <w:rsid w:val="00BD6EFB"/>
    <w:rsid w:val="00BD7496"/>
    <w:rsid w:val="00BE0C28"/>
    <w:rsid w:val="00BE1EC9"/>
    <w:rsid w:val="00BE5D97"/>
    <w:rsid w:val="00BE6686"/>
    <w:rsid w:val="00BF09D8"/>
    <w:rsid w:val="00BF495B"/>
    <w:rsid w:val="00BF5D2B"/>
    <w:rsid w:val="00C01608"/>
    <w:rsid w:val="00C04113"/>
    <w:rsid w:val="00C041CB"/>
    <w:rsid w:val="00C04471"/>
    <w:rsid w:val="00C05E41"/>
    <w:rsid w:val="00C0617A"/>
    <w:rsid w:val="00C065B4"/>
    <w:rsid w:val="00C07C93"/>
    <w:rsid w:val="00C10B5F"/>
    <w:rsid w:val="00C113E2"/>
    <w:rsid w:val="00C11BEA"/>
    <w:rsid w:val="00C13254"/>
    <w:rsid w:val="00C1447E"/>
    <w:rsid w:val="00C152AE"/>
    <w:rsid w:val="00C1584D"/>
    <w:rsid w:val="00C15BE2"/>
    <w:rsid w:val="00C173F6"/>
    <w:rsid w:val="00C263CA"/>
    <w:rsid w:val="00C305AF"/>
    <w:rsid w:val="00C332B0"/>
    <w:rsid w:val="00C3400E"/>
    <w:rsid w:val="00C3447F"/>
    <w:rsid w:val="00C34B2E"/>
    <w:rsid w:val="00C36CB4"/>
    <w:rsid w:val="00C400D4"/>
    <w:rsid w:val="00C41F32"/>
    <w:rsid w:val="00C42467"/>
    <w:rsid w:val="00C4272E"/>
    <w:rsid w:val="00C45FD2"/>
    <w:rsid w:val="00C46FFF"/>
    <w:rsid w:val="00C47752"/>
    <w:rsid w:val="00C477D0"/>
    <w:rsid w:val="00C57DE9"/>
    <w:rsid w:val="00C60108"/>
    <w:rsid w:val="00C6278C"/>
    <w:rsid w:val="00C640E5"/>
    <w:rsid w:val="00C65041"/>
    <w:rsid w:val="00C6552B"/>
    <w:rsid w:val="00C65B91"/>
    <w:rsid w:val="00C70FFF"/>
    <w:rsid w:val="00C72FA9"/>
    <w:rsid w:val="00C7388A"/>
    <w:rsid w:val="00C74248"/>
    <w:rsid w:val="00C75D9D"/>
    <w:rsid w:val="00C75F63"/>
    <w:rsid w:val="00C77360"/>
    <w:rsid w:val="00C80C22"/>
    <w:rsid w:val="00C811A1"/>
    <w:rsid w:val="00C81491"/>
    <w:rsid w:val="00C81515"/>
    <w:rsid w:val="00C815FD"/>
    <w:rsid w:val="00C81676"/>
    <w:rsid w:val="00C8198C"/>
    <w:rsid w:val="00C83F5C"/>
    <w:rsid w:val="00C85083"/>
    <w:rsid w:val="00C851B6"/>
    <w:rsid w:val="00C8566F"/>
    <w:rsid w:val="00C85C5D"/>
    <w:rsid w:val="00C860F1"/>
    <w:rsid w:val="00C875BB"/>
    <w:rsid w:val="00C9149A"/>
    <w:rsid w:val="00C92CC4"/>
    <w:rsid w:val="00C97D13"/>
    <w:rsid w:val="00CA0AFB"/>
    <w:rsid w:val="00CA2CE1"/>
    <w:rsid w:val="00CA2F2E"/>
    <w:rsid w:val="00CA3976"/>
    <w:rsid w:val="00CA50E3"/>
    <w:rsid w:val="00CA5781"/>
    <w:rsid w:val="00CA59FD"/>
    <w:rsid w:val="00CA72D1"/>
    <w:rsid w:val="00CA753D"/>
    <w:rsid w:val="00CA757B"/>
    <w:rsid w:val="00CB0FD1"/>
    <w:rsid w:val="00CB1A08"/>
    <w:rsid w:val="00CB225C"/>
    <w:rsid w:val="00CB2AEB"/>
    <w:rsid w:val="00CB327B"/>
    <w:rsid w:val="00CB5EA8"/>
    <w:rsid w:val="00CB6597"/>
    <w:rsid w:val="00CB7A9C"/>
    <w:rsid w:val="00CC06DA"/>
    <w:rsid w:val="00CC13FE"/>
    <w:rsid w:val="00CC1787"/>
    <w:rsid w:val="00CC182C"/>
    <w:rsid w:val="00CC61BF"/>
    <w:rsid w:val="00CD0600"/>
    <w:rsid w:val="00CD0824"/>
    <w:rsid w:val="00CD12E8"/>
    <w:rsid w:val="00CD172F"/>
    <w:rsid w:val="00CD27A4"/>
    <w:rsid w:val="00CD2908"/>
    <w:rsid w:val="00CD66A7"/>
    <w:rsid w:val="00CD6DFA"/>
    <w:rsid w:val="00CD77D5"/>
    <w:rsid w:val="00CE52EE"/>
    <w:rsid w:val="00CE63B7"/>
    <w:rsid w:val="00CE6A00"/>
    <w:rsid w:val="00CE718D"/>
    <w:rsid w:val="00CE7DCF"/>
    <w:rsid w:val="00CF061B"/>
    <w:rsid w:val="00CF1DFD"/>
    <w:rsid w:val="00CF2A86"/>
    <w:rsid w:val="00CF2B5B"/>
    <w:rsid w:val="00CF2B5F"/>
    <w:rsid w:val="00CF456D"/>
    <w:rsid w:val="00D00264"/>
    <w:rsid w:val="00D02484"/>
    <w:rsid w:val="00D02D51"/>
    <w:rsid w:val="00D02D61"/>
    <w:rsid w:val="00D0323B"/>
    <w:rsid w:val="00D03A82"/>
    <w:rsid w:val="00D05AED"/>
    <w:rsid w:val="00D102E3"/>
    <w:rsid w:val="00D10C76"/>
    <w:rsid w:val="00D124DE"/>
    <w:rsid w:val="00D13667"/>
    <w:rsid w:val="00D15344"/>
    <w:rsid w:val="00D15672"/>
    <w:rsid w:val="00D209E6"/>
    <w:rsid w:val="00D22D33"/>
    <w:rsid w:val="00D249D9"/>
    <w:rsid w:val="00D24A87"/>
    <w:rsid w:val="00D262AD"/>
    <w:rsid w:val="00D31BEC"/>
    <w:rsid w:val="00D32F1F"/>
    <w:rsid w:val="00D347AD"/>
    <w:rsid w:val="00D37984"/>
    <w:rsid w:val="00D379D1"/>
    <w:rsid w:val="00D41309"/>
    <w:rsid w:val="00D41723"/>
    <w:rsid w:val="00D4187C"/>
    <w:rsid w:val="00D4209D"/>
    <w:rsid w:val="00D424C2"/>
    <w:rsid w:val="00D424CB"/>
    <w:rsid w:val="00D42FB1"/>
    <w:rsid w:val="00D43966"/>
    <w:rsid w:val="00D43A6B"/>
    <w:rsid w:val="00D44FAD"/>
    <w:rsid w:val="00D454AC"/>
    <w:rsid w:val="00D51112"/>
    <w:rsid w:val="00D52B52"/>
    <w:rsid w:val="00D543FC"/>
    <w:rsid w:val="00D54719"/>
    <w:rsid w:val="00D54F34"/>
    <w:rsid w:val="00D56E0F"/>
    <w:rsid w:val="00D5702D"/>
    <w:rsid w:val="00D5732E"/>
    <w:rsid w:val="00D60647"/>
    <w:rsid w:val="00D616C8"/>
    <w:rsid w:val="00D62ABD"/>
    <w:rsid w:val="00D63150"/>
    <w:rsid w:val="00D636BA"/>
    <w:rsid w:val="00D636C0"/>
    <w:rsid w:val="00D64A32"/>
    <w:rsid w:val="00D64C83"/>
    <w:rsid w:val="00D64EFC"/>
    <w:rsid w:val="00D65B46"/>
    <w:rsid w:val="00D65BEB"/>
    <w:rsid w:val="00D67ECD"/>
    <w:rsid w:val="00D7037B"/>
    <w:rsid w:val="00D7197B"/>
    <w:rsid w:val="00D73C9C"/>
    <w:rsid w:val="00D7421A"/>
    <w:rsid w:val="00D75295"/>
    <w:rsid w:val="00D7567C"/>
    <w:rsid w:val="00D76CE9"/>
    <w:rsid w:val="00D7702A"/>
    <w:rsid w:val="00D80BE7"/>
    <w:rsid w:val="00D8225B"/>
    <w:rsid w:val="00D83B0E"/>
    <w:rsid w:val="00D866B2"/>
    <w:rsid w:val="00D91512"/>
    <w:rsid w:val="00D92412"/>
    <w:rsid w:val="00D9263A"/>
    <w:rsid w:val="00D93C72"/>
    <w:rsid w:val="00D96CF3"/>
    <w:rsid w:val="00D97F12"/>
    <w:rsid w:val="00DA1403"/>
    <w:rsid w:val="00DA33DC"/>
    <w:rsid w:val="00DA5C53"/>
    <w:rsid w:val="00DA6095"/>
    <w:rsid w:val="00DA6D54"/>
    <w:rsid w:val="00DA740C"/>
    <w:rsid w:val="00DB2EB7"/>
    <w:rsid w:val="00DB37AC"/>
    <w:rsid w:val="00DB42E7"/>
    <w:rsid w:val="00DB5168"/>
    <w:rsid w:val="00DB5C09"/>
    <w:rsid w:val="00DB6751"/>
    <w:rsid w:val="00DC06B9"/>
    <w:rsid w:val="00DC35E6"/>
    <w:rsid w:val="00DC6D06"/>
    <w:rsid w:val="00DD076B"/>
    <w:rsid w:val="00DD1853"/>
    <w:rsid w:val="00DE01A6"/>
    <w:rsid w:val="00DE227A"/>
    <w:rsid w:val="00DE30AF"/>
    <w:rsid w:val="00DE3BEC"/>
    <w:rsid w:val="00DE57F9"/>
    <w:rsid w:val="00DF007D"/>
    <w:rsid w:val="00DF1255"/>
    <w:rsid w:val="00DF27A0"/>
    <w:rsid w:val="00DF32C2"/>
    <w:rsid w:val="00DF34A8"/>
    <w:rsid w:val="00DF5619"/>
    <w:rsid w:val="00DF6B9E"/>
    <w:rsid w:val="00E004D3"/>
    <w:rsid w:val="00E00B8C"/>
    <w:rsid w:val="00E00FEA"/>
    <w:rsid w:val="00E04484"/>
    <w:rsid w:val="00E05C30"/>
    <w:rsid w:val="00E074E6"/>
    <w:rsid w:val="00E0799F"/>
    <w:rsid w:val="00E07C87"/>
    <w:rsid w:val="00E11C53"/>
    <w:rsid w:val="00E14266"/>
    <w:rsid w:val="00E153A7"/>
    <w:rsid w:val="00E17D5D"/>
    <w:rsid w:val="00E20F5C"/>
    <w:rsid w:val="00E2147D"/>
    <w:rsid w:val="00E22365"/>
    <w:rsid w:val="00E23C9D"/>
    <w:rsid w:val="00E23DE9"/>
    <w:rsid w:val="00E24FF1"/>
    <w:rsid w:val="00E26EDD"/>
    <w:rsid w:val="00E2707E"/>
    <w:rsid w:val="00E31EE1"/>
    <w:rsid w:val="00E34F2E"/>
    <w:rsid w:val="00E37D2D"/>
    <w:rsid w:val="00E44DE5"/>
    <w:rsid w:val="00E45D37"/>
    <w:rsid w:val="00E471A7"/>
    <w:rsid w:val="00E50403"/>
    <w:rsid w:val="00E52218"/>
    <w:rsid w:val="00E52754"/>
    <w:rsid w:val="00E539C7"/>
    <w:rsid w:val="00E54086"/>
    <w:rsid w:val="00E540DB"/>
    <w:rsid w:val="00E57EB5"/>
    <w:rsid w:val="00E635CF"/>
    <w:rsid w:val="00E63EB2"/>
    <w:rsid w:val="00E647C9"/>
    <w:rsid w:val="00E64C6C"/>
    <w:rsid w:val="00E64EEE"/>
    <w:rsid w:val="00E66506"/>
    <w:rsid w:val="00E706FC"/>
    <w:rsid w:val="00E70F73"/>
    <w:rsid w:val="00E7315F"/>
    <w:rsid w:val="00E739D8"/>
    <w:rsid w:val="00E74070"/>
    <w:rsid w:val="00E740D1"/>
    <w:rsid w:val="00E744CB"/>
    <w:rsid w:val="00E751FD"/>
    <w:rsid w:val="00E777F1"/>
    <w:rsid w:val="00E83561"/>
    <w:rsid w:val="00E8403A"/>
    <w:rsid w:val="00E850EB"/>
    <w:rsid w:val="00E875DE"/>
    <w:rsid w:val="00E87FF3"/>
    <w:rsid w:val="00E9071E"/>
    <w:rsid w:val="00E90AFD"/>
    <w:rsid w:val="00E91FB9"/>
    <w:rsid w:val="00E93004"/>
    <w:rsid w:val="00E944D9"/>
    <w:rsid w:val="00E94AA8"/>
    <w:rsid w:val="00E94B06"/>
    <w:rsid w:val="00E97A7C"/>
    <w:rsid w:val="00EA14EB"/>
    <w:rsid w:val="00EA15C4"/>
    <w:rsid w:val="00EA1948"/>
    <w:rsid w:val="00EA1C5A"/>
    <w:rsid w:val="00EA2FAC"/>
    <w:rsid w:val="00EA35F6"/>
    <w:rsid w:val="00EA4A20"/>
    <w:rsid w:val="00EB0E66"/>
    <w:rsid w:val="00EB1F25"/>
    <w:rsid w:val="00EB1FC7"/>
    <w:rsid w:val="00EB279F"/>
    <w:rsid w:val="00EB36CD"/>
    <w:rsid w:val="00EB4588"/>
    <w:rsid w:val="00EB4E87"/>
    <w:rsid w:val="00EB6402"/>
    <w:rsid w:val="00EC2567"/>
    <w:rsid w:val="00EC27C6"/>
    <w:rsid w:val="00EC3EDE"/>
    <w:rsid w:val="00EC5183"/>
    <w:rsid w:val="00EC59C5"/>
    <w:rsid w:val="00EC6E0A"/>
    <w:rsid w:val="00EC7A50"/>
    <w:rsid w:val="00ED252E"/>
    <w:rsid w:val="00ED4696"/>
    <w:rsid w:val="00ED4E18"/>
    <w:rsid w:val="00EE193D"/>
    <w:rsid w:val="00EE1F37"/>
    <w:rsid w:val="00EE3D27"/>
    <w:rsid w:val="00EE44D8"/>
    <w:rsid w:val="00EE473F"/>
    <w:rsid w:val="00EE5CF5"/>
    <w:rsid w:val="00EE7A2A"/>
    <w:rsid w:val="00EF3464"/>
    <w:rsid w:val="00EF5DB7"/>
    <w:rsid w:val="00EF64D7"/>
    <w:rsid w:val="00EF6CB8"/>
    <w:rsid w:val="00F00CF4"/>
    <w:rsid w:val="00F00EB0"/>
    <w:rsid w:val="00F0156D"/>
    <w:rsid w:val="00F0159C"/>
    <w:rsid w:val="00F030BF"/>
    <w:rsid w:val="00F03298"/>
    <w:rsid w:val="00F03C25"/>
    <w:rsid w:val="00F04AEC"/>
    <w:rsid w:val="00F05A09"/>
    <w:rsid w:val="00F05AD0"/>
    <w:rsid w:val="00F105B7"/>
    <w:rsid w:val="00F10703"/>
    <w:rsid w:val="00F11CC1"/>
    <w:rsid w:val="00F11E07"/>
    <w:rsid w:val="00F13220"/>
    <w:rsid w:val="00F13882"/>
    <w:rsid w:val="00F1447C"/>
    <w:rsid w:val="00F15509"/>
    <w:rsid w:val="00F16955"/>
    <w:rsid w:val="00F17A21"/>
    <w:rsid w:val="00F22B5C"/>
    <w:rsid w:val="00F235E9"/>
    <w:rsid w:val="00F27DBC"/>
    <w:rsid w:val="00F306FB"/>
    <w:rsid w:val="00F34117"/>
    <w:rsid w:val="00F36515"/>
    <w:rsid w:val="00F37B27"/>
    <w:rsid w:val="00F4166A"/>
    <w:rsid w:val="00F44553"/>
    <w:rsid w:val="00F44613"/>
    <w:rsid w:val="00F46556"/>
    <w:rsid w:val="00F47824"/>
    <w:rsid w:val="00F50E91"/>
    <w:rsid w:val="00F5187C"/>
    <w:rsid w:val="00F51B1A"/>
    <w:rsid w:val="00F52AF5"/>
    <w:rsid w:val="00F5421B"/>
    <w:rsid w:val="00F54E7D"/>
    <w:rsid w:val="00F5755F"/>
    <w:rsid w:val="00F57D29"/>
    <w:rsid w:val="00F62946"/>
    <w:rsid w:val="00F62D23"/>
    <w:rsid w:val="00F663A8"/>
    <w:rsid w:val="00F66A33"/>
    <w:rsid w:val="00F66E99"/>
    <w:rsid w:val="00F67029"/>
    <w:rsid w:val="00F67C56"/>
    <w:rsid w:val="00F7082A"/>
    <w:rsid w:val="00F70C07"/>
    <w:rsid w:val="00F722E7"/>
    <w:rsid w:val="00F724B0"/>
    <w:rsid w:val="00F726A9"/>
    <w:rsid w:val="00F7367F"/>
    <w:rsid w:val="00F80C0D"/>
    <w:rsid w:val="00F82C59"/>
    <w:rsid w:val="00F8385C"/>
    <w:rsid w:val="00F904AA"/>
    <w:rsid w:val="00F93C9F"/>
    <w:rsid w:val="00F93FA6"/>
    <w:rsid w:val="00F9575F"/>
    <w:rsid w:val="00F96201"/>
    <w:rsid w:val="00F96DBD"/>
    <w:rsid w:val="00FA0856"/>
    <w:rsid w:val="00FA1280"/>
    <w:rsid w:val="00FA2124"/>
    <w:rsid w:val="00FA3BAF"/>
    <w:rsid w:val="00FA6B57"/>
    <w:rsid w:val="00FB0D67"/>
    <w:rsid w:val="00FB2CE0"/>
    <w:rsid w:val="00FB2F73"/>
    <w:rsid w:val="00FB6A43"/>
    <w:rsid w:val="00FC374F"/>
    <w:rsid w:val="00FC78E1"/>
    <w:rsid w:val="00FD0B18"/>
    <w:rsid w:val="00FD1D4E"/>
    <w:rsid w:val="00FD2FAD"/>
    <w:rsid w:val="00FD4176"/>
    <w:rsid w:val="00FD51FD"/>
    <w:rsid w:val="00FD63FB"/>
    <w:rsid w:val="00FD715B"/>
    <w:rsid w:val="00FE1422"/>
    <w:rsid w:val="00FE5F4F"/>
    <w:rsid w:val="00FE714F"/>
    <w:rsid w:val="00FF0340"/>
    <w:rsid w:val="00FF076A"/>
    <w:rsid w:val="00FF09B2"/>
    <w:rsid w:val="00FF0DD9"/>
    <w:rsid w:val="00FF12A2"/>
    <w:rsid w:val="00FF3C59"/>
    <w:rsid w:val="00FF465A"/>
    <w:rsid w:val="00FF4D2C"/>
    <w:rsid w:val="00FF582A"/>
    <w:rsid w:val="00FF74E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C578D72"/>
  <w15:docId w15:val="{554B9DF1-2B99-324F-91C1-865CA835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27B"/>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US"/>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US"/>
    </w:rPr>
  </w:style>
  <w:style w:type="paragraph" w:customStyle="1" w:styleId="BodyTextMain">
    <w:name w:val="Body Text Main"/>
    <w:basedOn w:val="Normal"/>
    <w:link w:val="BodyTextMainChar"/>
    <w:qFormat/>
    <w:rsid w:val="000F0C22"/>
    <w:pPr>
      <w:jc w:val="both"/>
    </w:pPr>
    <w:rPr>
      <w:sz w:val="22"/>
      <w:szCs w:val="22"/>
      <w:lang w:val="en-US"/>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lang w:val="en-US"/>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5F18D5"/>
    <w:pPr>
      <w:jc w:val="both"/>
    </w:pPr>
    <w:rPr>
      <w:rFonts w:ascii="Arial" w:hAnsi="Arial" w:cs="Arial"/>
      <w:sz w:val="17"/>
      <w:szCs w:val="17"/>
    </w:rPr>
  </w:style>
  <w:style w:type="character" w:customStyle="1" w:styleId="FootnoteChar">
    <w:name w:val="Footnote Char"/>
    <w:basedOn w:val="FootnoteTextChar"/>
    <w:link w:val="Footnote"/>
    <w:rsid w:val="005F18D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U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sz w:val="20"/>
      <w:szCs w:val="20"/>
      <w:lang w:val="en-US"/>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US"/>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US"/>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US"/>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US"/>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lang w:val="en-US"/>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US"/>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US"/>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US"/>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body-copy">
    <w:name w:val="body-copy"/>
    <w:basedOn w:val="Normal"/>
    <w:rsid w:val="007A4FF3"/>
    <w:pPr>
      <w:spacing w:before="100" w:beforeAutospacing="1" w:after="100" w:afterAutospacing="1"/>
    </w:pPr>
    <w:rPr>
      <w:rFonts w:ascii="Times" w:eastAsiaTheme="minorEastAsia" w:hAnsi="Times" w:cstheme="minorBidi"/>
      <w:sz w:val="20"/>
      <w:szCs w:val="20"/>
      <w:lang w:val="en-US"/>
    </w:rPr>
  </w:style>
  <w:style w:type="paragraph" w:styleId="Revision">
    <w:name w:val="Revision"/>
    <w:hidden/>
    <w:uiPriority w:val="99"/>
    <w:semiHidden/>
    <w:rsid w:val="007A4FF3"/>
    <w:pPr>
      <w:spacing w:after="0" w:line="240" w:lineRule="auto"/>
    </w:pPr>
    <w:rPr>
      <w:rFonts w:eastAsiaTheme="minorEastAsia"/>
      <w:sz w:val="24"/>
      <w:szCs w:val="24"/>
      <w:lang w:eastAsia="ja-JP"/>
    </w:rPr>
  </w:style>
  <w:style w:type="character" w:customStyle="1" w:styleId="titleauthoretc">
    <w:name w:val="titleauthoretc"/>
    <w:basedOn w:val="DefaultParagraphFont"/>
    <w:rsid w:val="00446E31"/>
  </w:style>
  <w:style w:type="character" w:customStyle="1" w:styleId="UnresolvedMention1">
    <w:name w:val="Unresolved Mention1"/>
    <w:basedOn w:val="DefaultParagraphFont"/>
    <w:uiPriority w:val="99"/>
    <w:semiHidden/>
    <w:unhideWhenUsed/>
    <w:rsid w:val="00B17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4049">
      <w:bodyDiv w:val="1"/>
      <w:marLeft w:val="0"/>
      <w:marRight w:val="0"/>
      <w:marTop w:val="0"/>
      <w:marBottom w:val="0"/>
      <w:divBdr>
        <w:top w:val="none" w:sz="0" w:space="0" w:color="auto"/>
        <w:left w:val="none" w:sz="0" w:space="0" w:color="auto"/>
        <w:bottom w:val="none" w:sz="0" w:space="0" w:color="auto"/>
        <w:right w:val="none" w:sz="0" w:space="0" w:color="auto"/>
      </w:divBdr>
    </w:div>
    <w:div w:id="490754975">
      <w:bodyDiv w:val="1"/>
      <w:marLeft w:val="0"/>
      <w:marRight w:val="0"/>
      <w:marTop w:val="0"/>
      <w:marBottom w:val="0"/>
      <w:divBdr>
        <w:top w:val="none" w:sz="0" w:space="0" w:color="auto"/>
        <w:left w:val="none" w:sz="0" w:space="0" w:color="auto"/>
        <w:bottom w:val="none" w:sz="0" w:space="0" w:color="auto"/>
        <w:right w:val="none" w:sz="0" w:space="0" w:color="auto"/>
      </w:divBdr>
      <w:divsChild>
        <w:div w:id="1869945135">
          <w:marLeft w:val="0"/>
          <w:marRight w:val="0"/>
          <w:marTop w:val="0"/>
          <w:marBottom w:val="0"/>
          <w:divBdr>
            <w:top w:val="none" w:sz="0" w:space="0" w:color="auto"/>
            <w:left w:val="none" w:sz="0" w:space="0" w:color="auto"/>
            <w:bottom w:val="none" w:sz="0" w:space="0" w:color="auto"/>
            <w:right w:val="none" w:sz="0" w:space="0" w:color="auto"/>
          </w:divBdr>
          <w:divsChild>
            <w:div w:id="1782987659">
              <w:marLeft w:val="0"/>
              <w:marRight w:val="0"/>
              <w:marTop w:val="0"/>
              <w:marBottom w:val="0"/>
              <w:divBdr>
                <w:top w:val="none" w:sz="0" w:space="0" w:color="auto"/>
                <w:left w:val="none" w:sz="0" w:space="0" w:color="auto"/>
                <w:bottom w:val="none" w:sz="0" w:space="0" w:color="auto"/>
                <w:right w:val="none" w:sz="0" w:space="0" w:color="auto"/>
              </w:divBdr>
              <w:divsChild>
                <w:div w:id="393628480">
                  <w:marLeft w:val="0"/>
                  <w:marRight w:val="244"/>
                  <w:marTop w:val="0"/>
                  <w:marBottom w:val="0"/>
                  <w:divBdr>
                    <w:top w:val="none" w:sz="0" w:space="0" w:color="auto"/>
                    <w:left w:val="none" w:sz="0" w:space="0" w:color="auto"/>
                    <w:bottom w:val="none" w:sz="0" w:space="0" w:color="auto"/>
                    <w:right w:val="none" w:sz="0" w:space="0" w:color="auto"/>
                  </w:divBdr>
                  <w:divsChild>
                    <w:div w:id="1878664802">
                      <w:marLeft w:val="0"/>
                      <w:marRight w:val="0"/>
                      <w:marTop w:val="0"/>
                      <w:marBottom w:val="270"/>
                      <w:divBdr>
                        <w:top w:val="none" w:sz="0" w:space="0" w:color="auto"/>
                        <w:left w:val="none" w:sz="0" w:space="0" w:color="auto"/>
                        <w:bottom w:val="none" w:sz="0" w:space="0" w:color="auto"/>
                        <w:right w:val="none" w:sz="0" w:space="0" w:color="auto"/>
                      </w:divBdr>
                      <w:divsChild>
                        <w:div w:id="476149221">
                          <w:marLeft w:val="0"/>
                          <w:marRight w:val="0"/>
                          <w:marTop w:val="0"/>
                          <w:marBottom w:val="0"/>
                          <w:divBdr>
                            <w:top w:val="none" w:sz="0" w:space="0" w:color="auto"/>
                            <w:left w:val="none" w:sz="0" w:space="0" w:color="auto"/>
                            <w:bottom w:val="none" w:sz="0" w:space="0" w:color="auto"/>
                            <w:right w:val="none" w:sz="0" w:space="0" w:color="auto"/>
                          </w:divBdr>
                          <w:divsChild>
                            <w:div w:id="3639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4452">
      <w:bodyDiv w:val="1"/>
      <w:marLeft w:val="0"/>
      <w:marRight w:val="0"/>
      <w:marTop w:val="0"/>
      <w:marBottom w:val="0"/>
      <w:divBdr>
        <w:top w:val="none" w:sz="0" w:space="0" w:color="auto"/>
        <w:left w:val="none" w:sz="0" w:space="0" w:color="auto"/>
        <w:bottom w:val="none" w:sz="0" w:space="0" w:color="auto"/>
        <w:right w:val="none" w:sz="0" w:space="0" w:color="auto"/>
      </w:divBdr>
    </w:div>
    <w:div w:id="706955300">
      <w:bodyDiv w:val="1"/>
      <w:marLeft w:val="0"/>
      <w:marRight w:val="0"/>
      <w:marTop w:val="0"/>
      <w:marBottom w:val="0"/>
      <w:divBdr>
        <w:top w:val="none" w:sz="0" w:space="0" w:color="auto"/>
        <w:left w:val="none" w:sz="0" w:space="0" w:color="auto"/>
        <w:bottom w:val="none" w:sz="0" w:space="0" w:color="auto"/>
        <w:right w:val="none" w:sz="0" w:space="0" w:color="auto"/>
      </w:divBdr>
    </w:div>
    <w:div w:id="1025791585">
      <w:bodyDiv w:val="1"/>
      <w:marLeft w:val="0"/>
      <w:marRight w:val="0"/>
      <w:marTop w:val="0"/>
      <w:marBottom w:val="0"/>
      <w:divBdr>
        <w:top w:val="none" w:sz="0" w:space="0" w:color="auto"/>
        <w:left w:val="none" w:sz="0" w:space="0" w:color="auto"/>
        <w:bottom w:val="none" w:sz="0" w:space="0" w:color="auto"/>
        <w:right w:val="none" w:sz="0" w:space="0" w:color="auto"/>
      </w:divBdr>
    </w:div>
    <w:div w:id="1106193774">
      <w:bodyDiv w:val="1"/>
      <w:marLeft w:val="0"/>
      <w:marRight w:val="0"/>
      <w:marTop w:val="0"/>
      <w:marBottom w:val="0"/>
      <w:divBdr>
        <w:top w:val="none" w:sz="0" w:space="0" w:color="auto"/>
        <w:left w:val="none" w:sz="0" w:space="0" w:color="auto"/>
        <w:bottom w:val="none" w:sz="0" w:space="0" w:color="auto"/>
        <w:right w:val="none" w:sz="0" w:space="0" w:color="auto"/>
      </w:divBdr>
    </w:div>
    <w:div w:id="1143893448">
      <w:bodyDiv w:val="1"/>
      <w:marLeft w:val="0"/>
      <w:marRight w:val="0"/>
      <w:marTop w:val="0"/>
      <w:marBottom w:val="0"/>
      <w:divBdr>
        <w:top w:val="none" w:sz="0" w:space="0" w:color="auto"/>
        <w:left w:val="none" w:sz="0" w:space="0" w:color="auto"/>
        <w:bottom w:val="none" w:sz="0" w:space="0" w:color="auto"/>
        <w:right w:val="none" w:sz="0" w:space="0" w:color="auto"/>
      </w:divBdr>
    </w:div>
    <w:div w:id="1159544551">
      <w:bodyDiv w:val="1"/>
      <w:marLeft w:val="0"/>
      <w:marRight w:val="0"/>
      <w:marTop w:val="0"/>
      <w:marBottom w:val="0"/>
      <w:divBdr>
        <w:top w:val="none" w:sz="0" w:space="0" w:color="auto"/>
        <w:left w:val="none" w:sz="0" w:space="0" w:color="auto"/>
        <w:bottom w:val="none" w:sz="0" w:space="0" w:color="auto"/>
        <w:right w:val="none" w:sz="0" w:space="0" w:color="auto"/>
      </w:divBdr>
    </w:div>
    <w:div w:id="1173226231">
      <w:bodyDiv w:val="1"/>
      <w:marLeft w:val="0"/>
      <w:marRight w:val="0"/>
      <w:marTop w:val="0"/>
      <w:marBottom w:val="0"/>
      <w:divBdr>
        <w:top w:val="none" w:sz="0" w:space="0" w:color="auto"/>
        <w:left w:val="none" w:sz="0" w:space="0" w:color="auto"/>
        <w:bottom w:val="none" w:sz="0" w:space="0" w:color="auto"/>
        <w:right w:val="none" w:sz="0" w:space="0" w:color="auto"/>
      </w:divBdr>
    </w:div>
    <w:div w:id="1215121407">
      <w:bodyDiv w:val="1"/>
      <w:marLeft w:val="0"/>
      <w:marRight w:val="0"/>
      <w:marTop w:val="0"/>
      <w:marBottom w:val="0"/>
      <w:divBdr>
        <w:top w:val="none" w:sz="0" w:space="0" w:color="auto"/>
        <w:left w:val="none" w:sz="0" w:space="0" w:color="auto"/>
        <w:bottom w:val="none" w:sz="0" w:space="0" w:color="auto"/>
        <w:right w:val="none" w:sz="0" w:space="0" w:color="auto"/>
      </w:divBdr>
    </w:div>
    <w:div w:id="1262301676">
      <w:bodyDiv w:val="1"/>
      <w:marLeft w:val="0"/>
      <w:marRight w:val="0"/>
      <w:marTop w:val="0"/>
      <w:marBottom w:val="0"/>
      <w:divBdr>
        <w:top w:val="none" w:sz="0" w:space="0" w:color="auto"/>
        <w:left w:val="none" w:sz="0" w:space="0" w:color="auto"/>
        <w:bottom w:val="none" w:sz="0" w:space="0" w:color="auto"/>
        <w:right w:val="none" w:sz="0" w:space="0" w:color="auto"/>
      </w:divBdr>
    </w:div>
    <w:div w:id="1380277742">
      <w:bodyDiv w:val="1"/>
      <w:marLeft w:val="0"/>
      <w:marRight w:val="0"/>
      <w:marTop w:val="0"/>
      <w:marBottom w:val="0"/>
      <w:divBdr>
        <w:top w:val="none" w:sz="0" w:space="0" w:color="auto"/>
        <w:left w:val="none" w:sz="0" w:space="0" w:color="auto"/>
        <w:bottom w:val="none" w:sz="0" w:space="0" w:color="auto"/>
        <w:right w:val="none" w:sz="0" w:space="0" w:color="auto"/>
      </w:divBdr>
    </w:div>
    <w:div w:id="1479414802">
      <w:bodyDiv w:val="1"/>
      <w:marLeft w:val="0"/>
      <w:marRight w:val="0"/>
      <w:marTop w:val="0"/>
      <w:marBottom w:val="0"/>
      <w:divBdr>
        <w:top w:val="none" w:sz="0" w:space="0" w:color="auto"/>
        <w:left w:val="none" w:sz="0" w:space="0" w:color="auto"/>
        <w:bottom w:val="none" w:sz="0" w:space="0" w:color="auto"/>
        <w:right w:val="none" w:sz="0" w:space="0" w:color="auto"/>
      </w:divBdr>
    </w:div>
    <w:div w:id="158788326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nditex.com/en/investors/investor-relations/financial-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A9717D0-BEE5-4074-A1BE-FE1C6378A1F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31497E7-665D-4780-816B-E4169F6A2AC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4609B-16D2-439C-9B26-377CE819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2015-09-08T19:41:00Z</cp:lastPrinted>
  <dcterms:created xsi:type="dcterms:W3CDTF">2019-04-09T16:57:00Z</dcterms:created>
  <dcterms:modified xsi:type="dcterms:W3CDTF">2019-04-18T12:02:00Z</dcterms:modified>
</cp:coreProperties>
</file>