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EA5C9" w14:textId="452B773D" w:rsidR="00C1773D" w:rsidRDefault="0021234D" w:rsidP="00750D2A">
      <w:pPr>
        <w:pBdr>
          <w:bottom w:val="single" w:sz="18" w:space="1" w:color="auto"/>
        </w:pBdr>
        <w:tabs>
          <w:tab w:val="left" w:pos="-1440"/>
          <w:tab w:val="left" w:pos="-720"/>
          <w:tab w:val="left" w:pos="1"/>
        </w:tabs>
        <w:jc w:val="both"/>
        <w:rPr>
          <w:rFonts w:ascii="Arial" w:hAnsi="Arial"/>
          <w:b/>
        </w:rPr>
      </w:pPr>
      <w:r w:rsidRPr="0021234D">
        <w:rPr>
          <w:rFonts w:ascii="Arial" w:hAnsi="Arial"/>
          <w:b/>
          <w:noProof/>
          <w:lang w:val="en-US"/>
        </w:rPr>
        <w:drawing>
          <wp:inline distT="0" distB="0" distL="0" distR="0" wp14:anchorId="4F4C4E75" wp14:editId="3D6ACC4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3DEEED9" w14:textId="0EBFFEB3" w:rsidR="00D75295" w:rsidRPr="00F57146" w:rsidRDefault="0021234D" w:rsidP="00750D2A">
      <w:pPr>
        <w:pStyle w:val="ProductNumber"/>
      </w:pPr>
      <w:r>
        <w:t>9B19M031</w:t>
      </w:r>
    </w:p>
    <w:p w14:paraId="0A7DD02E" w14:textId="77777777" w:rsidR="00D75295" w:rsidRPr="00750D2A" w:rsidRDefault="00D75295" w:rsidP="00D75295">
      <w:pPr>
        <w:jc w:val="right"/>
        <w:rPr>
          <w:rFonts w:ascii="Arial" w:hAnsi="Arial"/>
          <w:b/>
          <w:szCs w:val="28"/>
        </w:rPr>
      </w:pPr>
    </w:p>
    <w:p w14:paraId="17A823EB" w14:textId="77777777" w:rsidR="00013360" w:rsidRPr="00750D2A" w:rsidRDefault="00013360" w:rsidP="00D75295">
      <w:pPr>
        <w:jc w:val="right"/>
        <w:rPr>
          <w:rFonts w:ascii="Arial" w:hAnsi="Arial"/>
          <w:b/>
          <w:szCs w:val="28"/>
        </w:rPr>
      </w:pPr>
    </w:p>
    <w:p w14:paraId="2876B27C" w14:textId="339B0DC1" w:rsidR="00013360" w:rsidRPr="00F57146" w:rsidRDefault="004E2C28" w:rsidP="00013360">
      <w:pPr>
        <w:pStyle w:val="CaseTitle"/>
        <w:spacing w:after="0" w:line="240" w:lineRule="auto"/>
        <w:rPr>
          <w:sz w:val="20"/>
          <w:szCs w:val="20"/>
        </w:rPr>
      </w:pPr>
      <w:r w:rsidRPr="00F57146">
        <w:rPr>
          <w:rFonts w:eastAsia="Times New Roman"/>
          <w:szCs w:val="20"/>
        </w:rPr>
        <w:t>Garrard JApan</w:t>
      </w:r>
      <w:r w:rsidR="00DD2947">
        <w:rPr>
          <w:rFonts w:eastAsia="Times New Roman"/>
          <w:szCs w:val="20"/>
        </w:rPr>
        <w:t xml:space="preserve">: </w:t>
      </w:r>
      <w:r w:rsidRPr="00F57146">
        <w:rPr>
          <w:rFonts w:eastAsia="Times New Roman"/>
          <w:szCs w:val="20"/>
        </w:rPr>
        <w:t>GLOBAL OR LOCAL?</w:t>
      </w:r>
    </w:p>
    <w:p w14:paraId="6CA9F6CB" w14:textId="77777777" w:rsidR="00CA3976" w:rsidRPr="00F57146" w:rsidRDefault="00CA3976" w:rsidP="00013360">
      <w:pPr>
        <w:pStyle w:val="CaseTitle"/>
        <w:spacing w:after="0" w:line="240" w:lineRule="auto"/>
        <w:rPr>
          <w:sz w:val="20"/>
          <w:szCs w:val="20"/>
        </w:rPr>
      </w:pPr>
    </w:p>
    <w:p w14:paraId="4F6DA8FB" w14:textId="77777777" w:rsidR="00013360" w:rsidRPr="00F57146" w:rsidRDefault="00013360" w:rsidP="00013360">
      <w:pPr>
        <w:pStyle w:val="CaseTitle"/>
        <w:spacing w:after="0" w:line="240" w:lineRule="auto"/>
        <w:rPr>
          <w:sz w:val="20"/>
          <w:szCs w:val="20"/>
        </w:rPr>
      </w:pPr>
    </w:p>
    <w:p w14:paraId="3CF879EE" w14:textId="2FE47339" w:rsidR="00627C63" w:rsidRPr="00F57146" w:rsidRDefault="0021234D" w:rsidP="00627C63">
      <w:pPr>
        <w:pStyle w:val="StyleCopyrightStatementAfter0ptBottomSinglesolidline1"/>
      </w:pPr>
      <w:proofErr w:type="spellStart"/>
      <w:r w:rsidRPr="0021234D">
        <w:t>Ramasastry</w:t>
      </w:r>
      <w:proofErr w:type="spellEnd"/>
      <w:r w:rsidRPr="0021234D">
        <w:t xml:space="preserve"> Chandrasekhar</w:t>
      </w:r>
      <w:r>
        <w:t xml:space="preserve"> </w:t>
      </w:r>
      <w:r w:rsidR="004B632F" w:rsidRPr="00F57146">
        <w:t xml:space="preserve">wrote this </w:t>
      </w:r>
      <w:r w:rsidR="00152682" w:rsidRPr="00F57146">
        <w:t>case</w:t>
      </w:r>
      <w:r w:rsidR="004B632F" w:rsidRPr="00F57146">
        <w:t xml:space="preserve"> </w:t>
      </w:r>
      <w:r w:rsidR="004E2C28" w:rsidRPr="00F57146">
        <w:t xml:space="preserve">under the supervision of Paul Beamish </w:t>
      </w:r>
      <w:r w:rsidR="00152682" w:rsidRPr="00F57146">
        <w:t>solely to provide material for class discussion. The</w:t>
      </w:r>
      <w:r w:rsidR="001C7777" w:rsidRPr="00F57146">
        <w:t xml:space="preserve"> author</w:t>
      </w:r>
      <w:r w:rsidR="001A22D1" w:rsidRPr="00F57146">
        <w:t>s</w:t>
      </w:r>
      <w:r w:rsidR="00152682" w:rsidRPr="00F57146">
        <w:t xml:space="preserve"> do not intend to illustrate either effective or ineffective handling of a managerial situation. The author</w:t>
      </w:r>
      <w:r w:rsidR="001A22D1" w:rsidRPr="00F57146">
        <w:t>s</w:t>
      </w:r>
      <w:r w:rsidR="00152682" w:rsidRPr="00F57146">
        <w:t xml:space="preserve"> may have disguised certain names and other identifying information to protect confidentiality.</w:t>
      </w:r>
    </w:p>
    <w:p w14:paraId="236A63A6" w14:textId="77777777" w:rsidR="00751E0B" w:rsidRDefault="00751E0B" w:rsidP="00751E0B">
      <w:pPr>
        <w:pStyle w:val="StyleCopyrightStatementAfter0ptBottomSinglesolidline1"/>
      </w:pPr>
    </w:p>
    <w:p w14:paraId="7F1F77FE" w14:textId="77777777" w:rsidR="0021234D" w:rsidRDefault="0021234D" w:rsidP="0021234D">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21A55D4" w14:textId="77777777" w:rsidR="0021234D" w:rsidRDefault="0021234D" w:rsidP="0021234D">
      <w:pPr>
        <w:pStyle w:val="StyleStyleCopyrightStatementAfter0ptBottomSinglesolid"/>
        <w:rPr>
          <w:rFonts w:cs="Arial"/>
          <w:color w:val="FFFFFF" w:themeColor="background1"/>
          <w:szCs w:val="16"/>
        </w:rPr>
      </w:pPr>
    </w:p>
    <w:p w14:paraId="125B8434" w14:textId="62AD0CE9" w:rsidR="00751E0B" w:rsidRPr="0021234D" w:rsidRDefault="0021234D" w:rsidP="00750D2A">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569EA" w:rsidRPr="00F57146">
        <w:rPr>
          <w:rFonts w:cs="Arial"/>
          <w:szCs w:val="16"/>
        </w:rPr>
        <w:tab/>
      </w:r>
      <w:r w:rsidR="00751E0B" w:rsidRPr="00F57146">
        <w:t xml:space="preserve">Version: </w:t>
      </w:r>
      <w:r w:rsidR="003D0BA1" w:rsidRPr="00F57146">
        <w:t>20</w:t>
      </w:r>
      <w:r w:rsidR="004E2C28" w:rsidRPr="00F57146">
        <w:t>19</w:t>
      </w:r>
      <w:r w:rsidR="001C7777" w:rsidRPr="00F57146">
        <w:t>-</w:t>
      </w:r>
      <w:r w:rsidR="004E2C28" w:rsidRPr="00F57146">
        <w:t>0</w:t>
      </w:r>
      <w:r>
        <w:t>4</w:t>
      </w:r>
      <w:r w:rsidR="00751E0B" w:rsidRPr="00F57146">
        <w:t>-</w:t>
      </w:r>
      <w:r w:rsidR="00A446B6">
        <w:t>26</w:t>
      </w:r>
    </w:p>
    <w:p w14:paraId="5BEB8CD1" w14:textId="77777777" w:rsidR="00751E0B" w:rsidRPr="0021234D" w:rsidRDefault="00751E0B" w:rsidP="00751E0B">
      <w:pPr>
        <w:pStyle w:val="StyleCopyrightStatementAfter0ptBottomSinglesolidline1"/>
        <w:rPr>
          <w:rFonts w:ascii="Times New Roman" w:hAnsi="Times New Roman"/>
          <w:szCs w:val="16"/>
        </w:rPr>
      </w:pPr>
    </w:p>
    <w:p w14:paraId="7686042A" w14:textId="77777777" w:rsidR="004B632F" w:rsidRPr="0021234D" w:rsidRDefault="004B632F" w:rsidP="004B632F">
      <w:pPr>
        <w:pStyle w:val="StyleCopyrightStatementAfter0ptBottomSinglesolidline1"/>
        <w:rPr>
          <w:rFonts w:ascii="Times New Roman" w:hAnsi="Times New Roman"/>
          <w:szCs w:val="16"/>
        </w:rPr>
      </w:pPr>
    </w:p>
    <w:p w14:paraId="0E5AC216" w14:textId="46E6AAEB" w:rsidR="004E2C28" w:rsidRPr="00F57146" w:rsidRDefault="004E2C28" w:rsidP="00C1773D">
      <w:pPr>
        <w:pStyle w:val="BodyTextMain"/>
      </w:pPr>
      <w:r w:rsidRPr="00F57146">
        <w:t xml:space="preserve">In late September 2017, Toshio Tanaka, </w:t>
      </w:r>
      <w:r w:rsidR="00C40852">
        <w:t>president</w:t>
      </w:r>
      <w:r w:rsidR="00C40852" w:rsidRPr="00F57146">
        <w:t xml:space="preserve"> </w:t>
      </w:r>
      <w:r w:rsidRPr="00F57146">
        <w:t xml:space="preserve">and </w:t>
      </w:r>
      <w:r w:rsidR="00C40852">
        <w:t>chief executive officer (</w:t>
      </w:r>
      <w:r w:rsidRPr="00F57146">
        <w:t>CEO</w:t>
      </w:r>
      <w:r w:rsidR="00C40852">
        <w:t>) of</w:t>
      </w:r>
      <w:r w:rsidRPr="00F57146">
        <w:t xml:space="preserve"> </w:t>
      </w:r>
      <w:proofErr w:type="spellStart"/>
      <w:r w:rsidRPr="00F57146">
        <w:t>Garrard</w:t>
      </w:r>
      <w:proofErr w:type="spellEnd"/>
      <w:r w:rsidRPr="00F57146">
        <w:t xml:space="preserve"> Japan, received </w:t>
      </w:r>
      <w:r w:rsidR="005C1167">
        <w:t>a</w:t>
      </w:r>
      <w:r w:rsidR="005C1167" w:rsidRPr="00F57146">
        <w:t xml:space="preserve"> </w:t>
      </w:r>
      <w:r w:rsidRPr="00F57146">
        <w:t xml:space="preserve">follow-up from his team to a public opinion survey </w:t>
      </w:r>
      <w:r w:rsidR="007C2D67">
        <w:t>Tanaka</w:t>
      </w:r>
      <w:r w:rsidR="007C2D67" w:rsidRPr="00F57146">
        <w:t xml:space="preserve"> </w:t>
      </w:r>
      <w:r w:rsidRPr="00F57146">
        <w:t xml:space="preserve">had commissioned in mid-July. </w:t>
      </w:r>
      <w:proofErr w:type="spellStart"/>
      <w:r w:rsidRPr="00F57146">
        <w:t>Garrard</w:t>
      </w:r>
      <w:proofErr w:type="spellEnd"/>
      <w:r w:rsidRPr="00F57146">
        <w:t xml:space="preserve"> Japan was a wholly owned subsidiary of </w:t>
      </w:r>
      <w:proofErr w:type="spellStart"/>
      <w:r w:rsidRPr="00F57146">
        <w:t>Garrard</w:t>
      </w:r>
      <w:proofErr w:type="spellEnd"/>
      <w:r w:rsidRPr="00F57146">
        <w:t xml:space="preserve"> </w:t>
      </w:r>
      <w:r w:rsidR="00D7015D">
        <w:t>S.A.</w:t>
      </w:r>
      <w:r w:rsidR="00432D21">
        <w:t xml:space="preserve"> (</w:t>
      </w:r>
      <w:proofErr w:type="spellStart"/>
      <w:r w:rsidR="00432D21">
        <w:t>Garrard</w:t>
      </w:r>
      <w:proofErr w:type="spellEnd"/>
      <w:r w:rsidR="00432D21">
        <w:t>)</w:t>
      </w:r>
      <w:r w:rsidRPr="00F57146">
        <w:t xml:space="preserve">, one of the world’s largest packaged foods companies by revenue. The </w:t>
      </w:r>
      <w:r w:rsidR="00C40852">
        <w:t>European-based</w:t>
      </w:r>
      <w:r w:rsidRPr="00F57146">
        <w:t xml:space="preserve"> </w:t>
      </w:r>
      <w:bookmarkStart w:id="0" w:name="_Hlk866311"/>
      <w:r w:rsidR="00C40852">
        <w:t>multinational</w:t>
      </w:r>
      <w:r w:rsidRPr="00F57146">
        <w:t xml:space="preserve"> enterprise (MNE)</w:t>
      </w:r>
      <w:bookmarkEnd w:id="0"/>
      <w:r w:rsidRPr="00F57146">
        <w:t xml:space="preserve"> had been a major contributor to the long-standing phenomenon of </w:t>
      </w:r>
      <w:r w:rsidR="00C40852">
        <w:t xml:space="preserve">the </w:t>
      </w:r>
      <w:r w:rsidRPr="00F57146">
        <w:t>globalization of trade and commerce.</w:t>
      </w:r>
    </w:p>
    <w:p w14:paraId="4AD47F2A" w14:textId="77777777" w:rsidR="004E2C28" w:rsidRPr="0021234D" w:rsidRDefault="004E2C28" w:rsidP="00C1773D">
      <w:pPr>
        <w:pStyle w:val="BodyTextMain"/>
        <w:rPr>
          <w:sz w:val="18"/>
          <w:szCs w:val="18"/>
        </w:rPr>
      </w:pPr>
    </w:p>
    <w:p w14:paraId="551F3870" w14:textId="55387DE4" w:rsidR="004E2C28" w:rsidRPr="00F57146" w:rsidRDefault="004E2C28" w:rsidP="00C1773D">
      <w:pPr>
        <w:pStyle w:val="BodyTextMain"/>
      </w:pPr>
      <w:r w:rsidRPr="00F57146">
        <w:t xml:space="preserve">Tanaka had </w:t>
      </w:r>
      <w:r w:rsidR="00C40852">
        <w:t>recently</w:t>
      </w:r>
      <w:r w:rsidR="00C40852" w:rsidRPr="00F57146">
        <w:t xml:space="preserve"> </w:t>
      </w:r>
      <w:r w:rsidR="00C40852">
        <w:t>witnessed</w:t>
      </w:r>
      <w:r w:rsidRPr="00F57146">
        <w:t xml:space="preserve"> several trends </w:t>
      </w:r>
      <w:r w:rsidR="00C40852">
        <w:t>that</w:t>
      </w:r>
      <w:r w:rsidR="00C40852" w:rsidRPr="00F57146">
        <w:t xml:space="preserve"> </w:t>
      </w:r>
      <w:r w:rsidRPr="00F57146">
        <w:t>were running contrary to globalization</w:t>
      </w:r>
      <w:r w:rsidR="007C2D67">
        <w:t>.</w:t>
      </w:r>
      <w:r w:rsidRPr="00F57146">
        <w:t xml:space="preserve"> </w:t>
      </w:r>
      <w:r w:rsidR="007C2D67">
        <w:t>T</w:t>
      </w:r>
      <w:r w:rsidR="005C1167">
        <w:t>here</w:t>
      </w:r>
      <w:r w:rsidRPr="00F57146">
        <w:t xml:space="preserve"> was, for example, growing protectionism, as in the “Made in America” campaign in the </w:t>
      </w:r>
      <w:r w:rsidR="00C40852">
        <w:t>United States</w:t>
      </w:r>
      <w:r w:rsidR="005C1167">
        <w:t>;</w:t>
      </w:r>
      <w:r w:rsidRPr="00F57146">
        <w:t xml:space="preserve"> rising nationalism, as in Britain’s pending exit</w:t>
      </w:r>
      <w:r w:rsidR="005C1167">
        <w:t>—</w:t>
      </w:r>
      <w:r w:rsidR="007363BB">
        <w:t>“</w:t>
      </w:r>
      <w:r w:rsidRPr="00F57146">
        <w:t>Brexit</w:t>
      </w:r>
      <w:r w:rsidR="007363BB">
        <w:t>”</w:t>
      </w:r>
      <w:r w:rsidR="005C1167">
        <w:t>—</w:t>
      </w:r>
      <w:r w:rsidRPr="00F57146">
        <w:t>from the European Union (EU)</w:t>
      </w:r>
      <w:r w:rsidR="005C1167">
        <w:t>; and</w:t>
      </w:r>
      <w:r w:rsidRPr="00F57146">
        <w:t xml:space="preserve"> conversations at various platforms in the public domain around the negative aspects of globalization. Tanaka was not sure whether the</w:t>
      </w:r>
      <w:r w:rsidR="007C2D67">
        <w:t xml:space="preserve"> trends</w:t>
      </w:r>
      <w:r w:rsidRPr="00F57146">
        <w:t xml:space="preserve"> were populist or substantive. </w:t>
      </w:r>
      <w:r w:rsidR="005C1167">
        <w:t>He</w:t>
      </w:r>
      <w:r w:rsidR="005C1167" w:rsidRPr="00F57146">
        <w:t xml:space="preserve"> had commissioned the survey in July 2017</w:t>
      </w:r>
      <w:r w:rsidR="005C1167">
        <w:t xml:space="preserve"> to</w:t>
      </w:r>
      <w:r w:rsidRPr="00F57146">
        <w:t xml:space="preserve"> ascertain the </w:t>
      </w:r>
      <w:r w:rsidR="007363BB">
        <w:t>ground-level</w:t>
      </w:r>
      <w:r w:rsidRPr="00F57146">
        <w:t xml:space="preserve"> perceptions of MNEs among Japanese</w:t>
      </w:r>
      <w:r w:rsidR="007363BB">
        <w:t xml:space="preserve"> people</w:t>
      </w:r>
      <w:r w:rsidRPr="00F57146">
        <w:t>.</w:t>
      </w:r>
    </w:p>
    <w:p w14:paraId="29C4F3C9" w14:textId="77777777" w:rsidR="004E2C28" w:rsidRPr="0021234D" w:rsidRDefault="004E2C28" w:rsidP="00C1773D">
      <w:pPr>
        <w:pStyle w:val="BodyTextMain"/>
        <w:rPr>
          <w:rFonts w:eastAsiaTheme="minorEastAsia"/>
          <w:sz w:val="18"/>
          <w:szCs w:val="18"/>
          <w:lang w:eastAsia="zh-TW"/>
        </w:rPr>
      </w:pPr>
    </w:p>
    <w:p w14:paraId="03C92A5C" w14:textId="54A7D428" w:rsidR="004E2C28" w:rsidRPr="00F57146" w:rsidRDefault="004E2C28" w:rsidP="00C1773D">
      <w:pPr>
        <w:pStyle w:val="BodyTextMain"/>
        <w:rPr>
          <w:rFonts w:eastAsiaTheme="minorEastAsia"/>
          <w:lang w:eastAsia="zh-TW"/>
        </w:rPr>
      </w:pPr>
      <w:r w:rsidRPr="00F57146">
        <w:rPr>
          <w:rFonts w:eastAsiaTheme="minorEastAsia"/>
          <w:lang w:eastAsia="zh-TW"/>
        </w:rPr>
        <w:t>The findings of the survey were both qualitative and quantitative</w:t>
      </w:r>
      <w:r w:rsidR="007363BB">
        <w:rPr>
          <w:rFonts w:eastAsiaTheme="minorEastAsia"/>
          <w:lang w:eastAsia="zh-TW"/>
        </w:rPr>
        <w:t>:</w:t>
      </w:r>
      <w:r w:rsidRPr="00F57146">
        <w:rPr>
          <w:rFonts w:eastAsiaTheme="minorEastAsia"/>
          <w:lang w:eastAsia="zh-TW"/>
        </w:rPr>
        <w:t xml:space="preserve"> 64 per cent of Japanese </w:t>
      </w:r>
      <w:r w:rsidR="007363BB">
        <w:rPr>
          <w:rFonts w:eastAsiaTheme="minorEastAsia"/>
          <w:lang w:eastAsia="zh-TW"/>
        </w:rPr>
        <w:t xml:space="preserve">people </w:t>
      </w:r>
      <w:r w:rsidRPr="00F57146">
        <w:rPr>
          <w:rFonts w:eastAsiaTheme="minorEastAsia"/>
          <w:lang w:eastAsia="zh-TW"/>
        </w:rPr>
        <w:t xml:space="preserve">saw MNEs </w:t>
      </w:r>
      <w:proofErr w:type="gramStart"/>
      <w:r w:rsidRPr="00F57146">
        <w:rPr>
          <w:rFonts w:eastAsiaTheme="minorEastAsia"/>
          <w:lang w:eastAsia="zh-TW"/>
        </w:rPr>
        <w:t>as</w:t>
      </w:r>
      <w:proofErr w:type="gramEnd"/>
      <w:r w:rsidRPr="00F57146">
        <w:rPr>
          <w:rFonts w:eastAsiaTheme="minorEastAsia"/>
          <w:lang w:eastAsia="zh-TW"/>
        </w:rPr>
        <w:t xml:space="preserve"> being more concerned with profit than anything else</w:t>
      </w:r>
      <w:r w:rsidR="007363BB">
        <w:rPr>
          <w:rFonts w:eastAsiaTheme="minorEastAsia"/>
          <w:lang w:eastAsia="zh-TW"/>
        </w:rPr>
        <w:t>;</w:t>
      </w:r>
      <w:r w:rsidRPr="00F57146">
        <w:rPr>
          <w:rFonts w:eastAsiaTheme="minorEastAsia"/>
          <w:lang w:eastAsia="zh-TW"/>
        </w:rPr>
        <w:t xml:space="preserve"> 50 per cent thought MNEs were impersonal</w:t>
      </w:r>
      <w:r w:rsidR="007363BB">
        <w:rPr>
          <w:rFonts w:eastAsiaTheme="minorEastAsia"/>
          <w:lang w:eastAsia="zh-TW"/>
        </w:rPr>
        <w:t>; and</w:t>
      </w:r>
      <w:r w:rsidRPr="00F57146">
        <w:rPr>
          <w:rFonts w:eastAsiaTheme="minorEastAsia"/>
          <w:lang w:eastAsia="zh-TW"/>
        </w:rPr>
        <w:t xml:space="preserve"> 41 per cent thought they were bureaucratic (</w:t>
      </w:r>
      <w:r w:rsidR="007363BB">
        <w:rPr>
          <w:rFonts w:eastAsiaTheme="minorEastAsia"/>
          <w:lang w:eastAsia="zh-TW"/>
        </w:rPr>
        <w:t xml:space="preserve">see </w:t>
      </w:r>
      <w:r w:rsidRPr="00F57146">
        <w:rPr>
          <w:rFonts w:eastAsiaTheme="minorEastAsia"/>
          <w:lang w:eastAsia="zh-TW"/>
        </w:rPr>
        <w:t xml:space="preserve">Exhibit 1). The survey also </w:t>
      </w:r>
      <w:r w:rsidR="00C51F1E">
        <w:rPr>
          <w:rFonts w:eastAsiaTheme="minorEastAsia"/>
          <w:lang w:eastAsia="zh-TW"/>
        </w:rPr>
        <w:t>indicated</w:t>
      </w:r>
      <w:r w:rsidRPr="00F57146">
        <w:rPr>
          <w:rFonts w:eastAsiaTheme="minorEastAsia"/>
          <w:lang w:eastAsia="zh-TW"/>
        </w:rPr>
        <w:t xml:space="preserve"> how Japanese </w:t>
      </w:r>
      <w:r w:rsidR="007363BB">
        <w:rPr>
          <w:rFonts w:eastAsiaTheme="minorEastAsia"/>
          <w:lang w:eastAsia="zh-TW"/>
        </w:rPr>
        <w:t xml:space="preserve">people </w:t>
      </w:r>
      <w:r w:rsidRPr="00F57146">
        <w:rPr>
          <w:rFonts w:eastAsiaTheme="minorEastAsia"/>
          <w:lang w:eastAsia="zh-TW"/>
        </w:rPr>
        <w:t>saw MNEs in terms of their “</w:t>
      </w:r>
      <w:proofErr w:type="spellStart"/>
      <w:r w:rsidR="0011553A">
        <w:rPr>
          <w:rFonts w:eastAsiaTheme="minorEastAsia"/>
          <w:lang w:eastAsia="zh-TW"/>
        </w:rPr>
        <w:t>g</w:t>
      </w:r>
      <w:r w:rsidRPr="00F57146">
        <w:rPr>
          <w:rFonts w:eastAsiaTheme="minorEastAsia"/>
          <w:lang w:eastAsia="zh-TW"/>
        </w:rPr>
        <w:t>local</w:t>
      </w:r>
      <w:proofErr w:type="spellEnd"/>
      <w:r w:rsidRPr="00F57146">
        <w:rPr>
          <w:rFonts w:eastAsiaTheme="minorEastAsia"/>
          <w:lang w:eastAsia="zh-TW"/>
        </w:rPr>
        <w:t xml:space="preserve"> appeal”</w:t>
      </w:r>
      <w:r w:rsidR="007363BB">
        <w:rPr>
          <w:rFonts w:eastAsiaTheme="minorEastAsia"/>
          <w:lang w:eastAsia="zh-TW"/>
        </w:rPr>
        <w:t>—</w:t>
      </w:r>
      <w:r w:rsidRPr="00F57146">
        <w:rPr>
          <w:rFonts w:eastAsiaTheme="minorEastAsia"/>
          <w:lang w:eastAsia="zh-TW"/>
        </w:rPr>
        <w:t>a blend of global and local appeal</w:t>
      </w:r>
      <w:r w:rsidR="007363BB">
        <w:rPr>
          <w:rFonts w:eastAsiaTheme="minorEastAsia"/>
          <w:lang w:eastAsia="zh-TW"/>
        </w:rPr>
        <w:t>—</w:t>
      </w:r>
      <w:r w:rsidRPr="00F57146">
        <w:rPr>
          <w:rFonts w:eastAsiaTheme="minorEastAsia"/>
          <w:lang w:eastAsia="zh-TW"/>
        </w:rPr>
        <w:t xml:space="preserve">and how they rated </w:t>
      </w:r>
      <w:proofErr w:type="spellStart"/>
      <w:r w:rsidRPr="00F57146">
        <w:rPr>
          <w:rFonts w:eastAsiaTheme="minorEastAsia"/>
          <w:lang w:eastAsia="zh-TW"/>
        </w:rPr>
        <w:t>Garrard</w:t>
      </w:r>
      <w:proofErr w:type="spellEnd"/>
      <w:r w:rsidRPr="00F57146">
        <w:rPr>
          <w:rFonts w:eastAsiaTheme="minorEastAsia"/>
          <w:lang w:eastAsia="zh-TW"/>
        </w:rPr>
        <w:t xml:space="preserve"> Japan on the “</w:t>
      </w:r>
      <w:proofErr w:type="spellStart"/>
      <w:r w:rsidRPr="00F57146">
        <w:rPr>
          <w:rFonts w:eastAsiaTheme="minorEastAsia"/>
          <w:lang w:eastAsia="zh-TW"/>
        </w:rPr>
        <w:t>glocal</w:t>
      </w:r>
      <w:proofErr w:type="spellEnd"/>
      <w:r w:rsidRPr="00F57146">
        <w:rPr>
          <w:rFonts w:eastAsiaTheme="minorEastAsia"/>
          <w:lang w:eastAsia="zh-TW"/>
        </w:rPr>
        <w:t xml:space="preserve"> scale</w:t>
      </w:r>
      <w:r w:rsidR="007363BB">
        <w:rPr>
          <w:rFonts w:eastAsiaTheme="minorEastAsia"/>
          <w:lang w:eastAsia="zh-TW"/>
        </w:rPr>
        <w:t>.</w:t>
      </w:r>
      <w:r w:rsidRPr="00F57146">
        <w:rPr>
          <w:rFonts w:eastAsiaTheme="minorEastAsia"/>
          <w:lang w:eastAsia="zh-TW"/>
        </w:rPr>
        <w:t xml:space="preserve">” </w:t>
      </w:r>
      <w:proofErr w:type="spellStart"/>
      <w:r w:rsidRPr="00F57146">
        <w:rPr>
          <w:rFonts w:eastAsiaTheme="minorEastAsia"/>
          <w:lang w:eastAsia="zh-TW"/>
        </w:rPr>
        <w:t>Garrard</w:t>
      </w:r>
      <w:proofErr w:type="spellEnd"/>
      <w:r w:rsidRPr="00F57146">
        <w:rPr>
          <w:rFonts w:eastAsiaTheme="minorEastAsia"/>
          <w:lang w:eastAsia="zh-TW"/>
        </w:rPr>
        <w:t xml:space="preserve"> </w:t>
      </w:r>
      <w:r w:rsidR="00770325">
        <w:rPr>
          <w:rFonts w:eastAsiaTheme="minorEastAsia"/>
          <w:lang w:eastAsia="zh-TW"/>
        </w:rPr>
        <w:t xml:space="preserve">Japan </w:t>
      </w:r>
      <w:r w:rsidRPr="00F57146">
        <w:rPr>
          <w:rFonts w:eastAsiaTheme="minorEastAsia"/>
          <w:lang w:eastAsia="zh-TW"/>
        </w:rPr>
        <w:t xml:space="preserve">had secured a rating of 3.5 on a scale of </w:t>
      </w:r>
      <w:r w:rsidR="007363BB">
        <w:rPr>
          <w:rFonts w:eastAsiaTheme="minorEastAsia"/>
          <w:lang w:eastAsia="zh-TW"/>
        </w:rPr>
        <w:t>1 to 10</w:t>
      </w:r>
      <w:r w:rsidRPr="00F57146">
        <w:rPr>
          <w:rFonts w:eastAsiaTheme="minorEastAsia"/>
          <w:lang w:eastAsia="zh-TW"/>
        </w:rPr>
        <w:t xml:space="preserve">, giving it a median ranking among its peers in the </w:t>
      </w:r>
      <w:bookmarkStart w:id="1" w:name="_Hlk867358"/>
      <w:r w:rsidR="007363BB">
        <w:rPr>
          <w:rFonts w:eastAsiaTheme="minorEastAsia"/>
          <w:lang w:eastAsia="zh-TW"/>
        </w:rPr>
        <w:t>consumer packaged goods</w:t>
      </w:r>
      <w:r w:rsidRPr="00F57146">
        <w:rPr>
          <w:rFonts w:eastAsiaTheme="minorEastAsia"/>
          <w:lang w:eastAsia="zh-TW"/>
        </w:rPr>
        <w:t xml:space="preserve"> (CPG)</w:t>
      </w:r>
      <w:bookmarkEnd w:id="1"/>
      <w:r w:rsidRPr="00F57146">
        <w:rPr>
          <w:rFonts w:eastAsiaTheme="minorEastAsia"/>
          <w:lang w:eastAsia="zh-TW"/>
        </w:rPr>
        <w:t xml:space="preserve"> industry (</w:t>
      </w:r>
      <w:r w:rsidR="007363BB">
        <w:rPr>
          <w:rFonts w:eastAsiaTheme="minorEastAsia"/>
          <w:lang w:eastAsia="zh-TW"/>
        </w:rPr>
        <w:t xml:space="preserve">see </w:t>
      </w:r>
      <w:r w:rsidRPr="00F57146">
        <w:rPr>
          <w:rFonts w:eastAsiaTheme="minorEastAsia"/>
          <w:lang w:eastAsia="zh-TW"/>
        </w:rPr>
        <w:t>Exhibit 2).</w:t>
      </w:r>
      <w:r w:rsidR="00352715">
        <w:rPr>
          <w:rFonts w:eastAsiaTheme="minorEastAsia"/>
          <w:lang w:eastAsia="zh-TW"/>
        </w:rPr>
        <w:t xml:space="preserve"> </w:t>
      </w:r>
    </w:p>
    <w:p w14:paraId="576AB1B6" w14:textId="77777777" w:rsidR="004E2C28" w:rsidRPr="0021234D" w:rsidRDefault="004E2C28" w:rsidP="00C1773D">
      <w:pPr>
        <w:pStyle w:val="BodyTextMain"/>
        <w:rPr>
          <w:rFonts w:eastAsiaTheme="minorEastAsia"/>
          <w:sz w:val="18"/>
          <w:szCs w:val="18"/>
          <w:lang w:eastAsia="zh-TW"/>
        </w:rPr>
      </w:pPr>
    </w:p>
    <w:p w14:paraId="333065FD" w14:textId="2424BA42" w:rsidR="004E2C28" w:rsidRPr="00F57146" w:rsidRDefault="004E2C28" w:rsidP="00C1773D">
      <w:pPr>
        <w:pStyle w:val="BodyTextMain"/>
      </w:pPr>
      <w:r w:rsidRPr="00F57146">
        <w:t xml:space="preserve">The results of the survey were the subject of a meeting Tanaka had convened with his direct reports in early September. The consensus at the meeting was that there was scope for improving the rating on the </w:t>
      </w:r>
      <w:proofErr w:type="spellStart"/>
      <w:r w:rsidRPr="00F57146">
        <w:t>glocal</w:t>
      </w:r>
      <w:proofErr w:type="spellEnd"/>
      <w:r w:rsidRPr="00F57146">
        <w:t xml:space="preserve"> scale and that </w:t>
      </w:r>
      <w:proofErr w:type="spellStart"/>
      <w:r w:rsidRPr="00F57146">
        <w:t>Garrard</w:t>
      </w:r>
      <w:proofErr w:type="spellEnd"/>
      <w:r w:rsidRPr="00F57146">
        <w:t xml:space="preserve"> Japan should develop an interim strategy to improve the rating. </w:t>
      </w:r>
    </w:p>
    <w:p w14:paraId="62C570B4" w14:textId="77777777" w:rsidR="004E2C28" w:rsidRPr="0021234D" w:rsidRDefault="004E2C28" w:rsidP="00C1773D">
      <w:pPr>
        <w:pStyle w:val="BodyTextMain"/>
        <w:rPr>
          <w:sz w:val="18"/>
          <w:szCs w:val="18"/>
        </w:rPr>
      </w:pPr>
    </w:p>
    <w:p w14:paraId="4B818268" w14:textId="0D65EFA1" w:rsidR="004E2C28" w:rsidRPr="00F57146" w:rsidRDefault="004E2C28" w:rsidP="00C1773D">
      <w:pPr>
        <w:pStyle w:val="BodyTextMain"/>
      </w:pPr>
      <w:r w:rsidRPr="00F57146">
        <w:t xml:space="preserve">The document now in front of </w:t>
      </w:r>
      <w:r w:rsidR="00205CAD">
        <w:t>Tanaka</w:t>
      </w:r>
      <w:r w:rsidR="00205CAD" w:rsidRPr="00F57146">
        <w:t xml:space="preserve"> </w:t>
      </w:r>
      <w:r w:rsidRPr="00F57146">
        <w:t xml:space="preserve">had set forth the action plan </w:t>
      </w:r>
      <w:r w:rsidR="00205CAD">
        <w:t>he</w:t>
      </w:r>
      <w:r w:rsidR="00205CAD" w:rsidRPr="00F57146">
        <w:t xml:space="preserve"> </w:t>
      </w:r>
      <w:r w:rsidRPr="00F57146">
        <w:t xml:space="preserve">had requested. </w:t>
      </w:r>
      <w:r w:rsidR="00205CAD">
        <w:t>The plan</w:t>
      </w:r>
      <w:r w:rsidR="00205CAD" w:rsidRPr="00F57146">
        <w:t xml:space="preserve"> </w:t>
      </w:r>
      <w:r w:rsidRPr="00F57146">
        <w:t xml:space="preserve">said that </w:t>
      </w:r>
      <w:proofErr w:type="spellStart"/>
      <w:r w:rsidRPr="00F57146">
        <w:t>Garrard</w:t>
      </w:r>
      <w:proofErr w:type="spellEnd"/>
      <w:r w:rsidRPr="00F57146">
        <w:t xml:space="preserve"> Japan should </w:t>
      </w:r>
      <w:r w:rsidR="007363BB">
        <w:t>(a)</w:t>
      </w:r>
      <w:r w:rsidRPr="00F57146">
        <w:t xml:space="preserve"> d</w:t>
      </w:r>
      <w:bookmarkStart w:id="2" w:name="_Hlk508938272"/>
      <w:r w:rsidRPr="00F57146">
        <w:t>efine its business purpose in Japan and communicate it clearly to stakeholders</w:t>
      </w:r>
      <w:r w:rsidR="004B41D1">
        <w:t>;</w:t>
      </w:r>
      <w:r w:rsidRPr="00F57146">
        <w:t xml:space="preserve"> </w:t>
      </w:r>
      <w:r w:rsidR="007363BB">
        <w:t>(</w:t>
      </w:r>
      <w:r w:rsidRPr="00F57146">
        <w:t xml:space="preserve">b) define employee </w:t>
      </w:r>
      <w:r w:rsidR="007363BB">
        <w:t>behaviours</w:t>
      </w:r>
      <w:r w:rsidR="007363BB" w:rsidRPr="00F57146">
        <w:t xml:space="preserve"> </w:t>
      </w:r>
      <w:r w:rsidRPr="00F57146">
        <w:t xml:space="preserve">and secure their alignment with the </w:t>
      </w:r>
      <w:r w:rsidR="007363BB">
        <w:t>business’s</w:t>
      </w:r>
      <w:r w:rsidR="007363BB" w:rsidRPr="00F57146">
        <w:t xml:space="preserve"> </w:t>
      </w:r>
      <w:r w:rsidRPr="00F57146">
        <w:t>purpose</w:t>
      </w:r>
      <w:r w:rsidR="004B41D1">
        <w:t>;</w:t>
      </w:r>
      <w:r w:rsidRPr="00F57146">
        <w:t xml:space="preserve"> and </w:t>
      </w:r>
      <w:r w:rsidR="007363BB">
        <w:t>(</w:t>
      </w:r>
      <w:r w:rsidRPr="00F57146">
        <w:t xml:space="preserve">c) pursue local relevance by </w:t>
      </w:r>
      <w:r w:rsidR="00F701F3">
        <w:t xml:space="preserve">applying </w:t>
      </w:r>
      <w:r w:rsidRPr="00F57146">
        <w:t>Japanese filters to the company’s global actions.</w:t>
      </w:r>
    </w:p>
    <w:bookmarkEnd w:id="2"/>
    <w:p w14:paraId="4274A187" w14:textId="77777777" w:rsidR="004E2C28" w:rsidRPr="0021234D" w:rsidRDefault="004E2C28" w:rsidP="00C1773D">
      <w:pPr>
        <w:pStyle w:val="BodyTextMain"/>
        <w:rPr>
          <w:rFonts w:eastAsiaTheme="minorEastAsia"/>
          <w:sz w:val="18"/>
          <w:szCs w:val="18"/>
          <w:lang w:eastAsia="zh-TW"/>
        </w:rPr>
      </w:pPr>
    </w:p>
    <w:p w14:paraId="0F659867" w14:textId="0E53A4D2" w:rsidR="004E2C28" w:rsidRDefault="002E4BA1" w:rsidP="00C1773D">
      <w:pPr>
        <w:pStyle w:val="BodyTextMain"/>
        <w:rPr>
          <w:color w:val="191919"/>
          <w:lang w:eastAsia="en-CA"/>
        </w:rPr>
      </w:pPr>
      <w:r w:rsidRPr="002E4BA1">
        <w:rPr>
          <w:lang w:val="en-CA"/>
        </w:rPr>
        <w:t xml:space="preserve">As he reviewed the strategy document, Tanaka had two areas of concern: First, would the strategy improve </w:t>
      </w:r>
      <w:proofErr w:type="spellStart"/>
      <w:r w:rsidRPr="002E4BA1">
        <w:rPr>
          <w:lang w:val="en-CA"/>
        </w:rPr>
        <w:t>Garrard</w:t>
      </w:r>
      <w:proofErr w:type="spellEnd"/>
      <w:r w:rsidRPr="002E4BA1">
        <w:rPr>
          <w:lang w:val="en-CA"/>
        </w:rPr>
        <w:t xml:space="preserve"> Japan’s </w:t>
      </w:r>
      <w:proofErr w:type="spellStart"/>
      <w:r w:rsidRPr="002E4BA1">
        <w:rPr>
          <w:lang w:val="en-CA"/>
        </w:rPr>
        <w:t>glocal</w:t>
      </w:r>
      <w:proofErr w:type="spellEnd"/>
      <w:r w:rsidRPr="002E4BA1">
        <w:rPr>
          <w:lang w:val="en-CA"/>
        </w:rPr>
        <w:t xml:space="preserve"> rating, and if not, where did the strategy need to be reinforced? Second, did the company have the needed resources to execute the strategy, and who would provide the needed financial banking—</w:t>
      </w:r>
      <w:proofErr w:type="spellStart"/>
      <w:r w:rsidRPr="002E4BA1">
        <w:rPr>
          <w:lang w:val="en-CA"/>
        </w:rPr>
        <w:t>Garrard</w:t>
      </w:r>
      <w:proofErr w:type="spellEnd"/>
      <w:r w:rsidRPr="002E4BA1">
        <w:rPr>
          <w:lang w:val="en-CA"/>
        </w:rPr>
        <w:t xml:space="preserve"> Japan or </w:t>
      </w:r>
      <w:proofErr w:type="spellStart"/>
      <w:r w:rsidRPr="002E4BA1">
        <w:rPr>
          <w:lang w:val="en-CA"/>
        </w:rPr>
        <w:t>Garrard</w:t>
      </w:r>
      <w:proofErr w:type="spellEnd"/>
      <w:r w:rsidRPr="002E4BA1">
        <w:rPr>
          <w:lang w:val="en-CA"/>
        </w:rPr>
        <w:t xml:space="preserve"> headquarters (HQ)?</w:t>
      </w:r>
    </w:p>
    <w:p w14:paraId="47947186" w14:textId="77777777" w:rsidR="004E2C28" w:rsidRPr="00F57146" w:rsidRDefault="004E2C28" w:rsidP="00C1773D">
      <w:pPr>
        <w:pStyle w:val="Casehead1"/>
      </w:pPr>
      <w:r w:rsidRPr="00F57146">
        <w:lastRenderedPageBreak/>
        <w:t>MULTINATIONAL ENTERPRISES</w:t>
      </w:r>
    </w:p>
    <w:p w14:paraId="24D3EDCF" w14:textId="77777777" w:rsidR="004E2C28" w:rsidRPr="00F57146" w:rsidRDefault="004E2C28" w:rsidP="00C1773D">
      <w:pPr>
        <w:pStyle w:val="BodyTextMain"/>
      </w:pPr>
    </w:p>
    <w:p w14:paraId="7156E6A7" w14:textId="2A81F3D1" w:rsidR="004E2C28" w:rsidRPr="00F57146" w:rsidRDefault="004E2C28" w:rsidP="00C1773D">
      <w:pPr>
        <w:pStyle w:val="BodyTextMain"/>
      </w:pPr>
      <w:r w:rsidRPr="00F57146">
        <w:t xml:space="preserve">An MNE </w:t>
      </w:r>
      <w:r w:rsidR="00BA496E">
        <w:t>could</w:t>
      </w:r>
      <w:r w:rsidR="00BA496E" w:rsidRPr="00F57146">
        <w:t xml:space="preserve"> </w:t>
      </w:r>
      <w:r w:rsidRPr="00F57146">
        <w:t xml:space="preserve">be defined </w:t>
      </w:r>
      <w:r w:rsidR="00D91BE7">
        <w:t>by</w:t>
      </w:r>
      <w:r w:rsidRPr="00F57146">
        <w:t xml:space="preserve"> three attributes</w:t>
      </w:r>
      <w:r w:rsidR="00BA496E">
        <w:t>:</w:t>
      </w:r>
      <w:r w:rsidRPr="00F57146">
        <w:t xml:space="preserve"> </w:t>
      </w:r>
      <w:bookmarkStart w:id="3" w:name="_Hlk501716260"/>
      <w:r w:rsidR="00BA496E">
        <w:t>(1) it</w:t>
      </w:r>
      <w:r w:rsidRPr="00F57146">
        <w:t xml:space="preserve"> </w:t>
      </w:r>
      <w:bookmarkEnd w:id="3"/>
      <w:r w:rsidRPr="00F57146">
        <w:t>direct</w:t>
      </w:r>
      <w:r w:rsidR="00834527">
        <w:t>ly</w:t>
      </w:r>
      <w:r w:rsidRPr="00F57146">
        <w:t xml:space="preserve"> invest</w:t>
      </w:r>
      <w:r w:rsidR="00834527">
        <w:t>ed</w:t>
      </w:r>
      <w:r w:rsidRPr="00F57146">
        <w:t xml:space="preserve"> in foreign countries, instead of merely exporting goods and services to them</w:t>
      </w:r>
      <w:r w:rsidR="00BA496E">
        <w:t>;</w:t>
      </w:r>
      <w:r w:rsidRPr="00F57146">
        <w:t xml:space="preserve"> </w:t>
      </w:r>
      <w:r w:rsidR="00BA496E">
        <w:t>(2) it</w:t>
      </w:r>
      <w:r w:rsidRPr="00F57146">
        <w:t xml:space="preserve"> actively </w:t>
      </w:r>
      <w:r w:rsidR="001919C7">
        <w:t>coordinated</w:t>
      </w:r>
      <w:r w:rsidR="001919C7" w:rsidRPr="00F57146">
        <w:t xml:space="preserve"> </w:t>
      </w:r>
      <w:r w:rsidRPr="00F57146">
        <w:t>the management of its offshore assets, instead of holding them as part of a passive financial portfolio</w:t>
      </w:r>
      <w:r w:rsidR="001919C7">
        <w:t>; and (3) it integrated</w:t>
      </w:r>
      <w:r w:rsidRPr="00F57146">
        <w:t xml:space="preserve"> its operations in different countries, both strategically and organizationally, rather than keeping them separate.</w:t>
      </w:r>
      <w:r w:rsidRPr="005B7EE5">
        <w:rPr>
          <w:rStyle w:val="FootnoteReference"/>
        </w:rPr>
        <w:footnoteReference w:id="1"/>
      </w:r>
      <w:r w:rsidRPr="00F57146">
        <w:t xml:space="preserve"> </w:t>
      </w:r>
    </w:p>
    <w:p w14:paraId="2DDB874F" w14:textId="77777777" w:rsidR="004E2C28" w:rsidRPr="00F57146" w:rsidRDefault="004E2C28" w:rsidP="00C1773D">
      <w:pPr>
        <w:pStyle w:val="BodyTextMain"/>
      </w:pPr>
    </w:p>
    <w:p w14:paraId="59E2B83D" w14:textId="192745B4" w:rsidR="004E2C28" w:rsidRPr="00F57146" w:rsidRDefault="004E2C28" w:rsidP="00C1773D">
      <w:pPr>
        <w:pStyle w:val="BodyTextMain"/>
      </w:pPr>
      <w:r w:rsidRPr="00F57146">
        <w:t xml:space="preserve">Securing a balance between serving global needs and serving local needs was a continuous exercise for MNEs. The extent to which an MNE responded to local needs was influenced by local factors like culture, consumer preferences, </w:t>
      </w:r>
      <w:proofErr w:type="gramStart"/>
      <w:r w:rsidRPr="00F57146">
        <w:t>ways</w:t>
      </w:r>
      <w:proofErr w:type="gramEnd"/>
      <w:r w:rsidRPr="00F57146">
        <w:t xml:space="preserve"> of doing business, infrastructure, technical standards, distribution channels, government demands, national regulations</w:t>
      </w:r>
      <w:r w:rsidR="00E8555A">
        <w:t>,</w:t>
      </w:r>
      <w:r w:rsidRPr="00F57146">
        <w:t xml:space="preserve"> and domestic competitors.</w:t>
      </w:r>
    </w:p>
    <w:p w14:paraId="69C2F47E" w14:textId="77777777" w:rsidR="004E2C28" w:rsidRPr="00F57146" w:rsidRDefault="004E2C28" w:rsidP="00C1773D">
      <w:pPr>
        <w:pStyle w:val="BodyTextMain"/>
      </w:pPr>
    </w:p>
    <w:p w14:paraId="772A7B08" w14:textId="3F6875D3" w:rsidR="004E2C28" w:rsidRPr="00F57146" w:rsidRDefault="004E2C28" w:rsidP="00C1773D">
      <w:pPr>
        <w:pStyle w:val="BodyTextMain"/>
      </w:pPr>
      <w:r w:rsidRPr="00F57146">
        <w:t>In recent decades, attitudes</w:t>
      </w:r>
      <w:r w:rsidR="00090111">
        <w:t xml:space="preserve"> within the United States</w:t>
      </w:r>
      <w:r w:rsidRPr="00F57146">
        <w:t xml:space="preserve"> toward free trade </w:t>
      </w:r>
      <w:r w:rsidR="00E8555A">
        <w:t>had become</w:t>
      </w:r>
      <w:r w:rsidRPr="00F57146">
        <w:t xml:space="preserve"> more inward-looking. The shift was driven by a perception that job losses were primarily the result of globalization on the part of individual companies rather than advancements in technology. MNEs were thus facing increasing levels of scrutiny from </w:t>
      </w:r>
      <w:r w:rsidR="009B5111">
        <w:t>policy-makers</w:t>
      </w:r>
      <w:r w:rsidRPr="00F57146">
        <w:t>.</w:t>
      </w:r>
    </w:p>
    <w:p w14:paraId="33BEEC60" w14:textId="77777777" w:rsidR="004E2C28" w:rsidRPr="00F57146" w:rsidRDefault="004E2C28" w:rsidP="00C1773D">
      <w:pPr>
        <w:pStyle w:val="BodyTextMain"/>
      </w:pPr>
    </w:p>
    <w:p w14:paraId="0E3B5D67" w14:textId="22AD2C12" w:rsidR="003B1D0A" w:rsidRDefault="00834527" w:rsidP="00C1773D">
      <w:pPr>
        <w:pStyle w:val="BodyTextMain"/>
      </w:pPr>
      <w:r>
        <w:t xml:space="preserve">MNEs were also dealing with an increase in </w:t>
      </w:r>
      <w:r w:rsidR="003B1D0A" w:rsidRPr="003B1D0A">
        <w:t>state capitalism</w:t>
      </w:r>
      <w:r>
        <w:t>.</w:t>
      </w:r>
      <w:r w:rsidR="003B1D0A" w:rsidRPr="003B1D0A">
        <w:t xml:space="preserve"> </w:t>
      </w:r>
      <w:r>
        <w:t>E</w:t>
      </w:r>
      <w:r w:rsidR="003B1D0A" w:rsidRPr="003B1D0A">
        <w:t>xamples include</w:t>
      </w:r>
      <w:r>
        <w:t>d</w:t>
      </w:r>
      <w:r w:rsidR="003B1D0A" w:rsidRPr="003B1D0A">
        <w:t xml:space="preserve"> the growing economic role of state-owned enterprises and sovereign wealth funds and the increased direct government support of domestic industries. </w:t>
      </w:r>
      <w:r w:rsidR="002E4BA1">
        <w:t>In 2017, s</w:t>
      </w:r>
      <w:r w:rsidR="003B1D0A" w:rsidRPr="003B1D0A">
        <w:t xml:space="preserve">overeign wealth funds </w:t>
      </w:r>
      <w:r w:rsidR="00B2039E">
        <w:t>were</w:t>
      </w:r>
      <w:r w:rsidR="00B2039E" w:rsidRPr="003B1D0A">
        <w:t xml:space="preserve"> </w:t>
      </w:r>
      <w:r w:rsidR="003B1D0A" w:rsidRPr="003B1D0A">
        <w:t>manag</w:t>
      </w:r>
      <w:r w:rsidR="00B2039E">
        <w:t>ing</w:t>
      </w:r>
      <w:r w:rsidR="003B1D0A" w:rsidRPr="003B1D0A">
        <w:t xml:space="preserve"> portfolios valued at </w:t>
      </w:r>
      <w:r w:rsidR="00B2039E">
        <w:t>US</w:t>
      </w:r>
      <w:r w:rsidR="003B1D0A" w:rsidRPr="003B1D0A">
        <w:t>$7.3 trillion,</w:t>
      </w:r>
      <w:r w:rsidR="00B2039E">
        <w:rPr>
          <w:rStyle w:val="FootnoteReference"/>
        </w:rPr>
        <w:footnoteReference w:id="2"/>
      </w:r>
      <w:r w:rsidR="003B1D0A" w:rsidRPr="003B1D0A">
        <w:t xml:space="preserve"> compared with the $4.2 trillion in assets under management by closed-end private funds, according to the financial market research firm </w:t>
      </w:r>
      <w:proofErr w:type="spellStart"/>
      <w:r w:rsidR="003B1D0A" w:rsidRPr="003B1D0A">
        <w:t>Preqin</w:t>
      </w:r>
      <w:proofErr w:type="spellEnd"/>
      <w:r w:rsidR="003B1D0A" w:rsidRPr="003B1D0A">
        <w:t>.</w:t>
      </w:r>
    </w:p>
    <w:p w14:paraId="065F0EDB" w14:textId="77777777" w:rsidR="003B1D0A" w:rsidRDefault="003B1D0A" w:rsidP="00C1773D">
      <w:pPr>
        <w:pStyle w:val="BodyTextMain"/>
      </w:pPr>
    </w:p>
    <w:p w14:paraId="6A7871EC" w14:textId="127FF294" w:rsidR="004E2C28" w:rsidRPr="00F57146" w:rsidRDefault="00CB6F6A" w:rsidP="00C1773D">
      <w:pPr>
        <w:pStyle w:val="BodyTextMain"/>
      </w:pPr>
      <w:r>
        <w:t>Four</w:t>
      </w:r>
      <w:r w:rsidR="004E2C28" w:rsidRPr="00F57146">
        <w:t xml:space="preserve"> major geopolitical changes </w:t>
      </w:r>
      <w:r>
        <w:t xml:space="preserve">were </w:t>
      </w:r>
      <w:r w:rsidR="00B775FB">
        <w:t>affecting MNEs as well.</w:t>
      </w:r>
      <w:r w:rsidR="004E2C28" w:rsidRPr="00F57146">
        <w:t xml:space="preserve"> First, protectionism was </w:t>
      </w:r>
      <w:r w:rsidR="006F5C76">
        <w:t>on the rise</w:t>
      </w:r>
      <w:r>
        <w:t xml:space="preserve">; </w:t>
      </w:r>
      <w:r w:rsidR="004E2C28" w:rsidRPr="00F57146">
        <w:t xml:space="preserve">the </w:t>
      </w:r>
      <w:r>
        <w:t>United States</w:t>
      </w:r>
      <w:r w:rsidR="004E2C28" w:rsidRPr="00F57146">
        <w:t xml:space="preserve">, Russia, and India had each </w:t>
      </w:r>
      <w:r w:rsidR="006F5C76">
        <w:t xml:space="preserve">announced </w:t>
      </w:r>
      <w:r w:rsidR="004E2C28" w:rsidRPr="00F57146">
        <w:t xml:space="preserve">more than 500 discriminatory trade measures since 2009. Second, </w:t>
      </w:r>
      <w:r w:rsidR="006F5C76">
        <w:t>b</w:t>
      </w:r>
      <w:r w:rsidR="004E2C28" w:rsidRPr="00F57146">
        <w:t xml:space="preserve">ilateral </w:t>
      </w:r>
      <w:r w:rsidR="006F5C76">
        <w:t xml:space="preserve">trade </w:t>
      </w:r>
      <w:r w:rsidR="004E2C28" w:rsidRPr="00F57146">
        <w:t xml:space="preserve">agreements were </w:t>
      </w:r>
      <w:r w:rsidR="006F5C76">
        <w:t xml:space="preserve">gaining ground </w:t>
      </w:r>
      <w:r w:rsidR="004E2C28" w:rsidRPr="00F57146">
        <w:t>over multilateral trade agreements.</w:t>
      </w:r>
      <w:r>
        <w:t xml:space="preserve"> </w:t>
      </w:r>
      <w:r w:rsidR="004E2C28" w:rsidRPr="00F57146">
        <w:t xml:space="preserve">Third, new regional financial institutions, </w:t>
      </w:r>
      <w:r w:rsidR="006F5C76">
        <w:t xml:space="preserve">like </w:t>
      </w:r>
      <w:r w:rsidR="004E2C28" w:rsidRPr="00F57146">
        <w:t xml:space="preserve">the Asian Infrastructure Investment Bank, were beginning to play a </w:t>
      </w:r>
      <w:r>
        <w:t>larger</w:t>
      </w:r>
      <w:r w:rsidRPr="00F57146">
        <w:t xml:space="preserve"> </w:t>
      </w:r>
      <w:r w:rsidR="004E2C28" w:rsidRPr="00F57146">
        <w:t xml:space="preserve">role. </w:t>
      </w:r>
      <w:r w:rsidR="00B775FB">
        <w:t>And f</w:t>
      </w:r>
      <w:r w:rsidR="004E2C28" w:rsidRPr="00F57146">
        <w:t>ourth, state capitalism was on the rise</w:t>
      </w:r>
      <w:r w:rsidR="006F5C76">
        <w:t xml:space="preserve">, as was evident in </w:t>
      </w:r>
      <w:r w:rsidR="004E2C28" w:rsidRPr="00F57146">
        <w:t>the growing economic role of state-owned enterprises and the increased direct government support of domestic industries.</w:t>
      </w:r>
      <w:r w:rsidR="004E2C28" w:rsidRPr="005B7EE5">
        <w:rPr>
          <w:rStyle w:val="FootnoteReference"/>
        </w:rPr>
        <w:footnoteReference w:id="3"/>
      </w:r>
    </w:p>
    <w:p w14:paraId="29B76D1C" w14:textId="77777777" w:rsidR="004E2C28" w:rsidRPr="00F57146" w:rsidRDefault="004E2C28" w:rsidP="00C1773D">
      <w:pPr>
        <w:pStyle w:val="BodyTextMain"/>
        <w:rPr>
          <w:color w:val="191919"/>
          <w:lang w:eastAsia="en-CA"/>
        </w:rPr>
      </w:pPr>
    </w:p>
    <w:p w14:paraId="7CE1A71B" w14:textId="77777777" w:rsidR="004E2C28" w:rsidRPr="00F57146" w:rsidRDefault="004E2C28" w:rsidP="00C1773D">
      <w:pPr>
        <w:pStyle w:val="BodyTextMain"/>
        <w:rPr>
          <w:color w:val="191919"/>
          <w:lang w:eastAsia="en-CA"/>
        </w:rPr>
      </w:pPr>
    </w:p>
    <w:p w14:paraId="77D4B223" w14:textId="6110F355" w:rsidR="004E2C28" w:rsidRPr="00F57146" w:rsidRDefault="00EF305F" w:rsidP="00AF4D04">
      <w:pPr>
        <w:pStyle w:val="Casehead1"/>
      </w:pPr>
      <w:r>
        <w:t xml:space="preserve">The </w:t>
      </w:r>
      <w:r w:rsidR="004E2C28" w:rsidRPr="00F57146">
        <w:t xml:space="preserve">PACKAGED FOODS INDUSTRY </w:t>
      </w:r>
    </w:p>
    <w:p w14:paraId="35C2E852" w14:textId="77777777" w:rsidR="004E2C28" w:rsidRPr="00F57146" w:rsidRDefault="004E2C28" w:rsidP="00C1773D">
      <w:pPr>
        <w:pStyle w:val="BodyTextMain"/>
      </w:pPr>
    </w:p>
    <w:p w14:paraId="11575228" w14:textId="2E387BD8" w:rsidR="004E2C28" w:rsidRPr="0021234D" w:rsidRDefault="004E2C28" w:rsidP="00C1773D">
      <w:pPr>
        <w:pStyle w:val="BodyTextMain"/>
        <w:rPr>
          <w:spacing w:val="-2"/>
          <w:kern w:val="22"/>
        </w:rPr>
      </w:pPr>
      <w:r w:rsidRPr="0021234D">
        <w:rPr>
          <w:spacing w:val="-2"/>
          <w:kern w:val="22"/>
        </w:rPr>
        <w:t>The retail sales value of packaged foods worldwide was $2.11 trillion in 2016.</w:t>
      </w:r>
      <w:r w:rsidRPr="0021234D">
        <w:rPr>
          <w:rStyle w:val="FootnoteReference"/>
          <w:spacing w:val="-2"/>
          <w:kern w:val="22"/>
        </w:rPr>
        <w:footnoteReference w:id="4"/>
      </w:r>
      <w:r w:rsidRPr="0021234D">
        <w:rPr>
          <w:spacing w:val="-2"/>
          <w:kern w:val="22"/>
        </w:rPr>
        <w:t xml:space="preserve"> The industry was fragmented</w:t>
      </w:r>
      <w:r w:rsidR="00B775FB" w:rsidRPr="0021234D">
        <w:rPr>
          <w:spacing w:val="-2"/>
          <w:kern w:val="22"/>
        </w:rPr>
        <w:t xml:space="preserve"> with</w:t>
      </w:r>
      <w:r w:rsidRPr="0021234D">
        <w:rPr>
          <w:spacing w:val="-2"/>
          <w:kern w:val="22"/>
        </w:rPr>
        <w:t xml:space="preserve"> </w:t>
      </w:r>
      <w:bookmarkStart w:id="4" w:name="_Hlk510615335"/>
      <w:r w:rsidR="005350D0" w:rsidRPr="0021234D">
        <w:rPr>
          <w:spacing w:val="-2"/>
          <w:kern w:val="22"/>
        </w:rPr>
        <w:t>the</w:t>
      </w:r>
      <w:r w:rsidRPr="0021234D">
        <w:rPr>
          <w:spacing w:val="-2"/>
          <w:kern w:val="22"/>
        </w:rPr>
        <w:t xml:space="preserve"> five largest companies together </w:t>
      </w:r>
      <w:r w:rsidR="00B775FB" w:rsidRPr="0021234D">
        <w:rPr>
          <w:spacing w:val="-2"/>
          <w:kern w:val="22"/>
        </w:rPr>
        <w:t xml:space="preserve">holding </w:t>
      </w:r>
      <w:r w:rsidRPr="0021234D">
        <w:rPr>
          <w:spacing w:val="-2"/>
          <w:kern w:val="22"/>
        </w:rPr>
        <w:t>less than 10 per cent of the global market share</w:t>
      </w:r>
      <w:bookmarkEnd w:id="4"/>
      <w:r w:rsidRPr="0021234D">
        <w:rPr>
          <w:spacing w:val="-2"/>
          <w:kern w:val="22"/>
        </w:rPr>
        <w:t>.</w:t>
      </w:r>
      <w:r w:rsidRPr="0021234D">
        <w:rPr>
          <w:rStyle w:val="FootnoteReference"/>
          <w:spacing w:val="-2"/>
          <w:kern w:val="22"/>
        </w:rPr>
        <w:footnoteReference w:id="5"/>
      </w:r>
      <w:r w:rsidRPr="0021234D">
        <w:rPr>
          <w:spacing w:val="-2"/>
          <w:kern w:val="22"/>
        </w:rPr>
        <w:t xml:space="preserve"> </w:t>
      </w:r>
    </w:p>
    <w:p w14:paraId="5DF77D21" w14:textId="77777777" w:rsidR="004E2C28" w:rsidRPr="00F57146" w:rsidRDefault="004E2C28" w:rsidP="00C1773D">
      <w:pPr>
        <w:pStyle w:val="BodyTextMain"/>
      </w:pPr>
    </w:p>
    <w:p w14:paraId="7A884875" w14:textId="47F3D51A" w:rsidR="004E2C28" w:rsidRPr="00F57146" w:rsidRDefault="004E2C28" w:rsidP="00C1773D">
      <w:pPr>
        <w:pStyle w:val="BodyTextMain"/>
      </w:pPr>
      <w:bookmarkStart w:id="5" w:name="_Hlk533048015"/>
      <w:r w:rsidRPr="00F57146">
        <w:t>Although it was global in terms of its trade transactions, the foods industry was rooted in local cultures. Companies could trade in food products, but they could not trade in taste</w:t>
      </w:r>
      <w:r w:rsidR="005350D0">
        <w:t>,</w:t>
      </w:r>
      <w:r w:rsidRPr="00F57146">
        <w:t xml:space="preserve"> which was an integral part of </w:t>
      </w:r>
      <w:r w:rsidR="00B775FB">
        <w:t>food</w:t>
      </w:r>
      <w:r w:rsidR="00B775FB" w:rsidRPr="00F57146">
        <w:t xml:space="preserve"> </w:t>
      </w:r>
      <w:r w:rsidRPr="00F57146">
        <w:t>consumption. Most meals had local origins</w:t>
      </w:r>
      <w:r w:rsidR="00386096">
        <w:t>;</w:t>
      </w:r>
      <w:r w:rsidRPr="00F57146">
        <w:t xml:space="preserve"> </w:t>
      </w:r>
      <w:r w:rsidR="00386096">
        <w:t>this</w:t>
      </w:r>
      <w:r w:rsidR="005350D0" w:rsidRPr="00F57146">
        <w:t xml:space="preserve"> </w:t>
      </w:r>
      <w:r w:rsidRPr="00F57146">
        <w:t>was particularly true of fresh foods</w:t>
      </w:r>
      <w:r w:rsidR="005350D0">
        <w:t>—</w:t>
      </w:r>
      <w:r w:rsidR="00386096">
        <w:t xml:space="preserve">such as </w:t>
      </w:r>
      <w:r w:rsidRPr="00F57146">
        <w:t>vegetables, meat, and fruit</w:t>
      </w:r>
      <w:r w:rsidR="005350D0">
        <w:t>—</w:t>
      </w:r>
      <w:r w:rsidRPr="00F57146">
        <w:t xml:space="preserve">and </w:t>
      </w:r>
      <w:r w:rsidR="00B775FB">
        <w:t xml:space="preserve">also true of </w:t>
      </w:r>
      <w:r w:rsidRPr="00F57146">
        <w:t xml:space="preserve">snacks where local brands were the clear </w:t>
      </w:r>
      <w:r w:rsidR="00C51F1E" w:rsidRPr="00F57146">
        <w:t>favourites</w:t>
      </w:r>
      <w:r w:rsidRPr="00F57146">
        <w:t xml:space="preserve">. </w:t>
      </w:r>
    </w:p>
    <w:p w14:paraId="595098CE" w14:textId="77777777" w:rsidR="004E2C28" w:rsidRPr="0021234D" w:rsidRDefault="004E2C28" w:rsidP="00C1773D">
      <w:pPr>
        <w:pStyle w:val="BodyTextMain"/>
        <w:rPr>
          <w:sz w:val="18"/>
          <w:szCs w:val="18"/>
        </w:rPr>
      </w:pPr>
    </w:p>
    <w:p w14:paraId="0402EAAF" w14:textId="206DD891" w:rsidR="004E2C28" w:rsidRPr="00F57146" w:rsidRDefault="004E2C28" w:rsidP="00C1773D">
      <w:pPr>
        <w:pStyle w:val="BodyTextMain"/>
      </w:pPr>
      <w:r w:rsidRPr="00F57146">
        <w:lastRenderedPageBreak/>
        <w:t xml:space="preserve">MNEs in the foods sector sometimes offered products </w:t>
      </w:r>
      <w:r w:rsidR="002D5FAC">
        <w:t>that</w:t>
      </w:r>
      <w:r w:rsidR="002D5FAC" w:rsidRPr="00F57146">
        <w:t xml:space="preserve"> </w:t>
      </w:r>
      <w:r w:rsidRPr="00F57146">
        <w:t xml:space="preserve">were homogenous across the markets in which they operated. Homogeneity was also their way of leveraging economies of scale. They were not always successful against local competitors, however small, because the latter had not only a better understanding of customer preferences but </w:t>
      </w:r>
      <w:r w:rsidR="002D5FAC">
        <w:t>also</w:t>
      </w:r>
      <w:r w:rsidRPr="00F57146">
        <w:t xml:space="preserve"> an ability to respond more quickly to changing customer tastes. </w:t>
      </w:r>
    </w:p>
    <w:p w14:paraId="7EF1F8DD" w14:textId="77777777" w:rsidR="004E2C28" w:rsidRPr="0021234D" w:rsidRDefault="004E2C28" w:rsidP="00C1773D">
      <w:pPr>
        <w:pStyle w:val="BodyTextMain"/>
        <w:rPr>
          <w:sz w:val="14"/>
          <w:szCs w:val="14"/>
        </w:rPr>
      </w:pPr>
    </w:p>
    <w:bookmarkEnd w:id="5"/>
    <w:p w14:paraId="23E52674" w14:textId="6831EB12" w:rsidR="004E2C28" w:rsidRPr="00F57146" w:rsidRDefault="002D5FAC" w:rsidP="00C1773D">
      <w:pPr>
        <w:pStyle w:val="BodyTextMain"/>
        <w:rPr>
          <w:bCs/>
        </w:rPr>
      </w:pPr>
      <w:r>
        <w:t>The</w:t>
      </w:r>
      <w:r w:rsidR="004E2C28" w:rsidRPr="00F57146">
        <w:t xml:space="preserve"> business models of packaged foods companies were becoming untenable for three reasons. First, demographics were changing in many economies. </w:t>
      </w:r>
      <w:r w:rsidR="004E2C28" w:rsidRPr="00F57146">
        <w:rPr>
          <w:bCs/>
        </w:rPr>
        <w:t>Millennials, defined as those born between 1977 and 1995,</w:t>
      </w:r>
      <w:r w:rsidR="004E2C28" w:rsidRPr="005B7EE5">
        <w:rPr>
          <w:rStyle w:val="FootnoteReference"/>
        </w:rPr>
        <w:footnoteReference w:id="6"/>
      </w:r>
      <w:r w:rsidR="004E2C28" w:rsidRPr="00F57146">
        <w:rPr>
          <w:bCs/>
        </w:rPr>
        <w:t xml:space="preserve"> were not only a major cohort at 2</w:t>
      </w:r>
      <w:r w:rsidR="00616871">
        <w:rPr>
          <w:bCs/>
        </w:rPr>
        <w:t>7</w:t>
      </w:r>
      <w:r w:rsidR="004E2C28" w:rsidRPr="00F57146">
        <w:rPr>
          <w:bCs/>
        </w:rPr>
        <w:t xml:space="preserve"> per cent of the global population,</w:t>
      </w:r>
      <w:r w:rsidR="0052294F" w:rsidRPr="005B7EE5">
        <w:rPr>
          <w:rStyle w:val="FootnoteReference"/>
        </w:rPr>
        <w:footnoteReference w:id="7"/>
      </w:r>
      <w:r w:rsidR="005B7EE5">
        <w:rPr>
          <w:bCs/>
          <w:vertAlign w:val="superscript"/>
        </w:rPr>
        <w:t xml:space="preserve"> </w:t>
      </w:r>
      <w:r w:rsidR="004E2C28" w:rsidRPr="00F57146">
        <w:rPr>
          <w:bCs/>
        </w:rPr>
        <w:t xml:space="preserve">but were </w:t>
      </w:r>
      <w:r>
        <w:rPr>
          <w:bCs/>
        </w:rPr>
        <w:t xml:space="preserve">also </w:t>
      </w:r>
      <w:r w:rsidR="004E2C28" w:rsidRPr="00F57146">
        <w:rPr>
          <w:bCs/>
        </w:rPr>
        <w:t>well on their way to their prime working and spending years. Their shopping and consumption habits were influenced by the unique experiences of their time (</w:t>
      </w:r>
      <w:r>
        <w:rPr>
          <w:bCs/>
        </w:rPr>
        <w:t>such as</w:t>
      </w:r>
      <w:r w:rsidRPr="00F57146">
        <w:rPr>
          <w:bCs/>
        </w:rPr>
        <w:t xml:space="preserve"> </w:t>
      </w:r>
      <w:r w:rsidR="004E2C28" w:rsidRPr="00F57146">
        <w:rPr>
          <w:bCs/>
        </w:rPr>
        <w:t>9/11 and economic downturn) and anti-establishment movements (</w:t>
      </w:r>
      <w:r>
        <w:rPr>
          <w:bCs/>
        </w:rPr>
        <w:t xml:space="preserve">such as </w:t>
      </w:r>
      <w:r w:rsidR="004E2C28" w:rsidRPr="00F57146">
        <w:rPr>
          <w:bCs/>
        </w:rPr>
        <w:t xml:space="preserve">Occupy Wall Street and Arab Spring). </w:t>
      </w:r>
      <w:r w:rsidR="00B42819">
        <w:rPr>
          <w:bCs/>
        </w:rPr>
        <w:t>Millennials’</w:t>
      </w:r>
      <w:r w:rsidR="00B42819" w:rsidRPr="00F57146">
        <w:rPr>
          <w:bCs/>
        </w:rPr>
        <w:t xml:space="preserve"> </w:t>
      </w:r>
      <w:r w:rsidR="004E2C28" w:rsidRPr="00F57146">
        <w:rPr>
          <w:bCs/>
        </w:rPr>
        <w:t xml:space="preserve">relationship with food was </w:t>
      </w:r>
      <w:r w:rsidR="00B42819">
        <w:rPr>
          <w:bCs/>
        </w:rPr>
        <w:t xml:space="preserve">also </w:t>
      </w:r>
      <w:r w:rsidR="004E2C28" w:rsidRPr="00F57146">
        <w:rPr>
          <w:bCs/>
        </w:rPr>
        <w:t xml:space="preserve">different from </w:t>
      </w:r>
      <w:r w:rsidR="00B42819">
        <w:rPr>
          <w:bCs/>
        </w:rPr>
        <w:t xml:space="preserve">that of </w:t>
      </w:r>
      <w:r w:rsidR="00F92FE1">
        <w:rPr>
          <w:bCs/>
        </w:rPr>
        <w:t xml:space="preserve">the </w:t>
      </w:r>
      <w:r w:rsidR="00C51F1E">
        <w:rPr>
          <w:bCs/>
        </w:rPr>
        <w:t>preceding</w:t>
      </w:r>
      <w:r w:rsidR="004E2C28" w:rsidRPr="00F57146">
        <w:rPr>
          <w:bCs/>
        </w:rPr>
        <w:t xml:space="preserve"> generation of baby boomers</w:t>
      </w:r>
      <w:r w:rsidR="00B42819">
        <w:rPr>
          <w:bCs/>
        </w:rPr>
        <w:t>:</w:t>
      </w:r>
      <w:r w:rsidR="008859BE">
        <w:rPr>
          <w:bCs/>
        </w:rPr>
        <w:t xml:space="preserve"> </w:t>
      </w:r>
      <w:r w:rsidR="00C51F1E">
        <w:rPr>
          <w:bCs/>
        </w:rPr>
        <w:t>millennials</w:t>
      </w:r>
      <w:r w:rsidR="004E2C28" w:rsidRPr="00F57146">
        <w:rPr>
          <w:bCs/>
        </w:rPr>
        <w:t xml:space="preserve"> wanted fresh foods, sought local ingredients in their foods</w:t>
      </w:r>
      <w:r w:rsidR="00F92FE1">
        <w:rPr>
          <w:bCs/>
        </w:rPr>
        <w:t>,</w:t>
      </w:r>
      <w:r w:rsidR="004E2C28" w:rsidRPr="00F57146">
        <w:rPr>
          <w:bCs/>
        </w:rPr>
        <w:t xml:space="preserve"> and were keen on tracing the supply chains of foods they consumed to ensure they were being ethically sourced.</w:t>
      </w:r>
    </w:p>
    <w:p w14:paraId="290106D6" w14:textId="77777777" w:rsidR="004E2C28" w:rsidRPr="0021234D" w:rsidRDefault="004E2C28" w:rsidP="00C1773D">
      <w:pPr>
        <w:pStyle w:val="BodyTextMain"/>
        <w:rPr>
          <w:bCs/>
          <w:sz w:val="14"/>
          <w:szCs w:val="14"/>
        </w:rPr>
      </w:pPr>
    </w:p>
    <w:p w14:paraId="276FF94A" w14:textId="2F59E611" w:rsidR="004E2C28" w:rsidRPr="0021234D" w:rsidRDefault="004E2C28" w:rsidP="00C1773D">
      <w:pPr>
        <w:pStyle w:val="BodyTextMain"/>
        <w:rPr>
          <w:spacing w:val="-2"/>
          <w:kern w:val="22"/>
        </w:rPr>
      </w:pPr>
      <w:r w:rsidRPr="0021234D">
        <w:rPr>
          <w:bCs/>
          <w:spacing w:val="-2"/>
          <w:kern w:val="22"/>
        </w:rPr>
        <w:t xml:space="preserve">Second, new distribution channels were coming into play, shrinking the traditional role of grocery chains. </w:t>
      </w:r>
      <w:r w:rsidR="00C44ED6" w:rsidRPr="0021234D">
        <w:rPr>
          <w:bCs/>
          <w:spacing w:val="-2"/>
          <w:kern w:val="22"/>
        </w:rPr>
        <w:t>The home</w:t>
      </w:r>
      <w:r w:rsidRPr="0021234D">
        <w:rPr>
          <w:bCs/>
          <w:spacing w:val="-2"/>
          <w:kern w:val="22"/>
        </w:rPr>
        <w:t xml:space="preserve"> delivery of food was becoming common. S</w:t>
      </w:r>
      <w:r w:rsidRPr="0021234D">
        <w:rPr>
          <w:spacing w:val="-2"/>
          <w:kern w:val="22"/>
        </w:rPr>
        <w:t xml:space="preserve">ales on direct-to-consumer sites and e-commerce platforms accounted for 36 per cent of specialty food and beverage </w:t>
      </w:r>
      <w:hyperlink r:id="rId9" w:history="1">
        <w:r w:rsidRPr="0021234D">
          <w:rPr>
            <w:spacing w:val="-2"/>
            <w:kern w:val="22"/>
          </w:rPr>
          <w:t>sales</w:t>
        </w:r>
      </w:hyperlink>
      <w:r w:rsidRPr="0021234D">
        <w:rPr>
          <w:spacing w:val="-2"/>
          <w:kern w:val="22"/>
        </w:rPr>
        <w:t>.</w:t>
      </w:r>
      <w:r w:rsidRPr="0021234D">
        <w:rPr>
          <w:rStyle w:val="FootnoteReference"/>
          <w:spacing w:val="-2"/>
          <w:kern w:val="22"/>
        </w:rPr>
        <w:footnoteReference w:id="8"/>
      </w:r>
      <w:r w:rsidRPr="0021234D">
        <w:rPr>
          <w:spacing w:val="-2"/>
          <w:kern w:val="22"/>
        </w:rPr>
        <w:t xml:space="preserve"> </w:t>
      </w:r>
      <w:r w:rsidR="00BC0329" w:rsidRPr="0021234D">
        <w:rPr>
          <w:spacing w:val="-2"/>
          <w:kern w:val="22"/>
        </w:rPr>
        <w:t xml:space="preserve">Using their mobile devices, customers </w:t>
      </w:r>
      <w:r w:rsidRPr="0021234D">
        <w:rPr>
          <w:spacing w:val="-2"/>
          <w:kern w:val="22"/>
        </w:rPr>
        <w:t>could order from their</w:t>
      </w:r>
      <w:r w:rsidR="00BC0329" w:rsidRPr="0021234D">
        <w:rPr>
          <w:spacing w:val="-2"/>
          <w:kern w:val="22"/>
        </w:rPr>
        <w:t xml:space="preserve"> locations of choice, </w:t>
      </w:r>
      <w:r w:rsidR="00C44ED6" w:rsidRPr="0021234D">
        <w:rPr>
          <w:spacing w:val="-2"/>
          <w:kern w:val="22"/>
        </w:rPr>
        <w:t xml:space="preserve">perhaps </w:t>
      </w:r>
      <w:r w:rsidRPr="0021234D">
        <w:rPr>
          <w:spacing w:val="-2"/>
          <w:kern w:val="22"/>
        </w:rPr>
        <w:t xml:space="preserve">while at work, and pick </w:t>
      </w:r>
      <w:r w:rsidR="00C44ED6" w:rsidRPr="0021234D">
        <w:rPr>
          <w:spacing w:val="-2"/>
          <w:kern w:val="22"/>
        </w:rPr>
        <w:t xml:space="preserve">up </w:t>
      </w:r>
      <w:r w:rsidR="00BC0329" w:rsidRPr="0021234D">
        <w:rPr>
          <w:spacing w:val="-2"/>
          <w:kern w:val="22"/>
        </w:rPr>
        <w:t>their food on their way home</w:t>
      </w:r>
      <w:r w:rsidRPr="0021234D">
        <w:rPr>
          <w:spacing w:val="-2"/>
          <w:kern w:val="22"/>
        </w:rPr>
        <w:t>.</w:t>
      </w:r>
    </w:p>
    <w:p w14:paraId="0DBB528B" w14:textId="77777777" w:rsidR="004E2C28" w:rsidRPr="0021234D" w:rsidRDefault="004E2C28" w:rsidP="00C1773D">
      <w:pPr>
        <w:pStyle w:val="BodyTextMain"/>
        <w:rPr>
          <w:bCs/>
          <w:sz w:val="14"/>
          <w:szCs w:val="14"/>
        </w:rPr>
      </w:pPr>
    </w:p>
    <w:p w14:paraId="665A5CFC" w14:textId="6DF61881" w:rsidR="004E2C28" w:rsidRPr="00F57146" w:rsidRDefault="004E2C28" w:rsidP="00C1773D">
      <w:pPr>
        <w:pStyle w:val="BodyTextMain"/>
      </w:pPr>
      <w:r w:rsidRPr="00F57146">
        <w:rPr>
          <w:bCs/>
        </w:rPr>
        <w:t>Third,</w:t>
      </w:r>
      <w:r w:rsidRPr="00F57146">
        <w:rPr>
          <w:b/>
          <w:bCs/>
        </w:rPr>
        <w:t xml:space="preserve"> </w:t>
      </w:r>
      <w:r w:rsidRPr="00F57146">
        <w:rPr>
          <w:bCs/>
        </w:rPr>
        <w:t>the product portfolios of packaged foods companies had</w:t>
      </w:r>
      <w:r w:rsidR="00595D05">
        <w:rPr>
          <w:bCs/>
        </w:rPr>
        <w:t xml:space="preserve"> long </w:t>
      </w:r>
      <w:r w:rsidRPr="00F57146">
        <w:rPr>
          <w:bCs/>
        </w:rPr>
        <w:t>been laden with salt, sugar</w:t>
      </w:r>
      <w:r w:rsidR="00595D05">
        <w:rPr>
          <w:bCs/>
        </w:rPr>
        <w:t>,</w:t>
      </w:r>
      <w:r w:rsidRPr="00F57146">
        <w:rPr>
          <w:bCs/>
        </w:rPr>
        <w:t xml:space="preserve"> and fats. </w:t>
      </w:r>
      <w:r w:rsidRPr="00F57146">
        <w:t xml:space="preserve">Processed foods were known primary </w:t>
      </w:r>
      <w:r w:rsidR="00344313">
        <w:t>contributors to</w:t>
      </w:r>
      <w:r w:rsidRPr="00F57146">
        <w:t xml:space="preserve"> the prevalence of obesity, diabetes, and heart disease</w:t>
      </w:r>
      <w:r w:rsidR="00344313">
        <w:t>,</w:t>
      </w:r>
      <w:r w:rsidRPr="00F57146">
        <w:t xml:space="preserve"> which, in turn, were adding to the costs of </w:t>
      </w:r>
      <w:r w:rsidR="00344313">
        <w:t>health care</w:t>
      </w:r>
      <w:r w:rsidRPr="00F57146">
        <w:t xml:space="preserve">. Foods companies were under compulsion to make their product portfolios healthier. All three pressures varied across countries. </w:t>
      </w:r>
    </w:p>
    <w:p w14:paraId="33AE1C1E" w14:textId="77777777" w:rsidR="004E2C28" w:rsidRPr="0021234D" w:rsidRDefault="004E2C28" w:rsidP="00C1773D">
      <w:pPr>
        <w:pStyle w:val="BodyTextMain"/>
        <w:rPr>
          <w:sz w:val="14"/>
          <w:szCs w:val="14"/>
        </w:rPr>
      </w:pPr>
    </w:p>
    <w:p w14:paraId="39798C4E" w14:textId="77777777" w:rsidR="004E2C28" w:rsidRPr="0021234D" w:rsidRDefault="004E2C28" w:rsidP="00C1773D">
      <w:pPr>
        <w:pStyle w:val="BodyTextMain"/>
        <w:rPr>
          <w:sz w:val="14"/>
          <w:szCs w:val="14"/>
        </w:rPr>
      </w:pPr>
    </w:p>
    <w:p w14:paraId="07086B46" w14:textId="77777777" w:rsidR="004E2C28" w:rsidRPr="00F57146" w:rsidRDefault="004E2C28" w:rsidP="00AF4D04">
      <w:pPr>
        <w:pStyle w:val="Casehead1"/>
        <w:rPr>
          <w:sz w:val="22"/>
        </w:rPr>
      </w:pPr>
      <w:r w:rsidRPr="00F57146">
        <w:t>JAPAN and the PACKAGED FOODS INDUSTRY</w:t>
      </w:r>
      <w:r w:rsidRPr="00F57146">
        <w:rPr>
          <w:sz w:val="22"/>
        </w:rPr>
        <w:t xml:space="preserve"> </w:t>
      </w:r>
    </w:p>
    <w:p w14:paraId="69081539" w14:textId="77777777" w:rsidR="004E2C28" w:rsidRPr="0021234D" w:rsidRDefault="004E2C28" w:rsidP="00C1773D">
      <w:pPr>
        <w:pStyle w:val="BodyTextMain"/>
        <w:rPr>
          <w:sz w:val="14"/>
          <w:szCs w:val="14"/>
        </w:rPr>
      </w:pPr>
    </w:p>
    <w:p w14:paraId="76231FC5" w14:textId="68808215" w:rsidR="004E2C28" w:rsidRPr="00F57146" w:rsidRDefault="004E2C28" w:rsidP="00C1773D">
      <w:pPr>
        <w:pStyle w:val="BodyTextMain"/>
      </w:pPr>
      <w:bookmarkStart w:id="6" w:name="_Hlk532631261"/>
      <w:r w:rsidRPr="00F57146">
        <w:t>The packaged foods industry in Japan had revenues of ¥19,860 billion</w:t>
      </w:r>
      <w:r w:rsidR="00F40014" w:rsidRPr="005B7EE5">
        <w:rPr>
          <w:rStyle w:val="FootnoteReference"/>
        </w:rPr>
        <w:footnoteReference w:id="9"/>
      </w:r>
      <w:r w:rsidRPr="00F57146">
        <w:t xml:space="preserve"> ($1</w:t>
      </w:r>
      <w:r w:rsidR="002E4BA1">
        <w:t>82.5</w:t>
      </w:r>
      <w:r w:rsidRPr="00F57146">
        <w:t xml:space="preserve"> billion) in 2016. Although millennials comprised only 14 per cent of the Japanese population,</w:t>
      </w:r>
      <w:r w:rsidRPr="005B7EE5">
        <w:rPr>
          <w:rStyle w:val="FootnoteReference"/>
        </w:rPr>
        <w:footnoteReference w:id="10"/>
      </w:r>
      <w:r w:rsidRPr="00F57146">
        <w:t xml:space="preserve"> foods companies in Japan were grappling with two major demographic trends</w:t>
      </w:r>
      <w:r w:rsidR="00F40014">
        <w:t>—</w:t>
      </w:r>
      <w:r w:rsidRPr="00F57146">
        <w:t xml:space="preserve">a shrinking population (characterized by a negative </w:t>
      </w:r>
      <w:r w:rsidR="00EC40D7">
        <w:t xml:space="preserve">growth </w:t>
      </w:r>
      <w:r w:rsidRPr="00F57146">
        <w:t xml:space="preserve">rate of </w:t>
      </w:r>
      <w:r w:rsidR="00EC40D7" w:rsidRPr="00A446B6">
        <w:t>−</w:t>
      </w:r>
      <w:r w:rsidRPr="00F57146">
        <w:t>0.2 per cent per annum)</w:t>
      </w:r>
      <w:r w:rsidR="000116F2">
        <w:rPr>
          <w:rStyle w:val="FootnoteReference"/>
        </w:rPr>
        <w:footnoteReference w:id="11"/>
      </w:r>
      <w:r w:rsidRPr="00F57146">
        <w:t xml:space="preserve"> and an ageing consumer base (characterized by the highest number of </w:t>
      </w:r>
      <w:r w:rsidR="00EC40D7">
        <w:t xml:space="preserve">people over the age of </w:t>
      </w:r>
      <w:r w:rsidRPr="00F57146">
        <w:t>65 in the world).</w:t>
      </w:r>
      <w:r w:rsidR="001E452C">
        <w:rPr>
          <w:rStyle w:val="FootnoteReference"/>
        </w:rPr>
        <w:footnoteReference w:id="12"/>
      </w:r>
      <w:r w:rsidRPr="00F57146">
        <w:t xml:space="preserve"> </w:t>
      </w:r>
      <w:r w:rsidR="00793C1E">
        <w:t>These trends</w:t>
      </w:r>
      <w:r w:rsidR="00793C1E" w:rsidRPr="00F57146">
        <w:t xml:space="preserve"> </w:t>
      </w:r>
      <w:r w:rsidRPr="00F57146">
        <w:t xml:space="preserve">had led manufacturers to focus on adding value to products rather than increasing </w:t>
      </w:r>
      <w:r w:rsidR="00793C1E">
        <w:t xml:space="preserve">sales </w:t>
      </w:r>
      <w:r w:rsidRPr="00F57146">
        <w:t xml:space="preserve">volume. </w:t>
      </w:r>
    </w:p>
    <w:p w14:paraId="3C86B045" w14:textId="77777777" w:rsidR="004E2C28" w:rsidRPr="0021234D" w:rsidRDefault="004E2C28" w:rsidP="00C1773D">
      <w:pPr>
        <w:pStyle w:val="BodyTextMain"/>
        <w:rPr>
          <w:sz w:val="14"/>
          <w:szCs w:val="14"/>
        </w:rPr>
      </w:pPr>
    </w:p>
    <w:p w14:paraId="7B08018E" w14:textId="77777777" w:rsidR="001914CC" w:rsidRDefault="004E2C28" w:rsidP="00C1773D">
      <w:pPr>
        <w:pStyle w:val="BodyTextMain"/>
      </w:pPr>
      <w:r w:rsidRPr="00F57146">
        <w:t>Japanese consumers frequently purchased ready-to-eat meals while on the go</w:t>
      </w:r>
      <w:r w:rsidR="00AC2160">
        <w:t>,</w:t>
      </w:r>
      <w:r w:rsidRPr="00F57146">
        <w:t xml:space="preserve"> </w:t>
      </w:r>
      <w:r w:rsidR="00AC2160">
        <w:t>but</w:t>
      </w:r>
      <w:r w:rsidRPr="00F57146">
        <w:t xml:space="preserve"> unlike in many developing economies, they purchased them from </w:t>
      </w:r>
      <w:r w:rsidR="00AC2160">
        <w:t xml:space="preserve">the </w:t>
      </w:r>
      <w:r w:rsidRPr="00F57146">
        <w:t xml:space="preserve">convenience stores </w:t>
      </w:r>
      <w:r w:rsidR="00AC2160">
        <w:t>that</w:t>
      </w:r>
      <w:r w:rsidR="00AC2160" w:rsidRPr="00F57146">
        <w:t xml:space="preserve"> </w:t>
      </w:r>
      <w:r w:rsidRPr="00F57146">
        <w:t xml:space="preserve">were closest to their homes or offices. In a bid to retain customers, convenience store operators in Japan </w:t>
      </w:r>
      <w:r w:rsidR="00BC0329">
        <w:t>had put</w:t>
      </w:r>
      <w:r w:rsidRPr="00F57146">
        <w:t xml:space="preserve"> significant effort into product design and launching seasonal products every week alongside the classic </w:t>
      </w:r>
      <w:proofErr w:type="spellStart"/>
      <w:r w:rsidR="00AC2160">
        <w:t>lineups</w:t>
      </w:r>
      <w:proofErr w:type="spellEnd"/>
      <w:r w:rsidRPr="00F57146">
        <w:t>.</w:t>
      </w:r>
      <w:r w:rsidRPr="005B7EE5">
        <w:rPr>
          <w:rStyle w:val="FootnoteReference"/>
        </w:rPr>
        <w:footnoteReference w:id="13"/>
      </w:r>
      <w:r w:rsidRPr="00F57146">
        <w:t xml:space="preserve"> </w:t>
      </w:r>
    </w:p>
    <w:p w14:paraId="16250988" w14:textId="054D944C" w:rsidR="004E2C28" w:rsidRPr="00F57146" w:rsidRDefault="004E2C28" w:rsidP="00C1773D">
      <w:pPr>
        <w:pStyle w:val="BodyTextMain"/>
      </w:pPr>
      <w:r w:rsidRPr="00F57146">
        <w:lastRenderedPageBreak/>
        <w:t>In another major trend, Internet retailing was yet to catch on with Japanese consumers</w:t>
      </w:r>
      <w:r w:rsidR="00AC2160">
        <w:t>; however,</w:t>
      </w:r>
      <w:r w:rsidRPr="00F57146">
        <w:t xml:space="preserve"> </w:t>
      </w:r>
      <w:r w:rsidR="00AC2160">
        <w:t>the</w:t>
      </w:r>
      <w:r w:rsidRPr="00F57146">
        <w:t xml:space="preserve"> move was</w:t>
      </w:r>
      <w:r w:rsidR="00AC2160">
        <w:t xml:space="preserve"> </w:t>
      </w:r>
      <w:r w:rsidRPr="00F57146">
        <w:t xml:space="preserve">being led by </w:t>
      </w:r>
      <w:r w:rsidR="00AC2160">
        <w:t>Amazon.com Inc.</w:t>
      </w:r>
      <w:r w:rsidRPr="00F57146">
        <w:t xml:space="preserve"> </w:t>
      </w:r>
      <w:r w:rsidR="001914CC">
        <w:t>T</w:t>
      </w:r>
      <w:r w:rsidRPr="00F57146">
        <w:t>he global retailer had launched its Amazon Fresh service in Japan in April 2017.</w:t>
      </w:r>
      <w:r w:rsidRPr="005B7EE5">
        <w:rPr>
          <w:rStyle w:val="FootnoteReference"/>
        </w:rPr>
        <w:footnoteReference w:id="14"/>
      </w:r>
      <w:r w:rsidRPr="00F57146">
        <w:t xml:space="preserve"> </w:t>
      </w:r>
      <w:r w:rsidR="0034051D">
        <w:t>Choosing</w:t>
      </w:r>
      <w:r w:rsidRPr="00F57146">
        <w:t xml:space="preserve"> from a list of over 100,000 items, including not only fresh food such as fish but also packaged food products, </w:t>
      </w:r>
      <w:r w:rsidR="00AC2160">
        <w:t xml:space="preserve">customers could order online and have their </w:t>
      </w:r>
      <w:r w:rsidR="0034051D">
        <w:t>food delivered to their doorstep</w:t>
      </w:r>
      <w:r w:rsidRPr="00F57146">
        <w:t xml:space="preserve"> within four hours.</w:t>
      </w:r>
    </w:p>
    <w:p w14:paraId="25EB5E4E" w14:textId="77777777" w:rsidR="004E2C28" w:rsidRPr="00F57146" w:rsidRDefault="004E2C28" w:rsidP="00C1773D">
      <w:pPr>
        <w:pStyle w:val="BodyTextMain"/>
      </w:pPr>
    </w:p>
    <w:p w14:paraId="518D9D24" w14:textId="121C1B4D" w:rsidR="004E2C28" w:rsidRPr="00F57146" w:rsidRDefault="004E2C28" w:rsidP="00C1773D">
      <w:pPr>
        <w:pStyle w:val="BodyTextMain"/>
      </w:pPr>
      <w:r w:rsidRPr="00F57146">
        <w:t>The leading companies in the Japanese packaged foods industry were Meiji Co</w:t>
      </w:r>
      <w:r w:rsidR="00A0199B">
        <w:t>.</w:t>
      </w:r>
      <w:r w:rsidRPr="00F57146">
        <w:t xml:space="preserve"> Ltd</w:t>
      </w:r>
      <w:r w:rsidR="00A0199B">
        <w:t>.</w:t>
      </w:r>
      <w:r w:rsidRPr="00F57146">
        <w:t xml:space="preserve"> (also the fourth largest confectionery company in the world), Fujiya </w:t>
      </w:r>
      <w:r w:rsidR="00D7015D">
        <w:t>Co.</w:t>
      </w:r>
      <w:r w:rsidR="00D7015D" w:rsidRPr="00F57146">
        <w:t xml:space="preserve"> </w:t>
      </w:r>
      <w:r w:rsidR="00D7015D">
        <w:t>Ltd.</w:t>
      </w:r>
      <w:r w:rsidRPr="00F57146">
        <w:t xml:space="preserve"> (a manufacturer of cakes and beverages), Morinaga &amp; </w:t>
      </w:r>
      <w:r w:rsidR="00D7015D">
        <w:t>Co.</w:t>
      </w:r>
      <w:r w:rsidR="00D7015D" w:rsidRPr="00F57146">
        <w:t xml:space="preserve"> </w:t>
      </w:r>
      <w:r w:rsidR="00D7015D">
        <w:t>Ltd.</w:t>
      </w:r>
      <w:r w:rsidRPr="00F57146">
        <w:t xml:space="preserve"> (a candy maker), and Ezaki Glico </w:t>
      </w:r>
      <w:r w:rsidR="00D7015D">
        <w:t>Co. Ltd.</w:t>
      </w:r>
      <w:r w:rsidRPr="00F57146">
        <w:t xml:space="preserve"> (a manufacturer of food products). MNEs marketing their products in the Japanese packaged foods market included </w:t>
      </w:r>
      <w:r w:rsidR="00D7015D">
        <w:t>Godiva Chocolatier of Belgium</w:t>
      </w:r>
      <w:r w:rsidRPr="00F57146">
        <w:t xml:space="preserve">, </w:t>
      </w:r>
      <w:r w:rsidR="00D7015D">
        <w:t xml:space="preserve">the </w:t>
      </w:r>
      <w:r w:rsidRPr="00F57146">
        <w:t xml:space="preserve">Hershey </w:t>
      </w:r>
      <w:r w:rsidR="00D7015D">
        <w:t xml:space="preserve">Company </w:t>
      </w:r>
      <w:r w:rsidRPr="00F57146">
        <w:t xml:space="preserve">of the </w:t>
      </w:r>
      <w:r w:rsidR="00D7015D">
        <w:t>United States</w:t>
      </w:r>
      <w:r w:rsidRPr="00F57146">
        <w:t>, Mondel</w:t>
      </w:r>
      <w:r w:rsidR="00D7015D">
        <w:t>ē</w:t>
      </w:r>
      <w:r w:rsidRPr="00F57146">
        <w:t xml:space="preserve">z </w:t>
      </w:r>
      <w:r w:rsidR="00D7015D">
        <w:t xml:space="preserve">International Inc. </w:t>
      </w:r>
      <w:r w:rsidRPr="00F57146">
        <w:t xml:space="preserve">of the </w:t>
      </w:r>
      <w:r w:rsidR="00D7015D">
        <w:t>United States,</w:t>
      </w:r>
      <w:r w:rsidR="00D7015D" w:rsidRPr="00F57146">
        <w:t xml:space="preserve"> </w:t>
      </w:r>
      <w:r w:rsidRPr="00F57146">
        <w:t>and Nestl</w:t>
      </w:r>
      <w:r w:rsidR="00D7015D">
        <w:t>é</w:t>
      </w:r>
      <w:r w:rsidRPr="00F57146">
        <w:t xml:space="preserve"> </w:t>
      </w:r>
      <w:r w:rsidR="00D7015D">
        <w:t xml:space="preserve">S.A. </w:t>
      </w:r>
      <w:r w:rsidRPr="00F57146">
        <w:t>of Switzerland.</w:t>
      </w:r>
      <w:r w:rsidRPr="005B7EE5">
        <w:rPr>
          <w:rStyle w:val="FootnoteReference"/>
        </w:rPr>
        <w:footnoteReference w:id="15"/>
      </w:r>
      <w:r w:rsidRPr="00F57146">
        <w:t xml:space="preserve"> </w:t>
      </w:r>
    </w:p>
    <w:p w14:paraId="40D260DE" w14:textId="77777777" w:rsidR="004E2C28" w:rsidRPr="00F57146" w:rsidRDefault="004E2C28" w:rsidP="00C1773D">
      <w:pPr>
        <w:pStyle w:val="BodyTextMain"/>
      </w:pPr>
    </w:p>
    <w:p w14:paraId="61DB08FA" w14:textId="77777777" w:rsidR="004E2C28" w:rsidRPr="00F57146" w:rsidRDefault="004E2C28" w:rsidP="00C1773D">
      <w:pPr>
        <w:pStyle w:val="BodyTextMain"/>
      </w:pPr>
    </w:p>
    <w:bookmarkEnd w:id="6"/>
    <w:p w14:paraId="2AF440FA" w14:textId="09DEC283" w:rsidR="004E2C28" w:rsidRPr="00F57146" w:rsidRDefault="004E2C28" w:rsidP="00C1773D">
      <w:pPr>
        <w:pStyle w:val="Casehead1"/>
      </w:pPr>
      <w:r w:rsidRPr="00F57146">
        <w:t xml:space="preserve">GARRARD </w:t>
      </w:r>
      <w:r w:rsidR="00067C6E">
        <w:t>S.A.</w:t>
      </w:r>
      <w:r w:rsidRPr="00F57146">
        <w:t xml:space="preserve"> </w:t>
      </w:r>
    </w:p>
    <w:p w14:paraId="776D8EB5" w14:textId="77777777" w:rsidR="004E2C28" w:rsidRPr="00F57146" w:rsidRDefault="004E2C28" w:rsidP="00C1773D">
      <w:pPr>
        <w:pStyle w:val="BodyTextMain"/>
      </w:pPr>
    </w:p>
    <w:p w14:paraId="4108B86E" w14:textId="3F8D7C9A" w:rsidR="004E2C28" w:rsidRPr="00F57146" w:rsidRDefault="004E2C28" w:rsidP="00C1773D">
      <w:pPr>
        <w:pStyle w:val="BodyTextMain"/>
        <w:rPr>
          <w:b/>
        </w:rPr>
      </w:pPr>
      <w:proofErr w:type="spellStart"/>
      <w:r w:rsidRPr="00F57146">
        <w:t>Garrard</w:t>
      </w:r>
      <w:proofErr w:type="spellEnd"/>
      <w:r w:rsidRPr="00F57146">
        <w:t xml:space="preserve"> had revenues of nearly $100 billion in 2016. It had over a dozen</w:t>
      </w:r>
      <w:r w:rsidRPr="00F57146">
        <w:rPr>
          <w:rFonts w:eastAsia="Calibri"/>
          <w:lang w:eastAsia="en-CA"/>
        </w:rPr>
        <w:t xml:space="preserve"> brands in its portfolio</w:t>
      </w:r>
      <w:r w:rsidR="00432D21">
        <w:rPr>
          <w:rFonts w:eastAsia="Calibri"/>
          <w:lang w:eastAsia="en-CA"/>
        </w:rPr>
        <w:t>,</w:t>
      </w:r>
      <w:r w:rsidRPr="00F57146">
        <w:rPr>
          <w:rFonts w:eastAsia="Calibri"/>
          <w:lang w:eastAsia="en-CA"/>
        </w:rPr>
        <w:t xml:space="preserve"> with sales of more than a billion dollars each. It had several hundred factories, was operating in most countries</w:t>
      </w:r>
      <w:r w:rsidR="00432D21">
        <w:rPr>
          <w:rFonts w:eastAsia="Calibri"/>
          <w:lang w:eastAsia="en-CA"/>
        </w:rPr>
        <w:t>,</w:t>
      </w:r>
      <w:r w:rsidRPr="00F57146">
        <w:rPr>
          <w:rFonts w:eastAsia="Calibri"/>
          <w:lang w:eastAsia="en-CA"/>
        </w:rPr>
        <w:t xml:space="preserve"> and employed 250,000 people.</w:t>
      </w:r>
    </w:p>
    <w:p w14:paraId="06982569" w14:textId="77777777" w:rsidR="004E2C28" w:rsidRPr="00F57146" w:rsidRDefault="004E2C28" w:rsidP="00C1773D">
      <w:pPr>
        <w:pStyle w:val="BodyTextMain"/>
        <w:rPr>
          <w:b/>
        </w:rPr>
      </w:pPr>
    </w:p>
    <w:p w14:paraId="15DFF1A2" w14:textId="6730C446" w:rsidR="004E2C28" w:rsidRPr="00F57146" w:rsidRDefault="004E2C28" w:rsidP="00C1773D">
      <w:pPr>
        <w:pStyle w:val="BodyTextMain"/>
      </w:pPr>
      <w:r w:rsidRPr="00F57146">
        <w:t xml:space="preserve">The </w:t>
      </w:r>
      <w:proofErr w:type="spellStart"/>
      <w:r w:rsidRPr="00F57146">
        <w:t>Garrard</w:t>
      </w:r>
      <w:proofErr w:type="spellEnd"/>
      <w:r w:rsidRPr="00F57146">
        <w:t xml:space="preserve"> approach to globalization was rooted in history. The need to grant autonomy to local managers arose originally from the need to manage distribution disruptions caused by wars in Europe. Over time, while local managers held on to their autonomy</w:t>
      </w:r>
      <w:r w:rsidR="00436379">
        <w:t>,</w:t>
      </w:r>
      <w:r w:rsidRPr="00F57146">
        <w:t xml:space="preserve"> </w:t>
      </w:r>
      <w:r w:rsidR="004A5E7A">
        <w:t>headquarters (</w:t>
      </w:r>
      <w:r w:rsidRPr="00F57146">
        <w:t>HQ</w:t>
      </w:r>
      <w:r w:rsidR="004A5E7A">
        <w:t>)</w:t>
      </w:r>
      <w:r w:rsidRPr="00F57146">
        <w:t xml:space="preserve"> also held on to its control</w:t>
      </w:r>
      <w:r w:rsidR="002E4BA1">
        <w:t xml:space="preserve"> of the subsidiaries</w:t>
      </w:r>
      <w:r w:rsidRPr="00F57146">
        <w:t xml:space="preserve">. </w:t>
      </w:r>
      <w:r w:rsidR="00424FF5">
        <w:t>HQ’s</w:t>
      </w:r>
      <w:r w:rsidR="00424FF5" w:rsidRPr="00F57146">
        <w:t xml:space="preserve"> </w:t>
      </w:r>
      <w:r w:rsidRPr="00F57146">
        <w:t>interest in a firm grip over subsidiaries was not driven by a desire to pursue potential scale economies in manufacturing, as was common among MNEs</w:t>
      </w:r>
      <w:r w:rsidR="00575E0D">
        <w:t>; rather,</w:t>
      </w:r>
      <w:r w:rsidRPr="00F57146">
        <w:t xml:space="preserve"> </w:t>
      </w:r>
      <w:r w:rsidR="00424FF5">
        <w:t>its interest in control</w:t>
      </w:r>
      <w:r w:rsidR="00424FF5" w:rsidRPr="00F57146">
        <w:t xml:space="preserve"> </w:t>
      </w:r>
      <w:r w:rsidRPr="00F57146">
        <w:t xml:space="preserve">was driven by a desire to capitalize on the marketing ideas that its local </w:t>
      </w:r>
      <w:r w:rsidR="00BB6649" w:rsidRPr="00F57146">
        <w:t xml:space="preserve">foods business </w:t>
      </w:r>
      <w:r w:rsidRPr="00F57146">
        <w:t xml:space="preserve">managers around the world were regularly generating. </w:t>
      </w:r>
    </w:p>
    <w:p w14:paraId="4B458814" w14:textId="77777777" w:rsidR="004E2C28" w:rsidRPr="00F57146" w:rsidRDefault="004E2C28" w:rsidP="00C1773D">
      <w:pPr>
        <w:pStyle w:val="BodyTextMain"/>
      </w:pPr>
    </w:p>
    <w:p w14:paraId="458231E5" w14:textId="73B9E4BB" w:rsidR="004E2C28" w:rsidRPr="00F57146" w:rsidRDefault="004E2C28" w:rsidP="00C1773D">
      <w:pPr>
        <w:pStyle w:val="BodyTextMain"/>
      </w:pPr>
      <w:r w:rsidRPr="00F57146">
        <w:t xml:space="preserve">Soon HQ was using its grip in a novel way to further the cause of both globalization and localization. It was relocating line managers with track records in managing local businesses within the sprawling </w:t>
      </w:r>
      <w:proofErr w:type="spellStart"/>
      <w:r w:rsidRPr="00F57146">
        <w:t>Garrard</w:t>
      </w:r>
      <w:proofErr w:type="spellEnd"/>
      <w:r w:rsidRPr="00F57146">
        <w:t xml:space="preserve"> network to the central marketing pool at HQ. Although </w:t>
      </w:r>
      <w:r w:rsidR="00BA6165">
        <w:t>those line managers</w:t>
      </w:r>
      <w:r w:rsidR="00BA6165" w:rsidRPr="00F57146">
        <w:t xml:space="preserve"> </w:t>
      </w:r>
      <w:r w:rsidRPr="00F57146">
        <w:t xml:space="preserve">now held staff roles as product directors at HQ, they could persuade line managers in various subsidiaries to accept product and marketing ideas from HQ because they were once successful at the ground level in remote corners of the </w:t>
      </w:r>
      <w:proofErr w:type="spellStart"/>
      <w:r w:rsidRPr="00F57146">
        <w:t>Garrard</w:t>
      </w:r>
      <w:proofErr w:type="spellEnd"/>
      <w:r w:rsidRPr="00F57146">
        <w:t xml:space="preserve"> universe. Such credibility was important with their former peers.</w:t>
      </w:r>
      <w:r w:rsidR="005B7EE5">
        <w:t xml:space="preserve"> </w:t>
      </w:r>
    </w:p>
    <w:p w14:paraId="2EC0F4BC" w14:textId="77777777" w:rsidR="004E2C28" w:rsidRPr="00F57146" w:rsidRDefault="004E2C28" w:rsidP="00C1773D">
      <w:pPr>
        <w:pStyle w:val="BodyTextMain"/>
        <w:rPr>
          <w:bCs/>
        </w:rPr>
      </w:pPr>
    </w:p>
    <w:p w14:paraId="3B79A245" w14:textId="4E133B28" w:rsidR="004E2C28" w:rsidRPr="00F57146" w:rsidRDefault="004E2C28" w:rsidP="00C1773D">
      <w:pPr>
        <w:pStyle w:val="BodyTextMain"/>
      </w:pPr>
      <w:proofErr w:type="spellStart"/>
      <w:r w:rsidRPr="00F57146">
        <w:rPr>
          <w:bCs/>
        </w:rPr>
        <w:t>Garrard</w:t>
      </w:r>
      <w:proofErr w:type="spellEnd"/>
      <w:r w:rsidRPr="00F57146">
        <w:rPr>
          <w:bCs/>
        </w:rPr>
        <w:t xml:space="preserve"> had subsequently refined its globalization strategy </w:t>
      </w:r>
      <w:r w:rsidR="00BA6165">
        <w:rPr>
          <w:bCs/>
        </w:rPr>
        <w:t>to</w:t>
      </w:r>
      <w:r w:rsidR="00BA6165" w:rsidRPr="00F57146">
        <w:rPr>
          <w:bCs/>
        </w:rPr>
        <w:t xml:space="preserve"> </w:t>
      </w:r>
      <w:r w:rsidRPr="00F57146">
        <w:rPr>
          <w:bCs/>
        </w:rPr>
        <w:t>develop strong national subsidiaries sensitive to local opportunities and encourag</w:t>
      </w:r>
      <w:r w:rsidR="00BA6165">
        <w:rPr>
          <w:bCs/>
        </w:rPr>
        <w:t>e</w:t>
      </w:r>
      <w:r w:rsidRPr="00F57146">
        <w:rPr>
          <w:bCs/>
        </w:rPr>
        <w:t xml:space="preserve"> them to adapt products from the rest of the world to suit local needs. Product development was </w:t>
      </w:r>
      <w:r w:rsidRPr="00F57146">
        <w:t xml:space="preserve">localized to some extent. All new products emanating from within the </w:t>
      </w:r>
      <w:proofErr w:type="spellStart"/>
      <w:r w:rsidRPr="00F57146">
        <w:t>Garrard</w:t>
      </w:r>
      <w:proofErr w:type="spellEnd"/>
      <w:r w:rsidRPr="00F57146">
        <w:t xml:space="preserve"> universe for </w:t>
      </w:r>
      <w:r w:rsidR="0003374E">
        <w:t>global replication</w:t>
      </w:r>
      <w:r w:rsidRPr="00F57146">
        <w:t xml:space="preserve"> had to be validated locally before launch </w:t>
      </w:r>
      <w:r w:rsidR="002B6275">
        <w:t>using</w:t>
      </w:r>
      <w:r w:rsidRPr="00F57146">
        <w:t xml:space="preserve"> the singular barometer of local taste. When </w:t>
      </w:r>
      <w:r w:rsidR="002372D6">
        <w:t xml:space="preserve">the </w:t>
      </w:r>
      <w:proofErr w:type="spellStart"/>
      <w:r w:rsidR="002372D6">
        <w:t>Garrard</w:t>
      </w:r>
      <w:proofErr w:type="spellEnd"/>
      <w:r w:rsidR="002372D6">
        <w:t xml:space="preserve"> offering was </w:t>
      </w:r>
      <w:r w:rsidRPr="00F57146">
        <w:t xml:space="preserve">served unbranded to a panel of local </w:t>
      </w:r>
      <w:r w:rsidR="006E10C2">
        <w:t>end-users</w:t>
      </w:r>
      <w:r w:rsidRPr="00F57146">
        <w:t xml:space="preserve"> </w:t>
      </w:r>
      <w:r w:rsidR="0003374E">
        <w:t>alongside</w:t>
      </w:r>
      <w:r w:rsidRPr="00F57146">
        <w:t xml:space="preserve"> a competitive</w:t>
      </w:r>
      <w:r w:rsidR="00BA6165">
        <w:t>,</w:t>
      </w:r>
      <w:r w:rsidRPr="00F57146">
        <w:t xml:space="preserve"> </w:t>
      </w:r>
      <w:r w:rsidR="00BA6165" w:rsidRPr="00F57146">
        <w:t>reigning</w:t>
      </w:r>
      <w:r w:rsidR="00BA6165">
        <w:t xml:space="preserve"> </w:t>
      </w:r>
      <w:r w:rsidR="0003374E">
        <w:t xml:space="preserve">local </w:t>
      </w:r>
      <w:r w:rsidRPr="00F57146">
        <w:t xml:space="preserve">product, the new product had to be selected first by a majority of the </w:t>
      </w:r>
      <w:r w:rsidR="00C51F1E" w:rsidRPr="00F57146">
        <w:t>panellists</w:t>
      </w:r>
      <w:r w:rsidRPr="00F57146">
        <w:t xml:space="preserve"> for taste. It was only then that the global product would be rolled out in the local market. If the product failed the test but was still believed to have local demand</w:t>
      </w:r>
      <w:r w:rsidR="00113E3E">
        <w:t xml:space="preserve"> (</w:t>
      </w:r>
      <w:r w:rsidRPr="00F57146">
        <w:t>based on market intelligence from field sales personnel</w:t>
      </w:r>
      <w:r w:rsidR="00113E3E">
        <w:t>)</w:t>
      </w:r>
      <w:r w:rsidRPr="00F57146">
        <w:t xml:space="preserve">, </w:t>
      </w:r>
      <w:r w:rsidR="0035700B">
        <w:t>the product</w:t>
      </w:r>
      <w:r w:rsidR="0035700B" w:rsidRPr="00F57146">
        <w:t xml:space="preserve"> </w:t>
      </w:r>
      <w:r w:rsidRPr="00F57146">
        <w:t xml:space="preserve">would be reconfigured to suit local tastes and then marketed. </w:t>
      </w:r>
    </w:p>
    <w:p w14:paraId="4452FFF7" w14:textId="77777777" w:rsidR="004E2C28" w:rsidRPr="00F57146" w:rsidRDefault="004E2C28" w:rsidP="00C1773D">
      <w:pPr>
        <w:pStyle w:val="BodyTextMain"/>
      </w:pPr>
    </w:p>
    <w:p w14:paraId="3F328AD6" w14:textId="7183CE02" w:rsidR="004E2C28" w:rsidRPr="00F57146" w:rsidRDefault="004E2C28" w:rsidP="00C1773D">
      <w:pPr>
        <w:pStyle w:val="BodyTextMain"/>
      </w:pPr>
      <w:r w:rsidRPr="00F57146">
        <w:lastRenderedPageBreak/>
        <w:t xml:space="preserve">This approach had set </w:t>
      </w:r>
      <w:r w:rsidR="00C91FF2">
        <w:t xml:space="preserve">a </w:t>
      </w:r>
      <w:r w:rsidRPr="00F57146">
        <w:t>virtuous cycle</w:t>
      </w:r>
      <w:r w:rsidR="00C91FF2" w:rsidRPr="00C91FF2">
        <w:t xml:space="preserve"> </w:t>
      </w:r>
      <w:r w:rsidR="00C91FF2" w:rsidRPr="00F57146">
        <w:t>in motion</w:t>
      </w:r>
      <w:r w:rsidRPr="00F57146">
        <w:t>. Growing levels of localization led to a proliferation of brand variants generating new revenue streams. Certain products might have numerous local blends</w:t>
      </w:r>
      <w:r w:rsidR="00C91FF2">
        <w:t>,</w:t>
      </w:r>
      <w:r w:rsidRPr="00F57146">
        <w:t xml:space="preserve"> seasonings</w:t>
      </w:r>
      <w:r w:rsidR="00C91FF2">
        <w:t xml:space="preserve">, or </w:t>
      </w:r>
      <w:r w:rsidRPr="00F57146">
        <w:t>formulations</w:t>
      </w:r>
      <w:r w:rsidR="00C91FF2">
        <w:t>;</w:t>
      </w:r>
      <w:r w:rsidRPr="00F57146">
        <w:t xml:space="preserve"> </w:t>
      </w:r>
      <w:r w:rsidR="00C91FF2">
        <w:t>they</w:t>
      </w:r>
      <w:r w:rsidRPr="00F57146">
        <w:t xml:space="preserve"> varied with each country because local tastes varied. </w:t>
      </w:r>
    </w:p>
    <w:p w14:paraId="110500FF" w14:textId="77777777" w:rsidR="004E2C28" w:rsidRPr="0021234D" w:rsidRDefault="004E2C28" w:rsidP="00C1773D">
      <w:pPr>
        <w:pStyle w:val="BodyTextMain"/>
        <w:rPr>
          <w:sz w:val="18"/>
          <w:szCs w:val="18"/>
        </w:rPr>
      </w:pPr>
    </w:p>
    <w:p w14:paraId="0803F488" w14:textId="30E59814" w:rsidR="004E2C28" w:rsidRPr="0021234D" w:rsidRDefault="004E2C28" w:rsidP="00C1773D">
      <w:pPr>
        <w:pStyle w:val="BodyTextMain"/>
        <w:rPr>
          <w:spacing w:val="-2"/>
          <w:kern w:val="22"/>
        </w:rPr>
      </w:pPr>
      <w:r w:rsidRPr="0021234D">
        <w:rPr>
          <w:spacing w:val="-2"/>
          <w:kern w:val="22"/>
        </w:rPr>
        <w:t xml:space="preserve">By the late 1990s, </w:t>
      </w:r>
      <w:proofErr w:type="spellStart"/>
      <w:r w:rsidRPr="0021234D">
        <w:rPr>
          <w:spacing w:val="-2"/>
          <w:kern w:val="22"/>
        </w:rPr>
        <w:t>Garrard</w:t>
      </w:r>
      <w:proofErr w:type="spellEnd"/>
      <w:r w:rsidRPr="0021234D">
        <w:rPr>
          <w:spacing w:val="-2"/>
          <w:kern w:val="22"/>
        </w:rPr>
        <w:t xml:space="preserve"> was present in nearly 100 countries. </w:t>
      </w:r>
      <w:bookmarkStart w:id="8" w:name="_Hlk510347096"/>
      <w:r w:rsidRPr="0021234D">
        <w:rPr>
          <w:spacing w:val="-2"/>
          <w:kern w:val="22"/>
        </w:rPr>
        <w:t xml:space="preserve">The company </w:t>
      </w:r>
      <w:bookmarkEnd w:id="8"/>
      <w:r w:rsidRPr="0021234D">
        <w:rPr>
          <w:spacing w:val="-2"/>
          <w:kern w:val="22"/>
        </w:rPr>
        <w:t xml:space="preserve">had grown so large that various shortcomings soon came to light. For example, data had become a disconnected resource. Every country ran its own data </w:t>
      </w:r>
      <w:r w:rsidR="00ED7396" w:rsidRPr="0021234D">
        <w:rPr>
          <w:spacing w:val="-2"/>
          <w:kern w:val="22"/>
        </w:rPr>
        <w:t xml:space="preserve">centre </w:t>
      </w:r>
      <w:r w:rsidRPr="0021234D">
        <w:rPr>
          <w:spacing w:val="-2"/>
          <w:kern w:val="22"/>
        </w:rPr>
        <w:t>and developed its own software programs</w:t>
      </w:r>
      <w:r w:rsidR="00ED7396" w:rsidRPr="0021234D">
        <w:rPr>
          <w:spacing w:val="-2"/>
          <w:kern w:val="22"/>
        </w:rPr>
        <w:t>,</w:t>
      </w:r>
      <w:r w:rsidRPr="0021234D">
        <w:rPr>
          <w:spacing w:val="-2"/>
          <w:kern w:val="22"/>
        </w:rPr>
        <w:t xml:space="preserve"> which were unlinked to the rest of </w:t>
      </w:r>
      <w:proofErr w:type="spellStart"/>
      <w:r w:rsidRPr="0021234D">
        <w:rPr>
          <w:spacing w:val="-2"/>
          <w:kern w:val="22"/>
        </w:rPr>
        <w:t>Garrard</w:t>
      </w:r>
      <w:proofErr w:type="spellEnd"/>
      <w:r w:rsidRPr="0021234D">
        <w:rPr>
          <w:spacing w:val="-2"/>
          <w:kern w:val="22"/>
        </w:rPr>
        <w:t xml:space="preserve">. To set things right, the company launched a program called </w:t>
      </w:r>
      <w:bookmarkStart w:id="9" w:name="_Hlk880004"/>
      <w:r w:rsidRPr="0021234D">
        <w:rPr>
          <w:spacing w:val="-2"/>
          <w:kern w:val="22"/>
        </w:rPr>
        <w:t>International Business Achievement (IBA)</w:t>
      </w:r>
      <w:bookmarkEnd w:id="9"/>
      <w:r w:rsidRPr="0021234D">
        <w:rPr>
          <w:spacing w:val="-2"/>
          <w:kern w:val="22"/>
        </w:rPr>
        <w:t xml:space="preserve">. </w:t>
      </w:r>
      <w:bookmarkStart w:id="10" w:name="_Hlk510435379"/>
      <w:r w:rsidRPr="0021234D">
        <w:rPr>
          <w:spacing w:val="-2"/>
          <w:kern w:val="22"/>
        </w:rPr>
        <w:t xml:space="preserve">IBA was a vital step in meeting the seemingly constant need to strike a balance between globalization and localization. It had three goals: unifying data management protocols, harmonizing business processes, and standardizing </w:t>
      </w:r>
      <w:r w:rsidR="00ED7396" w:rsidRPr="0021234D">
        <w:rPr>
          <w:spacing w:val="-2"/>
          <w:kern w:val="22"/>
        </w:rPr>
        <w:t xml:space="preserve">information technology </w:t>
      </w:r>
      <w:r w:rsidR="00A3054E" w:rsidRPr="0021234D">
        <w:rPr>
          <w:spacing w:val="-2"/>
          <w:kern w:val="22"/>
        </w:rPr>
        <w:t xml:space="preserve">(IT) </w:t>
      </w:r>
      <w:r w:rsidRPr="0021234D">
        <w:rPr>
          <w:spacing w:val="-2"/>
          <w:kern w:val="22"/>
        </w:rPr>
        <w:t xml:space="preserve">platforms. Its </w:t>
      </w:r>
      <w:r w:rsidR="00ED7396" w:rsidRPr="0021234D">
        <w:rPr>
          <w:spacing w:val="-2"/>
          <w:kern w:val="22"/>
        </w:rPr>
        <w:t>rollout</w:t>
      </w:r>
      <w:r w:rsidRPr="0021234D">
        <w:rPr>
          <w:spacing w:val="-2"/>
          <w:kern w:val="22"/>
        </w:rPr>
        <w:t xml:space="preserve"> began in stages and lasted nearly a decade. </w:t>
      </w:r>
    </w:p>
    <w:p w14:paraId="1AC8BA3C" w14:textId="77777777" w:rsidR="004E2C28" w:rsidRPr="0021234D" w:rsidRDefault="004E2C28" w:rsidP="00C1773D">
      <w:pPr>
        <w:pStyle w:val="BodyTextMain"/>
        <w:rPr>
          <w:sz w:val="18"/>
          <w:szCs w:val="18"/>
        </w:rPr>
      </w:pPr>
    </w:p>
    <w:p w14:paraId="219D4573" w14:textId="58827FA0" w:rsidR="004E2C28" w:rsidRPr="00F57146" w:rsidRDefault="004E2C28" w:rsidP="00C1773D">
      <w:pPr>
        <w:pStyle w:val="BodyTextMain"/>
      </w:pPr>
      <w:r w:rsidRPr="00F57146">
        <w:t xml:space="preserve">IBA led to greater control over three specific activities at </w:t>
      </w:r>
      <w:proofErr w:type="spellStart"/>
      <w:r w:rsidRPr="00F57146">
        <w:t>Garrard</w:t>
      </w:r>
      <w:proofErr w:type="spellEnd"/>
      <w:r w:rsidR="00A47069">
        <w:t>—</w:t>
      </w:r>
      <w:r w:rsidRPr="00F57146">
        <w:t>sourcing, production</w:t>
      </w:r>
      <w:r w:rsidR="00A47069">
        <w:t>,</w:t>
      </w:r>
      <w:r w:rsidRPr="00F57146">
        <w:t xml:space="preserve"> and distribution.</w:t>
      </w:r>
      <w:r w:rsidR="00352715">
        <w:t xml:space="preserve"> </w:t>
      </w:r>
      <w:r w:rsidRPr="00F57146">
        <w:t>The control</w:t>
      </w:r>
      <w:r w:rsidR="008477AC">
        <w:t xml:space="preserve">, </w:t>
      </w:r>
      <w:r w:rsidRPr="00F57146">
        <w:t xml:space="preserve">however, </w:t>
      </w:r>
      <w:r w:rsidR="008477AC">
        <w:t xml:space="preserve">was </w:t>
      </w:r>
      <w:r w:rsidRPr="00F57146">
        <w:t>exercised by HQ</w:t>
      </w:r>
      <w:r w:rsidR="008477AC">
        <w:t>—</w:t>
      </w:r>
      <w:r w:rsidRPr="00F57146">
        <w:t>not directly, but through regional headquarters.</w:t>
      </w:r>
      <w:r w:rsidR="008477AC">
        <w:t xml:space="preserve"> </w:t>
      </w:r>
      <w:proofErr w:type="spellStart"/>
      <w:r w:rsidRPr="00F57146">
        <w:t>Garrard</w:t>
      </w:r>
      <w:proofErr w:type="spellEnd"/>
      <w:r w:rsidRPr="00F57146">
        <w:t xml:space="preserve"> devolved its control to regional headquarters</w:t>
      </w:r>
      <w:r w:rsidR="008477AC">
        <w:t>,</w:t>
      </w:r>
      <w:r w:rsidRPr="00F57146">
        <w:t xml:space="preserve"> which monitored operations day to day in their zones. It was through such devolution that HQ was exercising control on its hundreds of individual factories. Very soon, internal sourcing</w:t>
      </w:r>
      <w:r w:rsidR="008477AC">
        <w:t xml:space="preserve"> (</w:t>
      </w:r>
      <w:r w:rsidRPr="00F57146">
        <w:t>i.e.</w:t>
      </w:r>
      <w:r w:rsidR="0035700B">
        <w:t>,</w:t>
      </w:r>
      <w:r w:rsidRPr="00F57146">
        <w:t xml:space="preserve"> </w:t>
      </w:r>
      <w:r w:rsidR="008477AC">
        <w:t xml:space="preserve">the </w:t>
      </w:r>
      <w:r w:rsidRPr="00F57146">
        <w:t xml:space="preserve">movement of raw materials and finished goods among </w:t>
      </w:r>
      <w:proofErr w:type="spellStart"/>
      <w:r w:rsidRPr="00F57146">
        <w:t>Garrard</w:t>
      </w:r>
      <w:proofErr w:type="spellEnd"/>
      <w:r w:rsidRPr="00F57146">
        <w:t xml:space="preserve"> subsidiaries</w:t>
      </w:r>
      <w:r w:rsidR="008477AC">
        <w:t>)</w:t>
      </w:r>
      <w:r w:rsidRPr="00F57146">
        <w:t xml:space="preserve"> also came within the purview of IBA</w:t>
      </w:r>
      <w:r w:rsidR="00A3054E">
        <w:t>,</w:t>
      </w:r>
      <w:r w:rsidRPr="00F57146">
        <w:t xml:space="preserve"> giving HQ a better snapshot of what was happening at the ground level.</w:t>
      </w:r>
    </w:p>
    <w:bookmarkEnd w:id="10"/>
    <w:p w14:paraId="297E025A" w14:textId="77777777" w:rsidR="004E2C28" w:rsidRPr="0021234D" w:rsidRDefault="004E2C28" w:rsidP="00C1773D">
      <w:pPr>
        <w:pStyle w:val="BodyTextMain"/>
        <w:rPr>
          <w:sz w:val="18"/>
          <w:szCs w:val="18"/>
        </w:rPr>
      </w:pPr>
    </w:p>
    <w:p w14:paraId="622D0BAA" w14:textId="1ACCC1DE" w:rsidR="004E2C28" w:rsidRPr="00F57146" w:rsidRDefault="004E2C28" w:rsidP="00C1773D">
      <w:pPr>
        <w:pStyle w:val="BodyTextMain"/>
      </w:pPr>
      <w:r w:rsidRPr="00F57146">
        <w:t>A major benefit of the IBA initiative was that it generated internal competition.</w:t>
      </w:r>
      <w:r w:rsidR="00A3054E">
        <w:t xml:space="preserve"> </w:t>
      </w:r>
      <w:r w:rsidRPr="00F57146">
        <w:t xml:space="preserve">A </w:t>
      </w:r>
      <w:proofErr w:type="spellStart"/>
      <w:r w:rsidRPr="00F57146">
        <w:t>Garrard</w:t>
      </w:r>
      <w:proofErr w:type="spellEnd"/>
      <w:r w:rsidRPr="00F57146">
        <w:t xml:space="preserve"> factory in Colombia, for example, was no longer comparing itself to its peers in Colombia alone</w:t>
      </w:r>
      <w:r w:rsidR="00BD297B">
        <w:t>;</w:t>
      </w:r>
      <w:r w:rsidRPr="00F57146">
        <w:t xml:space="preserve"> </w:t>
      </w:r>
      <w:r w:rsidR="00BD297B">
        <w:t>standardization</w:t>
      </w:r>
      <w:r w:rsidR="00BD297B" w:rsidRPr="00F57146">
        <w:t xml:space="preserve"> </w:t>
      </w:r>
      <w:r w:rsidRPr="00F57146">
        <w:t xml:space="preserve">of metrics had ensured that </w:t>
      </w:r>
      <w:r w:rsidR="0035700B">
        <w:t>the factory</w:t>
      </w:r>
      <w:r w:rsidR="0035700B" w:rsidRPr="00F57146">
        <w:t xml:space="preserve"> </w:t>
      </w:r>
      <w:r w:rsidRPr="00F57146">
        <w:t xml:space="preserve">would benchmark its performance against peers in its zone and beyond. Internal competition led gradually to performance improvements. IBA also enabled greater outsourcing of production </w:t>
      </w:r>
      <w:r w:rsidR="00A3054E">
        <w:t>because</w:t>
      </w:r>
      <w:r w:rsidRPr="00F57146">
        <w:t xml:space="preserve"> </w:t>
      </w:r>
      <w:proofErr w:type="spellStart"/>
      <w:r w:rsidRPr="00F57146">
        <w:t>Garrard</w:t>
      </w:r>
      <w:proofErr w:type="spellEnd"/>
      <w:r w:rsidRPr="00F57146">
        <w:t xml:space="preserve"> could now extend its standardized data systems, best practices</w:t>
      </w:r>
      <w:r w:rsidR="00A3054E">
        <w:t>,</w:t>
      </w:r>
      <w:r w:rsidRPr="00F57146">
        <w:t xml:space="preserve"> and IT systems to co-packers and </w:t>
      </w:r>
      <w:r w:rsidR="00BD297B">
        <w:t>third party</w:t>
      </w:r>
      <w:r w:rsidRPr="00F57146">
        <w:t xml:space="preserve"> contractors operating outside </w:t>
      </w:r>
      <w:proofErr w:type="spellStart"/>
      <w:r w:rsidR="0035700B">
        <w:t>Garrard’s</w:t>
      </w:r>
      <w:proofErr w:type="spellEnd"/>
      <w:r w:rsidR="0035700B" w:rsidRPr="00F57146">
        <w:t xml:space="preserve"> </w:t>
      </w:r>
      <w:r w:rsidRPr="00F57146">
        <w:t>orbit.</w:t>
      </w:r>
    </w:p>
    <w:p w14:paraId="752551D8" w14:textId="77777777" w:rsidR="004E2C28" w:rsidRPr="0021234D" w:rsidRDefault="004E2C28" w:rsidP="00C1773D">
      <w:pPr>
        <w:pStyle w:val="BodyTextMain"/>
        <w:rPr>
          <w:color w:val="000000"/>
          <w:sz w:val="18"/>
          <w:szCs w:val="18"/>
        </w:rPr>
      </w:pPr>
      <w:bookmarkStart w:id="11" w:name="_Hlk510435404"/>
    </w:p>
    <w:p w14:paraId="33C1CA8C" w14:textId="4A83DCF8" w:rsidR="004E2C28" w:rsidRPr="00F57146" w:rsidRDefault="004E2C28" w:rsidP="00C1773D">
      <w:pPr>
        <w:pStyle w:val="BodyTextMain"/>
        <w:rPr>
          <w:color w:val="000000"/>
        </w:rPr>
      </w:pPr>
      <w:r w:rsidRPr="00F57146">
        <w:rPr>
          <w:color w:val="000000"/>
        </w:rPr>
        <w:t xml:space="preserve">Another medium of the time that helped achieve </w:t>
      </w:r>
      <w:r w:rsidR="0075759D">
        <w:rPr>
          <w:color w:val="000000"/>
        </w:rPr>
        <w:t>global–local</w:t>
      </w:r>
      <w:r w:rsidRPr="00F57146">
        <w:rPr>
          <w:color w:val="000000"/>
        </w:rPr>
        <w:t xml:space="preserve"> balance was a portfolio management tool </w:t>
      </w:r>
      <w:r w:rsidR="0075759D">
        <w:rPr>
          <w:color w:val="000000"/>
        </w:rPr>
        <w:t>that</w:t>
      </w:r>
      <w:r w:rsidR="0075759D" w:rsidRPr="00F57146">
        <w:rPr>
          <w:color w:val="000000"/>
        </w:rPr>
        <w:t xml:space="preserve"> </w:t>
      </w:r>
      <w:r w:rsidRPr="00F57146">
        <w:rPr>
          <w:color w:val="000000"/>
        </w:rPr>
        <w:t>ensured</w:t>
      </w:r>
      <w:r w:rsidR="0075759D">
        <w:rPr>
          <w:color w:val="000000"/>
        </w:rPr>
        <w:t xml:space="preserve"> </w:t>
      </w:r>
      <w:r w:rsidRPr="00F57146">
        <w:rPr>
          <w:color w:val="000000"/>
        </w:rPr>
        <w:t xml:space="preserve">all </w:t>
      </w:r>
      <w:r w:rsidR="0075759D">
        <w:rPr>
          <w:color w:val="000000"/>
        </w:rPr>
        <w:t xml:space="preserve">who were </w:t>
      </w:r>
      <w:r w:rsidRPr="00F57146">
        <w:rPr>
          <w:color w:val="000000"/>
        </w:rPr>
        <w:t xml:space="preserve">involved in planning for </w:t>
      </w:r>
      <w:proofErr w:type="spellStart"/>
      <w:r w:rsidR="0075759D">
        <w:rPr>
          <w:color w:val="000000"/>
        </w:rPr>
        <w:t>Garrard’s</w:t>
      </w:r>
      <w:proofErr w:type="spellEnd"/>
      <w:r w:rsidR="0075759D" w:rsidRPr="00F57146">
        <w:rPr>
          <w:color w:val="000000"/>
        </w:rPr>
        <w:t xml:space="preserve"> </w:t>
      </w:r>
      <w:r w:rsidRPr="00F57146">
        <w:rPr>
          <w:color w:val="000000"/>
        </w:rPr>
        <w:t>future</w:t>
      </w:r>
      <w:r w:rsidR="0075759D">
        <w:rPr>
          <w:color w:val="000000"/>
        </w:rPr>
        <w:t>—</w:t>
      </w:r>
      <w:r w:rsidRPr="00F57146">
        <w:rPr>
          <w:color w:val="000000"/>
        </w:rPr>
        <w:t>irrespective of their location</w:t>
      </w:r>
      <w:r w:rsidR="0075759D">
        <w:rPr>
          <w:color w:val="000000"/>
        </w:rPr>
        <w:t>—</w:t>
      </w:r>
      <w:r w:rsidRPr="00F57146">
        <w:rPr>
          <w:color w:val="000000"/>
        </w:rPr>
        <w:t xml:space="preserve">spoke the same language. For example, a product planner in a market in Ghana could use the tool to decide whether to allocate resources to a local product with the same eagerness with which the </w:t>
      </w:r>
      <w:r w:rsidR="0075759D">
        <w:rPr>
          <w:color w:val="000000"/>
        </w:rPr>
        <w:t>CEO</w:t>
      </w:r>
      <w:r w:rsidRPr="00F57146">
        <w:rPr>
          <w:color w:val="000000"/>
        </w:rPr>
        <w:t xml:space="preserve"> at HQ used it to decide whether to allocate more resources to a global value driver. </w:t>
      </w:r>
      <w:bookmarkEnd w:id="11"/>
    </w:p>
    <w:p w14:paraId="2C843919" w14:textId="77777777" w:rsidR="004E2C28" w:rsidRPr="0021234D" w:rsidRDefault="004E2C28" w:rsidP="00C1773D">
      <w:pPr>
        <w:pStyle w:val="BodyTextMain"/>
        <w:rPr>
          <w:bCs/>
          <w:sz w:val="18"/>
          <w:szCs w:val="18"/>
        </w:rPr>
      </w:pPr>
    </w:p>
    <w:p w14:paraId="678F3E8F" w14:textId="6DB515A6" w:rsidR="004E2C28" w:rsidRPr="00F57146" w:rsidRDefault="004E2C28" w:rsidP="00C1773D">
      <w:pPr>
        <w:pStyle w:val="BodyTextMain"/>
      </w:pPr>
      <w:bookmarkStart w:id="12" w:name="_Hlk510435439"/>
      <w:proofErr w:type="spellStart"/>
      <w:r w:rsidRPr="00F57146">
        <w:t>Garrard</w:t>
      </w:r>
      <w:proofErr w:type="spellEnd"/>
      <w:r w:rsidRPr="00F57146">
        <w:t xml:space="preserve"> saw itself as being in the business of affordability. Unlike the many MNEs </w:t>
      </w:r>
      <w:r w:rsidR="0075759D">
        <w:t>that</w:t>
      </w:r>
      <w:r w:rsidR="0075759D" w:rsidRPr="00F57146">
        <w:t xml:space="preserve"> </w:t>
      </w:r>
      <w:r w:rsidRPr="00F57146">
        <w:t xml:space="preserve">were targeting their products </w:t>
      </w:r>
      <w:r w:rsidR="0035700B">
        <w:t>to</w:t>
      </w:r>
      <w:r w:rsidR="0035700B" w:rsidRPr="00F57146">
        <w:t xml:space="preserve"> </w:t>
      </w:r>
      <w:r w:rsidRPr="00F57146">
        <w:t xml:space="preserve">the premium end of the market, </w:t>
      </w:r>
      <w:proofErr w:type="spellStart"/>
      <w:r w:rsidRPr="00F57146">
        <w:t>Garrard</w:t>
      </w:r>
      <w:proofErr w:type="spellEnd"/>
      <w:r w:rsidRPr="00F57146">
        <w:t xml:space="preserve"> had tailored its products to multiple price points, including the three billion low-income consumers </w:t>
      </w:r>
      <w:r w:rsidR="0075759D">
        <w:t xml:space="preserve">found </w:t>
      </w:r>
      <w:r w:rsidRPr="00F57146">
        <w:t xml:space="preserve">worldwide. The idea was that all </w:t>
      </w:r>
      <w:proofErr w:type="spellStart"/>
      <w:r w:rsidR="0075759D">
        <w:t>Garrard’s</w:t>
      </w:r>
      <w:proofErr w:type="spellEnd"/>
      <w:r w:rsidR="0075759D" w:rsidRPr="00F57146">
        <w:t xml:space="preserve"> </w:t>
      </w:r>
      <w:r w:rsidRPr="00F57146">
        <w:t xml:space="preserve">products would be </w:t>
      </w:r>
      <w:r w:rsidR="0075759D">
        <w:t>of high quality</w:t>
      </w:r>
      <w:r w:rsidRPr="00F57146">
        <w:t>, spanning many food categories and providing nutritional value, at affordable prices. This strategy relied on three ways of lowering costs</w:t>
      </w:r>
      <w:r w:rsidR="0075759D">
        <w:t xml:space="preserve">: </w:t>
      </w:r>
      <w:r w:rsidRPr="00F57146">
        <w:t>local sourcing, local manufacture</w:t>
      </w:r>
      <w:r w:rsidR="0075759D">
        <w:t>,</w:t>
      </w:r>
      <w:r w:rsidRPr="00F57146">
        <w:t xml:space="preserve"> and local distribution. It used local channels like mobile </w:t>
      </w:r>
      <w:r w:rsidR="002B6275">
        <w:t>food</w:t>
      </w:r>
      <w:r w:rsidRPr="00F57146">
        <w:t xml:space="preserve"> vendors to deliver products </w:t>
      </w:r>
      <w:r w:rsidR="00750373">
        <w:t>to</w:t>
      </w:r>
      <w:r w:rsidR="00750373" w:rsidRPr="00F57146">
        <w:t xml:space="preserve"> </w:t>
      </w:r>
      <w:r w:rsidRPr="00F57146">
        <w:t xml:space="preserve">the doorsteps of </w:t>
      </w:r>
      <w:r w:rsidR="00E45337">
        <w:t>end-users</w:t>
      </w:r>
      <w:r w:rsidRPr="00F57146">
        <w:t xml:space="preserve">. </w:t>
      </w:r>
      <w:r w:rsidR="00E45337">
        <w:t xml:space="preserve">In addition to generating jobs, the approach also generated </w:t>
      </w:r>
      <w:r w:rsidRPr="00F57146">
        <w:t>entrepreneurial opportunities in developing markets.</w:t>
      </w:r>
    </w:p>
    <w:p w14:paraId="7D5FE2EA" w14:textId="77777777" w:rsidR="004E2C28" w:rsidRPr="0021234D" w:rsidRDefault="004E2C28" w:rsidP="00C1773D">
      <w:pPr>
        <w:pStyle w:val="BodyTextMain"/>
        <w:rPr>
          <w:sz w:val="18"/>
          <w:szCs w:val="18"/>
        </w:rPr>
      </w:pPr>
    </w:p>
    <w:p w14:paraId="62912B95" w14:textId="0263D6E9" w:rsidR="004E2C28" w:rsidRPr="00F57146" w:rsidRDefault="004E2C28" w:rsidP="00C1773D">
      <w:pPr>
        <w:pStyle w:val="BodyTextMain"/>
      </w:pPr>
      <w:r w:rsidRPr="00F57146">
        <w:t xml:space="preserve">The company </w:t>
      </w:r>
      <w:r w:rsidR="00E45337">
        <w:t>avoided</w:t>
      </w:r>
      <w:r w:rsidRPr="00F57146">
        <w:t xml:space="preserve"> the trap of chasing market share for its own sake</w:t>
      </w:r>
      <w:r w:rsidR="00E45337">
        <w:t xml:space="preserve">—a </w:t>
      </w:r>
      <w:r w:rsidRPr="00F57146">
        <w:t xml:space="preserve">common </w:t>
      </w:r>
      <w:r w:rsidR="00E45337">
        <w:t xml:space="preserve">occurrence </w:t>
      </w:r>
      <w:r w:rsidRPr="00F57146">
        <w:t>in low-priced markets</w:t>
      </w:r>
      <w:r w:rsidR="00E45337">
        <w:t>—</w:t>
      </w:r>
      <w:r w:rsidRPr="00F57146">
        <w:t xml:space="preserve">by focusing on both market share and margins. This meant pursuing </w:t>
      </w:r>
      <w:r w:rsidR="00E45337">
        <w:t>top-line</w:t>
      </w:r>
      <w:r w:rsidR="00E45337" w:rsidRPr="00F57146">
        <w:t xml:space="preserve"> </w:t>
      </w:r>
      <w:r w:rsidRPr="00AF4D04">
        <w:t>and</w:t>
      </w:r>
      <w:r w:rsidRPr="00F57146">
        <w:t xml:space="preserve"> bottom line growth, serving customers in emerging </w:t>
      </w:r>
      <w:r w:rsidRPr="00AF4D04">
        <w:t>and</w:t>
      </w:r>
      <w:r w:rsidRPr="00F57146">
        <w:rPr>
          <w:i/>
        </w:rPr>
        <w:t xml:space="preserve"> </w:t>
      </w:r>
      <w:r w:rsidRPr="00F57146">
        <w:t xml:space="preserve">developed markets, improving operational </w:t>
      </w:r>
      <w:r w:rsidRPr="00AF4D04">
        <w:t>and</w:t>
      </w:r>
      <w:r w:rsidRPr="00E45337">
        <w:t xml:space="preserve"> </w:t>
      </w:r>
      <w:r w:rsidRPr="00F57146">
        <w:t xml:space="preserve">capital efficiencies, and delivering in the short term </w:t>
      </w:r>
      <w:r w:rsidR="00E45337">
        <w:t>while</w:t>
      </w:r>
      <w:r w:rsidR="00E45337" w:rsidRPr="00F57146">
        <w:t xml:space="preserve"> </w:t>
      </w:r>
      <w:r w:rsidRPr="00F57146">
        <w:t xml:space="preserve">investing for the long term. </w:t>
      </w:r>
    </w:p>
    <w:bookmarkEnd w:id="12"/>
    <w:p w14:paraId="7641E7A4" w14:textId="77777777" w:rsidR="004E2C28" w:rsidRPr="0021234D" w:rsidRDefault="004E2C28" w:rsidP="00C1773D">
      <w:pPr>
        <w:pStyle w:val="BodyTextMain"/>
        <w:rPr>
          <w:sz w:val="18"/>
          <w:szCs w:val="18"/>
        </w:rPr>
      </w:pPr>
    </w:p>
    <w:p w14:paraId="596069B9" w14:textId="50F8C04F" w:rsidR="004E2C28" w:rsidRPr="00F57146" w:rsidRDefault="004E2C28" w:rsidP="00C1773D">
      <w:pPr>
        <w:pStyle w:val="BodyTextMain"/>
      </w:pPr>
      <w:bookmarkStart w:id="13" w:name="_Hlk510435492"/>
      <w:proofErr w:type="spellStart"/>
      <w:r w:rsidRPr="00F57146">
        <w:t>Garrard</w:t>
      </w:r>
      <w:proofErr w:type="spellEnd"/>
      <w:r w:rsidRPr="00F57146">
        <w:t xml:space="preserve"> was using a combination of hierarchical and matrix structures to execute its strategy. The hierarchical part prevailed in businesses </w:t>
      </w:r>
      <w:r w:rsidR="00864952">
        <w:t>that</w:t>
      </w:r>
      <w:r w:rsidR="00864952" w:rsidRPr="00F57146">
        <w:t xml:space="preserve"> </w:t>
      </w:r>
      <w:r w:rsidRPr="00F57146">
        <w:t>were homogenous across markets and therefore could be managed globally from HQ. The matrix part prevailed in businesses requiring decentralization and was organized into a mix of zones and products. Products were organized as individual strategic business units</w:t>
      </w:r>
      <w:r w:rsidR="00864952">
        <w:t>—</w:t>
      </w:r>
      <w:r w:rsidRPr="00F57146">
        <w:t xml:space="preserve">some located at the HQ and some at different regions managed by zonal heads. </w:t>
      </w:r>
    </w:p>
    <w:p w14:paraId="3425445F" w14:textId="55DF0FF9" w:rsidR="004E2C28" w:rsidRPr="0021234D" w:rsidRDefault="004E2C28" w:rsidP="00C1773D">
      <w:pPr>
        <w:pStyle w:val="BodyTextMain"/>
        <w:rPr>
          <w:spacing w:val="-2"/>
          <w:kern w:val="22"/>
        </w:rPr>
      </w:pPr>
      <w:r w:rsidRPr="0021234D">
        <w:rPr>
          <w:spacing w:val="-2"/>
          <w:kern w:val="22"/>
        </w:rPr>
        <w:lastRenderedPageBreak/>
        <w:t xml:space="preserve">Each product category was led by a product director who developed long-term strategies for the category on a global basis. Product directors were responsible for operational issues like plant capacity utilization and </w:t>
      </w:r>
      <w:r w:rsidR="00864952" w:rsidRPr="0021234D">
        <w:rPr>
          <w:spacing w:val="-2"/>
          <w:kern w:val="22"/>
        </w:rPr>
        <w:t>deciding</w:t>
      </w:r>
      <w:r w:rsidRPr="0021234D">
        <w:rPr>
          <w:spacing w:val="-2"/>
          <w:kern w:val="22"/>
        </w:rPr>
        <w:t xml:space="preserve"> how much of each product should be produced at which factory and in which location worldwide. The</w:t>
      </w:r>
      <w:r w:rsidR="00750373" w:rsidRPr="0021234D">
        <w:rPr>
          <w:spacing w:val="-2"/>
          <w:kern w:val="22"/>
        </w:rPr>
        <w:t xml:space="preserve"> product directors</w:t>
      </w:r>
      <w:r w:rsidRPr="0021234D">
        <w:rPr>
          <w:spacing w:val="-2"/>
          <w:kern w:val="22"/>
        </w:rPr>
        <w:t xml:space="preserve"> were staff executives with no line authority. Each product was also coordinated by a manager in charge of a specific geographical area within a zone. The area manager had </w:t>
      </w:r>
      <w:r w:rsidR="00B552E2" w:rsidRPr="0021234D">
        <w:rPr>
          <w:spacing w:val="-2"/>
          <w:kern w:val="22"/>
        </w:rPr>
        <w:t>profit and loss</w:t>
      </w:r>
      <w:r w:rsidRPr="0021234D">
        <w:rPr>
          <w:spacing w:val="-2"/>
          <w:kern w:val="22"/>
        </w:rPr>
        <w:t xml:space="preserve"> responsibility</w:t>
      </w:r>
      <w:r w:rsidR="00B552E2" w:rsidRPr="0021234D">
        <w:rPr>
          <w:spacing w:val="-2"/>
          <w:kern w:val="22"/>
        </w:rPr>
        <w:t>, and</w:t>
      </w:r>
      <w:r w:rsidRPr="0021234D">
        <w:rPr>
          <w:spacing w:val="-2"/>
          <w:kern w:val="22"/>
        </w:rPr>
        <w:t xml:space="preserve"> </w:t>
      </w:r>
      <w:r w:rsidR="00B552E2" w:rsidRPr="0021234D">
        <w:rPr>
          <w:spacing w:val="-2"/>
          <w:kern w:val="22"/>
        </w:rPr>
        <w:t xml:space="preserve">line </w:t>
      </w:r>
      <w:r w:rsidRPr="0021234D">
        <w:rPr>
          <w:spacing w:val="-2"/>
          <w:kern w:val="22"/>
        </w:rPr>
        <w:t>managers had dual reporting relationships</w:t>
      </w:r>
      <w:r w:rsidR="00B552E2" w:rsidRPr="0021234D">
        <w:rPr>
          <w:spacing w:val="-2"/>
          <w:kern w:val="22"/>
        </w:rPr>
        <w:t xml:space="preserve">—with </w:t>
      </w:r>
      <w:r w:rsidRPr="0021234D">
        <w:rPr>
          <w:spacing w:val="-2"/>
          <w:kern w:val="22"/>
        </w:rPr>
        <w:t>product heads and area managers.</w:t>
      </w:r>
    </w:p>
    <w:p w14:paraId="14BCC050" w14:textId="77777777" w:rsidR="004E2C28" w:rsidRPr="00F57146" w:rsidRDefault="004E2C28" w:rsidP="00C1773D">
      <w:pPr>
        <w:pStyle w:val="BodyTextMain"/>
      </w:pPr>
    </w:p>
    <w:bookmarkEnd w:id="13"/>
    <w:p w14:paraId="282A81B3" w14:textId="789C7A07" w:rsidR="004E2C28" w:rsidRPr="00F57146" w:rsidRDefault="004E2C28" w:rsidP="00C1773D">
      <w:pPr>
        <w:pStyle w:val="BodyTextMain"/>
      </w:pPr>
      <w:r w:rsidRPr="00F57146">
        <w:t>The system was complex</w:t>
      </w:r>
      <w:r w:rsidR="00D7581B">
        <w:t>, and</w:t>
      </w:r>
      <w:r w:rsidRPr="00F57146">
        <w:t xml:space="preserve"> </w:t>
      </w:r>
      <w:bookmarkStart w:id="14" w:name="_Hlk510435980"/>
      <w:r w:rsidR="00D7581B">
        <w:t>pressure</w:t>
      </w:r>
      <w:r w:rsidR="00D7581B" w:rsidRPr="00F57146">
        <w:t xml:space="preserve"> </w:t>
      </w:r>
      <w:r w:rsidRPr="00F57146">
        <w:t>points were prone to erupt regularly. They were being doused</w:t>
      </w:r>
      <w:r w:rsidR="004E2EA5">
        <w:t xml:space="preserve"> locally</w:t>
      </w:r>
      <w:r w:rsidRPr="00F57146">
        <w:t xml:space="preserve">, by and large, before they flared up. There were also two mechanisms for conflict resolution at the global level. First, the company’s </w:t>
      </w:r>
      <w:r w:rsidR="00C51F1E">
        <w:t>executive</w:t>
      </w:r>
      <w:r w:rsidR="00D7581B">
        <w:t xml:space="preserve"> board</w:t>
      </w:r>
      <w:r w:rsidRPr="00F57146">
        <w:t xml:space="preserve">, led by the CEO, met monthly to formulate overall responses to a multitude of headwinds and tailwinds swirling in the system. </w:t>
      </w:r>
      <w:r w:rsidR="00022DD2">
        <w:t>The executive board</w:t>
      </w:r>
      <w:r w:rsidR="00022DD2" w:rsidRPr="00F57146">
        <w:t xml:space="preserve"> </w:t>
      </w:r>
      <w:r w:rsidRPr="00F57146">
        <w:t xml:space="preserve">would also </w:t>
      </w:r>
      <w:r w:rsidR="00D7581B">
        <w:t>examine internal fee</w:t>
      </w:r>
      <w:r w:rsidR="00A446B6">
        <w:t>dback regarding the fine details</w:t>
      </w:r>
      <w:r w:rsidR="00D7581B">
        <w:t xml:space="preserve"> of what</w:t>
      </w:r>
      <w:r w:rsidRPr="00F57146">
        <w:t xml:space="preserve"> was working, what was not working, what was moving fast</w:t>
      </w:r>
      <w:r w:rsidR="00D7581B">
        <w:t>,</w:t>
      </w:r>
      <w:r w:rsidRPr="00F57146">
        <w:t xml:space="preserve"> and what was moving </w:t>
      </w:r>
      <w:proofErr w:type="gramStart"/>
      <w:r w:rsidRPr="00F57146">
        <w:t>slow</w:t>
      </w:r>
      <w:proofErr w:type="gramEnd"/>
      <w:r w:rsidR="00022DD2">
        <w:t>,</w:t>
      </w:r>
      <w:r w:rsidR="00D7581B">
        <w:t xml:space="preserve"> and </w:t>
      </w:r>
      <w:r w:rsidRPr="00F57146">
        <w:t xml:space="preserve">make </w:t>
      </w:r>
      <w:r w:rsidR="00D7581B">
        <w:t xml:space="preserve">the </w:t>
      </w:r>
      <w:r w:rsidRPr="00F57146">
        <w:t>appropriate adjustments. Second, all the country managers, heads of globally managed businesses</w:t>
      </w:r>
      <w:r w:rsidR="00D7581B">
        <w:t>,</w:t>
      </w:r>
      <w:r w:rsidRPr="00F57146">
        <w:t xml:space="preserve"> and product heads</w:t>
      </w:r>
      <w:r w:rsidR="00D7581B">
        <w:t>—</w:t>
      </w:r>
      <w:r w:rsidRPr="00F57146">
        <w:t>about 180</w:t>
      </w:r>
      <w:r w:rsidR="00D7581B">
        <w:t xml:space="preserve"> individuals—</w:t>
      </w:r>
      <w:r w:rsidRPr="00F57146">
        <w:t>would meet at HQ every two years</w:t>
      </w:r>
      <w:r w:rsidR="00C709E7">
        <w:t xml:space="preserve"> for a week-long summit,</w:t>
      </w:r>
      <w:r w:rsidRPr="00F57146">
        <w:t xml:space="preserve"> </w:t>
      </w:r>
      <w:r w:rsidR="00C709E7">
        <w:t xml:space="preserve">during which time </w:t>
      </w:r>
      <w:r w:rsidR="004E3271">
        <w:t xml:space="preserve">the </w:t>
      </w:r>
      <w:r w:rsidR="00C709E7">
        <w:t xml:space="preserve">fine </w:t>
      </w:r>
      <w:r w:rsidR="00D7581B">
        <w:t>tuning</w:t>
      </w:r>
      <w:r w:rsidR="004E3271">
        <w:t xml:space="preserve"> of</w:t>
      </w:r>
      <w:r w:rsidRPr="00F57146">
        <w:t xml:space="preserve"> internal alignments was a priority item on their agenda.</w:t>
      </w:r>
    </w:p>
    <w:bookmarkEnd w:id="14"/>
    <w:p w14:paraId="01BE7231" w14:textId="77777777" w:rsidR="004E2C28" w:rsidRPr="00F57146" w:rsidRDefault="004E2C28" w:rsidP="00C1773D">
      <w:pPr>
        <w:pStyle w:val="BodyTextMain"/>
      </w:pPr>
    </w:p>
    <w:p w14:paraId="022F8431" w14:textId="53663B5E" w:rsidR="004E2C28" w:rsidRPr="0021234D" w:rsidRDefault="004E2C28" w:rsidP="00C1773D">
      <w:pPr>
        <w:pStyle w:val="BodyTextMain"/>
        <w:rPr>
          <w:spacing w:val="-2"/>
          <w:kern w:val="22"/>
        </w:rPr>
      </w:pPr>
      <w:bookmarkStart w:id="15" w:name="_Hlk510436059"/>
      <w:r w:rsidRPr="0021234D">
        <w:rPr>
          <w:spacing w:val="-2"/>
          <w:kern w:val="22"/>
        </w:rPr>
        <w:t xml:space="preserve">Over 90 per cent of what was sold in most country markets was produced locally. Local manufacture was a competitive advantage for </w:t>
      </w:r>
      <w:proofErr w:type="spellStart"/>
      <w:r w:rsidRPr="0021234D">
        <w:rPr>
          <w:spacing w:val="-2"/>
          <w:kern w:val="22"/>
        </w:rPr>
        <w:t>Garrard</w:t>
      </w:r>
      <w:proofErr w:type="spellEnd"/>
      <w:r w:rsidR="00025C27" w:rsidRPr="0021234D">
        <w:rPr>
          <w:spacing w:val="-2"/>
          <w:kern w:val="22"/>
        </w:rPr>
        <w:t xml:space="preserve"> that was fully realized</w:t>
      </w:r>
      <w:r w:rsidRPr="0021234D">
        <w:rPr>
          <w:spacing w:val="-2"/>
          <w:kern w:val="22"/>
        </w:rPr>
        <w:t xml:space="preserve"> during the Brexit crisis beginning in January 2013</w:t>
      </w:r>
      <w:r w:rsidR="0007312A" w:rsidRPr="0021234D">
        <w:rPr>
          <w:spacing w:val="-2"/>
          <w:kern w:val="22"/>
        </w:rPr>
        <w:t>,</w:t>
      </w:r>
      <w:r w:rsidRPr="0021234D">
        <w:rPr>
          <w:spacing w:val="-2"/>
          <w:kern w:val="22"/>
        </w:rPr>
        <w:t xml:space="preserve"> when the </w:t>
      </w:r>
      <w:r w:rsidR="003B1880" w:rsidRPr="0021234D">
        <w:rPr>
          <w:spacing w:val="-2"/>
          <w:kern w:val="22"/>
        </w:rPr>
        <w:t>UK</w:t>
      </w:r>
      <w:r w:rsidR="0007312A" w:rsidRPr="0021234D">
        <w:rPr>
          <w:spacing w:val="-2"/>
          <w:kern w:val="22"/>
        </w:rPr>
        <w:t xml:space="preserve"> </w:t>
      </w:r>
      <w:r w:rsidRPr="0021234D">
        <w:rPr>
          <w:spacing w:val="-2"/>
          <w:kern w:val="22"/>
        </w:rPr>
        <w:t>government announced its intention to seek a referendum on continuing with the EU.</w:t>
      </w:r>
      <w:r w:rsidRPr="0021234D">
        <w:rPr>
          <w:rStyle w:val="FootnoteReference"/>
          <w:spacing w:val="-2"/>
          <w:kern w:val="22"/>
        </w:rPr>
        <w:footnoteReference w:id="16"/>
      </w:r>
      <w:r w:rsidRPr="0021234D">
        <w:rPr>
          <w:spacing w:val="-2"/>
          <w:kern w:val="22"/>
        </w:rPr>
        <w:t xml:space="preserve"> Brexit represented a top risk for many MNEs with operations in the EU</w:t>
      </w:r>
      <w:r w:rsidR="001303F9" w:rsidRPr="0021234D">
        <w:rPr>
          <w:spacing w:val="-2"/>
          <w:kern w:val="22"/>
        </w:rPr>
        <w:t>, but for</w:t>
      </w:r>
      <w:r w:rsidRPr="0021234D">
        <w:rPr>
          <w:spacing w:val="-2"/>
          <w:kern w:val="22"/>
        </w:rPr>
        <w:t xml:space="preserve"> </w:t>
      </w:r>
      <w:proofErr w:type="spellStart"/>
      <w:r w:rsidRPr="0021234D">
        <w:rPr>
          <w:spacing w:val="-2"/>
          <w:kern w:val="22"/>
        </w:rPr>
        <w:t>Garrard</w:t>
      </w:r>
      <w:proofErr w:type="spellEnd"/>
      <w:r w:rsidRPr="0021234D">
        <w:rPr>
          <w:spacing w:val="-2"/>
          <w:kern w:val="22"/>
        </w:rPr>
        <w:t xml:space="preserve">, it did not </w:t>
      </w:r>
      <w:r w:rsidR="001303F9" w:rsidRPr="0021234D">
        <w:rPr>
          <w:spacing w:val="-2"/>
          <w:kern w:val="22"/>
        </w:rPr>
        <w:t xml:space="preserve">even </w:t>
      </w:r>
      <w:r w:rsidRPr="0021234D">
        <w:rPr>
          <w:spacing w:val="-2"/>
          <w:kern w:val="22"/>
        </w:rPr>
        <w:t xml:space="preserve">figure </w:t>
      </w:r>
      <w:r w:rsidR="001303F9" w:rsidRPr="0021234D">
        <w:rPr>
          <w:spacing w:val="-2"/>
          <w:kern w:val="22"/>
        </w:rPr>
        <w:t>in</w:t>
      </w:r>
      <w:r w:rsidR="002039F0" w:rsidRPr="0021234D">
        <w:rPr>
          <w:spacing w:val="-2"/>
          <w:kern w:val="22"/>
        </w:rPr>
        <w:t xml:space="preserve"> its</w:t>
      </w:r>
      <w:r w:rsidRPr="0021234D">
        <w:rPr>
          <w:spacing w:val="-2"/>
          <w:kern w:val="22"/>
        </w:rPr>
        <w:t xml:space="preserve"> top 10 risks. </w:t>
      </w:r>
      <w:r w:rsidR="00022DD2" w:rsidRPr="0021234D">
        <w:rPr>
          <w:spacing w:val="-2"/>
          <w:kern w:val="22"/>
        </w:rPr>
        <w:t>T</w:t>
      </w:r>
      <w:r w:rsidRPr="0021234D">
        <w:rPr>
          <w:spacing w:val="-2"/>
          <w:kern w:val="22"/>
        </w:rPr>
        <w:t xml:space="preserve">hat </w:t>
      </w:r>
      <w:proofErr w:type="spellStart"/>
      <w:r w:rsidRPr="0021234D">
        <w:rPr>
          <w:spacing w:val="-2"/>
          <w:kern w:val="22"/>
        </w:rPr>
        <w:t>Garrard</w:t>
      </w:r>
      <w:proofErr w:type="spellEnd"/>
      <w:r w:rsidRPr="0021234D">
        <w:rPr>
          <w:spacing w:val="-2"/>
          <w:kern w:val="22"/>
        </w:rPr>
        <w:t xml:space="preserve"> UK was </w:t>
      </w:r>
      <w:r w:rsidR="00C8749D" w:rsidRPr="0021234D">
        <w:rPr>
          <w:spacing w:val="-2"/>
          <w:kern w:val="22"/>
        </w:rPr>
        <w:t xml:space="preserve">locally </w:t>
      </w:r>
      <w:r w:rsidRPr="0021234D">
        <w:rPr>
          <w:spacing w:val="-2"/>
          <w:kern w:val="22"/>
        </w:rPr>
        <w:t>producing much of what it sold locally gave it a natural hedge.</w:t>
      </w:r>
    </w:p>
    <w:p w14:paraId="73EEFCBA" w14:textId="77777777" w:rsidR="004E2C28" w:rsidRPr="00F57146" w:rsidRDefault="004E2C28" w:rsidP="00C1773D">
      <w:pPr>
        <w:pStyle w:val="BodyTextMain"/>
      </w:pPr>
      <w:bookmarkStart w:id="16" w:name="_Hlk510512199"/>
      <w:bookmarkEnd w:id="15"/>
    </w:p>
    <w:p w14:paraId="326273DD" w14:textId="6C406D7A" w:rsidR="004E2C28" w:rsidRPr="00F57146" w:rsidRDefault="004E2C28" w:rsidP="00C1773D">
      <w:pPr>
        <w:pStyle w:val="BodyTextMain"/>
      </w:pPr>
      <w:bookmarkStart w:id="17" w:name="_Hlk511463847"/>
      <w:bookmarkStart w:id="18" w:name="_Hlk510512985"/>
      <w:bookmarkStart w:id="19" w:name="_Hlk510513921"/>
      <w:r w:rsidRPr="00F57146">
        <w:t xml:space="preserve">All </w:t>
      </w:r>
      <w:r w:rsidR="00C7121F">
        <w:t>entry-level</w:t>
      </w:r>
      <w:r w:rsidRPr="00F57146">
        <w:t xml:space="preserve"> jobs at </w:t>
      </w:r>
      <w:proofErr w:type="spellStart"/>
      <w:r w:rsidRPr="00F57146">
        <w:t>Garrard</w:t>
      </w:r>
      <w:proofErr w:type="spellEnd"/>
      <w:r w:rsidRPr="00F57146">
        <w:t xml:space="preserve"> were local. The company had a history of not only giving </w:t>
      </w:r>
      <w:r w:rsidR="00C7121F">
        <w:t>young people first job</w:t>
      </w:r>
      <w:r w:rsidRPr="00F57146">
        <w:t xml:space="preserve"> experiences</w:t>
      </w:r>
      <w:r w:rsidR="00022DD2">
        <w:t xml:space="preserve">; it </w:t>
      </w:r>
      <w:r w:rsidRPr="00F57146">
        <w:t xml:space="preserve">would </w:t>
      </w:r>
      <w:r w:rsidR="00C7121F">
        <w:t xml:space="preserve">also </w:t>
      </w:r>
      <w:r w:rsidRPr="00F57146">
        <w:t>recruit from universities and colleges</w:t>
      </w:r>
      <w:r w:rsidR="00C7121F">
        <w:t>,</w:t>
      </w:r>
      <w:r w:rsidRPr="00F57146">
        <w:t xml:space="preserve"> offering a career path</w:t>
      </w:r>
      <w:r w:rsidR="00C7121F">
        <w:t xml:space="preserve"> </w:t>
      </w:r>
      <w:r w:rsidRPr="00F57146">
        <w:t xml:space="preserve">including international mobility as part of its hire-to-retire system. </w:t>
      </w:r>
    </w:p>
    <w:p w14:paraId="0603A0B5" w14:textId="77777777" w:rsidR="004E2C28" w:rsidRPr="00F57146" w:rsidRDefault="004E2C28" w:rsidP="00C1773D">
      <w:pPr>
        <w:pStyle w:val="BodyTextMain"/>
      </w:pPr>
    </w:p>
    <w:bookmarkEnd w:id="17"/>
    <w:p w14:paraId="5438F4CD" w14:textId="043E67BB" w:rsidR="004E2C28" w:rsidRPr="00F57146" w:rsidRDefault="004E2C28" w:rsidP="00C1773D">
      <w:pPr>
        <w:pStyle w:val="BodyTextMain"/>
      </w:pPr>
      <w:r w:rsidRPr="00F57146">
        <w:t>In a bid to address youth unemployment</w:t>
      </w:r>
      <w:r w:rsidR="00221DD4">
        <w:t>,</w:t>
      </w:r>
      <w:r w:rsidRPr="00F57146">
        <w:t xml:space="preserve"> which was reaching critical levels in excess of 40 per cent in European countries like Greece and Spain,</w:t>
      </w:r>
      <w:r w:rsidRPr="005B7EE5">
        <w:rPr>
          <w:rStyle w:val="FootnoteReference"/>
        </w:rPr>
        <w:footnoteReference w:id="17"/>
      </w:r>
      <w:r w:rsidRPr="00F57146">
        <w:t xml:space="preserve"> </w:t>
      </w:r>
      <w:bookmarkStart w:id="20" w:name="_Hlk532716321"/>
      <w:r w:rsidRPr="00F57146">
        <w:t xml:space="preserve">the company had launched a global program </w:t>
      </w:r>
      <w:r w:rsidR="00221DD4">
        <w:t xml:space="preserve">in 2010 </w:t>
      </w:r>
      <w:r w:rsidRPr="00F57146">
        <w:t>called “</w:t>
      </w:r>
      <w:proofErr w:type="spellStart"/>
      <w:r w:rsidRPr="00F57146">
        <w:t>Garrard</w:t>
      </w:r>
      <w:proofErr w:type="spellEnd"/>
      <w:r w:rsidRPr="00F57146">
        <w:t xml:space="preserve"> Foot in the Door</w:t>
      </w:r>
      <w:r w:rsidR="00221DD4">
        <w:t>.</w:t>
      </w:r>
      <w:r w:rsidRPr="00F57146">
        <w:t xml:space="preserve">” </w:t>
      </w:r>
      <w:r w:rsidR="00221DD4">
        <w:t>This program</w:t>
      </w:r>
      <w:r w:rsidRPr="00F57146">
        <w:t xml:space="preserve"> was aimed at helping young people in local markets around the world develop </w:t>
      </w:r>
      <w:r w:rsidR="00221DD4">
        <w:t>job-related</w:t>
      </w:r>
      <w:r w:rsidRPr="00F57146">
        <w:t xml:space="preserve"> skills and </w:t>
      </w:r>
      <w:r w:rsidR="00221DD4">
        <w:t>enter</w:t>
      </w:r>
      <w:r w:rsidRPr="00F57146">
        <w:t xml:space="preserve"> the job market. The program was also extended to countries like Japan where</w:t>
      </w:r>
      <w:r w:rsidR="00221DD4">
        <w:t>,</w:t>
      </w:r>
      <w:r w:rsidRPr="00F57146">
        <w:t xml:space="preserve"> although overall unemployment was low, youth unemployment was higher.</w:t>
      </w:r>
    </w:p>
    <w:p w14:paraId="28144D64" w14:textId="77777777" w:rsidR="004E2C28" w:rsidRPr="00F57146" w:rsidRDefault="004E2C28" w:rsidP="00C1773D">
      <w:pPr>
        <w:pStyle w:val="BodyTextMain"/>
      </w:pPr>
    </w:p>
    <w:bookmarkEnd w:id="20"/>
    <w:p w14:paraId="2DE9C4E7" w14:textId="690955A1" w:rsidR="004E2C28" w:rsidRPr="00F57146" w:rsidRDefault="004E2C28" w:rsidP="00C1773D">
      <w:pPr>
        <w:pStyle w:val="BodyTextMain"/>
      </w:pPr>
      <w:proofErr w:type="spellStart"/>
      <w:r w:rsidRPr="00F57146">
        <w:t>Garrard</w:t>
      </w:r>
      <w:bookmarkEnd w:id="16"/>
      <w:bookmarkEnd w:id="18"/>
      <w:proofErr w:type="spellEnd"/>
      <w:r w:rsidRPr="00F57146">
        <w:t xml:space="preserve"> was characterized by a stable tenure of leadership at the top</w:t>
      </w:r>
      <w:r w:rsidR="00A965A9">
        <w:t>,</w:t>
      </w:r>
      <w:r w:rsidRPr="00F57146">
        <w:t xml:space="preserve"> ensuring consistency of strategy. Recent CEOs, for example, had joined </w:t>
      </w:r>
      <w:proofErr w:type="spellStart"/>
      <w:r w:rsidRPr="00F57146">
        <w:t>Garrard</w:t>
      </w:r>
      <w:proofErr w:type="spellEnd"/>
      <w:r w:rsidRPr="00F57146">
        <w:t xml:space="preserve"> at </w:t>
      </w:r>
      <w:r w:rsidR="000F6AA5">
        <w:t>entry-level</w:t>
      </w:r>
      <w:r w:rsidRPr="00F57146">
        <w:t xml:space="preserve"> jobs and risen to become CEOs</w:t>
      </w:r>
      <w:r w:rsidR="000F6AA5">
        <w:t>,</w:t>
      </w:r>
      <w:r w:rsidRPr="00F57146">
        <w:t xml:space="preserve"> where they had prevailed for a decade. Yet the </w:t>
      </w:r>
      <w:r w:rsidR="002B6275">
        <w:t xml:space="preserve">global </w:t>
      </w:r>
      <w:r w:rsidRPr="00F57146">
        <w:t>trend was for more outside CEOs.</w:t>
      </w:r>
      <w:r w:rsidRPr="005B7EE5">
        <w:rPr>
          <w:rStyle w:val="FootnoteReference"/>
        </w:rPr>
        <w:footnoteReference w:id="18"/>
      </w:r>
    </w:p>
    <w:bookmarkEnd w:id="19"/>
    <w:p w14:paraId="7C33A802" w14:textId="77777777" w:rsidR="004E2C28" w:rsidRPr="0021234D" w:rsidRDefault="004E2C28" w:rsidP="00C1773D">
      <w:pPr>
        <w:pStyle w:val="BodyTextMain"/>
        <w:rPr>
          <w:sz w:val="18"/>
          <w:szCs w:val="18"/>
        </w:rPr>
      </w:pPr>
    </w:p>
    <w:p w14:paraId="64C1499D" w14:textId="77777777" w:rsidR="004E2C28" w:rsidRPr="0021234D" w:rsidRDefault="004E2C28" w:rsidP="00C1773D">
      <w:pPr>
        <w:pStyle w:val="BodyTextMain"/>
        <w:rPr>
          <w:sz w:val="18"/>
          <w:szCs w:val="18"/>
        </w:rPr>
      </w:pPr>
    </w:p>
    <w:p w14:paraId="6631F3A9" w14:textId="77777777" w:rsidR="004E2C28" w:rsidRPr="00F57146" w:rsidRDefault="004E2C28" w:rsidP="00C1773D">
      <w:pPr>
        <w:pStyle w:val="Casehead1"/>
      </w:pPr>
      <w:r w:rsidRPr="00F57146">
        <w:t xml:space="preserve">GARRARD JAPAN </w:t>
      </w:r>
    </w:p>
    <w:p w14:paraId="255D7C41" w14:textId="77777777" w:rsidR="004E2C28" w:rsidRPr="0021234D" w:rsidRDefault="004E2C28" w:rsidP="00C1773D">
      <w:pPr>
        <w:pStyle w:val="BodyTextMain"/>
        <w:rPr>
          <w:sz w:val="18"/>
          <w:szCs w:val="18"/>
        </w:rPr>
      </w:pPr>
    </w:p>
    <w:p w14:paraId="0E7485A2" w14:textId="6A080872" w:rsidR="004E2C28" w:rsidRPr="00F57146" w:rsidRDefault="004E2C28" w:rsidP="00C1773D">
      <w:pPr>
        <w:pStyle w:val="BodyTextMain"/>
      </w:pPr>
      <w:r w:rsidRPr="00F57146">
        <w:t xml:space="preserve">Launched in the 1930s, </w:t>
      </w:r>
      <w:proofErr w:type="spellStart"/>
      <w:r w:rsidRPr="00F57146">
        <w:t>Garrard</w:t>
      </w:r>
      <w:proofErr w:type="spellEnd"/>
      <w:r w:rsidRPr="00F57146">
        <w:t xml:space="preserve"> Japan generated sales of $4 billion in 2016. It had 20 manufacturing, sales</w:t>
      </w:r>
      <w:r w:rsidR="000F6AA5">
        <w:t>,</w:t>
      </w:r>
      <w:r w:rsidRPr="00F57146">
        <w:t xml:space="preserve"> and distribution sites across the country. </w:t>
      </w:r>
      <w:r w:rsidR="002B6275">
        <w:t>Sixty</w:t>
      </w:r>
      <w:r w:rsidR="002B6275" w:rsidRPr="002B6275">
        <w:t xml:space="preserve"> per cent of </w:t>
      </w:r>
      <w:proofErr w:type="spellStart"/>
      <w:r w:rsidR="002B6275" w:rsidRPr="002B6275">
        <w:t>Garrard</w:t>
      </w:r>
      <w:proofErr w:type="spellEnd"/>
      <w:r w:rsidR="002B6275" w:rsidRPr="002B6275">
        <w:t xml:space="preserve"> Japan’s finished products were imported from 30 of its subsidiaries</w:t>
      </w:r>
      <w:r w:rsidR="002B6275">
        <w:t>.</w:t>
      </w:r>
      <w:r w:rsidRPr="00F57146">
        <w:t xml:space="preserve"> </w:t>
      </w:r>
    </w:p>
    <w:p w14:paraId="1228E679" w14:textId="77777777" w:rsidR="004E2C28" w:rsidRPr="00F57146" w:rsidRDefault="004E2C28" w:rsidP="00C1773D">
      <w:pPr>
        <w:pStyle w:val="BodyTextMain"/>
      </w:pPr>
      <w:proofErr w:type="spellStart"/>
      <w:r w:rsidRPr="00F57146">
        <w:lastRenderedPageBreak/>
        <w:t>Garrard</w:t>
      </w:r>
      <w:proofErr w:type="spellEnd"/>
      <w:r w:rsidRPr="00F57146">
        <w:t xml:space="preserve"> Japan had several top-selling brands in its portfolio. The company employed 6,000 people in various roles and sourced $1.4 billion worth of Japanese products and services annually. </w:t>
      </w:r>
    </w:p>
    <w:p w14:paraId="461E5C2A" w14:textId="77777777" w:rsidR="004E2C28" w:rsidRPr="00F57146" w:rsidRDefault="004E2C28" w:rsidP="00C1773D">
      <w:pPr>
        <w:pStyle w:val="BodyTextMain"/>
      </w:pPr>
    </w:p>
    <w:p w14:paraId="15C2978B" w14:textId="413676F3" w:rsidR="004E2C28" w:rsidRPr="00F57146" w:rsidRDefault="004E2C28" w:rsidP="00C1773D">
      <w:pPr>
        <w:pStyle w:val="BodyTextMain"/>
      </w:pPr>
      <w:r w:rsidRPr="00F57146">
        <w:t xml:space="preserve">Tanaka </w:t>
      </w:r>
      <w:r w:rsidR="0012072E">
        <w:t xml:space="preserve">was Japanese and </w:t>
      </w:r>
      <w:r w:rsidRPr="00F57146">
        <w:t xml:space="preserve">had joined </w:t>
      </w:r>
      <w:proofErr w:type="spellStart"/>
      <w:r w:rsidRPr="00F57146">
        <w:t>Garrard</w:t>
      </w:r>
      <w:proofErr w:type="spellEnd"/>
      <w:r w:rsidRPr="00F57146">
        <w:t xml:space="preserve"> Japan in 1990 in sales and marketing and moved through leadership roles in local business divisions</w:t>
      </w:r>
      <w:r w:rsidR="00E661BC">
        <w:t>, rising</w:t>
      </w:r>
      <w:r w:rsidRPr="00F57146">
        <w:t xml:space="preserve"> to become </w:t>
      </w:r>
      <w:r w:rsidR="00E661BC">
        <w:t>the subsidiary’s</w:t>
      </w:r>
      <w:r w:rsidR="00E661BC" w:rsidRPr="00F57146">
        <w:t xml:space="preserve"> </w:t>
      </w:r>
      <w:r w:rsidR="00E661BC">
        <w:t>president</w:t>
      </w:r>
      <w:r w:rsidR="00E661BC" w:rsidRPr="00F57146">
        <w:t xml:space="preserve"> </w:t>
      </w:r>
      <w:r w:rsidRPr="00F57146">
        <w:t>and CEO i</w:t>
      </w:r>
      <w:r w:rsidR="00A446B6">
        <w:t>n 2013. He had 11 employees who reported directly to him</w:t>
      </w:r>
      <w:r w:rsidR="00E661BC">
        <w:t xml:space="preserve"> including</w:t>
      </w:r>
      <w:r w:rsidRPr="00F57146">
        <w:t xml:space="preserve"> four product heads and seven function heads. As </w:t>
      </w:r>
      <w:proofErr w:type="spellStart"/>
      <w:r w:rsidR="0012072E">
        <w:t>Garrard’s</w:t>
      </w:r>
      <w:proofErr w:type="spellEnd"/>
      <w:r w:rsidR="0012072E">
        <w:t xml:space="preserve"> </w:t>
      </w:r>
      <w:r w:rsidRPr="00F57146">
        <w:t xml:space="preserve">country leader, he also </w:t>
      </w:r>
      <w:r w:rsidR="00E661BC">
        <w:t>oversaw</w:t>
      </w:r>
      <w:r w:rsidRPr="00F57146">
        <w:t xml:space="preserve"> in-market activities for globally managed businesses</w:t>
      </w:r>
      <w:r w:rsidR="0012072E">
        <w:t xml:space="preserve">. </w:t>
      </w:r>
      <w:r w:rsidRPr="00F57146">
        <w:t xml:space="preserve">He reported to a zone executive </w:t>
      </w:r>
      <w:r w:rsidR="00E661BC">
        <w:t>vice-president</w:t>
      </w:r>
      <w:r w:rsidRPr="00F57146">
        <w:t xml:space="preserve"> at HQ. </w:t>
      </w:r>
    </w:p>
    <w:p w14:paraId="653C72A1" w14:textId="77777777" w:rsidR="004E2C28" w:rsidRPr="00F57146" w:rsidRDefault="004E2C28" w:rsidP="00C1773D">
      <w:pPr>
        <w:pStyle w:val="BodyTextMain"/>
      </w:pPr>
    </w:p>
    <w:p w14:paraId="5B068119" w14:textId="12184F6A" w:rsidR="004E2C28" w:rsidRPr="00F57146" w:rsidRDefault="004E2C28" w:rsidP="00C1773D">
      <w:pPr>
        <w:pStyle w:val="BodyTextMain"/>
      </w:pPr>
      <w:r w:rsidRPr="00F57146">
        <w:t xml:space="preserve">Social media had exacerbated the </w:t>
      </w:r>
      <w:r w:rsidR="00D1796D">
        <w:t>global–local</w:t>
      </w:r>
      <w:r w:rsidRPr="00F57146">
        <w:t xml:space="preserve"> pressure points for </w:t>
      </w:r>
      <w:proofErr w:type="spellStart"/>
      <w:r w:rsidRPr="00F57146">
        <w:t>Garrard</w:t>
      </w:r>
      <w:proofErr w:type="spellEnd"/>
      <w:r w:rsidRPr="00F57146">
        <w:t xml:space="preserve"> Japan. Issues happening globally within </w:t>
      </w:r>
      <w:proofErr w:type="spellStart"/>
      <w:r w:rsidRPr="00F57146">
        <w:t>Garrard</w:t>
      </w:r>
      <w:proofErr w:type="spellEnd"/>
      <w:r w:rsidRPr="00F57146">
        <w:t xml:space="preserve"> would </w:t>
      </w:r>
      <w:r w:rsidR="00D1796D">
        <w:t>affect</w:t>
      </w:r>
      <w:r w:rsidR="00D1796D" w:rsidRPr="00F57146">
        <w:t xml:space="preserve"> </w:t>
      </w:r>
      <w:r w:rsidRPr="00F57146">
        <w:t>the Japanese subsidiary</w:t>
      </w:r>
      <w:r w:rsidR="00D1796D">
        <w:t>,</w:t>
      </w:r>
      <w:r w:rsidRPr="00F57146">
        <w:t xml:space="preserve"> even when those issues had no bearing locally. For example, Japanese consumers </w:t>
      </w:r>
      <w:r w:rsidR="00D1796D">
        <w:t>were made aware of</w:t>
      </w:r>
      <w:r w:rsidRPr="00F57146">
        <w:t xml:space="preserve"> product recalls through social media and were raising questions locally about product safety. </w:t>
      </w:r>
    </w:p>
    <w:p w14:paraId="23938A87" w14:textId="77777777" w:rsidR="004E2C28" w:rsidRPr="00F57146" w:rsidRDefault="004E2C28" w:rsidP="00C1773D">
      <w:pPr>
        <w:pStyle w:val="BodyTextMain"/>
      </w:pPr>
    </w:p>
    <w:p w14:paraId="6E362CD7" w14:textId="68C0DF61" w:rsidR="004E2C28" w:rsidRPr="00F57146" w:rsidRDefault="004E2C28" w:rsidP="00C1773D">
      <w:pPr>
        <w:pStyle w:val="BodyTextMain"/>
      </w:pPr>
      <w:r w:rsidRPr="00F57146">
        <w:t>Whenever HQ tracked the performance of each zone in terms of margins, average selling price</w:t>
      </w:r>
      <w:r w:rsidR="00B57C4F">
        <w:t xml:space="preserve">, </w:t>
      </w:r>
      <w:r w:rsidRPr="00F57146">
        <w:t xml:space="preserve">and cost of distribution, </w:t>
      </w:r>
      <w:proofErr w:type="spellStart"/>
      <w:r w:rsidRPr="00F57146">
        <w:t>Garrard</w:t>
      </w:r>
      <w:proofErr w:type="spellEnd"/>
      <w:r w:rsidRPr="00F57146">
        <w:t xml:space="preserve"> Japan had a disadvantage with its peers in some other zones</w:t>
      </w:r>
      <w:r w:rsidR="00E10D82">
        <w:t xml:space="preserve"> b</w:t>
      </w:r>
      <w:r w:rsidR="00AC58E1">
        <w:t>e</w:t>
      </w:r>
      <w:r w:rsidR="00E10D82">
        <w:t xml:space="preserve">cause </w:t>
      </w:r>
      <w:r w:rsidRPr="00F57146">
        <w:t>the regulatory requirements of Japanese translation in packaging</w:t>
      </w:r>
      <w:r w:rsidR="00E974A8">
        <w:t xml:space="preserve"> </w:t>
      </w:r>
      <w:r w:rsidR="000116F2">
        <w:t>among others</w:t>
      </w:r>
      <w:r w:rsidRPr="00F57146">
        <w:t xml:space="preserve"> had added to the costs of trade in Japan. HQ was regularly asking </w:t>
      </w:r>
      <w:proofErr w:type="spellStart"/>
      <w:r w:rsidRPr="00F57146">
        <w:t>Garrard</w:t>
      </w:r>
      <w:proofErr w:type="spellEnd"/>
      <w:r w:rsidRPr="00F57146">
        <w:t xml:space="preserve"> Japan</w:t>
      </w:r>
      <w:r w:rsidR="008B382E">
        <w:t>,</w:t>
      </w:r>
      <w:r w:rsidRPr="00F57146">
        <w:t xml:space="preserve"> “Why are your margins not as good? When will you improve your profitability? Do something.” </w:t>
      </w:r>
    </w:p>
    <w:p w14:paraId="2F631F1B" w14:textId="77777777" w:rsidR="004E2C28" w:rsidRPr="00F57146" w:rsidRDefault="004E2C28" w:rsidP="00C1773D">
      <w:pPr>
        <w:pStyle w:val="BodyTextMain"/>
      </w:pPr>
    </w:p>
    <w:p w14:paraId="08AD10F9" w14:textId="77777777" w:rsidR="004E2C28" w:rsidRPr="00F57146" w:rsidRDefault="004E2C28" w:rsidP="00C1773D">
      <w:pPr>
        <w:pStyle w:val="BodyTextMain"/>
      </w:pPr>
    </w:p>
    <w:p w14:paraId="7270E2D7" w14:textId="77777777" w:rsidR="004E2C28" w:rsidRPr="00F57146" w:rsidRDefault="004E2C28" w:rsidP="00C1773D">
      <w:pPr>
        <w:pStyle w:val="Casehead1"/>
      </w:pPr>
      <w:bookmarkStart w:id="21" w:name="_Hlk513363109"/>
      <w:r w:rsidRPr="00F57146">
        <w:t>GARRARD SURVEY</w:t>
      </w:r>
    </w:p>
    <w:p w14:paraId="6FBB4FC2" w14:textId="77777777" w:rsidR="004E2C28" w:rsidRPr="00F57146" w:rsidRDefault="004E2C28" w:rsidP="00C1773D">
      <w:pPr>
        <w:pStyle w:val="BodyTextMain"/>
      </w:pPr>
    </w:p>
    <w:p w14:paraId="7FEFB6D7" w14:textId="495640DF" w:rsidR="004E2C28" w:rsidRPr="00F57146" w:rsidRDefault="004E2C28" w:rsidP="00C1773D">
      <w:pPr>
        <w:pStyle w:val="BodyTextMain"/>
        <w:rPr>
          <w:rFonts w:eastAsiaTheme="minorEastAsia"/>
          <w:lang w:eastAsia="zh-TW"/>
        </w:rPr>
      </w:pPr>
      <w:r w:rsidRPr="00F57146">
        <w:rPr>
          <w:rFonts w:eastAsiaTheme="minorEastAsia"/>
          <w:lang w:eastAsia="zh-TW"/>
        </w:rPr>
        <w:t xml:space="preserve">The </w:t>
      </w:r>
      <w:proofErr w:type="spellStart"/>
      <w:r w:rsidRPr="00F57146">
        <w:rPr>
          <w:rFonts w:eastAsiaTheme="minorEastAsia"/>
          <w:lang w:eastAsia="zh-TW"/>
        </w:rPr>
        <w:t>Garrard</w:t>
      </w:r>
      <w:proofErr w:type="spellEnd"/>
      <w:r w:rsidRPr="00F57146">
        <w:rPr>
          <w:rFonts w:eastAsiaTheme="minorEastAsia"/>
          <w:lang w:eastAsia="zh-TW"/>
        </w:rPr>
        <w:t xml:space="preserve"> Survey, as it was called, was </w:t>
      </w:r>
      <w:r w:rsidR="00187CDE">
        <w:rPr>
          <w:rFonts w:eastAsiaTheme="minorEastAsia"/>
          <w:lang w:eastAsia="zh-TW"/>
        </w:rPr>
        <w:t>carried out</w:t>
      </w:r>
      <w:r w:rsidR="00187CDE" w:rsidRPr="00F57146">
        <w:rPr>
          <w:rFonts w:eastAsiaTheme="minorEastAsia"/>
          <w:lang w:eastAsia="zh-TW"/>
        </w:rPr>
        <w:t xml:space="preserve"> </w:t>
      </w:r>
      <w:r w:rsidRPr="00F57146">
        <w:rPr>
          <w:rFonts w:eastAsiaTheme="minorEastAsia"/>
          <w:lang w:eastAsia="zh-TW"/>
        </w:rPr>
        <w:t xml:space="preserve">by a public opinion and market research firm based in Tokyo. It was conducted online </w:t>
      </w:r>
      <w:r w:rsidR="004D0E65">
        <w:rPr>
          <w:rFonts w:eastAsiaTheme="minorEastAsia"/>
          <w:lang w:eastAsia="zh-TW"/>
        </w:rPr>
        <w:t xml:space="preserve">from </w:t>
      </w:r>
      <w:r w:rsidRPr="00F57146">
        <w:rPr>
          <w:rFonts w:eastAsiaTheme="minorEastAsia"/>
          <w:lang w:eastAsia="zh-TW"/>
        </w:rPr>
        <w:t>July 26</w:t>
      </w:r>
      <w:r w:rsidR="004D0E65">
        <w:rPr>
          <w:rFonts w:eastAsiaTheme="minorEastAsia"/>
          <w:lang w:eastAsia="zh-TW"/>
        </w:rPr>
        <w:t xml:space="preserve"> to </w:t>
      </w:r>
      <w:r w:rsidRPr="00F57146">
        <w:rPr>
          <w:rFonts w:eastAsiaTheme="minorEastAsia"/>
          <w:lang w:eastAsia="zh-TW"/>
        </w:rPr>
        <w:t>August 2, 2017, with a sample of 1,201 Japanese</w:t>
      </w:r>
      <w:r w:rsidR="004D0E65">
        <w:rPr>
          <w:rFonts w:eastAsiaTheme="minorEastAsia"/>
          <w:lang w:eastAsia="zh-TW"/>
        </w:rPr>
        <w:t xml:space="preserve"> adults</w:t>
      </w:r>
      <w:r w:rsidRPr="00F57146">
        <w:rPr>
          <w:rFonts w:eastAsiaTheme="minorEastAsia"/>
          <w:lang w:eastAsia="zh-TW"/>
        </w:rPr>
        <w:t>. The most recent Japanese census was used to make the sample representative in terms of age, gender</w:t>
      </w:r>
      <w:r w:rsidR="004D0E65">
        <w:rPr>
          <w:rFonts w:eastAsiaTheme="minorEastAsia"/>
          <w:lang w:eastAsia="zh-TW"/>
        </w:rPr>
        <w:t>,</w:t>
      </w:r>
      <w:r w:rsidRPr="00F57146">
        <w:rPr>
          <w:rFonts w:eastAsiaTheme="minorEastAsia"/>
          <w:lang w:eastAsia="zh-TW"/>
        </w:rPr>
        <w:t xml:space="preserve"> and region. The margin of error was pegged at ± 2.8 per cent. </w:t>
      </w:r>
    </w:p>
    <w:p w14:paraId="2A464F91" w14:textId="77777777" w:rsidR="004E2C28" w:rsidRPr="00F57146" w:rsidRDefault="004E2C28" w:rsidP="00C1773D">
      <w:pPr>
        <w:pStyle w:val="BodyTextMain"/>
        <w:rPr>
          <w:rFonts w:eastAsiaTheme="minorEastAsia"/>
          <w:lang w:eastAsia="zh-TW"/>
        </w:rPr>
      </w:pPr>
    </w:p>
    <w:p w14:paraId="66673215" w14:textId="053BD9A9" w:rsidR="004E2C28" w:rsidRPr="00F57146" w:rsidRDefault="004E2C28" w:rsidP="00C1773D">
      <w:pPr>
        <w:pStyle w:val="BodyTextMain"/>
        <w:rPr>
          <w:rFonts w:eastAsiaTheme="minorEastAsia"/>
          <w:lang w:eastAsia="zh-TW"/>
        </w:rPr>
      </w:pPr>
      <w:r w:rsidRPr="00F57146">
        <w:rPr>
          <w:rFonts w:eastAsiaTheme="minorEastAsia"/>
          <w:lang w:eastAsia="zh-TW"/>
        </w:rPr>
        <w:t xml:space="preserve">Tanaka was keen on exploring the idea that an MNE could embody both the global </w:t>
      </w:r>
      <w:r w:rsidR="00F80AD6">
        <w:rPr>
          <w:rFonts w:eastAsiaTheme="minorEastAsia"/>
          <w:lang w:eastAsia="zh-TW"/>
        </w:rPr>
        <w:t>attribute</w:t>
      </w:r>
      <w:r w:rsidR="00F80AD6" w:rsidRPr="00F57146">
        <w:rPr>
          <w:rFonts w:eastAsiaTheme="minorEastAsia"/>
          <w:lang w:eastAsia="zh-TW"/>
        </w:rPr>
        <w:t xml:space="preserve"> </w:t>
      </w:r>
      <w:r w:rsidRPr="00F57146">
        <w:rPr>
          <w:rFonts w:eastAsiaTheme="minorEastAsia"/>
          <w:lang w:eastAsia="zh-TW"/>
        </w:rPr>
        <w:t xml:space="preserve">of leveraging scale </w:t>
      </w:r>
      <w:r w:rsidR="00F80AD6">
        <w:rPr>
          <w:rFonts w:eastAsiaTheme="minorEastAsia"/>
          <w:lang w:eastAsia="zh-TW"/>
        </w:rPr>
        <w:t>in</w:t>
      </w:r>
      <w:r w:rsidRPr="00F57146">
        <w:rPr>
          <w:rFonts w:eastAsiaTheme="minorEastAsia"/>
          <w:lang w:eastAsia="zh-TW"/>
        </w:rPr>
        <w:t xml:space="preserve"> expanding into new markets and the local </w:t>
      </w:r>
      <w:r w:rsidR="00F80AD6">
        <w:rPr>
          <w:rFonts w:eastAsiaTheme="minorEastAsia"/>
          <w:lang w:eastAsia="zh-TW"/>
        </w:rPr>
        <w:t>attribute</w:t>
      </w:r>
      <w:r w:rsidR="00F80AD6" w:rsidRPr="00F57146">
        <w:rPr>
          <w:rFonts w:eastAsiaTheme="minorEastAsia"/>
          <w:lang w:eastAsia="zh-TW"/>
        </w:rPr>
        <w:t xml:space="preserve"> </w:t>
      </w:r>
      <w:r w:rsidRPr="00F57146">
        <w:rPr>
          <w:rFonts w:eastAsiaTheme="minorEastAsia"/>
          <w:lang w:eastAsia="zh-TW"/>
        </w:rPr>
        <w:t xml:space="preserve">of serving the needs of </w:t>
      </w:r>
      <w:r w:rsidR="00F80AD6">
        <w:rPr>
          <w:rFonts w:eastAsiaTheme="minorEastAsia"/>
          <w:lang w:eastAsia="zh-TW"/>
        </w:rPr>
        <w:t xml:space="preserve">the </w:t>
      </w:r>
      <w:r w:rsidRPr="00F57146">
        <w:rPr>
          <w:rFonts w:eastAsiaTheme="minorEastAsia"/>
          <w:lang w:eastAsia="zh-TW"/>
        </w:rPr>
        <w:t>local communities in which it was doing business. Ten major CPG firms were chosen for the survey.</w:t>
      </w:r>
    </w:p>
    <w:p w14:paraId="1FF9499D" w14:textId="77777777" w:rsidR="004E2C28" w:rsidRPr="00F57146" w:rsidRDefault="004E2C28" w:rsidP="00C1773D">
      <w:pPr>
        <w:pStyle w:val="BodyTextMain"/>
        <w:rPr>
          <w:rFonts w:eastAsiaTheme="minorEastAsia"/>
          <w:lang w:eastAsia="zh-TW"/>
        </w:rPr>
      </w:pPr>
    </w:p>
    <w:p w14:paraId="3989DAC9" w14:textId="21E23880" w:rsidR="004E2C28" w:rsidRPr="00F57146" w:rsidRDefault="004E2C28" w:rsidP="00C1773D">
      <w:pPr>
        <w:pStyle w:val="BodyTextMain"/>
        <w:rPr>
          <w:rFonts w:ascii="PMingLiU" w:eastAsiaTheme="minorEastAsia" w:hAnsi="PMingLiU" w:cs="PMingLiU"/>
          <w:lang w:eastAsia="zh-TW"/>
        </w:rPr>
      </w:pPr>
      <w:r w:rsidRPr="00C1773D">
        <w:rPr>
          <w:rFonts w:eastAsiaTheme="minorEastAsia"/>
        </w:rPr>
        <w:t xml:space="preserve">Tanaka’s own idea of </w:t>
      </w:r>
      <w:proofErr w:type="spellStart"/>
      <w:r w:rsidRPr="00C1773D">
        <w:rPr>
          <w:rFonts w:eastAsiaTheme="minorEastAsia"/>
        </w:rPr>
        <w:t>Garrard</w:t>
      </w:r>
      <w:proofErr w:type="spellEnd"/>
      <w:r w:rsidRPr="00C1773D">
        <w:rPr>
          <w:rFonts w:eastAsiaTheme="minorEastAsia"/>
        </w:rPr>
        <w:t xml:space="preserve"> as a </w:t>
      </w:r>
      <w:proofErr w:type="spellStart"/>
      <w:r w:rsidRPr="00C1773D">
        <w:rPr>
          <w:rFonts w:eastAsiaTheme="minorEastAsia"/>
        </w:rPr>
        <w:t>glocal</w:t>
      </w:r>
      <w:proofErr w:type="spellEnd"/>
      <w:r w:rsidRPr="00C1773D">
        <w:rPr>
          <w:rFonts w:eastAsiaTheme="minorEastAsia"/>
        </w:rPr>
        <w:t xml:space="preserve"> company was that </w:t>
      </w:r>
      <w:proofErr w:type="spellStart"/>
      <w:r w:rsidRPr="00C1773D">
        <w:rPr>
          <w:rFonts w:eastAsiaTheme="minorEastAsia"/>
        </w:rPr>
        <w:t>Garrard</w:t>
      </w:r>
      <w:proofErr w:type="spellEnd"/>
      <w:r w:rsidRPr="00C1773D">
        <w:rPr>
          <w:rFonts w:eastAsiaTheme="minorEastAsia"/>
        </w:rPr>
        <w:t xml:space="preserve"> would not only have the size, scale</w:t>
      </w:r>
      <w:r w:rsidR="00F80AD6" w:rsidRPr="00C1773D">
        <w:rPr>
          <w:rFonts w:eastAsiaTheme="minorEastAsia"/>
        </w:rPr>
        <w:t>,</w:t>
      </w:r>
      <w:r w:rsidRPr="00C1773D">
        <w:rPr>
          <w:rFonts w:eastAsiaTheme="minorEastAsia"/>
        </w:rPr>
        <w:t xml:space="preserve"> and expertise to offer the best products from around the world to </w:t>
      </w:r>
      <w:r w:rsidR="00F80AD6" w:rsidRPr="00C1773D">
        <w:rPr>
          <w:rFonts w:eastAsiaTheme="minorEastAsia"/>
        </w:rPr>
        <w:t xml:space="preserve">the </w:t>
      </w:r>
      <w:r w:rsidRPr="00C1773D">
        <w:rPr>
          <w:rFonts w:eastAsiaTheme="minorEastAsia"/>
        </w:rPr>
        <w:t>Japanese</w:t>
      </w:r>
      <w:r w:rsidR="008B382E" w:rsidRPr="00C1773D">
        <w:rPr>
          <w:rFonts w:eastAsiaTheme="minorEastAsia"/>
        </w:rPr>
        <w:t>,</w:t>
      </w:r>
      <w:r w:rsidRPr="00C1773D">
        <w:rPr>
          <w:rFonts w:eastAsiaTheme="minorEastAsia"/>
        </w:rPr>
        <w:t xml:space="preserve"> but </w:t>
      </w:r>
      <w:r w:rsidR="008B382E" w:rsidRPr="00C1773D">
        <w:rPr>
          <w:rFonts w:eastAsiaTheme="minorEastAsia"/>
        </w:rPr>
        <w:t xml:space="preserve">it </w:t>
      </w:r>
      <w:r w:rsidRPr="00C1773D">
        <w:rPr>
          <w:rFonts w:eastAsiaTheme="minorEastAsia"/>
        </w:rPr>
        <w:t xml:space="preserve">would </w:t>
      </w:r>
      <w:r w:rsidR="00F80AD6" w:rsidRPr="00C1773D">
        <w:rPr>
          <w:rFonts w:eastAsiaTheme="minorEastAsia"/>
        </w:rPr>
        <w:t xml:space="preserve">also </w:t>
      </w:r>
      <w:r w:rsidRPr="00C1773D">
        <w:rPr>
          <w:rFonts w:eastAsiaTheme="minorEastAsia"/>
        </w:rPr>
        <w:t>make more and more of the products in local factories, using local ingredients sourced from local suppliers, engaging</w:t>
      </w:r>
      <w:r w:rsidRPr="00F57146">
        <w:rPr>
          <w:rFonts w:eastAsiaTheme="minorEastAsia"/>
          <w:lang w:eastAsia="zh-TW"/>
        </w:rPr>
        <w:t xml:space="preserve"> local resources, and employing local people. </w:t>
      </w:r>
    </w:p>
    <w:bookmarkEnd w:id="21"/>
    <w:p w14:paraId="789B272F" w14:textId="77777777" w:rsidR="004E2C28" w:rsidRPr="00F57146" w:rsidRDefault="004E2C28" w:rsidP="000602AF">
      <w:pPr>
        <w:pStyle w:val="BodyTextMain"/>
      </w:pPr>
    </w:p>
    <w:p w14:paraId="733B31EE" w14:textId="77777777" w:rsidR="004E2C28" w:rsidRPr="00F57146" w:rsidRDefault="004E2C28" w:rsidP="000602AF">
      <w:pPr>
        <w:pStyle w:val="BodyTextMain"/>
      </w:pPr>
    </w:p>
    <w:p w14:paraId="40F75B0A" w14:textId="77777777" w:rsidR="004E2C28" w:rsidRPr="00F57146" w:rsidRDefault="004E2C28" w:rsidP="00C1773D">
      <w:pPr>
        <w:pStyle w:val="Casehead1"/>
      </w:pPr>
      <w:r w:rsidRPr="00F57146">
        <w:t xml:space="preserve">ISSUES BEFORE TANAKA </w:t>
      </w:r>
    </w:p>
    <w:p w14:paraId="6C6C77E8" w14:textId="77777777" w:rsidR="004E2C28" w:rsidRPr="00F57146" w:rsidRDefault="004E2C28" w:rsidP="00C1773D">
      <w:pPr>
        <w:pStyle w:val="BodyTextMain"/>
      </w:pPr>
    </w:p>
    <w:p w14:paraId="150D57BC" w14:textId="4961B4E4" w:rsidR="004E2C28" w:rsidRPr="00F57146" w:rsidRDefault="004E2C28" w:rsidP="00C1773D">
      <w:pPr>
        <w:pStyle w:val="BodyTextMain"/>
        <w:rPr>
          <w:rFonts w:eastAsiaTheme="minorEastAsia"/>
          <w:lang w:eastAsia="zh-TW"/>
        </w:rPr>
      </w:pPr>
      <w:r w:rsidRPr="00F57146">
        <w:rPr>
          <w:rFonts w:eastAsiaTheme="minorEastAsia"/>
          <w:lang w:eastAsia="zh-TW"/>
        </w:rPr>
        <w:t xml:space="preserve">The context in which Tanaka’s team developed the strategy had several dimensions. First, the results of the survey were </w:t>
      </w:r>
      <w:r w:rsidR="008B382E" w:rsidRPr="00F57146">
        <w:rPr>
          <w:rFonts w:eastAsiaTheme="minorEastAsia"/>
          <w:lang w:eastAsia="zh-TW"/>
        </w:rPr>
        <w:t>mixed</w:t>
      </w:r>
      <w:r w:rsidR="008B382E">
        <w:rPr>
          <w:rFonts w:eastAsiaTheme="minorEastAsia"/>
          <w:lang w:eastAsia="zh-TW"/>
        </w:rPr>
        <w:t>,</w:t>
      </w:r>
      <w:r w:rsidR="008B382E" w:rsidRPr="00F57146">
        <w:rPr>
          <w:rFonts w:eastAsiaTheme="minorEastAsia"/>
          <w:lang w:eastAsia="zh-TW"/>
        </w:rPr>
        <w:t xml:space="preserve"> </w:t>
      </w:r>
      <w:r w:rsidRPr="00F57146">
        <w:rPr>
          <w:rFonts w:eastAsiaTheme="minorEastAsia"/>
          <w:lang w:eastAsia="zh-TW"/>
        </w:rPr>
        <w:t>not uniform. While taking a negative stance on some aspects of MNEs, the respondents had also held out hope for change on the part of MNEs</w:t>
      </w:r>
      <w:r w:rsidR="008B382E">
        <w:rPr>
          <w:rFonts w:eastAsiaTheme="minorEastAsia"/>
          <w:lang w:eastAsia="zh-TW"/>
        </w:rPr>
        <w:t>;</w:t>
      </w:r>
      <w:r w:rsidRPr="00F57146">
        <w:rPr>
          <w:rFonts w:eastAsiaTheme="minorEastAsia"/>
          <w:lang w:eastAsia="zh-TW"/>
        </w:rPr>
        <w:t xml:space="preserve"> </w:t>
      </w:r>
      <w:r w:rsidR="00C56487">
        <w:rPr>
          <w:rFonts w:eastAsiaTheme="minorEastAsia"/>
          <w:lang w:eastAsia="zh-TW"/>
        </w:rPr>
        <w:t>for example,</w:t>
      </w:r>
      <w:r w:rsidR="005B7EE5">
        <w:rPr>
          <w:rFonts w:eastAsiaTheme="minorEastAsia"/>
          <w:lang w:eastAsia="zh-TW"/>
        </w:rPr>
        <w:t xml:space="preserve"> </w:t>
      </w:r>
      <w:r w:rsidR="00C56487">
        <w:rPr>
          <w:rFonts w:eastAsiaTheme="minorEastAsia"/>
          <w:lang w:eastAsia="zh-TW"/>
        </w:rPr>
        <w:t>94 per cent</w:t>
      </w:r>
      <w:r w:rsidRPr="00F57146">
        <w:rPr>
          <w:rFonts w:eastAsiaTheme="minorEastAsia"/>
          <w:lang w:eastAsia="zh-TW"/>
        </w:rPr>
        <w:t xml:space="preserve"> </w:t>
      </w:r>
      <w:r w:rsidR="00C56487">
        <w:rPr>
          <w:rFonts w:eastAsiaTheme="minorEastAsia"/>
          <w:lang w:eastAsia="zh-TW"/>
        </w:rPr>
        <w:t>of</w:t>
      </w:r>
      <w:r w:rsidR="00C56487" w:rsidRPr="00F57146">
        <w:rPr>
          <w:rFonts w:eastAsiaTheme="minorEastAsia"/>
          <w:lang w:eastAsia="zh-TW"/>
        </w:rPr>
        <w:t xml:space="preserve"> the Japanese </w:t>
      </w:r>
      <w:r w:rsidR="00C56487">
        <w:rPr>
          <w:rFonts w:eastAsiaTheme="minorEastAsia"/>
          <w:lang w:eastAsia="zh-TW"/>
        </w:rPr>
        <w:t xml:space="preserve">who were </w:t>
      </w:r>
      <w:r w:rsidR="00C56487" w:rsidRPr="00F57146">
        <w:rPr>
          <w:rFonts w:eastAsiaTheme="minorEastAsia"/>
          <w:lang w:eastAsia="zh-TW"/>
        </w:rPr>
        <w:t>surveyed</w:t>
      </w:r>
      <w:r w:rsidR="00C56487">
        <w:rPr>
          <w:rFonts w:eastAsiaTheme="minorEastAsia"/>
          <w:lang w:eastAsia="zh-TW"/>
        </w:rPr>
        <w:t xml:space="preserve"> believed</w:t>
      </w:r>
      <w:r w:rsidRPr="00F57146">
        <w:rPr>
          <w:rFonts w:eastAsiaTheme="minorEastAsia"/>
          <w:lang w:eastAsia="zh-TW"/>
        </w:rPr>
        <w:t xml:space="preserve"> that it was indeed possible for a large global company to act in local interests. The strategy had to build on those positive elements of the survey. </w:t>
      </w:r>
    </w:p>
    <w:p w14:paraId="3BEB967F" w14:textId="77777777" w:rsidR="004E2C28" w:rsidRPr="00F57146" w:rsidRDefault="004E2C28" w:rsidP="00C1773D">
      <w:pPr>
        <w:pStyle w:val="BodyTextMain"/>
        <w:rPr>
          <w:rFonts w:eastAsiaTheme="minorEastAsia"/>
          <w:lang w:eastAsia="zh-TW"/>
        </w:rPr>
      </w:pPr>
    </w:p>
    <w:p w14:paraId="57F95FC0" w14:textId="593F99A8" w:rsidR="004E2C28" w:rsidRPr="00F57146" w:rsidRDefault="00B02D7A" w:rsidP="00C1773D">
      <w:pPr>
        <w:pStyle w:val="BodyTextMain"/>
        <w:rPr>
          <w:rFonts w:eastAsiaTheme="minorEastAsia"/>
          <w:lang w:eastAsia="zh-TW"/>
        </w:rPr>
      </w:pPr>
      <w:r>
        <w:rPr>
          <w:rFonts w:eastAsiaTheme="minorEastAsia"/>
          <w:lang w:eastAsia="zh-TW"/>
        </w:rPr>
        <w:t>Tanaka also</w:t>
      </w:r>
      <w:r w:rsidR="004E2C28" w:rsidRPr="00F57146">
        <w:rPr>
          <w:rFonts w:eastAsiaTheme="minorEastAsia"/>
          <w:lang w:eastAsia="zh-TW"/>
        </w:rPr>
        <w:t xml:space="preserve"> noticed an undercurrent of </w:t>
      </w:r>
      <w:proofErr w:type="spellStart"/>
      <w:r w:rsidR="004E2C28" w:rsidRPr="00F57146">
        <w:rPr>
          <w:rFonts w:eastAsiaTheme="minorEastAsia"/>
          <w:lang w:eastAsia="zh-TW"/>
        </w:rPr>
        <w:t>skepticism</w:t>
      </w:r>
      <w:proofErr w:type="spellEnd"/>
      <w:r w:rsidR="004E2C28" w:rsidRPr="00F57146">
        <w:rPr>
          <w:rFonts w:eastAsiaTheme="minorEastAsia"/>
          <w:lang w:eastAsia="zh-TW"/>
        </w:rPr>
        <w:t xml:space="preserve"> showing that “it is hard for people to like businesses, once the businesses grew beyond a certain size, despite how much they may contribute to the economy.</w:t>
      </w:r>
      <w:r>
        <w:rPr>
          <w:rFonts w:eastAsiaTheme="minorEastAsia"/>
          <w:lang w:eastAsia="zh-TW"/>
        </w:rPr>
        <w:t>”</w:t>
      </w:r>
      <w:r w:rsidR="004E2C28" w:rsidRPr="00F57146">
        <w:rPr>
          <w:rFonts w:eastAsiaTheme="minorEastAsia"/>
          <w:lang w:eastAsia="zh-TW"/>
        </w:rPr>
        <w:t xml:space="preserve"> The strategy under review had to deliver the message that big was not bad and that big was, in fact, good. </w:t>
      </w:r>
    </w:p>
    <w:p w14:paraId="14DB2BE2" w14:textId="77777777" w:rsidR="004E2C28" w:rsidRPr="00F57146" w:rsidRDefault="004E2C28" w:rsidP="00C1773D">
      <w:pPr>
        <w:pStyle w:val="BodyTextMain"/>
        <w:rPr>
          <w:rFonts w:eastAsiaTheme="minorEastAsia"/>
          <w:lang w:eastAsia="zh-TW"/>
        </w:rPr>
      </w:pPr>
    </w:p>
    <w:p w14:paraId="372F3C7E" w14:textId="446569F1" w:rsidR="004E2C28" w:rsidRPr="00F57146" w:rsidRDefault="00B02D7A" w:rsidP="00C1773D">
      <w:pPr>
        <w:pStyle w:val="BodyTextMain"/>
        <w:rPr>
          <w:rFonts w:eastAsiaTheme="minorEastAsia"/>
          <w:lang w:eastAsia="zh-TW"/>
        </w:rPr>
      </w:pPr>
      <w:r>
        <w:rPr>
          <w:rFonts w:eastAsiaTheme="minorEastAsia"/>
          <w:lang w:eastAsia="zh-TW"/>
        </w:rPr>
        <w:lastRenderedPageBreak/>
        <w:t>The</w:t>
      </w:r>
      <w:r w:rsidR="004E2C28" w:rsidRPr="00F57146">
        <w:rPr>
          <w:rFonts w:eastAsiaTheme="minorEastAsia"/>
          <w:lang w:eastAsia="zh-TW"/>
        </w:rPr>
        <w:t xml:space="preserve"> Japanese </w:t>
      </w:r>
      <w:r w:rsidR="00187CDE">
        <w:rPr>
          <w:rFonts w:eastAsiaTheme="minorEastAsia"/>
          <w:lang w:eastAsia="zh-TW"/>
        </w:rPr>
        <w:t xml:space="preserve">respondents </w:t>
      </w:r>
      <w:r w:rsidR="004E2C28" w:rsidRPr="00F57146">
        <w:rPr>
          <w:rFonts w:eastAsiaTheme="minorEastAsia"/>
          <w:lang w:eastAsia="zh-TW"/>
        </w:rPr>
        <w:t xml:space="preserve">were </w:t>
      </w:r>
      <w:r>
        <w:rPr>
          <w:rFonts w:eastAsiaTheme="minorEastAsia"/>
          <w:lang w:eastAsia="zh-TW"/>
        </w:rPr>
        <w:t xml:space="preserve">also </w:t>
      </w:r>
      <w:r w:rsidR="004E2C28" w:rsidRPr="00F57146">
        <w:rPr>
          <w:rFonts w:eastAsiaTheme="minorEastAsia"/>
          <w:lang w:eastAsia="zh-TW"/>
        </w:rPr>
        <w:t>unaware</w:t>
      </w:r>
      <w:r>
        <w:rPr>
          <w:rFonts w:eastAsiaTheme="minorEastAsia"/>
          <w:lang w:eastAsia="zh-TW"/>
        </w:rPr>
        <w:t>—</w:t>
      </w:r>
      <w:r w:rsidR="004E2C28" w:rsidRPr="00F57146">
        <w:rPr>
          <w:rFonts w:eastAsiaTheme="minorEastAsia"/>
          <w:lang w:eastAsia="zh-TW"/>
        </w:rPr>
        <w:t>despite being part of a global company</w:t>
      </w:r>
      <w:r>
        <w:rPr>
          <w:rFonts w:eastAsiaTheme="minorEastAsia"/>
          <w:lang w:eastAsia="zh-TW"/>
        </w:rPr>
        <w:t>—</w:t>
      </w:r>
      <w:r w:rsidR="008B382E" w:rsidRPr="008B382E">
        <w:rPr>
          <w:rFonts w:eastAsiaTheme="minorEastAsia"/>
          <w:lang w:eastAsia="zh-TW"/>
        </w:rPr>
        <w:t xml:space="preserve"> </w:t>
      </w:r>
      <w:r w:rsidR="008B382E" w:rsidRPr="00F57146">
        <w:rPr>
          <w:rFonts w:eastAsiaTheme="minorEastAsia"/>
          <w:lang w:eastAsia="zh-TW"/>
        </w:rPr>
        <w:t xml:space="preserve">that </w:t>
      </w:r>
      <w:proofErr w:type="spellStart"/>
      <w:r w:rsidR="004E2C28" w:rsidRPr="00F57146">
        <w:rPr>
          <w:rFonts w:eastAsiaTheme="minorEastAsia"/>
          <w:lang w:eastAsia="zh-TW"/>
        </w:rPr>
        <w:t>Garrard</w:t>
      </w:r>
      <w:proofErr w:type="spellEnd"/>
      <w:r w:rsidR="004E2C28" w:rsidRPr="00F57146">
        <w:rPr>
          <w:rFonts w:eastAsiaTheme="minorEastAsia"/>
          <w:lang w:eastAsia="zh-TW"/>
        </w:rPr>
        <w:t xml:space="preserve"> Japan was</w:t>
      </w:r>
      <w:r>
        <w:rPr>
          <w:rFonts w:eastAsiaTheme="minorEastAsia"/>
          <w:lang w:eastAsia="zh-TW"/>
        </w:rPr>
        <w:t>,</w:t>
      </w:r>
      <w:r w:rsidR="004E2C28" w:rsidRPr="00F57146">
        <w:rPr>
          <w:rFonts w:eastAsiaTheme="minorEastAsia"/>
          <w:lang w:eastAsia="zh-TW"/>
        </w:rPr>
        <w:t xml:space="preserve"> in many ways</w:t>
      </w:r>
      <w:r>
        <w:rPr>
          <w:rFonts w:eastAsiaTheme="minorEastAsia"/>
          <w:lang w:eastAsia="zh-TW"/>
        </w:rPr>
        <w:t>,</w:t>
      </w:r>
      <w:r w:rsidR="004E2C28" w:rsidRPr="00F57146">
        <w:rPr>
          <w:rFonts w:eastAsiaTheme="minorEastAsia"/>
          <w:lang w:eastAsia="zh-TW"/>
        </w:rPr>
        <w:t xml:space="preserve"> a local company. </w:t>
      </w:r>
      <w:r w:rsidR="00187CDE">
        <w:rPr>
          <w:rFonts w:eastAsiaTheme="minorEastAsia"/>
          <w:lang w:eastAsia="zh-TW"/>
        </w:rPr>
        <w:t>Any</w:t>
      </w:r>
      <w:r w:rsidR="004E2C28" w:rsidRPr="00F57146">
        <w:rPr>
          <w:rFonts w:eastAsiaTheme="minorEastAsia"/>
          <w:lang w:eastAsia="zh-TW"/>
        </w:rPr>
        <w:t xml:space="preserve"> plan </w:t>
      </w:r>
      <w:r w:rsidR="00187CDE">
        <w:rPr>
          <w:rFonts w:eastAsiaTheme="minorEastAsia"/>
          <w:lang w:eastAsia="zh-TW"/>
        </w:rPr>
        <w:t>would need</w:t>
      </w:r>
      <w:r w:rsidR="00187CDE" w:rsidRPr="00F57146">
        <w:rPr>
          <w:rFonts w:eastAsiaTheme="minorEastAsia"/>
          <w:lang w:eastAsia="zh-TW"/>
        </w:rPr>
        <w:t xml:space="preserve"> </w:t>
      </w:r>
      <w:r w:rsidR="004E2C28" w:rsidRPr="00F57146">
        <w:rPr>
          <w:rFonts w:eastAsiaTheme="minorEastAsia"/>
          <w:lang w:eastAsia="zh-TW"/>
        </w:rPr>
        <w:t xml:space="preserve">to reinforce the </w:t>
      </w:r>
      <w:r w:rsidR="005F6B58">
        <w:rPr>
          <w:rFonts w:eastAsiaTheme="minorEastAsia"/>
          <w:lang w:eastAsia="zh-TW"/>
        </w:rPr>
        <w:t>“</w:t>
      </w:r>
      <w:r w:rsidR="004E2C28" w:rsidRPr="00F57146">
        <w:rPr>
          <w:rFonts w:eastAsiaTheme="minorEastAsia"/>
          <w:lang w:eastAsia="zh-TW"/>
        </w:rPr>
        <w:t>localness</w:t>
      </w:r>
      <w:r w:rsidR="005F6B58">
        <w:rPr>
          <w:rFonts w:eastAsiaTheme="minorEastAsia"/>
          <w:lang w:eastAsia="zh-TW"/>
        </w:rPr>
        <w:t>”</w:t>
      </w:r>
      <w:r w:rsidR="004E2C28" w:rsidRPr="00F57146">
        <w:rPr>
          <w:rFonts w:eastAsiaTheme="minorEastAsia"/>
          <w:lang w:eastAsia="zh-TW"/>
        </w:rPr>
        <w:t xml:space="preserve"> of </w:t>
      </w:r>
      <w:proofErr w:type="spellStart"/>
      <w:r w:rsidR="004E2C28" w:rsidRPr="00F57146">
        <w:rPr>
          <w:rFonts w:eastAsiaTheme="minorEastAsia"/>
          <w:lang w:eastAsia="zh-TW"/>
        </w:rPr>
        <w:t>Garrard</w:t>
      </w:r>
      <w:proofErr w:type="spellEnd"/>
      <w:r w:rsidR="004E2C28" w:rsidRPr="00F57146">
        <w:rPr>
          <w:rFonts w:eastAsiaTheme="minorEastAsia"/>
          <w:lang w:eastAsia="zh-TW"/>
        </w:rPr>
        <w:t xml:space="preserve"> Japan. </w:t>
      </w:r>
    </w:p>
    <w:p w14:paraId="2A307AE0" w14:textId="77777777" w:rsidR="004E2C28" w:rsidRPr="00F57146" w:rsidRDefault="004E2C28" w:rsidP="000602AF">
      <w:pPr>
        <w:pStyle w:val="BodyTextMain"/>
        <w:rPr>
          <w:lang w:eastAsia="en-CA"/>
        </w:rPr>
      </w:pPr>
      <w:bookmarkStart w:id="22" w:name="_Hlk510469033"/>
      <w:bookmarkStart w:id="23" w:name="_Hlk511498376"/>
    </w:p>
    <w:p w14:paraId="20E6B9B2" w14:textId="77777777" w:rsidR="004E2C28" w:rsidRPr="00F57146" w:rsidRDefault="004E2C28" w:rsidP="000602AF">
      <w:pPr>
        <w:pStyle w:val="BodyTextMain"/>
        <w:rPr>
          <w:lang w:eastAsia="en-CA"/>
        </w:rPr>
      </w:pPr>
    </w:p>
    <w:p w14:paraId="4E6E9EBB" w14:textId="4B84A60B" w:rsidR="004E2C28" w:rsidRPr="00F57146" w:rsidRDefault="00CF129C" w:rsidP="00C1773D">
      <w:pPr>
        <w:pStyle w:val="Casehead1"/>
        <w:rPr>
          <w:lang w:eastAsia="en-CA"/>
        </w:rPr>
      </w:pPr>
      <w:r>
        <w:rPr>
          <w:lang w:eastAsia="en-CA"/>
        </w:rPr>
        <w:t>Was</w:t>
      </w:r>
      <w:r w:rsidRPr="00F57146">
        <w:rPr>
          <w:lang w:eastAsia="en-CA"/>
        </w:rPr>
        <w:t xml:space="preserve"> </w:t>
      </w:r>
      <w:r w:rsidR="00815976">
        <w:rPr>
          <w:lang w:eastAsia="en-CA"/>
        </w:rPr>
        <w:t>the</w:t>
      </w:r>
      <w:r w:rsidR="00815976" w:rsidRPr="00F57146">
        <w:rPr>
          <w:lang w:eastAsia="en-CA"/>
        </w:rPr>
        <w:t xml:space="preserve"> Strategy Adequate? </w:t>
      </w:r>
    </w:p>
    <w:p w14:paraId="04CC4733" w14:textId="77777777" w:rsidR="004E2C28" w:rsidRPr="00F57146" w:rsidRDefault="004E2C28" w:rsidP="00C1773D">
      <w:pPr>
        <w:pStyle w:val="BodyTextMain"/>
        <w:rPr>
          <w:lang w:eastAsia="en-CA"/>
        </w:rPr>
      </w:pPr>
    </w:p>
    <w:p w14:paraId="2BD42C25" w14:textId="48CACC64" w:rsidR="004E2C28" w:rsidRPr="00F57146" w:rsidRDefault="004E2C28" w:rsidP="00C1773D">
      <w:pPr>
        <w:pStyle w:val="BodyTextMain"/>
      </w:pPr>
      <w:r w:rsidRPr="00F57146">
        <w:rPr>
          <w:bCs/>
          <w:color w:val="191919"/>
          <w:lang w:eastAsia="en-CA"/>
        </w:rPr>
        <w:t>The</w:t>
      </w:r>
      <w:r w:rsidRPr="00F57146">
        <w:rPr>
          <w:color w:val="191919"/>
          <w:lang w:eastAsia="en-CA"/>
        </w:rPr>
        <w:t xml:space="preserve"> </w:t>
      </w:r>
      <w:r w:rsidRPr="00F57146">
        <w:rPr>
          <w:iCs/>
        </w:rPr>
        <w:t xml:space="preserve">parent </w:t>
      </w:r>
      <w:r w:rsidR="00815976">
        <w:rPr>
          <w:iCs/>
        </w:rPr>
        <w:t>company’s business purpose</w:t>
      </w:r>
      <w:r w:rsidR="00815976" w:rsidRPr="00F57146">
        <w:rPr>
          <w:iCs/>
        </w:rPr>
        <w:t xml:space="preserve"> </w:t>
      </w:r>
      <w:r w:rsidRPr="00F57146">
        <w:rPr>
          <w:iCs/>
        </w:rPr>
        <w:t>was clear</w:t>
      </w:r>
      <w:r w:rsidR="00815976">
        <w:rPr>
          <w:b/>
          <w:iCs/>
        </w:rPr>
        <w:t>—</w:t>
      </w:r>
      <w:r w:rsidRPr="00F57146">
        <w:rPr>
          <w:iCs/>
        </w:rPr>
        <w:t>“</w:t>
      </w:r>
      <w:bookmarkStart w:id="24" w:name="_Hlk533045093"/>
      <w:r w:rsidRPr="00F57146">
        <w:rPr>
          <w:iCs/>
        </w:rPr>
        <w:t xml:space="preserve">Ensuring </w:t>
      </w:r>
      <w:r w:rsidR="00815976" w:rsidRPr="00F57146">
        <w:rPr>
          <w:iCs/>
        </w:rPr>
        <w:t>quality of life through healthy food</w:t>
      </w:r>
      <w:bookmarkEnd w:id="24"/>
      <w:r w:rsidRPr="00F57146">
        <w:t>”</w:t>
      </w:r>
      <w:r w:rsidR="00815976">
        <w:t xml:space="preserve">—and </w:t>
      </w:r>
      <w:r w:rsidRPr="00F57146">
        <w:t>had remained unchanged over time. It served as a guide to subsidiaries in serving the needs of customers. Its appeal was global</w:t>
      </w:r>
      <w:r w:rsidR="00815976">
        <w:t>,</w:t>
      </w:r>
      <w:r w:rsidRPr="00F57146">
        <w:t xml:space="preserve"> but the manner in which it was brought to life locally was left to the subsidiaries. </w:t>
      </w:r>
      <w:proofErr w:type="spellStart"/>
      <w:r w:rsidRPr="00F57146">
        <w:t>Garrard</w:t>
      </w:r>
      <w:proofErr w:type="spellEnd"/>
      <w:r w:rsidRPr="00F57146">
        <w:t xml:space="preserve"> Japan thus had a basic framework in place</w:t>
      </w:r>
      <w:r w:rsidR="005F6B58">
        <w:t>;</w:t>
      </w:r>
      <w:r w:rsidRPr="00F57146">
        <w:t xml:space="preserve"> </w:t>
      </w:r>
      <w:r w:rsidR="005F6B58">
        <w:t>it</w:t>
      </w:r>
      <w:r w:rsidRPr="00F57146">
        <w:t xml:space="preserve"> only had to communicate it locally in a manner that appealed to local consumers.</w:t>
      </w:r>
    </w:p>
    <w:p w14:paraId="05AE5F43" w14:textId="77777777" w:rsidR="004E2C28" w:rsidRPr="00F57146" w:rsidRDefault="004E2C28" w:rsidP="00C1773D">
      <w:pPr>
        <w:pStyle w:val="BodyTextMain"/>
        <w:rPr>
          <w:iCs/>
        </w:rPr>
      </w:pPr>
    </w:p>
    <w:p w14:paraId="0D893C53" w14:textId="6A0676E9" w:rsidR="004E2C28" w:rsidRPr="00F57146" w:rsidRDefault="00F04322" w:rsidP="00C1773D">
      <w:pPr>
        <w:pStyle w:val="BodyTextMain"/>
        <w:rPr>
          <w:iCs/>
        </w:rPr>
      </w:pPr>
      <w:r>
        <w:rPr>
          <w:iCs/>
        </w:rPr>
        <w:t>Employee</w:t>
      </w:r>
      <w:r w:rsidRPr="00F57146">
        <w:rPr>
          <w:iCs/>
        </w:rPr>
        <w:t xml:space="preserve"> </w:t>
      </w:r>
      <w:r w:rsidR="0034310C">
        <w:rPr>
          <w:iCs/>
        </w:rPr>
        <w:t>behaviours</w:t>
      </w:r>
      <w:r w:rsidR="004E2C28" w:rsidRPr="00F57146">
        <w:rPr>
          <w:iCs/>
        </w:rPr>
        <w:t xml:space="preserve"> were </w:t>
      </w:r>
      <w:r>
        <w:rPr>
          <w:iCs/>
        </w:rPr>
        <w:t xml:space="preserve">already aligned with the business purpose </w:t>
      </w:r>
      <w:r w:rsidR="005F6B58">
        <w:rPr>
          <w:iCs/>
        </w:rPr>
        <w:t xml:space="preserve">and </w:t>
      </w:r>
      <w:r>
        <w:rPr>
          <w:iCs/>
        </w:rPr>
        <w:t>moored to its</w:t>
      </w:r>
      <w:r w:rsidR="004E2C28" w:rsidRPr="00F57146">
        <w:rPr>
          <w:iCs/>
        </w:rPr>
        <w:t xml:space="preserve"> three core values of “equality, diversity</w:t>
      </w:r>
      <w:r>
        <w:rPr>
          <w:iCs/>
        </w:rPr>
        <w:t>,</w:t>
      </w:r>
      <w:r w:rsidR="004E2C28" w:rsidRPr="00F57146">
        <w:rPr>
          <w:iCs/>
        </w:rPr>
        <w:t xml:space="preserve"> and sustainability”</w:t>
      </w:r>
      <w:r w:rsidR="005F6B58">
        <w:rPr>
          <w:iCs/>
        </w:rPr>
        <w:t xml:space="preserve">—values that </w:t>
      </w:r>
      <w:r w:rsidR="004E2C28" w:rsidRPr="00F57146">
        <w:rPr>
          <w:iCs/>
        </w:rPr>
        <w:t xml:space="preserve">had evolved over time to adapt to a changing world. They served as </w:t>
      </w:r>
      <w:r>
        <w:rPr>
          <w:iCs/>
        </w:rPr>
        <w:t>signposts</w:t>
      </w:r>
      <w:r w:rsidR="004E2C28" w:rsidRPr="00F57146">
        <w:rPr>
          <w:iCs/>
        </w:rPr>
        <w:t xml:space="preserve"> to employees on the standards to which they would hold themselves</w:t>
      </w:r>
      <w:r>
        <w:rPr>
          <w:iCs/>
        </w:rPr>
        <w:t xml:space="preserve"> </w:t>
      </w:r>
      <w:r w:rsidR="004E2C28" w:rsidRPr="00F57146">
        <w:rPr>
          <w:iCs/>
        </w:rPr>
        <w:t>day to day.</w:t>
      </w:r>
      <w:r w:rsidR="00352715">
        <w:rPr>
          <w:iCs/>
        </w:rPr>
        <w:t xml:space="preserve"> </w:t>
      </w:r>
      <w:r w:rsidR="004E2C28" w:rsidRPr="00F57146">
        <w:rPr>
          <w:iCs/>
        </w:rPr>
        <w:t xml:space="preserve">Driving those values was </w:t>
      </w:r>
      <w:r w:rsidR="008312D0">
        <w:rPr>
          <w:iCs/>
        </w:rPr>
        <w:t xml:space="preserve">an </w:t>
      </w:r>
      <w:r w:rsidR="004E2C28" w:rsidRPr="00F57146">
        <w:rPr>
          <w:iCs/>
        </w:rPr>
        <w:t xml:space="preserve">ongoing </w:t>
      </w:r>
      <w:r w:rsidR="008312D0">
        <w:rPr>
          <w:iCs/>
        </w:rPr>
        <w:t xml:space="preserve">task </w:t>
      </w:r>
      <w:r w:rsidR="004E2C28" w:rsidRPr="00F57146">
        <w:rPr>
          <w:iCs/>
        </w:rPr>
        <w:t xml:space="preserve">at the level of subsidiaries </w:t>
      </w:r>
      <w:r w:rsidR="00A446B6">
        <w:rPr>
          <w:iCs/>
        </w:rPr>
        <w:t>and living these values was</w:t>
      </w:r>
      <w:r w:rsidR="004E2C28" w:rsidRPr="00F57146">
        <w:rPr>
          <w:iCs/>
        </w:rPr>
        <w:t xml:space="preserve"> </w:t>
      </w:r>
      <w:r w:rsidR="008312D0">
        <w:rPr>
          <w:iCs/>
        </w:rPr>
        <w:t xml:space="preserve">an ongoing task </w:t>
      </w:r>
      <w:r w:rsidR="004E2C28" w:rsidRPr="00F57146">
        <w:rPr>
          <w:iCs/>
        </w:rPr>
        <w:t>at the level of individual employees.</w:t>
      </w:r>
    </w:p>
    <w:p w14:paraId="64DBEB5B" w14:textId="77777777" w:rsidR="004E2C28" w:rsidRPr="00F57146" w:rsidRDefault="004E2C28" w:rsidP="00C1773D">
      <w:pPr>
        <w:pStyle w:val="BodyTextMain"/>
      </w:pPr>
    </w:p>
    <w:p w14:paraId="63E0EC88" w14:textId="150CCAF3" w:rsidR="004E2C28" w:rsidRPr="00F57146" w:rsidRDefault="004E2C28" w:rsidP="00C1773D">
      <w:pPr>
        <w:pStyle w:val="BodyTextMain"/>
      </w:pPr>
      <w:r w:rsidRPr="00F57146">
        <w:t xml:space="preserve">While there was one global purpose and one set of values at </w:t>
      </w:r>
      <w:proofErr w:type="spellStart"/>
      <w:r w:rsidRPr="00F57146">
        <w:t>Garrard</w:t>
      </w:r>
      <w:proofErr w:type="spellEnd"/>
      <w:r w:rsidRPr="00F57146">
        <w:t xml:space="preserve">, the one-size-fits-all approach </w:t>
      </w:r>
      <w:r w:rsidR="00B83A73">
        <w:t>was not implemented</w:t>
      </w:r>
      <w:r w:rsidRPr="00F57146">
        <w:t xml:space="preserve"> in the subsidiaries</w:t>
      </w:r>
      <w:r w:rsidR="00B83A73">
        <w:t xml:space="preserve">, </w:t>
      </w:r>
      <w:r w:rsidR="009C2C0C">
        <w:t>where</w:t>
      </w:r>
      <w:r w:rsidRPr="00F57146">
        <w:t xml:space="preserve"> flexibility kicked in. Coming into play at that stage were filters </w:t>
      </w:r>
      <w:r w:rsidR="00A446B6">
        <w:t xml:space="preserve">that were </w:t>
      </w:r>
      <w:bookmarkStart w:id="25" w:name="_GoBack"/>
      <w:bookmarkEnd w:id="25"/>
      <w:r w:rsidR="009C2C0C">
        <w:t>fine-tuned</w:t>
      </w:r>
      <w:r w:rsidRPr="00F57146">
        <w:t xml:space="preserve"> to national, regional</w:t>
      </w:r>
      <w:r w:rsidR="00151AEF">
        <w:t>,</w:t>
      </w:r>
      <w:r w:rsidRPr="00F57146">
        <w:t xml:space="preserve"> and local circumstances. </w:t>
      </w:r>
    </w:p>
    <w:p w14:paraId="46DEFB84" w14:textId="77777777" w:rsidR="004E2C28" w:rsidRPr="00F57146" w:rsidRDefault="004E2C28" w:rsidP="00C1773D">
      <w:pPr>
        <w:pStyle w:val="BodyTextMain"/>
      </w:pPr>
    </w:p>
    <w:p w14:paraId="7363D62F" w14:textId="4D157C4C" w:rsidR="004E2C28" w:rsidRPr="00F57146" w:rsidRDefault="004E2C28" w:rsidP="00C1773D">
      <w:pPr>
        <w:pStyle w:val="BodyTextMain"/>
      </w:pPr>
      <w:r w:rsidRPr="00F57146">
        <w:t xml:space="preserve">As the CEO of </w:t>
      </w:r>
      <w:proofErr w:type="spellStart"/>
      <w:r w:rsidRPr="00F57146">
        <w:t>Garrard</w:t>
      </w:r>
      <w:proofErr w:type="spellEnd"/>
      <w:r w:rsidRPr="00F57146">
        <w:t xml:space="preserve"> Japan, Tanaka had to identify what mattered to </w:t>
      </w:r>
      <w:proofErr w:type="spellStart"/>
      <w:r w:rsidRPr="00F57146">
        <w:t>Garrard</w:t>
      </w:r>
      <w:proofErr w:type="spellEnd"/>
      <w:r w:rsidRPr="00F57146">
        <w:t xml:space="preserve"> as a global company</w:t>
      </w:r>
      <w:r w:rsidR="00CF129C">
        <w:t>,</w:t>
      </w:r>
      <w:r w:rsidRPr="00F57146">
        <w:t xml:space="preserve"> </w:t>
      </w:r>
      <w:r w:rsidR="00CF129C">
        <w:t xml:space="preserve">as well as </w:t>
      </w:r>
      <w:r w:rsidR="008312D0">
        <w:t xml:space="preserve">identify </w:t>
      </w:r>
      <w:r w:rsidRPr="00F57146">
        <w:t xml:space="preserve">what mattered to local communities. He </w:t>
      </w:r>
      <w:r w:rsidR="008312D0">
        <w:t xml:space="preserve">also </w:t>
      </w:r>
      <w:r w:rsidRPr="00F57146">
        <w:t>had to identify where the two converged</w:t>
      </w:r>
      <w:r w:rsidR="00CF129C">
        <w:t xml:space="preserve">—that </w:t>
      </w:r>
      <w:r w:rsidRPr="00F57146">
        <w:t xml:space="preserve">would be the </w:t>
      </w:r>
      <w:r w:rsidR="00CF129C">
        <w:t>challenge</w:t>
      </w:r>
      <w:r w:rsidRPr="00F57146">
        <w:t>. He wondered whether the strategy he was reviewing would stand the acid test of convergence.</w:t>
      </w:r>
    </w:p>
    <w:bookmarkEnd w:id="22"/>
    <w:bookmarkEnd w:id="23"/>
    <w:p w14:paraId="581CC41B" w14:textId="77777777" w:rsidR="004E2C28" w:rsidRPr="0021234D" w:rsidRDefault="004E2C28" w:rsidP="00C1773D">
      <w:pPr>
        <w:pStyle w:val="BodyTextMain"/>
        <w:rPr>
          <w:sz w:val="18"/>
          <w:szCs w:val="18"/>
        </w:rPr>
      </w:pPr>
    </w:p>
    <w:p w14:paraId="629C2389" w14:textId="77777777" w:rsidR="004E2C28" w:rsidRPr="0021234D" w:rsidRDefault="004E2C28" w:rsidP="00C1773D">
      <w:pPr>
        <w:pStyle w:val="BodyTextMain"/>
        <w:rPr>
          <w:sz w:val="18"/>
          <w:szCs w:val="18"/>
        </w:rPr>
      </w:pPr>
    </w:p>
    <w:p w14:paraId="1B0C35E8" w14:textId="5081C8C3" w:rsidR="004E2C28" w:rsidRPr="00F57146" w:rsidRDefault="00CF129C" w:rsidP="00C1773D">
      <w:pPr>
        <w:pStyle w:val="Casehead1"/>
        <w:rPr>
          <w:lang w:eastAsia="en-CA"/>
        </w:rPr>
      </w:pPr>
      <w:r>
        <w:rPr>
          <w:lang w:eastAsia="en-CA"/>
        </w:rPr>
        <w:t>Could the Strategy Be Executed?</w:t>
      </w:r>
    </w:p>
    <w:p w14:paraId="3E7CD7C7" w14:textId="77777777" w:rsidR="004E2C28" w:rsidRPr="0021234D" w:rsidRDefault="004E2C28" w:rsidP="00C1773D">
      <w:pPr>
        <w:pStyle w:val="BodyTextMain"/>
        <w:keepNext/>
        <w:rPr>
          <w:sz w:val="18"/>
          <w:szCs w:val="18"/>
          <w:lang w:eastAsia="en-CA"/>
        </w:rPr>
      </w:pPr>
    </w:p>
    <w:p w14:paraId="566EC69B" w14:textId="2AF494E4" w:rsidR="004E2C28" w:rsidRPr="00F57146" w:rsidRDefault="00F536B8" w:rsidP="00C1773D">
      <w:pPr>
        <w:pStyle w:val="BodyTextMain"/>
      </w:pPr>
      <w:r>
        <w:rPr>
          <w:bCs/>
          <w:color w:val="191919"/>
          <w:lang w:eastAsia="en-CA"/>
        </w:rPr>
        <w:t>Tanaka approved the</w:t>
      </w:r>
      <w:r w:rsidR="004E2C28" w:rsidRPr="00F57146">
        <w:rPr>
          <w:bCs/>
          <w:color w:val="191919"/>
          <w:lang w:eastAsia="en-CA"/>
        </w:rPr>
        <w:t xml:space="preserve"> broad </w:t>
      </w:r>
      <w:r w:rsidR="004E2C28" w:rsidRPr="00F57146">
        <w:t xml:space="preserve">direction of the strategy. </w:t>
      </w:r>
      <w:r>
        <w:t>As</w:t>
      </w:r>
      <w:r w:rsidR="004E2C28" w:rsidRPr="00F57146">
        <w:t xml:space="preserve"> </w:t>
      </w:r>
      <w:r>
        <w:t>president</w:t>
      </w:r>
      <w:r w:rsidR="004E2C28" w:rsidRPr="00F57146">
        <w:t xml:space="preserve"> of </w:t>
      </w:r>
      <w:proofErr w:type="spellStart"/>
      <w:r w:rsidR="004E2C28" w:rsidRPr="00F57146">
        <w:t>Garrard</w:t>
      </w:r>
      <w:proofErr w:type="spellEnd"/>
      <w:r w:rsidR="004E2C28" w:rsidRPr="00F57146">
        <w:t xml:space="preserve"> Japan, he only had to reiterate </w:t>
      </w:r>
      <w:r w:rsidR="008312D0">
        <w:t>the strategy</w:t>
      </w:r>
      <w:r w:rsidR="008312D0" w:rsidRPr="00F57146">
        <w:t xml:space="preserve"> </w:t>
      </w:r>
      <w:r w:rsidR="004E2C28" w:rsidRPr="00F57146">
        <w:t xml:space="preserve">at every opportunity to ensure that people understood it and stayed committed to it. </w:t>
      </w:r>
      <w:r>
        <w:t xml:space="preserve">However, </w:t>
      </w:r>
      <w:r w:rsidR="004E2C28" w:rsidRPr="00F57146">
        <w:t xml:space="preserve">execution </w:t>
      </w:r>
      <w:r w:rsidR="000164AD">
        <w:t xml:space="preserve">of the strategy </w:t>
      </w:r>
      <w:r w:rsidR="004E2C28" w:rsidRPr="00F57146">
        <w:t xml:space="preserve">had raised three dilemmas for </w:t>
      </w:r>
      <w:r w:rsidR="000164AD">
        <w:t>Tanaka</w:t>
      </w:r>
      <w:r w:rsidR="004E2C28" w:rsidRPr="00F57146">
        <w:t>.</w:t>
      </w:r>
    </w:p>
    <w:p w14:paraId="72C615ED" w14:textId="77777777" w:rsidR="004E2C28" w:rsidRPr="0021234D" w:rsidRDefault="004E2C28" w:rsidP="00C1773D">
      <w:pPr>
        <w:pStyle w:val="BodyTextMain"/>
        <w:rPr>
          <w:sz w:val="18"/>
          <w:szCs w:val="18"/>
        </w:rPr>
      </w:pPr>
    </w:p>
    <w:p w14:paraId="34441B56" w14:textId="4AFAB89B" w:rsidR="004E2C28" w:rsidRPr="00F57146" w:rsidRDefault="004E2C28" w:rsidP="00C1773D">
      <w:pPr>
        <w:pStyle w:val="BodyTextMain"/>
      </w:pPr>
      <w:r w:rsidRPr="00F57146">
        <w:t xml:space="preserve">First, </w:t>
      </w:r>
      <w:proofErr w:type="spellStart"/>
      <w:r w:rsidRPr="00F57146">
        <w:t>Garrard</w:t>
      </w:r>
      <w:r w:rsidR="00F536B8">
        <w:t>’s</w:t>
      </w:r>
      <w:proofErr w:type="spellEnd"/>
      <w:r w:rsidR="00F536B8" w:rsidRPr="00F57146">
        <w:t xml:space="preserve"> </w:t>
      </w:r>
      <w:r w:rsidRPr="00F57146">
        <w:t xml:space="preserve">historical investment in generating consumer demand was in promoting individual brands rather than in promoting </w:t>
      </w:r>
      <w:proofErr w:type="spellStart"/>
      <w:r w:rsidRPr="00F57146">
        <w:t>Garrard</w:t>
      </w:r>
      <w:proofErr w:type="spellEnd"/>
      <w:r w:rsidRPr="00F57146">
        <w:t xml:space="preserve"> as a company. </w:t>
      </w:r>
      <w:r w:rsidR="00770B09">
        <w:t>Consequently,</w:t>
      </w:r>
      <w:r w:rsidRPr="00F57146">
        <w:t xml:space="preserve"> consumers seemed </w:t>
      </w:r>
      <w:r w:rsidR="00770B09">
        <w:t xml:space="preserve">able </w:t>
      </w:r>
      <w:r w:rsidRPr="00F57146">
        <w:t xml:space="preserve">to identify individual brands but could not identify the company behind those brands. </w:t>
      </w:r>
    </w:p>
    <w:p w14:paraId="33D97DFF" w14:textId="77777777" w:rsidR="004E2C28" w:rsidRPr="0021234D" w:rsidRDefault="004E2C28" w:rsidP="00C1773D">
      <w:pPr>
        <w:pStyle w:val="BodyTextMain"/>
        <w:rPr>
          <w:sz w:val="18"/>
          <w:szCs w:val="18"/>
        </w:rPr>
      </w:pPr>
    </w:p>
    <w:p w14:paraId="39C36B9D" w14:textId="013E4879" w:rsidR="004E2C28" w:rsidRPr="00F57146" w:rsidRDefault="004E2C28" w:rsidP="00C1773D">
      <w:pPr>
        <w:pStyle w:val="BodyTextMain"/>
      </w:pPr>
      <w:r w:rsidRPr="00F57146">
        <w:t xml:space="preserve">This had led to the second dilemma. </w:t>
      </w:r>
      <w:proofErr w:type="spellStart"/>
      <w:r w:rsidRPr="00F57146">
        <w:t>Garrard</w:t>
      </w:r>
      <w:proofErr w:type="spellEnd"/>
      <w:r w:rsidRPr="00F57146">
        <w:t xml:space="preserve"> Japan had no provision for a budget on corporate campaigns</w:t>
      </w:r>
      <w:r w:rsidR="00FE7ACB">
        <w:t>,</w:t>
      </w:r>
      <w:r w:rsidRPr="00F57146">
        <w:t xml:space="preserve"> which were typically played in the mainstream media. </w:t>
      </w:r>
      <w:proofErr w:type="spellStart"/>
      <w:r w:rsidRPr="00F57146">
        <w:t>Garrard</w:t>
      </w:r>
      <w:proofErr w:type="spellEnd"/>
      <w:r w:rsidRPr="00F57146">
        <w:t xml:space="preserve"> Japan was not a big spender </w:t>
      </w:r>
      <w:r w:rsidR="00770B09">
        <w:t xml:space="preserve">on </w:t>
      </w:r>
      <w:r w:rsidRPr="00F57146">
        <w:t xml:space="preserve">either </w:t>
      </w:r>
      <w:r w:rsidR="00FE7ACB">
        <w:t>television</w:t>
      </w:r>
      <w:r w:rsidRPr="00F57146">
        <w:t xml:space="preserve"> advertising or print advertising</w:t>
      </w:r>
      <w:r w:rsidR="00770B09">
        <w:t xml:space="preserve">; it instead </w:t>
      </w:r>
      <w:r w:rsidRPr="00F57146">
        <w:t xml:space="preserve">focused </w:t>
      </w:r>
      <w:r w:rsidR="00770B09">
        <w:t>on store-level</w:t>
      </w:r>
      <w:r w:rsidRPr="00F57146">
        <w:t xml:space="preserve"> promotions and social media. The latter </w:t>
      </w:r>
      <w:r w:rsidR="00770B09">
        <w:t>was</w:t>
      </w:r>
      <w:r w:rsidRPr="00F57146">
        <w:t xml:space="preserve"> designed to drive sales</w:t>
      </w:r>
      <w:r w:rsidR="00770B09">
        <w:t>—nothing more</w:t>
      </w:r>
      <w:r w:rsidR="004A041D">
        <w:t>.</w:t>
      </w:r>
    </w:p>
    <w:p w14:paraId="190446EC" w14:textId="77777777" w:rsidR="004E2C28" w:rsidRPr="0021234D" w:rsidRDefault="004E2C28" w:rsidP="00C1773D">
      <w:pPr>
        <w:pStyle w:val="BodyTextMain"/>
        <w:rPr>
          <w:sz w:val="18"/>
          <w:szCs w:val="18"/>
        </w:rPr>
      </w:pPr>
    </w:p>
    <w:p w14:paraId="234DF579" w14:textId="2396D2BE" w:rsidR="004E2C28" w:rsidRPr="00F57146" w:rsidRDefault="004E2C28" w:rsidP="0021234D">
      <w:pPr>
        <w:pStyle w:val="BodyTextMain"/>
      </w:pPr>
      <w:r w:rsidRPr="00F57146">
        <w:t xml:space="preserve">The third dilemma </w:t>
      </w:r>
      <w:r w:rsidR="004607B0">
        <w:t>concerned</w:t>
      </w:r>
      <w:r w:rsidRPr="00F57146">
        <w:t xml:space="preserve"> the conceptual difficulties in tailoring product advertisements to convey the company’s overarching business purpose. For example, one way of embedding the business purpose might be to focus on </w:t>
      </w:r>
      <w:r w:rsidR="000164AD">
        <w:t>product</w:t>
      </w:r>
      <w:r w:rsidR="000164AD" w:rsidRPr="00F57146">
        <w:t xml:space="preserve"> </w:t>
      </w:r>
      <w:r w:rsidRPr="00F57146">
        <w:t xml:space="preserve">ingredients. The advertisement could say that the </w:t>
      </w:r>
      <w:proofErr w:type="spellStart"/>
      <w:r w:rsidRPr="00F57146">
        <w:t>Garrard</w:t>
      </w:r>
      <w:proofErr w:type="spellEnd"/>
      <w:r w:rsidRPr="00F57146">
        <w:t xml:space="preserve"> product </w:t>
      </w:r>
      <w:r w:rsidR="004A20FD">
        <w:t>contained</w:t>
      </w:r>
      <w:r w:rsidR="004A20FD" w:rsidRPr="00F57146">
        <w:t xml:space="preserve"> </w:t>
      </w:r>
      <w:r w:rsidRPr="00F57146">
        <w:t xml:space="preserve">no artificial additives and therefore contributed to a healthier </w:t>
      </w:r>
      <w:r w:rsidR="007B456E">
        <w:t>lifestyle</w:t>
      </w:r>
      <w:r w:rsidRPr="00F57146">
        <w:t xml:space="preserve">. </w:t>
      </w:r>
      <w:r w:rsidR="004A20FD">
        <w:t>Another way</w:t>
      </w:r>
      <w:r w:rsidRPr="00F57146">
        <w:t xml:space="preserve"> would be to focus on </w:t>
      </w:r>
      <w:r w:rsidR="004A20FD">
        <w:t>ethically</w:t>
      </w:r>
      <w:r w:rsidR="004A20FD" w:rsidRPr="00F57146">
        <w:t xml:space="preserve"> </w:t>
      </w:r>
      <w:r w:rsidRPr="00F57146">
        <w:t xml:space="preserve">sourcing raw materials and say that by </w:t>
      </w:r>
      <w:r w:rsidR="004A20FD">
        <w:t>producing</w:t>
      </w:r>
      <w:r w:rsidR="004A20FD" w:rsidRPr="00F57146">
        <w:t xml:space="preserve"> </w:t>
      </w:r>
      <w:r w:rsidRPr="00F57146">
        <w:t xml:space="preserve">a sustainable product, </w:t>
      </w:r>
      <w:proofErr w:type="spellStart"/>
      <w:r w:rsidRPr="00F57146">
        <w:t>Garrard</w:t>
      </w:r>
      <w:proofErr w:type="spellEnd"/>
      <w:r w:rsidRPr="00F57146">
        <w:t xml:space="preserve"> enhanced the customer’s quality of life and contributed to </w:t>
      </w:r>
      <w:r w:rsidR="000164AD">
        <w:t xml:space="preserve">a </w:t>
      </w:r>
      <w:r w:rsidRPr="00F57146">
        <w:t>healthier future. The difficulty was that the message had to be tailored to each product. The costs would be huge</w:t>
      </w:r>
      <w:r w:rsidR="004A20FD">
        <w:t>—</w:t>
      </w:r>
      <w:r w:rsidRPr="00F57146">
        <w:t>in the millions of dollars</w:t>
      </w:r>
      <w:r w:rsidR="004A20FD">
        <w:t>—</w:t>
      </w:r>
      <w:r w:rsidRPr="00F57146">
        <w:t xml:space="preserve">because </w:t>
      </w:r>
      <w:proofErr w:type="spellStart"/>
      <w:r w:rsidRPr="00F57146">
        <w:t>Garrard</w:t>
      </w:r>
      <w:proofErr w:type="spellEnd"/>
      <w:r w:rsidRPr="00F57146">
        <w:t xml:space="preserve"> Japan had so many products in its portfolio. Who would pay?</w:t>
      </w:r>
      <w:r w:rsidR="00352715">
        <w:t xml:space="preserve"> </w:t>
      </w:r>
      <w:r w:rsidRPr="00F57146">
        <w:br w:type="page"/>
      </w:r>
    </w:p>
    <w:p w14:paraId="00CEEE0A" w14:textId="0C38AE5F" w:rsidR="004E2C28" w:rsidRPr="00F57146" w:rsidRDefault="004E2C28" w:rsidP="004E2C28">
      <w:pPr>
        <w:pStyle w:val="ExhibitHeading"/>
      </w:pPr>
      <w:r w:rsidRPr="00F57146">
        <w:lastRenderedPageBreak/>
        <w:t xml:space="preserve">Exhibit 1: GARRARD </w:t>
      </w:r>
      <w:r w:rsidR="00102933">
        <w:t xml:space="preserve">japan, </w:t>
      </w:r>
      <w:r w:rsidRPr="00F57146">
        <w:t>GLOCAL SURVEY HIGHLIGHTS</w:t>
      </w:r>
      <w:r w:rsidR="00E83D79">
        <w:t>,</w:t>
      </w:r>
      <w:r w:rsidRPr="00F57146">
        <w:t xml:space="preserve"> AUGUST 2017</w:t>
      </w:r>
    </w:p>
    <w:p w14:paraId="1D8EA943" w14:textId="77777777" w:rsidR="004E2C28" w:rsidRPr="00F57146" w:rsidRDefault="004E2C28" w:rsidP="00C1773D">
      <w:pPr>
        <w:pStyle w:val="ExhibitText"/>
      </w:pPr>
    </w:p>
    <w:tbl>
      <w:tblPr>
        <w:tblStyle w:val="TableGrid1"/>
        <w:tblW w:w="8640" w:type="dxa"/>
        <w:jc w:val="center"/>
        <w:tblBorders>
          <w:left w:val="none" w:sz="0" w:space="0" w:color="auto"/>
          <w:right w:val="none" w:sz="0" w:space="0" w:color="auto"/>
          <w:insideH w:val="dotted" w:sz="4"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830"/>
        <w:gridCol w:w="7810"/>
      </w:tblGrid>
      <w:tr w:rsidR="004E2C28" w:rsidRPr="00F57146" w14:paraId="187A45B4" w14:textId="77777777" w:rsidTr="000602AF">
        <w:trPr>
          <w:jc w:val="center"/>
        </w:trPr>
        <w:tc>
          <w:tcPr>
            <w:tcW w:w="846" w:type="dxa"/>
            <w:vAlign w:val="center"/>
          </w:tcPr>
          <w:p w14:paraId="05002897" w14:textId="77777777" w:rsidR="004E2C28" w:rsidRPr="00F57146" w:rsidRDefault="004E2C28" w:rsidP="009502A3">
            <w:pPr>
              <w:pStyle w:val="ExhibitText"/>
            </w:pPr>
            <w:r w:rsidRPr="00F57146">
              <w:t>64%</w:t>
            </w:r>
          </w:p>
        </w:tc>
        <w:tc>
          <w:tcPr>
            <w:tcW w:w="8329" w:type="dxa"/>
            <w:vAlign w:val="center"/>
          </w:tcPr>
          <w:p w14:paraId="7221DF23" w14:textId="77777777" w:rsidR="004E2C28" w:rsidRPr="00F57146" w:rsidRDefault="004E2C28" w:rsidP="009502A3">
            <w:pPr>
              <w:pStyle w:val="ExhibitText"/>
            </w:pPr>
            <w:r w:rsidRPr="00F57146">
              <w:t xml:space="preserve">…of respondents perceived MNEs as being more concerned with profit than anything else. </w:t>
            </w:r>
          </w:p>
        </w:tc>
      </w:tr>
      <w:tr w:rsidR="004E2C28" w:rsidRPr="00F57146" w14:paraId="4A722460" w14:textId="77777777" w:rsidTr="000602AF">
        <w:trPr>
          <w:jc w:val="center"/>
        </w:trPr>
        <w:tc>
          <w:tcPr>
            <w:tcW w:w="846" w:type="dxa"/>
            <w:vAlign w:val="center"/>
          </w:tcPr>
          <w:p w14:paraId="25D0CF8D" w14:textId="77777777" w:rsidR="004E2C28" w:rsidRPr="00F57146" w:rsidRDefault="004E2C28" w:rsidP="009502A3">
            <w:pPr>
              <w:pStyle w:val="ExhibitText"/>
            </w:pPr>
            <w:r w:rsidRPr="00F57146">
              <w:t>50%</w:t>
            </w:r>
          </w:p>
        </w:tc>
        <w:tc>
          <w:tcPr>
            <w:tcW w:w="8329" w:type="dxa"/>
            <w:vAlign w:val="center"/>
          </w:tcPr>
          <w:p w14:paraId="56B720CC" w14:textId="77777777" w:rsidR="004E2C28" w:rsidRPr="00F57146" w:rsidRDefault="004E2C28" w:rsidP="009502A3">
            <w:pPr>
              <w:pStyle w:val="ExhibitText"/>
            </w:pPr>
            <w:r w:rsidRPr="00F57146">
              <w:t>…of respondents thought that MNEs were impersonal.</w:t>
            </w:r>
          </w:p>
        </w:tc>
      </w:tr>
      <w:tr w:rsidR="004E2C28" w:rsidRPr="00F57146" w14:paraId="54347172" w14:textId="77777777" w:rsidTr="000602AF">
        <w:trPr>
          <w:jc w:val="center"/>
        </w:trPr>
        <w:tc>
          <w:tcPr>
            <w:tcW w:w="846" w:type="dxa"/>
            <w:vAlign w:val="center"/>
          </w:tcPr>
          <w:p w14:paraId="17EA50CB" w14:textId="77777777" w:rsidR="004E2C28" w:rsidRPr="00F57146" w:rsidRDefault="004E2C28" w:rsidP="009502A3">
            <w:pPr>
              <w:pStyle w:val="ExhibitText"/>
            </w:pPr>
            <w:r w:rsidRPr="00F57146">
              <w:t>41%</w:t>
            </w:r>
          </w:p>
        </w:tc>
        <w:tc>
          <w:tcPr>
            <w:tcW w:w="8329" w:type="dxa"/>
            <w:vAlign w:val="center"/>
          </w:tcPr>
          <w:p w14:paraId="132A2E07" w14:textId="77777777" w:rsidR="004E2C28" w:rsidRPr="00F57146" w:rsidRDefault="004E2C28" w:rsidP="009502A3">
            <w:pPr>
              <w:pStyle w:val="ExhibitText"/>
            </w:pPr>
            <w:r w:rsidRPr="00F57146">
              <w:t>…of respondents thought that MNEs were bureaucratic.</w:t>
            </w:r>
          </w:p>
        </w:tc>
      </w:tr>
      <w:tr w:rsidR="004E2C28" w:rsidRPr="00F57146" w14:paraId="30575555" w14:textId="77777777" w:rsidTr="000602AF">
        <w:trPr>
          <w:jc w:val="center"/>
        </w:trPr>
        <w:tc>
          <w:tcPr>
            <w:tcW w:w="846" w:type="dxa"/>
            <w:vAlign w:val="center"/>
          </w:tcPr>
          <w:p w14:paraId="7AF11760" w14:textId="77777777" w:rsidR="004E2C28" w:rsidRPr="00F57146" w:rsidRDefault="004E2C28" w:rsidP="009502A3">
            <w:pPr>
              <w:pStyle w:val="ExhibitText"/>
            </w:pPr>
            <w:r w:rsidRPr="00F57146">
              <w:t>94%</w:t>
            </w:r>
          </w:p>
        </w:tc>
        <w:tc>
          <w:tcPr>
            <w:tcW w:w="8329" w:type="dxa"/>
            <w:vAlign w:val="center"/>
          </w:tcPr>
          <w:p w14:paraId="0E1AAC79" w14:textId="77777777" w:rsidR="004E2C28" w:rsidRPr="00F57146" w:rsidRDefault="004E2C28" w:rsidP="009502A3">
            <w:pPr>
              <w:pStyle w:val="ExhibitText"/>
            </w:pPr>
            <w:r w:rsidRPr="00F57146">
              <w:t xml:space="preserve">…of respondents believed that it was possible for a global company to act in local interests. </w:t>
            </w:r>
          </w:p>
        </w:tc>
      </w:tr>
      <w:tr w:rsidR="004E2C28" w:rsidRPr="00F57146" w14:paraId="7D7DD54F" w14:textId="77777777" w:rsidTr="000602AF">
        <w:trPr>
          <w:jc w:val="center"/>
        </w:trPr>
        <w:tc>
          <w:tcPr>
            <w:tcW w:w="846" w:type="dxa"/>
            <w:vAlign w:val="center"/>
          </w:tcPr>
          <w:p w14:paraId="21715A46" w14:textId="77777777" w:rsidR="004E2C28" w:rsidRPr="00F57146" w:rsidRDefault="004E2C28" w:rsidP="009502A3">
            <w:pPr>
              <w:pStyle w:val="ExhibitText"/>
            </w:pPr>
            <w:r w:rsidRPr="00F57146">
              <w:t>67%</w:t>
            </w:r>
          </w:p>
        </w:tc>
        <w:tc>
          <w:tcPr>
            <w:tcW w:w="8329" w:type="dxa"/>
            <w:vAlign w:val="center"/>
          </w:tcPr>
          <w:p w14:paraId="14A0F258" w14:textId="30CEB270" w:rsidR="004E2C28" w:rsidRPr="00F57146" w:rsidRDefault="004E2C28" w:rsidP="009502A3">
            <w:pPr>
              <w:pStyle w:val="ExhibitText"/>
            </w:pPr>
            <w:r w:rsidRPr="00F57146">
              <w:t>…of respondents thought that MNEs provided better, higher quality products at more competitive prices than smaller, local firms.</w:t>
            </w:r>
            <w:r w:rsidR="00352715">
              <w:t xml:space="preserve"> </w:t>
            </w:r>
          </w:p>
        </w:tc>
      </w:tr>
      <w:tr w:rsidR="004E2C28" w:rsidRPr="00F57146" w14:paraId="196913FE" w14:textId="77777777" w:rsidTr="000602AF">
        <w:trPr>
          <w:jc w:val="center"/>
        </w:trPr>
        <w:tc>
          <w:tcPr>
            <w:tcW w:w="846" w:type="dxa"/>
            <w:vAlign w:val="center"/>
          </w:tcPr>
          <w:p w14:paraId="5F6D3281" w14:textId="77777777" w:rsidR="004E2C28" w:rsidRPr="00F57146" w:rsidRDefault="004E2C28" w:rsidP="009502A3">
            <w:pPr>
              <w:pStyle w:val="ExhibitText"/>
            </w:pPr>
            <w:r w:rsidRPr="00F57146">
              <w:t>70%</w:t>
            </w:r>
          </w:p>
        </w:tc>
        <w:tc>
          <w:tcPr>
            <w:tcW w:w="8329" w:type="dxa"/>
            <w:vAlign w:val="center"/>
          </w:tcPr>
          <w:p w14:paraId="7B3773F9" w14:textId="77777777" w:rsidR="004E2C28" w:rsidRPr="00F57146" w:rsidRDefault="004E2C28" w:rsidP="009502A3">
            <w:pPr>
              <w:pStyle w:val="ExhibitText"/>
            </w:pPr>
            <w:r w:rsidRPr="00F57146">
              <w:t xml:space="preserve">…of respondents believed that MNEs championed research and development. </w:t>
            </w:r>
          </w:p>
        </w:tc>
      </w:tr>
      <w:tr w:rsidR="004E2C28" w:rsidRPr="00F57146" w14:paraId="16F333E6" w14:textId="77777777" w:rsidTr="000602AF">
        <w:trPr>
          <w:jc w:val="center"/>
        </w:trPr>
        <w:tc>
          <w:tcPr>
            <w:tcW w:w="846" w:type="dxa"/>
            <w:vAlign w:val="center"/>
          </w:tcPr>
          <w:p w14:paraId="6F30A68D" w14:textId="77777777" w:rsidR="004E2C28" w:rsidRPr="00F57146" w:rsidRDefault="004E2C28" w:rsidP="009502A3">
            <w:pPr>
              <w:pStyle w:val="ExhibitText"/>
            </w:pPr>
            <w:r w:rsidRPr="00F57146">
              <w:t>57%</w:t>
            </w:r>
          </w:p>
        </w:tc>
        <w:tc>
          <w:tcPr>
            <w:tcW w:w="8329" w:type="dxa"/>
            <w:vAlign w:val="center"/>
          </w:tcPr>
          <w:p w14:paraId="387260AA" w14:textId="77777777" w:rsidR="004E2C28" w:rsidRPr="00F57146" w:rsidRDefault="004E2C28" w:rsidP="009502A3">
            <w:pPr>
              <w:pStyle w:val="ExhibitText"/>
            </w:pPr>
            <w:r w:rsidRPr="00F57146">
              <w:t xml:space="preserve">…of respondents agreed that MNEs had initiatives designed to benefit the environment of their region. </w:t>
            </w:r>
          </w:p>
        </w:tc>
      </w:tr>
    </w:tbl>
    <w:p w14:paraId="0B1AC5BD" w14:textId="77777777" w:rsidR="004E2C28" w:rsidRPr="00F57146" w:rsidRDefault="004E2C28" w:rsidP="004E2C28">
      <w:pPr>
        <w:pStyle w:val="ExhibitText"/>
      </w:pPr>
    </w:p>
    <w:p w14:paraId="346566CF" w14:textId="6A9C83DE" w:rsidR="00E83D79" w:rsidRDefault="00E83D79" w:rsidP="004E2C28">
      <w:pPr>
        <w:pStyle w:val="Footnote"/>
      </w:pPr>
      <w:r>
        <w:t>Note: MNEs = multinational enterprises</w:t>
      </w:r>
      <w:r w:rsidR="007B456E">
        <w:t>.</w:t>
      </w:r>
    </w:p>
    <w:p w14:paraId="1D20AC91" w14:textId="16BEE50A" w:rsidR="004E2C28" w:rsidRPr="00F57146" w:rsidRDefault="004E2C28" w:rsidP="004E2C28">
      <w:pPr>
        <w:pStyle w:val="Footnote"/>
      </w:pPr>
      <w:r w:rsidRPr="00F57146">
        <w:t>Source: Company records.</w:t>
      </w:r>
    </w:p>
    <w:p w14:paraId="09890667" w14:textId="77777777" w:rsidR="004E2C28" w:rsidRPr="00F57146" w:rsidRDefault="004E2C28" w:rsidP="004E2C28">
      <w:pPr>
        <w:pStyle w:val="ExhibitText"/>
      </w:pPr>
    </w:p>
    <w:p w14:paraId="68C75B15" w14:textId="77777777" w:rsidR="004E2C28" w:rsidRPr="00F57146" w:rsidRDefault="004E2C28" w:rsidP="004E2C28">
      <w:pPr>
        <w:pStyle w:val="ExhibitText"/>
      </w:pPr>
    </w:p>
    <w:p w14:paraId="42FE2146" w14:textId="53DD443F" w:rsidR="004E2C28" w:rsidRPr="00F57146" w:rsidRDefault="004E2C28" w:rsidP="004E2C28">
      <w:pPr>
        <w:pStyle w:val="ExhibitHeading"/>
      </w:pPr>
      <w:r w:rsidRPr="00F57146">
        <w:t>Exhibit 2: RATING ON GLOCAL SCALE</w:t>
      </w:r>
    </w:p>
    <w:p w14:paraId="46BAD634" w14:textId="79DA1039" w:rsidR="004E2C28" w:rsidRDefault="004E2C28" w:rsidP="00C1773D">
      <w:pPr>
        <w:pStyle w:val="ExhibitText"/>
      </w:pPr>
    </w:p>
    <w:tbl>
      <w:tblPr>
        <w:tblW w:w="8640" w:type="dxa"/>
        <w:jc w:val="center"/>
        <w:tblLook w:val="04A0" w:firstRow="1" w:lastRow="0" w:firstColumn="1" w:lastColumn="0" w:noHBand="0" w:noVBand="1"/>
      </w:tblPr>
      <w:tblGrid>
        <w:gridCol w:w="1250"/>
        <w:gridCol w:w="1847"/>
        <w:gridCol w:w="1848"/>
        <w:gridCol w:w="1847"/>
        <w:gridCol w:w="1848"/>
      </w:tblGrid>
      <w:tr w:rsidR="009502A3" w14:paraId="5D656728" w14:textId="77777777" w:rsidTr="000602AF">
        <w:trPr>
          <w:trHeight w:val="517"/>
          <w:jc w:val="center"/>
        </w:trPr>
        <w:tc>
          <w:tcPr>
            <w:tcW w:w="12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6C10AAE" w14:textId="77777777" w:rsidR="009502A3" w:rsidRDefault="009502A3" w:rsidP="000602AF">
            <w:pPr>
              <w:pStyle w:val="ExhibitText"/>
              <w:jc w:val="center"/>
              <w:rPr>
                <w:lang w:val="en-CA"/>
              </w:rPr>
            </w:pPr>
            <w:r>
              <w:rPr>
                <w:lang w:eastAsia="zh-CN"/>
              </w:rPr>
              <w:t>MNE #</w:t>
            </w:r>
          </w:p>
        </w:tc>
        <w:tc>
          <w:tcPr>
            <w:tcW w:w="184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6C38337" w14:textId="77777777" w:rsidR="009502A3" w:rsidRDefault="009502A3" w:rsidP="000602AF">
            <w:pPr>
              <w:pStyle w:val="ExhibitText"/>
              <w:jc w:val="center"/>
            </w:pPr>
            <w:r>
              <w:rPr>
                <w:lang w:eastAsia="zh-CN"/>
              </w:rPr>
              <w:t>Acting in self-interest</w:t>
            </w:r>
          </w:p>
        </w:tc>
        <w:tc>
          <w:tcPr>
            <w:tcW w:w="184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58D8BD5" w14:textId="77777777" w:rsidR="009502A3" w:rsidRDefault="009502A3" w:rsidP="000602AF">
            <w:pPr>
              <w:pStyle w:val="ExhibitText"/>
              <w:jc w:val="center"/>
            </w:pPr>
            <w:r>
              <w:rPr>
                <w:lang w:eastAsia="zh-CN"/>
              </w:rPr>
              <w:t>Acting in the best interests of the local community</w:t>
            </w:r>
          </w:p>
        </w:tc>
        <w:tc>
          <w:tcPr>
            <w:tcW w:w="184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23A1C5A" w14:textId="77777777" w:rsidR="009502A3" w:rsidRDefault="009502A3" w:rsidP="000602AF">
            <w:pPr>
              <w:pStyle w:val="ExhibitText"/>
              <w:jc w:val="center"/>
            </w:pPr>
            <w:r>
              <w:rPr>
                <w:lang w:eastAsia="zh-CN"/>
              </w:rPr>
              <w:t>Striking a balance between the two</w:t>
            </w:r>
          </w:p>
        </w:tc>
        <w:tc>
          <w:tcPr>
            <w:tcW w:w="184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A5EAED1" w14:textId="77777777" w:rsidR="009502A3" w:rsidRDefault="009502A3" w:rsidP="000602AF">
            <w:pPr>
              <w:pStyle w:val="ExhibitText"/>
              <w:jc w:val="center"/>
            </w:pPr>
            <w:r>
              <w:rPr>
                <w:lang w:eastAsia="zh-CN"/>
              </w:rPr>
              <w:t xml:space="preserve">Average rating on </w:t>
            </w:r>
            <w:proofErr w:type="spellStart"/>
            <w:r>
              <w:rPr>
                <w:lang w:eastAsia="zh-CN"/>
              </w:rPr>
              <w:t>glocal</w:t>
            </w:r>
            <w:proofErr w:type="spellEnd"/>
            <w:r>
              <w:rPr>
                <w:lang w:eastAsia="zh-CN"/>
              </w:rPr>
              <w:t xml:space="preserve"> scale</w:t>
            </w:r>
          </w:p>
        </w:tc>
      </w:tr>
      <w:tr w:rsidR="009502A3" w14:paraId="42D2DF82" w14:textId="77777777" w:rsidTr="000602AF">
        <w:trPr>
          <w:trHeight w:val="517"/>
          <w:jc w:val="center"/>
        </w:trPr>
        <w:tc>
          <w:tcPr>
            <w:tcW w:w="1250" w:type="dxa"/>
            <w:vMerge/>
            <w:tcBorders>
              <w:top w:val="single" w:sz="8" w:space="0" w:color="auto"/>
              <w:left w:val="single" w:sz="8" w:space="0" w:color="auto"/>
              <w:bottom w:val="single" w:sz="8" w:space="0" w:color="000000"/>
              <w:right w:val="single" w:sz="8" w:space="0" w:color="auto"/>
            </w:tcBorders>
            <w:vAlign w:val="center"/>
            <w:hideMark/>
          </w:tcPr>
          <w:p w14:paraId="16336491" w14:textId="77777777" w:rsidR="009502A3" w:rsidRDefault="009502A3" w:rsidP="000602AF">
            <w:pPr>
              <w:pStyle w:val="ExhibitText"/>
              <w:jc w:val="center"/>
            </w:pPr>
          </w:p>
        </w:tc>
        <w:tc>
          <w:tcPr>
            <w:tcW w:w="1847" w:type="dxa"/>
            <w:vMerge/>
            <w:tcBorders>
              <w:top w:val="single" w:sz="8" w:space="0" w:color="auto"/>
              <w:left w:val="single" w:sz="8" w:space="0" w:color="auto"/>
              <w:bottom w:val="single" w:sz="8" w:space="0" w:color="000000"/>
              <w:right w:val="single" w:sz="8" w:space="0" w:color="auto"/>
            </w:tcBorders>
            <w:vAlign w:val="center"/>
            <w:hideMark/>
          </w:tcPr>
          <w:p w14:paraId="4CA5CBE4" w14:textId="77777777" w:rsidR="009502A3" w:rsidRDefault="009502A3" w:rsidP="000602AF">
            <w:pPr>
              <w:pStyle w:val="ExhibitText"/>
              <w:jc w:val="center"/>
            </w:pPr>
          </w:p>
        </w:tc>
        <w:tc>
          <w:tcPr>
            <w:tcW w:w="1848" w:type="dxa"/>
            <w:vMerge/>
            <w:tcBorders>
              <w:top w:val="single" w:sz="8" w:space="0" w:color="auto"/>
              <w:left w:val="single" w:sz="8" w:space="0" w:color="auto"/>
              <w:bottom w:val="single" w:sz="8" w:space="0" w:color="000000"/>
              <w:right w:val="single" w:sz="8" w:space="0" w:color="auto"/>
            </w:tcBorders>
            <w:vAlign w:val="center"/>
            <w:hideMark/>
          </w:tcPr>
          <w:p w14:paraId="0F8BD308" w14:textId="77777777" w:rsidR="009502A3" w:rsidRDefault="009502A3" w:rsidP="000602AF">
            <w:pPr>
              <w:pStyle w:val="ExhibitText"/>
              <w:jc w:val="center"/>
            </w:pPr>
          </w:p>
        </w:tc>
        <w:tc>
          <w:tcPr>
            <w:tcW w:w="1847" w:type="dxa"/>
            <w:vMerge/>
            <w:tcBorders>
              <w:top w:val="single" w:sz="8" w:space="0" w:color="auto"/>
              <w:left w:val="single" w:sz="8" w:space="0" w:color="auto"/>
              <w:bottom w:val="single" w:sz="8" w:space="0" w:color="000000"/>
              <w:right w:val="single" w:sz="8" w:space="0" w:color="auto"/>
            </w:tcBorders>
            <w:vAlign w:val="center"/>
            <w:hideMark/>
          </w:tcPr>
          <w:p w14:paraId="022B8E49" w14:textId="77777777" w:rsidR="009502A3" w:rsidRDefault="009502A3" w:rsidP="000602AF">
            <w:pPr>
              <w:pStyle w:val="ExhibitText"/>
              <w:jc w:val="center"/>
            </w:pPr>
          </w:p>
        </w:tc>
        <w:tc>
          <w:tcPr>
            <w:tcW w:w="1848" w:type="dxa"/>
            <w:vMerge/>
            <w:tcBorders>
              <w:top w:val="single" w:sz="8" w:space="0" w:color="auto"/>
              <w:left w:val="single" w:sz="8" w:space="0" w:color="auto"/>
              <w:bottom w:val="single" w:sz="8" w:space="0" w:color="000000"/>
              <w:right w:val="single" w:sz="8" w:space="0" w:color="auto"/>
            </w:tcBorders>
            <w:vAlign w:val="center"/>
            <w:hideMark/>
          </w:tcPr>
          <w:p w14:paraId="5BFE38B8" w14:textId="77777777" w:rsidR="009502A3" w:rsidRDefault="009502A3" w:rsidP="000602AF">
            <w:pPr>
              <w:pStyle w:val="ExhibitText"/>
              <w:jc w:val="center"/>
            </w:pPr>
          </w:p>
        </w:tc>
      </w:tr>
      <w:tr w:rsidR="009502A3" w14:paraId="06C860EA" w14:textId="77777777" w:rsidTr="000602AF">
        <w:trPr>
          <w:trHeight w:val="288"/>
          <w:jc w:val="center"/>
        </w:trPr>
        <w:tc>
          <w:tcPr>
            <w:tcW w:w="1250" w:type="dxa"/>
            <w:tcBorders>
              <w:top w:val="nil"/>
              <w:left w:val="single" w:sz="8" w:space="0" w:color="auto"/>
              <w:bottom w:val="nil"/>
              <w:right w:val="single" w:sz="8" w:space="0" w:color="auto"/>
            </w:tcBorders>
            <w:shd w:val="clear" w:color="auto" w:fill="auto"/>
            <w:vAlign w:val="center"/>
            <w:hideMark/>
          </w:tcPr>
          <w:p w14:paraId="2ED567F4" w14:textId="77777777" w:rsidR="009502A3" w:rsidRDefault="009502A3" w:rsidP="000602AF">
            <w:pPr>
              <w:pStyle w:val="ExhibitText"/>
              <w:ind w:right="432"/>
              <w:jc w:val="right"/>
            </w:pPr>
            <w:r>
              <w:rPr>
                <w:lang w:eastAsia="zh-CN"/>
              </w:rPr>
              <w:t>1</w:t>
            </w:r>
          </w:p>
        </w:tc>
        <w:tc>
          <w:tcPr>
            <w:tcW w:w="1847" w:type="dxa"/>
            <w:tcBorders>
              <w:top w:val="nil"/>
              <w:left w:val="nil"/>
              <w:bottom w:val="nil"/>
              <w:right w:val="single" w:sz="8" w:space="0" w:color="auto"/>
            </w:tcBorders>
            <w:shd w:val="clear" w:color="auto" w:fill="auto"/>
            <w:vAlign w:val="center"/>
            <w:hideMark/>
          </w:tcPr>
          <w:p w14:paraId="4C01BA6E" w14:textId="77777777" w:rsidR="009502A3" w:rsidRDefault="009502A3" w:rsidP="000602AF">
            <w:pPr>
              <w:pStyle w:val="ExhibitText"/>
              <w:ind w:right="432"/>
              <w:jc w:val="right"/>
            </w:pPr>
            <w:r>
              <w:rPr>
                <w:lang w:eastAsia="zh-CN"/>
              </w:rPr>
              <w:t>40%</w:t>
            </w:r>
          </w:p>
        </w:tc>
        <w:tc>
          <w:tcPr>
            <w:tcW w:w="1848" w:type="dxa"/>
            <w:tcBorders>
              <w:top w:val="nil"/>
              <w:left w:val="nil"/>
              <w:bottom w:val="nil"/>
              <w:right w:val="single" w:sz="8" w:space="0" w:color="auto"/>
            </w:tcBorders>
            <w:shd w:val="clear" w:color="auto" w:fill="auto"/>
            <w:vAlign w:val="center"/>
            <w:hideMark/>
          </w:tcPr>
          <w:p w14:paraId="7959F00A" w14:textId="77777777" w:rsidR="009502A3" w:rsidRDefault="009502A3" w:rsidP="000602AF">
            <w:pPr>
              <w:pStyle w:val="ExhibitText"/>
              <w:ind w:right="432"/>
              <w:jc w:val="right"/>
            </w:pPr>
            <w:r>
              <w:rPr>
                <w:lang w:eastAsia="zh-CN"/>
              </w:rPr>
              <w:t>42%</w:t>
            </w:r>
          </w:p>
        </w:tc>
        <w:tc>
          <w:tcPr>
            <w:tcW w:w="1847" w:type="dxa"/>
            <w:tcBorders>
              <w:top w:val="nil"/>
              <w:left w:val="nil"/>
              <w:bottom w:val="nil"/>
              <w:right w:val="single" w:sz="8" w:space="0" w:color="auto"/>
            </w:tcBorders>
            <w:shd w:val="clear" w:color="auto" w:fill="auto"/>
            <w:vAlign w:val="center"/>
            <w:hideMark/>
          </w:tcPr>
          <w:p w14:paraId="0A5AA6EC" w14:textId="77777777" w:rsidR="009502A3" w:rsidRDefault="009502A3" w:rsidP="000602AF">
            <w:pPr>
              <w:pStyle w:val="ExhibitText"/>
              <w:ind w:right="432"/>
              <w:jc w:val="right"/>
            </w:pPr>
            <w:r>
              <w:rPr>
                <w:lang w:eastAsia="zh-CN"/>
              </w:rPr>
              <w:t>18%</w:t>
            </w:r>
          </w:p>
        </w:tc>
        <w:tc>
          <w:tcPr>
            <w:tcW w:w="1848" w:type="dxa"/>
            <w:tcBorders>
              <w:top w:val="nil"/>
              <w:left w:val="nil"/>
              <w:bottom w:val="nil"/>
              <w:right w:val="single" w:sz="8" w:space="0" w:color="auto"/>
            </w:tcBorders>
            <w:shd w:val="clear" w:color="auto" w:fill="auto"/>
            <w:vAlign w:val="center"/>
            <w:hideMark/>
          </w:tcPr>
          <w:p w14:paraId="52C265CE" w14:textId="627B48C1" w:rsidR="009502A3" w:rsidRDefault="009502A3" w:rsidP="000602AF">
            <w:pPr>
              <w:pStyle w:val="ExhibitText"/>
              <w:ind w:right="432"/>
              <w:jc w:val="right"/>
            </w:pPr>
            <w:r>
              <w:rPr>
                <w:lang w:eastAsia="zh-CN"/>
              </w:rPr>
              <w:t>4</w:t>
            </w:r>
            <w:r w:rsidR="000602AF">
              <w:rPr>
                <w:lang w:eastAsia="zh-CN"/>
              </w:rPr>
              <w:t>.0</w:t>
            </w:r>
          </w:p>
        </w:tc>
      </w:tr>
      <w:tr w:rsidR="009502A3" w14:paraId="1BED81F6" w14:textId="77777777" w:rsidTr="000602AF">
        <w:trPr>
          <w:trHeight w:val="288"/>
          <w:jc w:val="center"/>
        </w:trPr>
        <w:tc>
          <w:tcPr>
            <w:tcW w:w="1250" w:type="dxa"/>
            <w:tcBorders>
              <w:top w:val="nil"/>
              <w:left w:val="single" w:sz="8" w:space="0" w:color="auto"/>
              <w:bottom w:val="nil"/>
              <w:right w:val="single" w:sz="8" w:space="0" w:color="auto"/>
            </w:tcBorders>
            <w:shd w:val="clear" w:color="auto" w:fill="auto"/>
            <w:vAlign w:val="center"/>
            <w:hideMark/>
          </w:tcPr>
          <w:p w14:paraId="503A92A6" w14:textId="77777777" w:rsidR="009502A3" w:rsidRDefault="009502A3" w:rsidP="000602AF">
            <w:pPr>
              <w:pStyle w:val="ExhibitText"/>
              <w:ind w:right="432"/>
              <w:jc w:val="right"/>
            </w:pPr>
            <w:r>
              <w:rPr>
                <w:lang w:eastAsia="zh-CN"/>
              </w:rPr>
              <w:t>2</w:t>
            </w:r>
          </w:p>
        </w:tc>
        <w:tc>
          <w:tcPr>
            <w:tcW w:w="1847" w:type="dxa"/>
            <w:tcBorders>
              <w:top w:val="nil"/>
              <w:left w:val="nil"/>
              <w:bottom w:val="nil"/>
              <w:right w:val="single" w:sz="8" w:space="0" w:color="auto"/>
            </w:tcBorders>
            <w:shd w:val="clear" w:color="auto" w:fill="auto"/>
            <w:vAlign w:val="center"/>
            <w:hideMark/>
          </w:tcPr>
          <w:p w14:paraId="7218D97F" w14:textId="77777777" w:rsidR="009502A3" w:rsidRDefault="009502A3" w:rsidP="000602AF">
            <w:pPr>
              <w:pStyle w:val="ExhibitText"/>
              <w:ind w:right="432"/>
              <w:jc w:val="right"/>
            </w:pPr>
            <w:r>
              <w:rPr>
                <w:lang w:eastAsia="zh-CN"/>
              </w:rPr>
              <w:t>40%</w:t>
            </w:r>
          </w:p>
        </w:tc>
        <w:tc>
          <w:tcPr>
            <w:tcW w:w="1848" w:type="dxa"/>
            <w:tcBorders>
              <w:top w:val="nil"/>
              <w:left w:val="nil"/>
              <w:bottom w:val="nil"/>
              <w:right w:val="single" w:sz="8" w:space="0" w:color="auto"/>
            </w:tcBorders>
            <w:shd w:val="clear" w:color="auto" w:fill="auto"/>
            <w:vAlign w:val="center"/>
            <w:hideMark/>
          </w:tcPr>
          <w:p w14:paraId="3E5CCC41" w14:textId="77777777" w:rsidR="009502A3" w:rsidRDefault="009502A3" w:rsidP="000602AF">
            <w:pPr>
              <w:pStyle w:val="ExhibitText"/>
              <w:ind w:right="432"/>
              <w:jc w:val="right"/>
            </w:pPr>
            <w:r>
              <w:rPr>
                <w:lang w:eastAsia="zh-CN"/>
              </w:rPr>
              <w:t>46%</w:t>
            </w:r>
          </w:p>
        </w:tc>
        <w:tc>
          <w:tcPr>
            <w:tcW w:w="1847" w:type="dxa"/>
            <w:tcBorders>
              <w:top w:val="nil"/>
              <w:left w:val="nil"/>
              <w:bottom w:val="nil"/>
              <w:right w:val="single" w:sz="8" w:space="0" w:color="auto"/>
            </w:tcBorders>
            <w:shd w:val="clear" w:color="auto" w:fill="auto"/>
            <w:vAlign w:val="center"/>
            <w:hideMark/>
          </w:tcPr>
          <w:p w14:paraId="0914C1D8" w14:textId="77777777" w:rsidR="009502A3" w:rsidRDefault="009502A3" w:rsidP="000602AF">
            <w:pPr>
              <w:pStyle w:val="ExhibitText"/>
              <w:ind w:right="432"/>
              <w:jc w:val="right"/>
            </w:pPr>
            <w:r>
              <w:rPr>
                <w:lang w:eastAsia="zh-CN"/>
              </w:rPr>
              <w:t>14%</w:t>
            </w:r>
          </w:p>
        </w:tc>
        <w:tc>
          <w:tcPr>
            <w:tcW w:w="1848" w:type="dxa"/>
            <w:tcBorders>
              <w:top w:val="nil"/>
              <w:left w:val="nil"/>
              <w:bottom w:val="nil"/>
              <w:right w:val="single" w:sz="8" w:space="0" w:color="auto"/>
            </w:tcBorders>
            <w:shd w:val="clear" w:color="auto" w:fill="auto"/>
            <w:vAlign w:val="center"/>
            <w:hideMark/>
          </w:tcPr>
          <w:p w14:paraId="7C5D21FB" w14:textId="77777777" w:rsidR="009502A3" w:rsidRDefault="009502A3" w:rsidP="000602AF">
            <w:pPr>
              <w:pStyle w:val="ExhibitText"/>
              <w:ind w:right="432"/>
              <w:jc w:val="right"/>
            </w:pPr>
            <w:r>
              <w:rPr>
                <w:lang w:eastAsia="zh-CN"/>
              </w:rPr>
              <w:t>3.9</w:t>
            </w:r>
          </w:p>
        </w:tc>
      </w:tr>
      <w:tr w:rsidR="009502A3" w14:paraId="00F565BE" w14:textId="77777777" w:rsidTr="000602AF">
        <w:trPr>
          <w:trHeight w:val="288"/>
          <w:jc w:val="center"/>
        </w:trPr>
        <w:tc>
          <w:tcPr>
            <w:tcW w:w="1250" w:type="dxa"/>
            <w:tcBorders>
              <w:top w:val="nil"/>
              <w:left w:val="single" w:sz="8" w:space="0" w:color="auto"/>
              <w:bottom w:val="nil"/>
              <w:right w:val="single" w:sz="8" w:space="0" w:color="auto"/>
            </w:tcBorders>
            <w:shd w:val="clear" w:color="auto" w:fill="auto"/>
            <w:vAlign w:val="center"/>
            <w:hideMark/>
          </w:tcPr>
          <w:p w14:paraId="019F83E0" w14:textId="77777777" w:rsidR="009502A3" w:rsidRDefault="009502A3" w:rsidP="000602AF">
            <w:pPr>
              <w:pStyle w:val="ExhibitText"/>
              <w:ind w:right="432"/>
              <w:jc w:val="right"/>
            </w:pPr>
            <w:r>
              <w:rPr>
                <w:lang w:eastAsia="zh-CN"/>
              </w:rPr>
              <w:t>3</w:t>
            </w:r>
          </w:p>
        </w:tc>
        <w:tc>
          <w:tcPr>
            <w:tcW w:w="1847" w:type="dxa"/>
            <w:tcBorders>
              <w:top w:val="nil"/>
              <w:left w:val="nil"/>
              <w:bottom w:val="nil"/>
              <w:right w:val="single" w:sz="8" w:space="0" w:color="auto"/>
            </w:tcBorders>
            <w:shd w:val="clear" w:color="auto" w:fill="auto"/>
            <w:vAlign w:val="center"/>
            <w:hideMark/>
          </w:tcPr>
          <w:p w14:paraId="5F92E31E" w14:textId="77777777" w:rsidR="009502A3" w:rsidRDefault="009502A3" w:rsidP="000602AF">
            <w:pPr>
              <w:pStyle w:val="ExhibitText"/>
              <w:ind w:right="432"/>
              <w:jc w:val="right"/>
            </w:pPr>
            <w:r>
              <w:rPr>
                <w:lang w:eastAsia="zh-CN"/>
              </w:rPr>
              <w:t>42%</w:t>
            </w:r>
          </w:p>
        </w:tc>
        <w:tc>
          <w:tcPr>
            <w:tcW w:w="1848" w:type="dxa"/>
            <w:tcBorders>
              <w:top w:val="nil"/>
              <w:left w:val="nil"/>
              <w:bottom w:val="nil"/>
              <w:right w:val="single" w:sz="8" w:space="0" w:color="auto"/>
            </w:tcBorders>
            <w:shd w:val="clear" w:color="auto" w:fill="auto"/>
            <w:vAlign w:val="center"/>
            <w:hideMark/>
          </w:tcPr>
          <w:p w14:paraId="211FDF53" w14:textId="77777777" w:rsidR="009502A3" w:rsidRDefault="009502A3" w:rsidP="000602AF">
            <w:pPr>
              <w:pStyle w:val="ExhibitText"/>
              <w:ind w:right="432"/>
              <w:jc w:val="right"/>
            </w:pPr>
            <w:r>
              <w:rPr>
                <w:lang w:eastAsia="zh-CN"/>
              </w:rPr>
              <w:t>42%</w:t>
            </w:r>
          </w:p>
        </w:tc>
        <w:tc>
          <w:tcPr>
            <w:tcW w:w="1847" w:type="dxa"/>
            <w:tcBorders>
              <w:top w:val="nil"/>
              <w:left w:val="nil"/>
              <w:bottom w:val="nil"/>
              <w:right w:val="single" w:sz="8" w:space="0" w:color="auto"/>
            </w:tcBorders>
            <w:shd w:val="clear" w:color="auto" w:fill="auto"/>
            <w:vAlign w:val="center"/>
            <w:hideMark/>
          </w:tcPr>
          <w:p w14:paraId="5EC747E5" w14:textId="77777777" w:rsidR="009502A3" w:rsidRDefault="009502A3" w:rsidP="000602AF">
            <w:pPr>
              <w:pStyle w:val="ExhibitText"/>
              <w:ind w:right="432"/>
              <w:jc w:val="right"/>
            </w:pPr>
            <w:r>
              <w:rPr>
                <w:lang w:eastAsia="zh-CN"/>
              </w:rPr>
              <w:t>15%</w:t>
            </w:r>
          </w:p>
        </w:tc>
        <w:tc>
          <w:tcPr>
            <w:tcW w:w="1848" w:type="dxa"/>
            <w:tcBorders>
              <w:top w:val="nil"/>
              <w:left w:val="nil"/>
              <w:bottom w:val="nil"/>
              <w:right w:val="single" w:sz="8" w:space="0" w:color="auto"/>
            </w:tcBorders>
            <w:shd w:val="clear" w:color="auto" w:fill="auto"/>
            <w:vAlign w:val="center"/>
            <w:hideMark/>
          </w:tcPr>
          <w:p w14:paraId="1E1E06BE" w14:textId="77777777" w:rsidR="009502A3" w:rsidRDefault="009502A3" w:rsidP="000602AF">
            <w:pPr>
              <w:pStyle w:val="ExhibitText"/>
              <w:ind w:right="432"/>
              <w:jc w:val="right"/>
            </w:pPr>
            <w:r>
              <w:rPr>
                <w:lang w:eastAsia="zh-CN"/>
              </w:rPr>
              <w:t>3.8</w:t>
            </w:r>
          </w:p>
        </w:tc>
      </w:tr>
      <w:tr w:rsidR="009502A3" w14:paraId="389564F0" w14:textId="77777777" w:rsidTr="000602AF">
        <w:trPr>
          <w:trHeight w:val="288"/>
          <w:jc w:val="center"/>
        </w:trPr>
        <w:tc>
          <w:tcPr>
            <w:tcW w:w="1250" w:type="dxa"/>
            <w:tcBorders>
              <w:top w:val="nil"/>
              <w:left w:val="single" w:sz="8" w:space="0" w:color="auto"/>
              <w:bottom w:val="nil"/>
              <w:right w:val="single" w:sz="8" w:space="0" w:color="auto"/>
            </w:tcBorders>
            <w:shd w:val="clear" w:color="auto" w:fill="auto"/>
            <w:vAlign w:val="center"/>
            <w:hideMark/>
          </w:tcPr>
          <w:p w14:paraId="614CDEC5" w14:textId="77777777" w:rsidR="009502A3" w:rsidRDefault="009502A3" w:rsidP="000602AF">
            <w:pPr>
              <w:pStyle w:val="ExhibitText"/>
              <w:ind w:right="432"/>
              <w:jc w:val="right"/>
            </w:pPr>
            <w:r>
              <w:rPr>
                <w:lang w:eastAsia="zh-CN"/>
              </w:rPr>
              <w:t>4</w:t>
            </w:r>
          </w:p>
        </w:tc>
        <w:tc>
          <w:tcPr>
            <w:tcW w:w="1847" w:type="dxa"/>
            <w:tcBorders>
              <w:top w:val="nil"/>
              <w:left w:val="nil"/>
              <w:bottom w:val="nil"/>
              <w:right w:val="single" w:sz="8" w:space="0" w:color="auto"/>
            </w:tcBorders>
            <w:shd w:val="clear" w:color="auto" w:fill="auto"/>
            <w:vAlign w:val="center"/>
            <w:hideMark/>
          </w:tcPr>
          <w:p w14:paraId="5D0B26F9" w14:textId="77777777" w:rsidR="009502A3" w:rsidRDefault="009502A3" w:rsidP="000602AF">
            <w:pPr>
              <w:pStyle w:val="ExhibitText"/>
              <w:ind w:right="432"/>
              <w:jc w:val="right"/>
            </w:pPr>
            <w:r>
              <w:rPr>
                <w:lang w:eastAsia="zh-CN"/>
              </w:rPr>
              <w:t>43%</w:t>
            </w:r>
          </w:p>
        </w:tc>
        <w:tc>
          <w:tcPr>
            <w:tcW w:w="1848" w:type="dxa"/>
            <w:tcBorders>
              <w:top w:val="nil"/>
              <w:left w:val="nil"/>
              <w:bottom w:val="nil"/>
              <w:right w:val="single" w:sz="8" w:space="0" w:color="auto"/>
            </w:tcBorders>
            <w:shd w:val="clear" w:color="auto" w:fill="auto"/>
            <w:vAlign w:val="center"/>
            <w:hideMark/>
          </w:tcPr>
          <w:p w14:paraId="0FE309FB" w14:textId="77777777" w:rsidR="009502A3" w:rsidRDefault="009502A3" w:rsidP="000602AF">
            <w:pPr>
              <w:pStyle w:val="ExhibitText"/>
              <w:ind w:right="432"/>
              <w:jc w:val="right"/>
            </w:pPr>
            <w:r>
              <w:rPr>
                <w:lang w:eastAsia="zh-CN"/>
              </w:rPr>
              <w:t>43%</w:t>
            </w:r>
          </w:p>
        </w:tc>
        <w:tc>
          <w:tcPr>
            <w:tcW w:w="1847" w:type="dxa"/>
            <w:tcBorders>
              <w:top w:val="nil"/>
              <w:left w:val="nil"/>
              <w:bottom w:val="nil"/>
              <w:right w:val="single" w:sz="8" w:space="0" w:color="auto"/>
            </w:tcBorders>
            <w:shd w:val="clear" w:color="auto" w:fill="auto"/>
            <w:vAlign w:val="center"/>
            <w:hideMark/>
          </w:tcPr>
          <w:p w14:paraId="1402AEC3" w14:textId="77777777" w:rsidR="009502A3" w:rsidRDefault="009502A3" w:rsidP="000602AF">
            <w:pPr>
              <w:pStyle w:val="ExhibitText"/>
              <w:ind w:right="432"/>
              <w:jc w:val="right"/>
            </w:pPr>
            <w:r>
              <w:rPr>
                <w:lang w:eastAsia="zh-CN"/>
              </w:rPr>
              <w:t>14%</w:t>
            </w:r>
          </w:p>
        </w:tc>
        <w:tc>
          <w:tcPr>
            <w:tcW w:w="1848" w:type="dxa"/>
            <w:tcBorders>
              <w:top w:val="nil"/>
              <w:left w:val="nil"/>
              <w:bottom w:val="nil"/>
              <w:right w:val="single" w:sz="8" w:space="0" w:color="auto"/>
            </w:tcBorders>
            <w:shd w:val="clear" w:color="auto" w:fill="auto"/>
            <w:vAlign w:val="center"/>
            <w:hideMark/>
          </w:tcPr>
          <w:p w14:paraId="45F73ABE" w14:textId="77777777" w:rsidR="009502A3" w:rsidRDefault="009502A3" w:rsidP="000602AF">
            <w:pPr>
              <w:pStyle w:val="ExhibitText"/>
              <w:ind w:right="432"/>
              <w:jc w:val="right"/>
            </w:pPr>
            <w:r>
              <w:rPr>
                <w:lang w:eastAsia="zh-CN"/>
              </w:rPr>
              <w:t>3.8</w:t>
            </w:r>
          </w:p>
        </w:tc>
      </w:tr>
      <w:tr w:rsidR="009502A3" w14:paraId="124331FC" w14:textId="77777777" w:rsidTr="000602AF">
        <w:trPr>
          <w:trHeight w:val="288"/>
          <w:jc w:val="center"/>
        </w:trPr>
        <w:tc>
          <w:tcPr>
            <w:tcW w:w="1250" w:type="dxa"/>
            <w:tcBorders>
              <w:top w:val="nil"/>
              <w:left w:val="single" w:sz="8" w:space="0" w:color="auto"/>
              <w:bottom w:val="nil"/>
              <w:right w:val="single" w:sz="8" w:space="0" w:color="auto"/>
            </w:tcBorders>
            <w:shd w:val="clear" w:color="auto" w:fill="auto"/>
            <w:vAlign w:val="center"/>
            <w:hideMark/>
          </w:tcPr>
          <w:p w14:paraId="564E23D4" w14:textId="77777777" w:rsidR="009502A3" w:rsidRDefault="009502A3" w:rsidP="000602AF">
            <w:pPr>
              <w:pStyle w:val="ExhibitText"/>
              <w:ind w:right="432"/>
              <w:jc w:val="right"/>
            </w:pPr>
            <w:r>
              <w:rPr>
                <w:lang w:eastAsia="zh-CN"/>
              </w:rPr>
              <w:t>5</w:t>
            </w:r>
          </w:p>
        </w:tc>
        <w:tc>
          <w:tcPr>
            <w:tcW w:w="1847" w:type="dxa"/>
            <w:tcBorders>
              <w:top w:val="nil"/>
              <w:left w:val="nil"/>
              <w:bottom w:val="nil"/>
              <w:right w:val="single" w:sz="8" w:space="0" w:color="auto"/>
            </w:tcBorders>
            <w:shd w:val="clear" w:color="auto" w:fill="auto"/>
            <w:vAlign w:val="center"/>
            <w:hideMark/>
          </w:tcPr>
          <w:p w14:paraId="0EC1514A" w14:textId="77777777" w:rsidR="009502A3" w:rsidRDefault="009502A3" w:rsidP="000602AF">
            <w:pPr>
              <w:pStyle w:val="ExhibitText"/>
              <w:ind w:right="432"/>
              <w:jc w:val="right"/>
            </w:pPr>
            <w:r>
              <w:rPr>
                <w:lang w:eastAsia="zh-CN"/>
              </w:rPr>
              <w:t>47%</w:t>
            </w:r>
          </w:p>
        </w:tc>
        <w:tc>
          <w:tcPr>
            <w:tcW w:w="1848" w:type="dxa"/>
            <w:tcBorders>
              <w:top w:val="nil"/>
              <w:left w:val="nil"/>
              <w:bottom w:val="nil"/>
              <w:right w:val="single" w:sz="8" w:space="0" w:color="auto"/>
            </w:tcBorders>
            <w:shd w:val="clear" w:color="auto" w:fill="auto"/>
            <w:vAlign w:val="center"/>
            <w:hideMark/>
          </w:tcPr>
          <w:p w14:paraId="29582C1F" w14:textId="77777777" w:rsidR="009502A3" w:rsidRDefault="009502A3" w:rsidP="000602AF">
            <w:pPr>
              <w:pStyle w:val="ExhibitText"/>
              <w:ind w:right="432"/>
              <w:jc w:val="right"/>
            </w:pPr>
            <w:r>
              <w:rPr>
                <w:lang w:eastAsia="zh-CN"/>
              </w:rPr>
              <w:t>38%</w:t>
            </w:r>
          </w:p>
        </w:tc>
        <w:tc>
          <w:tcPr>
            <w:tcW w:w="1847" w:type="dxa"/>
            <w:tcBorders>
              <w:top w:val="nil"/>
              <w:left w:val="nil"/>
              <w:bottom w:val="nil"/>
              <w:right w:val="single" w:sz="8" w:space="0" w:color="auto"/>
            </w:tcBorders>
            <w:shd w:val="clear" w:color="auto" w:fill="auto"/>
            <w:vAlign w:val="center"/>
            <w:hideMark/>
          </w:tcPr>
          <w:p w14:paraId="36A1697E" w14:textId="77777777" w:rsidR="009502A3" w:rsidRDefault="009502A3" w:rsidP="000602AF">
            <w:pPr>
              <w:pStyle w:val="ExhibitText"/>
              <w:ind w:right="432"/>
              <w:jc w:val="right"/>
            </w:pPr>
            <w:r>
              <w:rPr>
                <w:lang w:eastAsia="zh-CN"/>
              </w:rPr>
              <w:t>15%</w:t>
            </w:r>
          </w:p>
        </w:tc>
        <w:tc>
          <w:tcPr>
            <w:tcW w:w="1848" w:type="dxa"/>
            <w:tcBorders>
              <w:top w:val="nil"/>
              <w:left w:val="nil"/>
              <w:bottom w:val="nil"/>
              <w:right w:val="single" w:sz="8" w:space="0" w:color="auto"/>
            </w:tcBorders>
            <w:shd w:val="clear" w:color="auto" w:fill="auto"/>
            <w:vAlign w:val="center"/>
            <w:hideMark/>
          </w:tcPr>
          <w:p w14:paraId="6958E482" w14:textId="77777777" w:rsidR="009502A3" w:rsidRDefault="009502A3" w:rsidP="000602AF">
            <w:pPr>
              <w:pStyle w:val="ExhibitText"/>
              <w:ind w:right="432"/>
              <w:jc w:val="right"/>
            </w:pPr>
            <w:r>
              <w:rPr>
                <w:lang w:eastAsia="zh-CN"/>
              </w:rPr>
              <w:t>3.6</w:t>
            </w:r>
          </w:p>
        </w:tc>
      </w:tr>
      <w:tr w:rsidR="009502A3" w14:paraId="0C80972E" w14:textId="77777777" w:rsidTr="000602AF">
        <w:trPr>
          <w:trHeight w:val="288"/>
          <w:jc w:val="center"/>
        </w:trPr>
        <w:tc>
          <w:tcPr>
            <w:tcW w:w="1250" w:type="dxa"/>
            <w:tcBorders>
              <w:top w:val="nil"/>
              <w:left w:val="single" w:sz="8" w:space="0" w:color="auto"/>
              <w:bottom w:val="nil"/>
              <w:right w:val="single" w:sz="8" w:space="0" w:color="auto"/>
            </w:tcBorders>
            <w:shd w:val="clear" w:color="auto" w:fill="auto"/>
            <w:vAlign w:val="center"/>
            <w:hideMark/>
          </w:tcPr>
          <w:p w14:paraId="36E15375" w14:textId="7FA6EF0C" w:rsidR="009502A3" w:rsidRDefault="000602AF" w:rsidP="000602AF">
            <w:pPr>
              <w:pStyle w:val="ExhibitText"/>
              <w:ind w:right="432"/>
              <w:jc w:val="right"/>
            </w:pPr>
            <w:r>
              <w:rPr>
                <w:lang w:eastAsia="zh-CN"/>
              </w:rPr>
              <w:t>*</w:t>
            </w:r>
            <w:r w:rsidR="009502A3" w:rsidRPr="000602AF">
              <w:rPr>
                <w:b/>
                <w:lang w:eastAsia="zh-CN"/>
              </w:rPr>
              <w:t>6</w:t>
            </w:r>
          </w:p>
        </w:tc>
        <w:tc>
          <w:tcPr>
            <w:tcW w:w="1847" w:type="dxa"/>
            <w:tcBorders>
              <w:top w:val="nil"/>
              <w:left w:val="nil"/>
              <w:bottom w:val="nil"/>
              <w:right w:val="single" w:sz="8" w:space="0" w:color="auto"/>
            </w:tcBorders>
            <w:shd w:val="clear" w:color="auto" w:fill="auto"/>
            <w:vAlign w:val="center"/>
            <w:hideMark/>
          </w:tcPr>
          <w:p w14:paraId="7D4B9135" w14:textId="77777777" w:rsidR="009502A3" w:rsidRDefault="009502A3" w:rsidP="000602AF">
            <w:pPr>
              <w:pStyle w:val="ExhibitText"/>
              <w:ind w:right="432"/>
              <w:jc w:val="right"/>
              <w:rPr>
                <w:b/>
                <w:bCs/>
              </w:rPr>
            </w:pPr>
            <w:r>
              <w:rPr>
                <w:b/>
                <w:bCs/>
                <w:lang w:eastAsia="zh-CN"/>
              </w:rPr>
              <w:t>48%</w:t>
            </w:r>
          </w:p>
        </w:tc>
        <w:tc>
          <w:tcPr>
            <w:tcW w:w="1848" w:type="dxa"/>
            <w:tcBorders>
              <w:top w:val="nil"/>
              <w:left w:val="nil"/>
              <w:bottom w:val="nil"/>
              <w:right w:val="single" w:sz="8" w:space="0" w:color="auto"/>
            </w:tcBorders>
            <w:shd w:val="clear" w:color="auto" w:fill="auto"/>
            <w:vAlign w:val="center"/>
            <w:hideMark/>
          </w:tcPr>
          <w:p w14:paraId="570E990F" w14:textId="77777777" w:rsidR="009502A3" w:rsidRDefault="009502A3" w:rsidP="000602AF">
            <w:pPr>
              <w:pStyle w:val="ExhibitText"/>
              <w:ind w:right="432"/>
              <w:jc w:val="right"/>
              <w:rPr>
                <w:b/>
                <w:bCs/>
              </w:rPr>
            </w:pPr>
            <w:r>
              <w:rPr>
                <w:b/>
                <w:bCs/>
                <w:lang w:eastAsia="zh-CN"/>
              </w:rPr>
              <w:t>39%</w:t>
            </w:r>
          </w:p>
        </w:tc>
        <w:tc>
          <w:tcPr>
            <w:tcW w:w="1847" w:type="dxa"/>
            <w:tcBorders>
              <w:top w:val="nil"/>
              <w:left w:val="nil"/>
              <w:bottom w:val="nil"/>
              <w:right w:val="single" w:sz="8" w:space="0" w:color="auto"/>
            </w:tcBorders>
            <w:shd w:val="clear" w:color="auto" w:fill="auto"/>
            <w:vAlign w:val="center"/>
            <w:hideMark/>
          </w:tcPr>
          <w:p w14:paraId="6612C98F" w14:textId="77777777" w:rsidR="009502A3" w:rsidRDefault="009502A3" w:rsidP="000602AF">
            <w:pPr>
              <w:pStyle w:val="ExhibitText"/>
              <w:ind w:right="432"/>
              <w:jc w:val="right"/>
              <w:rPr>
                <w:b/>
                <w:bCs/>
              </w:rPr>
            </w:pPr>
            <w:r>
              <w:rPr>
                <w:b/>
                <w:bCs/>
                <w:lang w:eastAsia="zh-CN"/>
              </w:rPr>
              <w:t>13%</w:t>
            </w:r>
          </w:p>
        </w:tc>
        <w:tc>
          <w:tcPr>
            <w:tcW w:w="1848" w:type="dxa"/>
            <w:tcBorders>
              <w:top w:val="nil"/>
              <w:left w:val="nil"/>
              <w:bottom w:val="nil"/>
              <w:right w:val="single" w:sz="8" w:space="0" w:color="auto"/>
            </w:tcBorders>
            <w:shd w:val="clear" w:color="auto" w:fill="auto"/>
            <w:vAlign w:val="center"/>
            <w:hideMark/>
          </w:tcPr>
          <w:p w14:paraId="79CB6F7A" w14:textId="77777777" w:rsidR="009502A3" w:rsidRDefault="009502A3" w:rsidP="000602AF">
            <w:pPr>
              <w:pStyle w:val="ExhibitText"/>
              <w:ind w:right="432"/>
              <w:jc w:val="right"/>
              <w:rPr>
                <w:b/>
                <w:bCs/>
              </w:rPr>
            </w:pPr>
            <w:r>
              <w:rPr>
                <w:b/>
                <w:bCs/>
                <w:lang w:eastAsia="zh-CN"/>
              </w:rPr>
              <w:t>3.5</w:t>
            </w:r>
          </w:p>
        </w:tc>
      </w:tr>
      <w:tr w:rsidR="009502A3" w14:paraId="5D0FD247" w14:textId="77777777" w:rsidTr="000602AF">
        <w:trPr>
          <w:trHeight w:val="288"/>
          <w:jc w:val="center"/>
        </w:trPr>
        <w:tc>
          <w:tcPr>
            <w:tcW w:w="1250" w:type="dxa"/>
            <w:tcBorders>
              <w:top w:val="nil"/>
              <w:left w:val="single" w:sz="8" w:space="0" w:color="auto"/>
              <w:bottom w:val="nil"/>
              <w:right w:val="single" w:sz="8" w:space="0" w:color="auto"/>
            </w:tcBorders>
            <w:shd w:val="clear" w:color="auto" w:fill="auto"/>
            <w:vAlign w:val="center"/>
            <w:hideMark/>
          </w:tcPr>
          <w:p w14:paraId="3C347CEE" w14:textId="77777777" w:rsidR="009502A3" w:rsidRDefault="009502A3" w:rsidP="000602AF">
            <w:pPr>
              <w:pStyle w:val="ExhibitText"/>
              <w:ind w:right="432"/>
              <w:jc w:val="right"/>
            </w:pPr>
            <w:r>
              <w:rPr>
                <w:lang w:eastAsia="zh-CN"/>
              </w:rPr>
              <w:t>7</w:t>
            </w:r>
          </w:p>
        </w:tc>
        <w:tc>
          <w:tcPr>
            <w:tcW w:w="1847" w:type="dxa"/>
            <w:tcBorders>
              <w:top w:val="nil"/>
              <w:left w:val="nil"/>
              <w:bottom w:val="nil"/>
              <w:right w:val="single" w:sz="8" w:space="0" w:color="auto"/>
            </w:tcBorders>
            <w:shd w:val="clear" w:color="auto" w:fill="auto"/>
            <w:vAlign w:val="center"/>
            <w:hideMark/>
          </w:tcPr>
          <w:p w14:paraId="44A9794C" w14:textId="77777777" w:rsidR="009502A3" w:rsidRDefault="009502A3" w:rsidP="000602AF">
            <w:pPr>
              <w:pStyle w:val="ExhibitText"/>
              <w:ind w:right="432"/>
              <w:jc w:val="right"/>
            </w:pPr>
            <w:r>
              <w:rPr>
                <w:lang w:eastAsia="zh-CN"/>
              </w:rPr>
              <w:t>49%</w:t>
            </w:r>
          </w:p>
        </w:tc>
        <w:tc>
          <w:tcPr>
            <w:tcW w:w="1848" w:type="dxa"/>
            <w:tcBorders>
              <w:top w:val="nil"/>
              <w:left w:val="nil"/>
              <w:bottom w:val="nil"/>
              <w:right w:val="single" w:sz="8" w:space="0" w:color="auto"/>
            </w:tcBorders>
            <w:shd w:val="clear" w:color="auto" w:fill="auto"/>
            <w:vAlign w:val="center"/>
            <w:hideMark/>
          </w:tcPr>
          <w:p w14:paraId="349F3359" w14:textId="77777777" w:rsidR="009502A3" w:rsidRDefault="009502A3" w:rsidP="000602AF">
            <w:pPr>
              <w:pStyle w:val="ExhibitText"/>
              <w:ind w:right="432"/>
              <w:jc w:val="right"/>
            </w:pPr>
            <w:r>
              <w:rPr>
                <w:lang w:eastAsia="zh-CN"/>
              </w:rPr>
              <w:t>42%</w:t>
            </w:r>
          </w:p>
        </w:tc>
        <w:tc>
          <w:tcPr>
            <w:tcW w:w="1847" w:type="dxa"/>
            <w:tcBorders>
              <w:top w:val="nil"/>
              <w:left w:val="nil"/>
              <w:bottom w:val="nil"/>
              <w:right w:val="single" w:sz="8" w:space="0" w:color="auto"/>
            </w:tcBorders>
            <w:shd w:val="clear" w:color="auto" w:fill="auto"/>
            <w:vAlign w:val="center"/>
            <w:hideMark/>
          </w:tcPr>
          <w:p w14:paraId="5A81B5E5" w14:textId="77777777" w:rsidR="009502A3" w:rsidRDefault="009502A3" w:rsidP="000602AF">
            <w:pPr>
              <w:pStyle w:val="ExhibitText"/>
              <w:ind w:right="432"/>
              <w:jc w:val="right"/>
            </w:pPr>
            <w:r>
              <w:rPr>
                <w:lang w:eastAsia="zh-CN"/>
              </w:rPr>
              <w:t>9%</w:t>
            </w:r>
          </w:p>
        </w:tc>
        <w:tc>
          <w:tcPr>
            <w:tcW w:w="1848" w:type="dxa"/>
            <w:tcBorders>
              <w:top w:val="nil"/>
              <w:left w:val="nil"/>
              <w:bottom w:val="nil"/>
              <w:right w:val="single" w:sz="8" w:space="0" w:color="auto"/>
            </w:tcBorders>
            <w:shd w:val="clear" w:color="auto" w:fill="auto"/>
            <w:vAlign w:val="center"/>
            <w:hideMark/>
          </w:tcPr>
          <w:p w14:paraId="3D2C06DB" w14:textId="77777777" w:rsidR="009502A3" w:rsidRDefault="009502A3" w:rsidP="000602AF">
            <w:pPr>
              <w:pStyle w:val="ExhibitText"/>
              <w:ind w:right="432"/>
              <w:jc w:val="right"/>
            </w:pPr>
            <w:r>
              <w:rPr>
                <w:lang w:eastAsia="zh-CN"/>
              </w:rPr>
              <w:t>3.4</w:t>
            </w:r>
          </w:p>
        </w:tc>
      </w:tr>
      <w:tr w:rsidR="009502A3" w14:paraId="304CD49C" w14:textId="77777777" w:rsidTr="000602AF">
        <w:trPr>
          <w:trHeight w:val="288"/>
          <w:jc w:val="center"/>
        </w:trPr>
        <w:tc>
          <w:tcPr>
            <w:tcW w:w="1250" w:type="dxa"/>
            <w:tcBorders>
              <w:top w:val="nil"/>
              <w:left w:val="single" w:sz="8" w:space="0" w:color="auto"/>
              <w:bottom w:val="nil"/>
              <w:right w:val="single" w:sz="8" w:space="0" w:color="auto"/>
            </w:tcBorders>
            <w:shd w:val="clear" w:color="auto" w:fill="auto"/>
            <w:vAlign w:val="center"/>
            <w:hideMark/>
          </w:tcPr>
          <w:p w14:paraId="4302DC03" w14:textId="77777777" w:rsidR="009502A3" w:rsidRDefault="009502A3" w:rsidP="000602AF">
            <w:pPr>
              <w:pStyle w:val="ExhibitText"/>
              <w:ind w:right="432"/>
              <w:jc w:val="right"/>
            </w:pPr>
            <w:r>
              <w:rPr>
                <w:lang w:eastAsia="zh-CN"/>
              </w:rPr>
              <w:t>8</w:t>
            </w:r>
          </w:p>
        </w:tc>
        <w:tc>
          <w:tcPr>
            <w:tcW w:w="1847" w:type="dxa"/>
            <w:tcBorders>
              <w:top w:val="nil"/>
              <w:left w:val="nil"/>
              <w:bottom w:val="nil"/>
              <w:right w:val="single" w:sz="8" w:space="0" w:color="auto"/>
            </w:tcBorders>
            <w:shd w:val="clear" w:color="auto" w:fill="auto"/>
            <w:vAlign w:val="center"/>
            <w:hideMark/>
          </w:tcPr>
          <w:p w14:paraId="5FBF4058" w14:textId="77777777" w:rsidR="009502A3" w:rsidRDefault="009502A3" w:rsidP="000602AF">
            <w:pPr>
              <w:pStyle w:val="ExhibitText"/>
              <w:ind w:right="432"/>
              <w:jc w:val="right"/>
            </w:pPr>
            <w:r>
              <w:rPr>
                <w:lang w:eastAsia="zh-CN"/>
              </w:rPr>
              <w:t>48%</w:t>
            </w:r>
          </w:p>
        </w:tc>
        <w:tc>
          <w:tcPr>
            <w:tcW w:w="1848" w:type="dxa"/>
            <w:tcBorders>
              <w:top w:val="nil"/>
              <w:left w:val="nil"/>
              <w:bottom w:val="nil"/>
              <w:right w:val="single" w:sz="8" w:space="0" w:color="auto"/>
            </w:tcBorders>
            <w:shd w:val="clear" w:color="auto" w:fill="auto"/>
            <w:vAlign w:val="center"/>
            <w:hideMark/>
          </w:tcPr>
          <w:p w14:paraId="47146754" w14:textId="77777777" w:rsidR="009502A3" w:rsidRDefault="009502A3" w:rsidP="000602AF">
            <w:pPr>
              <w:pStyle w:val="ExhibitText"/>
              <w:ind w:right="432"/>
              <w:jc w:val="right"/>
            </w:pPr>
            <w:r>
              <w:rPr>
                <w:lang w:eastAsia="zh-CN"/>
              </w:rPr>
              <w:t>43%</w:t>
            </w:r>
          </w:p>
        </w:tc>
        <w:tc>
          <w:tcPr>
            <w:tcW w:w="1847" w:type="dxa"/>
            <w:tcBorders>
              <w:top w:val="nil"/>
              <w:left w:val="nil"/>
              <w:bottom w:val="nil"/>
              <w:right w:val="single" w:sz="8" w:space="0" w:color="auto"/>
            </w:tcBorders>
            <w:shd w:val="clear" w:color="auto" w:fill="auto"/>
            <w:vAlign w:val="center"/>
            <w:hideMark/>
          </w:tcPr>
          <w:p w14:paraId="74CCE8EA" w14:textId="77777777" w:rsidR="009502A3" w:rsidRDefault="009502A3" w:rsidP="000602AF">
            <w:pPr>
              <w:pStyle w:val="ExhibitText"/>
              <w:ind w:right="432"/>
              <w:jc w:val="right"/>
            </w:pPr>
            <w:r>
              <w:rPr>
                <w:lang w:eastAsia="zh-CN"/>
              </w:rPr>
              <w:t>9%</w:t>
            </w:r>
          </w:p>
        </w:tc>
        <w:tc>
          <w:tcPr>
            <w:tcW w:w="1848" w:type="dxa"/>
            <w:tcBorders>
              <w:top w:val="nil"/>
              <w:left w:val="nil"/>
              <w:bottom w:val="nil"/>
              <w:right w:val="single" w:sz="8" w:space="0" w:color="auto"/>
            </w:tcBorders>
            <w:shd w:val="clear" w:color="auto" w:fill="auto"/>
            <w:vAlign w:val="center"/>
            <w:hideMark/>
          </w:tcPr>
          <w:p w14:paraId="74104C52" w14:textId="77777777" w:rsidR="009502A3" w:rsidRDefault="009502A3" w:rsidP="000602AF">
            <w:pPr>
              <w:pStyle w:val="ExhibitText"/>
              <w:ind w:right="432"/>
              <w:jc w:val="right"/>
            </w:pPr>
            <w:r>
              <w:rPr>
                <w:lang w:eastAsia="zh-CN"/>
              </w:rPr>
              <w:t>3.4</w:t>
            </w:r>
          </w:p>
        </w:tc>
      </w:tr>
      <w:tr w:rsidR="009502A3" w14:paraId="00C1FD20" w14:textId="77777777" w:rsidTr="000602AF">
        <w:trPr>
          <w:trHeight w:val="288"/>
          <w:jc w:val="center"/>
        </w:trPr>
        <w:tc>
          <w:tcPr>
            <w:tcW w:w="1250" w:type="dxa"/>
            <w:tcBorders>
              <w:top w:val="nil"/>
              <w:left w:val="single" w:sz="8" w:space="0" w:color="auto"/>
              <w:bottom w:val="nil"/>
              <w:right w:val="single" w:sz="8" w:space="0" w:color="auto"/>
            </w:tcBorders>
            <w:shd w:val="clear" w:color="auto" w:fill="auto"/>
            <w:vAlign w:val="center"/>
            <w:hideMark/>
          </w:tcPr>
          <w:p w14:paraId="0E853107" w14:textId="77777777" w:rsidR="009502A3" w:rsidRDefault="009502A3" w:rsidP="000602AF">
            <w:pPr>
              <w:pStyle w:val="ExhibitText"/>
              <w:ind w:right="432"/>
              <w:jc w:val="right"/>
            </w:pPr>
            <w:r>
              <w:rPr>
                <w:lang w:eastAsia="zh-CN"/>
              </w:rPr>
              <w:t>9</w:t>
            </w:r>
          </w:p>
        </w:tc>
        <w:tc>
          <w:tcPr>
            <w:tcW w:w="1847" w:type="dxa"/>
            <w:tcBorders>
              <w:top w:val="nil"/>
              <w:left w:val="nil"/>
              <w:bottom w:val="nil"/>
              <w:right w:val="single" w:sz="8" w:space="0" w:color="auto"/>
            </w:tcBorders>
            <w:shd w:val="clear" w:color="auto" w:fill="auto"/>
            <w:vAlign w:val="center"/>
            <w:hideMark/>
          </w:tcPr>
          <w:p w14:paraId="26B6908B" w14:textId="77777777" w:rsidR="009502A3" w:rsidRDefault="009502A3" w:rsidP="000602AF">
            <w:pPr>
              <w:pStyle w:val="ExhibitText"/>
              <w:ind w:right="432"/>
              <w:jc w:val="right"/>
            </w:pPr>
            <w:r>
              <w:rPr>
                <w:lang w:eastAsia="zh-CN"/>
              </w:rPr>
              <w:t>49%</w:t>
            </w:r>
          </w:p>
        </w:tc>
        <w:tc>
          <w:tcPr>
            <w:tcW w:w="1848" w:type="dxa"/>
            <w:tcBorders>
              <w:top w:val="nil"/>
              <w:left w:val="nil"/>
              <w:bottom w:val="nil"/>
              <w:right w:val="single" w:sz="8" w:space="0" w:color="auto"/>
            </w:tcBorders>
            <w:shd w:val="clear" w:color="auto" w:fill="auto"/>
            <w:vAlign w:val="center"/>
            <w:hideMark/>
          </w:tcPr>
          <w:p w14:paraId="44D3E469" w14:textId="77777777" w:rsidR="009502A3" w:rsidRDefault="009502A3" w:rsidP="000602AF">
            <w:pPr>
              <w:pStyle w:val="ExhibitText"/>
              <w:ind w:right="432"/>
              <w:jc w:val="right"/>
            </w:pPr>
            <w:r>
              <w:rPr>
                <w:lang w:eastAsia="zh-CN"/>
              </w:rPr>
              <w:t>42%</w:t>
            </w:r>
          </w:p>
        </w:tc>
        <w:tc>
          <w:tcPr>
            <w:tcW w:w="1847" w:type="dxa"/>
            <w:tcBorders>
              <w:top w:val="nil"/>
              <w:left w:val="nil"/>
              <w:bottom w:val="nil"/>
              <w:right w:val="single" w:sz="8" w:space="0" w:color="auto"/>
            </w:tcBorders>
            <w:shd w:val="clear" w:color="auto" w:fill="auto"/>
            <w:vAlign w:val="center"/>
            <w:hideMark/>
          </w:tcPr>
          <w:p w14:paraId="0FEE67AA" w14:textId="77777777" w:rsidR="009502A3" w:rsidRDefault="009502A3" w:rsidP="000602AF">
            <w:pPr>
              <w:pStyle w:val="ExhibitText"/>
              <w:ind w:right="432"/>
              <w:jc w:val="right"/>
            </w:pPr>
            <w:r>
              <w:rPr>
                <w:lang w:eastAsia="zh-CN"/>
              </w:rPr>
              <w:t>9%</w:t>
            </w:r>
          </w:p>
        </w:tc>
        <w:tc>
          <w:tcPr>
            <w:tcW w:w="1848" w:type="dxa"/>
            <w:tcBorders>
              <w:top w:val="nil"/>
              <w:left w:val="nil"/>
              <w:bottom w:val="nil"/>
              <w:right w:val="single" w:sz="8" w:space="0" w:color="auto"/>
            </w:tcBorders>
            <w:shd w:val="clear" w:color="auto" w:fill="auto"/>
            <w:vAlign w:val="center"/>
            <w:hideMark/>
          </w:tcPr>
          <w:p w14:paraId="480B9E3A" w14:textId="77777777" w:rsidR="009502A3" w:rsidRDefault="009502A3" w:rsidP="000602AF">
            <w:pPr>
              <w:pStyle w:val="ExhibitText"/>
              <w:ind w:right="432"/>
              <w:jc w:val="right"/>
            </w:pPr>
            <w:r>
              <w:rPr>
                <w:lang w:eastAsia="zh-CN"/>
              </w:rPr>
              <w:t>3.3</w:t>
            </w:r>
          </w:p>
        </w:tc>
      </w:tr>
      <w:tr w:rsidR="009502A3" w14:paraId="4007BF3C" w14:textId="77777777" w:rsidTr="000602AF">
        <w:trPr>
          <w:trHeight w:val="288"/>
          <w:jc w:val="center"/>
        </w:trPr>
        <w:tc>
          <w:tcPr>
            <w:tcW w:w="1250" w:type="dxa"/>
            <w:tcBorders>
              <w:top w:val="nil"/>
              <w:left w:val="single" w:sz="8" w:space="0" w:color="auto"/>
              <w:bottom w:val="single" w:sz="8" w:space="0" w:color="auto"/>
              <w:right w:val="single" w:sz="8" w:space="0" w:color="auto"/>
            </w:tcBorders>
            <w:shd w:val="clear" w:color="auto" w:fill="auto"/>
            <w:vAlign w:val="center"/>
            <w:hideMark/>
          </w:tcPr>
          <w:p w14:paraId="2D18773D" w14:textId="77777777" w:rsidR="009502A3" w:rsidRDefault="009502A3" w:rsidP="000602AF">
            <w:pPr>
              <w:pStyle w:val="ExhibitText"/>
              <w:ind w:right="432"/>
              <w:jc w:val="right"/>
            </w:pPr>
            <w:r>
              <w:rPr>
                <w:lang w:eastAsia="zh-CN"/>
              </w:rPr>
              <w:t>10</w:t>
            </w:r>
          </w:p>
        </w:tc>
        <w:tc>
          <w:tcPr>
            <w:tcW w:w="1847" w:type="dxa"/>
            <w:tcBorders>
              <w:top w:val="nil"/>
              <w:left w:val="nil"/>
              <w:bottom w:val="single" w:sz="8" w:space="0" w:color="auto"/>
              <w:right w:val="single" w:sz="8" w:space="0" w:color="auto"/>
            </w:tcBorders>
            <w:shd w:val="clear" w:color="auto" w:fill="auto"/>
            <w:vAlign w:val="center"/>
            <w:hideMark/>
          </w:tcPr>
          <w:p w14:paraId="1EA324FF" w14:textId="77777777" w:rsidR="009502A3" w:rsidRDefault="009502A3" w:rsidP="000602AF">
            <w:pPr>
              <w:pStyle w:val="ExhibitText"/>
              <w:ind w:right="432"/>
              <w:jc w:val="right"/>
            </w:pPr>
            <w:r>
              <w:rPr>
                <w:lang w:eastAsia="zh-CN"/>
              </w:rPr>
              <w:t>50%</w:t>
            </w:r>
          </w:p>
        </w:tc>
        <w:tc>
          <w:tcPr>
            <w:tcW w:w="1848" w:type="dxa"/>
            <w:tcBorders>
              <w:top w:val="nil"/>
              <w:left w:val="nil"/>
              <w:bottom w:val="single" w:sz="8" w:space="0" w:color="auto"/>
              <w:right w:val="single" w:sz="8" w:space="0" w:color="auto"/>
            </w:tcBorders>
            <w:shd w:val="clear" w:color="auto" w:fill="auto"/>
            <w:vAlign w:val="center"/>
            <w:hideMark/>
          </w:tcPr>
          <w:p w14:paraId="73CF14B3" w14:textId="77777777" w:rsidR="009502A3" w:rsidRDefault="009502A3" w:rsidP="000602AF">
            <w:pPr>
              <w:pStyle w:val="ExhibitText"/>
              <w:ind w:right="432"/>
              <w:jc w:val="right"/>
            </w:pPr>
            <w:r>
              <w:rPr>
                <w:lang w:eastAsia="zh-CN"/>
              </w:rPr>
              <w:t>42%</w:t>
            </w:r>
          </w:p>
        </w:tc>
        <w:tc>
          <w:tcPr>
            <w:tcW w:w="1847" w:type="dxa"/>
            <w:tcBorders>
              <w:top w:val="nil"/>
              <w:left w:val="nil"/>
              <w:bottom w:val="single" w:sz="8" w:space="0" w:color="auto"/>
              <w:right w:val="single" w:sz="8" w:space="0" w:color="auto"/>
            </w:tcBorders>
            <w:shd w:val="clear" w:color="auto" w:fill="auto"/>
            <w:vAlign w:val="center"/>
            <w:hideMark/>
          </w:tcPr>
          <w:p w14:paraId="6A5A1937" w14:textId="77777777" w:rsidR="009502A3" w:rsidRDefault="009502A3" w:rsidP="000602AF">
            <w:pPr>
              <w:pStyle w:val="ExhibitText"/>
              <w:ind w:right="432"/>
              <w:jc w:val="right"/>
            </w:pPr>
            <w:r>
              <w:rPr>
                <w:lang w:eastAsia="zh-CN"/>
              </w:rPr>
              <w:t>8%</w:t>
            </w:r>
          </w:p>
        </w:tc>
        <w:tc>
          <w:tcPr>
            <w:tcW w:w="1848" w:type="dxa"/>
            <w:tcBorders>
              <w:top w:val="nil"/>
              <w:left w:val="nil"/>
              <w:bottom w:val="single" w:sz="8" w:space="0" w:color="auto"/>
              <w:right w:val="single" w:sz="8" w:space="0" w:color="auto"/>
            </w:tcBorders>
            <w:shd w:val="clear" w:color="auto" w:fill="auto"/>
            <w:vAlign w:val="center"/>
            <w:hideMark/>
          </w:tcPr>
          <w:p w14:paraId="1D8630B8" w14:textId="77777777" w:rsidR="009502A3" w:rsidRDefault="009502A3" w:rsidP="000602AF">
            <w:pPr>
              <w:pStyle w:val="ExhibitText"/>
              <w:ind w:right="432"/>
              <w:jc w:val="right"/>
            </w:pPr>
            <w:r>
              <w:rPr>
                <w:lang w:eastAsia="zh-CN"/>
              </w:rPr>
              <w:t>3.3</w:t>
            </w:r>
          </w:p>
        </w:tc>
      </w:tr>
    </w:tbl>
    <w:p w14:paraId="3DAD55E4" w14:textId="77777777" w:rsidR="009502A3" w:rsidRPr="00F57146" w:rsidRDefault="009502A3" w:rsidP="00C1773D">
      <w:pPr>
        <w:pStyle w:val="ExhibitText"/>
      </w:pPr>
    </w:p>
    <w:p w14:paraId="08B85BD7" w14:textId="60BB744A" w:rsidR="004E2C28" w:rsidRPr="00F57146" w:rsidRDefault="00457666" w:rsidP="004E2C28">
      <w:pPr>
        <w:pStyle w:val="ExhibitText"/>
      </w:pPr>
      <w:r>
        <w:t>Among other questions, the</w:t>
      </w:r>
      <w:r w:rsidR="004E2C28" w:rsidRPr="00F57146">
        <w:t xml:space="preserve"> respondents were asked</w:t>
      </w:r>
      <w:r w:rsidR="00480B81">
        <w:t xml:space="preserve"> the following</w:t>
      </w:r>
      <w:r w:rsidR="004E2C28" w:rsidRPr="00F57146">
        <w:t xml:space="preserve">: “When making a decision that may affect local communities, do these (ten) brands/companies act in the best interests of the global company as a whole, or do they act in the best interests of the local communities that might/will be affected, or do they strike a balance between finding the benefits and reducing the possible negative impacts for both the company and the local communities?” The responses were </w:t>
      </w:r>
      <w:proofErr w:type="spellStart"/>
      <w:r w:rsidR="004E2C28" w:rsidRPr="00F57146">
        <w:t>analyzed</w:t>
      </w:r>
      <w:proofErr w:type="spellEnd"/>
      <w:r w:rsidR="004E2C28" w:rsidRPr="00F57146">
        <w:t xml:space="preserve"> to arrive at the rating on a </w:t>
      </w:r>
      <w:proofErr w:type="spellStart"/>
      <w:r w:rsidR="004E2C28" w:rsidRPr="00F57146">
        <w:t>glocal</w:t>
      </w:r>
      <w:proofErr w:type="spellEnd"/>
      <w:r w:rsidR="004E2C28" w:rsidRPr="00F57146">
        <w:t xml:space="preserve"> scale for each of the ten brands/companies.</w:t>
      </w:r>
    </w:p>
    <w:p w14:paraId="23A7FD81" w14:textId="7C32D7F4" w:rsidR="004E2C28" w:rsidRDefault="004E2C28" w:rsidP="00C1773D">
      <w:pPr>
        <w:pStyle w:val="ExhibitText"/>
      </w:pPr>
    </w:p>
    <w:p w14:paraId="61892EE3" w14:textId="76D012A6" w:rsidR="00E83D79" w:rsidRPr="00AF4D04" w:rsidRDefault="00E83D79" w:rsidP="00C1773D">
      <w:pPr>
        <w:pStyle w:val="Footnote"/>
      </w:pPr>
      <w:r>
        <w:t>Note:</w:t>
      </w:r>
      <w:r w:rsidR="00961483">
        <w:t xml:space="preserve"> </w:t>
      </w:r>
      <w:r w:rsidR="00961483" w:rsidRPr="00D31A4E">
        <w:t>*Gerrard S</w:t>
      </w:r>
      <w:r w:rsidR="00961483">
        <w:t>.</w:t>
      </w:r>
      <w:r w:rsidR="00961483" w:rsidRPr="00D31A4E">
        <w:t>A</w:t>
      </w:r>
      <w:r w:rsidR="007B456E">
        <w:t>.</w:t>
      </w:r>
      <w:r w:rsidR="00961483">
        <w:t xml:space="preserve">; </w:t>
      </w:r>
      <w:r>
        <w:t>MNE = multinational enterprise</w:t>
      </w:r>
      <w:r w:rsidR="00714194">
        <w:t>.</w:t>
      </w:r>
    </w:p>
    <w:p w14:paraId="039D6E9A" w14:textId="77777777" w:rsidR="004E2C28" w:rsidRPr="00F57146" w:rsidRDefault="004E2C28" w:rsidP="004E2C28">
      <w:pPr>
        <w:pStyle w:val="Footnote"/>
      </w:pPr>
      <w:r w:rsidRPr="00F57146">
        <w:t>Source: Company records.</w:t>
      </w:r>
    </w:p>
    <w:p w14:paraId="49A8C06B" w14:textId="77777777" w:rsidR="00465348" w:rsidRPr="00F57146" w:rsidRDefault="00465348" w:rsidP="004E2C28">
      <w:pPr>
        <w:pStyle w:val="Footnote"/>
      </w:pPr>
    </w:p>
    <w:sectPr w:rsidR="00465348" w:rsidRPr="00F57146" w:rsidSect="00751E0B">
      <w:headerReference w:type="default" r:id="rId10"/>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B61464" w16cid:durableId="203F51DF"/>
  <w16cid:commentId w16cid:paraId="50B3176D" w16cid:durableId="20477583"/>
  <w16cid:commentId w16cid:paraId="744373A8" w16cid:durableId="203F5287"/>
  <w16cid:commentId w16cid:paraId="004D6732" w16cid:durableId="203F5304"/>
  <w16cid:commentId w16cid:paraId="79A5AE4F" w16cid:durableId="20482C65"/>
  <w16cid:commentId w16cid:paraId="4CA67092" w16cid:durableId="203F5779"/>
  <w16cid:commentId w16cid:paraId="45DEDDC8" w16cid:durableId="20482CD7"/>
  <w16cid:commentId w16cid:paraId="4E5C45AF" w16cid:durableId="203F560B"/>
  <w16cid:commentId w16cid:paraId="65ECC55C" w16cid:durableId="20482CF0"/>
  <w16cid:commentId w16cid:paraId="6E91F3EB" w16cid:durableId="203F68F1"/>
  <w16cid:commentId w16cid:paraId="6E6703CE" w16cid:durableId="20482D6D"/>
  <w16cid:commentId w16cid:paraId="11FAC686" w16cid:durableId="203F6E07"/>
  <w16cid:commentId w16cid:paraId="306F8FC7" w16cid:durableId="20482DE6"/>
  <w16cid:commentId w16cid:paraId="153C87F5" w16cid:durableId="20485EA3"/>
  <w16cid:commentId w16cid:paraId="0D62E0C6" w16cid:durableId="203F6EFC"/>
  <w16cid:commentId w16cid:paraId="7248B02B" w16cid:durableId="20482DBB"/>
  <w16cid:commentId w16cid:paraId="081822FA" w16cid:durableId="203F84F6"/>
  <w16cid:commentId w16cid:paraId="3C5211D7" w16cid:durableId="20482E65"/>
  <w16cid:commentId w16cid:paraId="74C913B6" w16cid:durableId="203F8688"/>
  <w16cid:commentId w16cid:paraId="69D94760" w16cid:durableId="20482E9E"/>
  <w16cid:commentId w16cid:paraId="54E694B5" w16cid:durableId="20485EA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B89F3" w14:textId="77777777" w:rsidR="00AD21D8" w:rsidRDefault="00AD21D8" w:rsidP="00D75295">
      <w:r>
        <w:separator/>
      </w:r>
    </w:p>
  </w:endnote>
  <w:endnote w:type="continuationSeparator" w:id="0">
    <w:p w14:paraId="5BB6C978" w14:textId="77777777" w:rsidR="00AD21D8" w:rsidRDefault="00AD21D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BFFAA" w14:textId="77777777" w:rsidR="00AD21D8" w:rsidRDefault="00AD21D8" w:rsidP="00D75295">
      <w:r>
        <w:separator/>
      </w:r>
    </w:p>
  </w:footnote>
  <w:footnote w:type="continuationSeparator" w:id="0">
    <w:p w14:paraId="34BB3710" w14:textId="77777777" w:rsidR="00AD21D8" w:rsidRDefault="00AD21D8" w:rsidP="00D75295">
      <w:r>
        <w:continuationSeparator/>
      </w:r>
    </w:p>
  </w:footnote>
  <w:footnote w:id="1">
    <w:p w14:paraId="15226892" w14:textId="0F3A6587" w:rsidR="00022DD2" w:rsidRPr="00F57146" w:rsidRDefault="00022DD2" w:rsidP="0021234D">
      <w:pPr>
        <w:pStyle w:val="Footnote"/>
        <w:jc w:val="both"/>
      </w:pPr>
      <w:r w:rsidRPr="005B7EE5">
        <w:rPr>
          <w:rStyle w:val="FootnoteReference"/>
        </w:rPr>
        <w:footnoteRef/>
      </w:r>
      <w:r w:rsidRPr="00F57146">
        <w:t xml:space="preserve"> Christopher A</w:t>
      </w:r>
      <w:r>
        <w:t>.</w:t>
      </w:r>
      <w:r w:rsidRPr="00F57146">
        <w:t xml:space="preserve"> Bartlett and Paul Beamish, </w:t>
      </w:r>
      <w:r w:rsidRPr="007E0A10">
        <w:rPr>
          <w:i/>
        </w:rPr>
        <w:t>Transnational Management</w:t>
      </w:r>
      <w:r w:rsidR="00433278">
        <w:rPr>
          <w:i/>
        </w:rPr>
        <w:t xml:space="preserve">: </w:t>
      </w:r>
      <w:r w:rsidRPr="007E0A10">
        <w:rPr>
          <w:i/>
        </w:rPr>
        <w:t>Text and Cases in Cross</w:t>
      </w:r>
      <w:r w:rsidR="00433278">
        <w:rPr>
          <w:i/>
        </w:rPr>
        <w:t>-</w:t>
      </w:r>
      <w:r w:rsidRPr="007E0A10">
        <w:rPr>
          <w:i/>
        </w:rPr>
        <w:t>Border Management,</w:t>
      </w:r>
      <w:r w:rsidRPr="00F57146">
        <w:t xml:space="preserve"> 8</w:t>
      </w:r>
      <w:r w:rsidRPr="00C1773D">
        <w:t>th</w:t>
      </w:r>
      <w:r>
        <w:t xml:space="preserve"> ed.,</w:t>
      </w:r>
      <w:r w:rsidRPr="00F57146">
        <w:t xml:space="preserve"> </w:t>
      </w:r>
      <w:r>
        <w:t xml:space="preserve">(Cambridge, UK: </w:t>
      </w:r>
      <w:r w:rsidRPr="00F57146">
        <w:t>Cambridge University Press, 2018</w:t>
      </w:r>
      <w:r>
        <w:t>).</w:t>
      </w:r>
      <w:r w:rsidRPr="00F57146">
        <w:t xml:space="preserve"> </w:t>
      </w:r>
    </w:p>
  </w:footnote>
  <w:footnote w:id="2">
    <w:p w14:paraId="1DC4FE22" w14:textId="4A467F67" w:rsidR="00022DD2" w:rsidRDefault="00022DD2" w:rsidP="0021234D">
      <w:pPr>
        <w:pStyle w:val="Footnote"/>
        <w:jc w:val="both"/>
      </w:pPr>
      <w:r>
        <w:rPr>
          <w:rStyle w:val="FootnoteReference"/>
        </w:rPr>
        <w:footnoteRef/>
      </w:r>
      <w:r>
        <w:t xml:space="preserve"> All dollar amounts are in US</w:t>
      </w:r>
      <w:r w:rsidR="002E4BA1">
        <w:t>$</w:t>
      </w:r>
      <w:r>
        <w:t xml:space="preserve"> unless otherwise stated.</w:t>
      </w:r>
    </w:p>
  </w:footnote>
  <w:footnote w:id="3">
    <w:p w14:paraId="64126F2C" w14:textId="0B4BC2E3" w:rsidR="00022DD2" w:rsidRPr="00F57146" w:rsidRDefault="00022DD2" w:rsidP="0021234D">
      <w:pPr>
        <w:pStyle w:val="Footnote"/>
        <w:jc w:val="both"/>
      </w:pPr>
      <w:r w:rsidRPr="005B7EE5">
        <w:rPr>
          <w:rStyle w:val="FootnoteReference"/>
        </w:rPr>
        <w:footnoteRef/>
      </w:r>
      <w:r>
        <w:t xml:space="preserve"> </w:t>
      </w:r>
      <w:proofErr w:type="spellStart"/>
      <w:r>
        <w:t>Arindam</w:t>
      </w:r>
      <w:proofErr w:type="spellEnd"/>
      <w:r>
        <w:t xml:space="preserve"> Bhattacharya</w:t>
      </w:r>
      <w:r w:rsidR="00433278">
        <w:t xml:space="preserve">, Dinesh Khanna, Christoph </w:t>
      </w:r>
      <w:proofErr w:type="spellStart"/>
      <w:r w:rsidR="00433278">
        <w:t>Schweizer</w:t>
      </w:r>
      <w:proofErr w:type="spellEnd"/>
      <w:r w:rsidR="00433278">
        <w:t xml:space="preserve">, and Aparna </w:t>
      </w:r>
      <w:proofErr w:type="spellStart"/>
      <w:r w:rsidR="00433278">
        <w:t>Bijapurkar</w:t>
      </w:r>
      <w:proofErr w:type="spellEnd"/>
      <w:r>
        <w:t xml:space="preserve">, </w:t>
      </w:r>
      <w:r w:rsidRPr="00433278">
        <w:t>“</w:t>
      </w:r>
      <w:r w:rsidRPr="00C1773D">
        <w:t xml:space="preserve">Going </w:t>
      </w:r>
      <w:proofErr w:type="gramStart"/>
      <w:r w:rsidRPr="00C1773D">
        <w:t>Beyond</w:t>
      </w:r>
      <w:proofErr w:type="gramEnd"/>
      <w:r w:rsidRPr="00C1773D">
        <w:t xml:space="preserve"> the Rhetoric</w:t>
      </w:r>
      <w:r w:rsidRPr="00433278">
        <w:t>,”</w:t>
      </w:r>
      <w:r>
        <w:t xml:space="preserve"> </w:t>
      </w:r>
      <w:r w:rsidR="00433278">
        <w:t xml:space="preserve">BCG Henderson Institute (blog), April 25, 2017, </w:t>
      </w:r>
      <w:r>
        <w:t xml:space="preserve">accessed October </w:t>
      </w:r>
      <w:r w:rsidRPr="00F57146">
        <w:t>12,</w:t>
      </w:r>
      <w:r>
        <w:t xml:space="preserve"> </w:t>
      </w:r>
      <w:r w:rsidRPr="00F57146">
        <w:t>2017</w:t>
      </w:r>
      <w:r>
        <w:t xml:space="preserve">, </w:t>
      </w:r>
      <w:r w:rsidRPr="00750D2A">
        <w:t>www.bcg.com/publications/2017/</w:t>
      </w:r>
      <w:r w:rsidRPr="00F57146">
        <w:t>new-globalization-going-beyond-rhetoric.aspx</w:t>
      </w:r>
      <w:r>
        <w:t>.</w:t>
      </w:r>
      <w:r w:rsidRPr="00F57146">
        <w:t xml:space="preserve"> </w:t>
      </w:r>
    </w:p>
  </w:footnote>
  <w:footnote w:id="4">
    <w:p w14:paraId="323FC56D" w14:textId="44C46A44" w:rsidR="00022DD2" w:rsidRPr="00F57146" w:rsidRDefault="00022DD2" w:rsidP="0021234D">
      <w:pPr>
        <w:pStyle w:val="Footnote"/>
        <w:jc w:val="both"/>
      </w:pPr>
      <w:r w:rsidRPr="005B7EE5">
        <w:rPr>
          <w:rStyle w:val="FootnoteReference"/>
        </w:rPr>
        <w:footnoteRef/>
      </w:r>
      <w:r w:rsidR="0021234D">
        <w:t> </w:t>
      </w:r>
      <w:r>
        <w:t xml:space="preserve">“Packaged </w:t>
      </w:r>
      <w:r w:rsidRPr="007D3660">
        <w:t>Food</w:t>
      </w:r>
      <w:r>
        <w:t xml:space="preserve">,” </w:t>
      </w:r>
      <w:proofErr w:type="spellStart"/>
      <w:r w:rsidRPr="00F57146">
        <w:t>Euromon</w:t>
      </w:r>
      <w:r>
        <w:t>itor</w:t>
      </w:r>
      <w:proofErr w:type="spellEnd"/>
      <w:r>
        <w:t xml:space="preserve"> International, </w:t>
      </w:r>
      <w:r w:rsidR="00D5738E">
        <w:t xml:space="preserve">December 2018, </w:t>
      </w:r>
      <w:r>
        <w:t xml:space="preserve">accessed </w:t>
      </w:r>
      <w:r w:rsidRPr="00750D2A">
        <w:t>February</w:t>
      </w:r>
      <w:r>
        <w:t xml:space="preserve"> </w:t>
      </w:r>
      <w:r w:rsidRPr="00750D2A">
        <w:t>27</w:t>
      </w:r>
      <w:r>
        <w:t xml:space="preserve">, 2019, </w:t>
      </w:r>
      <w:r w:rsidR="00A446B6">
        <w:t>www</w:t>
      </w:r>
      <w:r w:rsidR="00D5738E" w:rsidRPr="00D5738E">
        <w:t>.euromonitor.com/packaged-food-in-japan/report</w:t>
      </w:r>
      <w:r>
        <w:t>.</w:t>
      </w:r>
    </w:p>
  </w:footnote>
  <w:footnote w:id="5">
    <w:p w14:paraId="5385A34A" w14:textId="7307430E" w:rsidR="00022DD2" w:rsidRPr="00F57146" w:rsidRDefault="00022DD2" w:rsidP="0021234D">
      <w:pPr>
        <w:pStyle w:val="Footnote"/>
        <w:jc w:val="both"/>
      </w:pPr>
      <w:r w:rsidRPr="005B7EE5">
        <w:rPr>
          <w:rStyle w:val="FootnoteReference"/>
        </w:rPr>
        <w:footnoteRef/>
      </w:r>
      <w:r w:rsidRPr="00F57146">
        <w:t xml:space="preserve"> </w:t>
      </w:r>
      <w:r>
        <w:t>I</w:t>
      </w:r>
      <w:r w:rsidRPr="00F57146">
        <w:t>bid</w:t>
      </w:r>
      <w:r>
        <w:t>.</w:t>
      </w:r>
    </w:p>
  </w:footnote>
  <w:footnote w:id="6">
    <w:p w14:paraId="48D62CAB" w14:textId="28E0F613" w:rsidR="00022DD2" w:rsidRPr="00A7664B" w:rsidRDefault="00022DD2" w:rsidP="00A7664B">
      <w:pPr>
        <w:pStyle w:val="Footnote"/>
      </w:pPr>
      <w:r w:rsidRPr="005B7EE5">
        <w:rPr>
          <w:rStyle w:val="FootnoteReference"/>
        </w:rPr>
        <w:footnoteRef/>
      </w:r>
      <w:r w:rsidRPr="00F57146">
        <w:t xml:space="preserve"> </w:t>
      </w:r>
      <w:r>
        <w:t xml:space="preserve">Jeff Fromm, </w:t>
      </w:r>
      <w:r w:rsidR="00433278">
        <w:t xml:space="preserve">Celeste Lindell, and </w:t>
      </w:r>
      <w:proofErr w:type="spellStart"/>
      <w:r w:rsidR="00433278">
        <w:t>Lainie</w:t>
      </w:r>
      <w:proofErr w:type="spellEnd"/>
      <w:r w:rsidR="00433278">
        <w:t xml:space="preserve"> Decker,</w:t>
      </w:r>
      <w:r>
        <w:t xml:space="preserve"> </w:t>
      </w:r>
      <w:r w:rsidRPr="00C1773D">
        <w:rPr>
          <w:i/>
        </w:rPr>
        <w:t>American Millennials: Deciphering the Enigma Generation</w:t>
      </w:r>
      <w:r w:rsidR="00433278">
        <w:t xml:space="preserve"> (</w:t>
      </w:r>
      <w:r w:rsidR="00021B2E">
        <w:t xml:space="preserve">Kansas City, MO: </w:t>
      </w:r>
      <w:r w:rsidR="00433278">
        <w:t xml:space="preserve">Barkley, </w:t>
      </w:r>
      <w:r w:rsidR="00021B2E">
        <w:t xml:space="preserve">2011), </w:t>
      </w:r>
      <w:r>
        <w:t>accessed April 1, 2018,</w:t>
      </w:r>
      <w:r w:rsidRPr="00F57146">
        <w:t xml:space="preserve"> </w:t>
      </w:r>
      <w:r w:rsidRPr="00750D2A">
        <w:t>https://barkley.s3.amazonaws.com/barkleyus/American Millennials.pdf.</w:t>
      </w:r>
    </w:p>
  </w:footnote>
  <w:footnote w:id="7">
    <w:p w14:paraId="4C79E77B" w14:textId="594D062D" w:rsidR="00022DD2" w:rsidRPr="00F32C92" w:rsidRDefault="00022DD2" w:rsidP="00C1773D">
      <w:pPr>
        <w:pStyle w:val="Footnote"/>
      </w:pPr>
      <w:r w:rsidRPr="005B7EE5">
        <w:rPr>
          <w:rStyle w:val="FootnoteReference"/>
        </w:rPr>
        <w:footnoteRef/>
      </w:r>
      <w:r>
        <w:t xml:space="preserve"> </w:t>
      </w:r>
      <w:r w:rsidRPr="00F32C92">
        <w:t>Erik R</w:t>
      </w:r>
      <w:r>
        <w:t>.</w:t>
      </w:r>
      <w:r w:rsidRPr="00F32C92">
        <w:t xml:space="preserve"> Peterson, </w:t>
      </w:r>
      <w:r w:rsidR="00DD70F6">
        <w:t xml:space="preserve">Ari </w:t>
      </w:r>
      <w:proofErr w:type="spellStart"/>
      <w:r w:rsidR="00DD70F6">
        <w:t>Sillman</w:t>
      </w:r>
      <w:proofErr w:type="spellEnd"/>
      <w:r w:rsidR="00DD70F6">
        <w:t xml:space="preserve">, and Courtney </w:t>
      </w:r>
      <w:proofErr w:type="spellStart"/>
      <w:r w:rsidR="00DD70F6">
        <w:t>Rickert</w:t>
      </w:r>
      <w:proofErr w:type="spellEnd"/>
      <w:r w:rsidR="00DD70F6">
        <w:t xml:space="preserve"> McCaffrey, </w:t>
      </w:r>
      <w:r w:rsidRPr="00F32C92">
        <w:t>“Where are the Global Millennials</w:t>
      </w:r>
      <w:proofErr w:type="gramStart"/>
      <w:r w:rsidRPr="00F32C92">
        <w:t>?</w:t>
      </w:r>
      <w:r w:rsidR="00DD70F6">
        <w:t>,</w:t>
      </w:r>
      <w:proofErr w:type="gramEnd"/>
      <w:r>
        <w:t>”</w:t>
      </w:r>
      <w:r w:rsidRPr="00F32C92">
        <w:t xml:space="preserve"> </w:t>
      </w:r>
      <w:r w:rsidR="00DD70F6">
        <w:t xml:space="preserve">AT Kearney (blog), </w:t>
      </w:r>
      <w:proofErr w:type="spellStart"/>
      <w:r w:rsidR="00DD70F6">
        <w:t>n.d.</w:t>
      </w:r>
      <w:proofErr w:type="spellEnd"/>
      <w:r w:rsidR="00DD70F6">
        <w:t xml:space="preserve">, </w:t>
      </w:r>
      <w:r>
        <w:t xml:space="preserve">accessed February 27, 2019, </w:t>
      </w:r>
      <w:r w:rsidRPr="00750D2A">
        <w:t>www.atkearney.com/web/global-business-policy-council/article?/a/where-are-the-global-millennials-</w:t>
      </w:r>
      <w:r>
        <w:t>.</w:t>
      </w:r>
    </w:p>
  </w:footnote>
  <w:footnote w:id="8">
    <w:p w14:paraId="4F7B9EE9" w14:textId="3E173C8C" w:rsidR="00022DD2" w:rsidRPr="00F57146" w:rsidRDefault="00022DD2" w:rsidP="004E2C28">
      <w:pPr>
        <w:pStyle w:val="Footnote"/>
      </w:pPr>
      <w:r w:rsidRPr="005B7EE5">
        <w:rPr>
          <w:rStyle w:val="FootnoteReference"/>
        </w:rPr>
        <w:footnoteRef/>
      </w:r>
      <w:r>
        <w:t xml:space="preserve"> John </w:t>
      </w:r>
      <w:proofErr w:type="spellStart"/>
      <w:r>
        <w:t>Nicolopoulos</w:t>
      </w:r>
      <w:proofErr w:type="spellEnd"/>
      <w:r>
        <w:t xml:space="preserve"> “Top 5 Trends for Food </w:t>
      </w:r>
      <w:r w:rsidRPr="00750D2A">
        <w:t>and</w:t>
      </w:r>
      <w:r>
        <w:t xml:space="preserve"> </w:t>
      </w:r>
      <w:r w:rsidRPr="00750D2A">
        <w:t>Beverage</w:t>
      </w:r>
      <w:r>
        <w:t xml:space="preserve"> </w:t>
      </w:r>
      <w:r w:rsidRPr="00750D2A">
        <w:t>Industry</w:t>
      </w:r>
      <w:r w:rsidR="00DD70F6">
        <w:t xml:space="preserve"> Businesses in 2018</w:t>
      </w:r>
      <w:r>
        <w:t xml:space="preserve">,” </w:t>
      </w:r>
      <w:r w:rsidR="00DD70F6" w:rsidRPr="00C1773D">
        <w:rPr>
          <w:i/>
        </w:rPr>
        <w:t>Boston Business Journal</w:t>
      </w:r>
      <w:r w:rsidR="00DD70F6">
        <w:t xml:space="preserve">, January 29, 2018, </w:t>
      </w:r>
      <w:r>
        <w:t xml:space="preserve">accessed April 1, 2018, </w:t>
      </w:r>
      <w:r w:rsidRPr="00750D2A">
        <w:t>www.bizjournals.com/boston/news/2018/01/29/top-5-trends-for-food-and-beverage-industry.html.</w:t>
      </w:r>
    </w:p>
  </w:footnote>
  <w:footnote w:id="9">
    <w:p w14:paraId="78144B64" w14:textId="0D92733B" w:rsidR="00022DD2" w:rsidRPr="00AF4D04" w:rsidRDefault="00022DD2" w:rsidP="00C1773D">
      <w:pPr>
        <w:pStyle w:val="Footnote"/>
      </w:pPr>
      <w:r w:rsidRPr="005B7EE5">
        <w:rPr>
          <w:rStyle w:val="FootnoteReference"/>
        </w:rPr>
        <w:footnoteRef/>
      </w:r>
      <w:r w:rsidRPr="00AF4D04">
        <w:t xml:space="preserve"> </w:t>
      </w:r>
      <w:r w:rsidR="002E4BA1" w:rsidRPr="002E4BA1">
        <w:rPr>
          <w:lang w:val="en-CA"/>
        </w:rPr>
        <w:t>¥ = JPY = Japanese yen; average exchange in 2016 = US$1 = ¥108.80.</w:t>
      </w:r>
    </w:p>
  </w:footnote>
  <w:footnote w:id="10">
    <w:p w14:paraId="548C3798" w14:textId="4D7040F4" w:rsidR="00022DD2" w:rsidRPr="00F57146" w:rsidRDefault="00022DD2" w:rsidP="00F32C92">
      <w:pPr>
        <w:pStyle w:val="Footnote"/>
      </w:pPr>
      <w:r w:rsidRPr="005B7EE5">
        <w:rPr>
          <w:rStyle w:val="FootnoteReference"/>
        </w:rPr>
        <w:footnoteRef/>
      </w:r>
      <w:r w:rsidRPr="00F57146">
        <w:t xml:space="preserve"> </w:t>
      </w:r>
      <w:r w:rsidRPr="00A7664B">
        <w:t xml:space="preserve">Ken </w:t>
      </w:r>
      <w:proofErr w:type="spellStart"/>
      <w:r w:rsidRPr="00A7664B">
        <w:t>Moriyasu</w:t>
      </w:r>
      <w:proofErr w:type="spellEnd"/>
      <w:r w:rsidRPr="00A7664B">
        <w:t>,</w:t>
      </w:r>
      <w:r>
        <w:t xml:space="preserve"> </w:t>
      </w:r>
      <w:r w:rsidRPr="00A7664B">
        <w:t xml:space="preserve">“We </w:t>
      </w:r>
      <w:r w:rsidR="00DD70F6">
        <w:t>L</w:t>
      </w:r>
      <w:r w:rsidRPr="00A7664B">
        <w:t xml:space="preserve">ucky </w:t>
      </w:r>
      <w:r w:rsidR="00DD70F6">
        <w:t>F</w:t>
      </w:r>
      <w:r w:rsidRPr="00A7664B">
        <w:t xml:space="preserve">ew: Japan's </w:t>
      </w:r>
      <w:r w:rsidR="00DD70F6">
        <w:t>M</w:t>
      </w:r>
      <w:r w:rsidRPr="00A7664B">
        <w:t xml:space="preserve">illennials </w:t>
      </w:r>
      <w:r w:rsidR="00DD70F6">
        <w:t>R</w:t>
      </w:r>
      <w:r w:rsidRPr="00A7664B">
        <w:t xml:space="preserve">eshape </w:t>
      </w:r>
      <w:r w:rsidR="00DD70F6">
        <w:t>T</w:t>
      </w:r>
      <w:r w:rsidRPr="00A7664B">
        <w:t xml:space="preserve">heir </w:t>
      </w:r>
      <w:r w:rsidR="00DD70F6">
        <w:t>C</w:t>
      </w:r>
      <w:r w:rsidRPr="00A7664B">
        <w:t xml:space="preserve">ountry's </w:t>
      </w:r>
      <w:r w:rsidR="00DD70F6">
        <w:t>D</w:t>
      </w:r>
      <w:r w:rsidRPr="00A7664B">
        <w:t xml:space="preserve">rab </w:t>
      </w:r>
      <w:r w:rsidR="00DD70F6">
        <w:t>W</w:t>
      </w:r>
      <w:r w:rsidRPr="00A7664B">
        <w:t>orkplaces,”</w:t>
      </w:r>
      <w:r>
        <w:t xml:space="preserve"> </w:t>
      </w:r>
      <w:r w:rsidR="00DD70F6" w:rsidRPr="00C1773D">
        <w:rPr>
          <w:i/>
        </w:rPr>
        <w:t>Nikkei Asian Review</w:t>
      </w:r>
      <w:r w:rsidR="00DD70F6">
        <w:t xml:space="preserve">, July 2, 2015, </w:t>
      </w:r>
      <w:r>
        <w:rPr>
          <w:rStyle w:val="Hyperlink"/>
          <w:color w:val="auto"/>
          <w:u w:val="none"/>
        </w:rPr>
        <w:t xml:space="preserve">accessed January 05, 2019, </w:t>
      </w:r>
      <w:r w:rsidR="00DD70F6" w:rsidRPr="00C1773D">
        <w:t>https://asia.nikkei.com/ Business/We-lucky-few-Japan-s-millennials-reshape-their-country-s-drab-workplaces</w:t>
      </w:r>
      <w:r w:rsidRPr="00F57146">
        <w:rPr>
          <w:rStyle w:val="Hyperlink"/>
          <w:color w:val="auto"/>
          <w:u w:val="none"/>
        </w:rPr>
        <w:t>.</w:t>
      </w:r>
    </w:p>
  </w:footnote>
  <w:footnote w:id="11">
    <w:p w14:paraId="11CF3AA3" w14:textId="6E51612E" w:rsidR="000116F2" w:rsidRPr="0021234D" w:rsidRDefault="000116F2">
      <w:pPr>
        <w:pStyle w:val="FootnoteText"/>
        <w:rPr>
          <w:rFonts w:ascii="Arial" w:hAnsi="Arial" w:cs="Arial"/>
          <w:sz w:val="17"/>
          <w:szCs w:val="17"/>
          <w:lang w:val="en-CA"/>
        </w:rPr>
      </w:pPr>
      <w:r w:rsidRPr="0021234D">
        <w:rPr>
          <w:rStyle w:val="FootnoteReference"/>
          <w:rFonts w:ascii="Arial" w:hAnsi="Arial" w:cs="Arial"/>
          <w:sz w:val="17"/>
          <w:szCs w:val="17"/>
        </w:rPr>
        <w:footnoteRef/>
      </w:r>
      <w:r w:rsidRPr="0021234D">
        <w:rPr>
          <w:rFonts w:ascii="Arial" w:hAnsi="Arial" w:cs="Arial"/>
          <w:sz w:val="17"/>
          <w:szCs w:val="17"/>
        </w:rPr>
        <w:t xml:space="preserve"> </w:t>
      </w:r>
      <w:proofErr w:type="spellStart"/>
      <w:r w:rsidR="0021234D">
        <w:rPr>
          <w:rFonts w:ascii="Arial" w:hAnsi="Arial" w:cs="Arial"/>
          <w:sz w:val="17"/>
          <w:szCs w:val="17"/>
        </w:rPr>
        <w:t>Worldometers</w:t>
      </w:r>
      <w:proofErr w:type="spellEnd"/>
      <w:r w:rsidR="0021234D">
        <w:rPr>
          <w:rFonts w:ascii="Arial" w:hAnsi="Arial" w:cs="Arial"/>
          <w:sz w:val="17"/>
          <w:szCs w:val="17"/>
        </w:rPr>
        <w:t xml:space="preserve">, </w:t>
      </w:r>
      <w:r w:rsidR="00A446B6">
        <w:rPr>
          <w:rFonts w:ascii="Arial" w:hAnsi="Arial" w:cs="Arial"/>
          <w:sz w:val="17"/>
          <w:szCs w:val="17"/>
        </w:rPr>
        <w:t>www</w:t>
      </w:r>
      <w:r w:rsidRPr="0021234D">
        <w:rPr>
          <w:rFonts w:ascii="Arial" w:hAnsi="Arial" w:cs="Arial"/>
          <w:sz w:val="17"/>
          <w:szCs w:val="17"/>
        </w:rPr>
        <w:t>.worldometers.info/world-population/japan-population/ accessed March 29, 2019</w:t>
      </w:r>
      <w:r w:rsidR="00E974A8">
        <w:rPr>
          <w:rFonts w:ascii="Arial" w:hAnsi="Arial" w:cs="Arial"/>
          <w:sz w:val="17"/>
          <w:szCs w:val="17"/>
        </w:rPr>
        <w:t>.</w:t>
      </w:r>
    </w:p>
  </w:footnote>
  <w:footnote w:id="12">
    <w:p w14:paraId="479038AD" w14:textId="7680AAA1" w:rsidR="001E452C" w:rsidRPr="0021234D" w:rsidRDefault="001E452C">
      <w:pPr>
        <w:pStyle w:val="FootnoteText"/>
        <w:rPr>
          <w:rFonts w:ascii="Arial" w:hAnsi="Arial" w:cs="Arial"/>
          <w:sz w:val="17"/>
          <w:szCs w:val="17"/>
          <w:lang w:val="en-CA"/>
        </w:rPr>
      </w:pPr>
      <w:r w:rsidRPr="0021234D">
        <w:rPr>
          <w:rStyle w:val="FootnoteReference"/>
          <w:rFonts w:ascii="Arial" w:hAnsi="Arial" w:cs="Arial"/>
          <w:sz w:val="17"/>
          <w:szCs w:val="17"/>
        </w:rPr>
        <w:footnoteRef/>
      </w:r>
      <w:r w:rsidRPr="0021234D">
        <w:rPr>
          <w:rFonts w:ascii="Arial" w:hAnsi="Arial" w:cs="Arial"/>
          <w:sz w:val="17"/>
          <w:szCs w:val="17"/>
        </w:rPr>
        <w:t xml:space="preserve"> </w:t>
      </w:r>
      <w:proofErr w:type="spellStart"/>
      <w:r w:rsidR="0021234D">
        <w:rPr>
          <w:rFonts w:ascii="Arial" w:hAnsi="Arial" w:cs="Arial"/>
          <w:sz w:val="17"/>
          <w:szCs w:val="17"/>
        </w:rPr>
        <w:t>WorldAtlas</w:t>
      </w:r>
      <w:proofErr w:type="spellEnd"/>
      <w:r w:rsidR="0021234D">
        <w:rPr>
          <w:rFonts w:ascii="Arial" w:hAnsi="Arial" w:cs="Arial"/>
          <w:sz w:val="17"/>
          <w:szCs w:val="17"/>
        </w:rPr>
        <w:t xml:space="preserve">, </w:t>
      </w:r>
      <w:r w:rsidR="00A446B6">
        <w:rPr>
          <w:rFonts w:ascii="Arial" w:hAnsi="Arial" w:cs="Arial"/>
          <w:sz w:val="17"/>
          <w:szCs w:val="17"/>
        </w:rPr>
        <w:t>www</w:t>
      </w:r>
      <w:r w:rsidRPr="0021234D">
        <w:rPr>
          <w:rFonts w:ascii="Arial" w:hAnsi="Arial" w:cs="Arial"/>
          <w:sz w:val="17"/>
          <w:szCs w:val="17"/>
        </w:rPr>
        <w:t>.worldatlas.com/articles/countries-with-the-largest-aging-population-in-the-world.html accessed March 29, 2019</w:t>
      </w:r>
      <w:r w:rsidR="00E974A8">
        <w:rPr>
          <w:rFonts w:ascii="Arial" w:hAnsi="Arial" w:cs="Arial"/>
          <w:sz w:val="17"/>
          <w:szCs w:val="17"/>
        </w:rPr>
        <w:t>.</w:t>
      </w:r>
    </w:p>
  </w:footnote>
  <w:footnote w:id="13">
    <w:p w14:paraId="33E5D71A" w14:textId="0FB0A53B" w:rsidR="00022DD2" w:rsidRPr="00F57146" w:rsidRDefault="00022DD2" w:rsidP="004E2C28">
      <w:pPr>
        <w:pStyle w:val="Footnote"/>
      </w:pPr>
      <w:r w:rsidRPr="005B7EE5">
        <w:rPr>
          <w:rStyle w:val="FootnoteReference"/>
        </w:rPr>
        <w:footnoteRef/>
      </w:r>
      <w:bookmarkStart w:id="7" w:name="_Hlk534467398"/>
      <w:r>
        <w:t xml:space="preserve"> </w:t>
      </w:r>
      <w:r w:rsidRPr="00F57146">
        <w:t xml:space="preserve">“Packaged Food in Japan,” </w:t>
      </w:r>
      <w:r w:rsidR="00495638">
        <w:t>op. cit</w:t>
      </w:r>
      <w:r w:rsidR="002178F2">
        <w:t>.</w:t>
      </w:r>
      <w:bookmarkEnd w:id="7"/>
    </w:p>
  </w:footnote>
  <w:footnote w:id="14">
    <w:p w14:paraId="1379C382" w14:textId="2636436C" w:rsidR="00022DD2" w:rsidRPr="007D3660" w:rsidRDefault="00022DD2" w:rsidP="00F32C92">
      <w:pPr>
        <w:pStyle w:val="Footnote"/>
      </w:pPr>
      <w:r w:rsidRPr="005B7EE5">
        <w:rPr>
          <w:rStyle w:val="FootnoteReference"/>
        </w:rPr>
        <w:footnoteRef/>
      </w:r>
      <w:r w:rsidRPr="00F57146">
        <w:t xml:space="preserve"> </w:t>
      </w:r>
      <w:r w:rsidR="007F5BF5" w:rsidRPr="007F5BF5">
        <w:t>Amazon Launches Fresh Grocery Delivery Service in Japan</w:t>
      </w:r>
      <w:r w:rsidRPr="007D3660">
        <w:t>,”</w:t>
      </w:r>
      <w:r>
        <w:t xml:space="preserve"> </w:t>
      </w:r>
      <w:r w:rsidR="00E73F80" w:rsidRPr="00C1773D">
        <w:rPr>
          <w:i/>
        </w:rPr>
        <w:t>Mainichi</w:t>
      </w:r>
      <w:r w:rsidR="00E73F80">
        <w:t xml:space="preserve">, April 21, 2017, </w:t>
      </w:r>
      <w:r>
        <w:t>accessed December 15, 2018,</w:t>
      </w:r>
      <w:r w:rsidRPr="007D3660">
        <w:t xml:space="preserve"> </w:t>
      </w:r>
      <w:r w:rsidRPr="009D2FF2">
        <w:t>https://mainichi.jp/english/</w:t>
      </w:r>
      <w:r w:rsidRPr="00750D2A">
        <w:t>articles/20170421/p2a/00m/0na/016000c.</w:t>
      </w:r>
    </w:p>
  </w:footnote>
  <w:footnote w:id="15">
    <w:p w14:paraId="414E1B82" w14:textId="0AC53E82" w:rsidR="00022DD2" w:rsidRPr="00F57146" w:rsidRDefault="00022DD2" w:rsidP="004E2C28">
      <w:pPr>
        <w:pStyle w:val="Footnote"/>
      </w:pPr>
      <w:r w:rsidRPr="005B7EE5">
        <w:rPr>
          <w:rStyle w:val="FootnoteReference"/>
        </w:rPr>
        <w:footnoteRef/>
      </w:r>
      <w:r w:rsidRPr="00F57146">
        <w:t xml:space="preserve"> </w:t>
      </w:r>
      <w:r>
        <w:t>“</w:t>
      </w:r>
      <w:r w:rsidRPr="00F57146">
        <w:t xml:space="preserve">Packaged Food in Japan,” </w:t>
      </w:r>
      <w:r>
        <w:t xml:space="preserve">op. cit. </w:t>
      </w:r>
    </w:p>
  </w:footnote>
  <w:footnote w:id="16">
    <w:p w14:paraId="6C82166D" w14:textId="3598C483" w:rsidR="00022DD2" w:rsidRPr="00F57146" w:rsidRDefault="00022DD2" w:rsidP="00F32C92">
      <w:pPr>
        <w:pStyle w:val="Footnote"/>
      </w:pPr>
      <w:r w:rsidRPr="005B7EE5">
        <w:rPr>
          <w:rStyle w:val="FootnoteReference"/>
        </w:rPr>
        <w:footnoteRef/>
      </w:r>
      <w:r w:rsidRPr="00F57146">
        <w:t xml:space="preserve"> </w:t>
      </w:r>
      <w:r>
        <w:t xml:space="preserve">Nigel Walker, </w:t>
      </w:r>
      <w:r w:rsidRPr="007D3660">
        <w:t>“</w:t>
      </w:r>
      <w:r w:rsidR="00E73F80" w:rsidRPr="00E73F80">
        <w:t>Brexit Timeline: Events Leading to the U</w:t>
      </w:r>
      <w:r w:rsidR="00E73F80">
        <w:t>K</w:t>
      </w:r>
      <w:r w:rsidR="00E73F80" w:rsidRPr="00E73F80">
        <w:t>’s Exit from the European Union</w:t>
      </w:r>
      <w:r w:rsidRPr="007D3660">
        <w:t>,”</w:t>
      </w:r>
      <w:r>
        <w:t xml:space="preserve"> </w:t>
      </w:r>
      <w:r w:rsidR="00E73F80">
        <w:t xml:space="preserve">Briefing Paper CBP-7960, House of Commons Library, British Parliament, March 22, 2019, </w:t>
      </w:r>
      <w:r>
        <w:t xml:space="preserve">accessed </w:t>
      </w:r>
      <w:r w:rsidR="00E73F80">
        <w:t>March 25, 2019</w:t>
      </w:r>
      <w:r>
        <w:t xml:space="preserve">, </w:t>
      </w:r>
      <w:r w:rsidRPr="009D2FF2">
        <w:t>https://researchbriefings.parliament.uk/ResearchBriefing/Summa</w:t>
      </w:r>
      <w:r>
        <w:t>ry/CBP-7960.</w:t>
      </w:r>
    </w:p>
  </w:footnote>
  <w:footnote w:id="17">
    <w:p w14:paraId="55A34962" w14:textId="55AF974B" w:rsidR="00022DD2" w:rsidRPr="00F57146" w:rsidRDefault="00022DD2" w:rsidP="00F32C92">
      <w:pPr>
        <w:pStyle w:val="Footnote"/>
      </w:pPr>
      <w:r w:rsidRPr="005B7EE5">
        <w:rPr>
          <w:rStyle w:val="FootnoteReference"/>
        </w:rPr>
        <w:footnoteRef/>
      </w:r>
      <w:r w:rsidRPr="00F57146">
        <w:t xml:space="preserve"> </w:t>
      </w:r>
      <w:proofErr w:type="spellStart"/>
      <w:r w:rsidRPr="007D3660">
        <w:t>Katrin</w:t>
      </w:r>
      <w:proofErr w:type="spellEnd"/>
      <w:r w:rsidRPr="007D3660">
        <w:t xml:space="preserve"> </w:t>
      </w:r>
      <w:proofErr w:type="spellStart"/>
      <w:r w:rsidRPr="007D3660">
        <w:t>Oesingmann</w:t>
      </w:r>
      <w:proofErr w:type="spellEnd"/>
      <w:r>
        <w:t xml:space="preserve">, “Youth </w:t>
      </w:r>
      <w:r w:rsidR="000C1013">
        <w:t>U</w:t>
      </w:r>
      <w:r>
        <w:t xml:space="preserve">nemployment in Europe,” </w:t>
      </w:r>
      <w:proofErr w:type="spellStart"/>
      <w:proofErr w:type="gramStart"/>
      <w:r w:rsidR="00B745E2" w:rsidRPr="00C1773D">
        <w:rPr>
          <w:i/>
        </w:rPr>
        <w:t>ifo</w:t>
      </w:r>
      <w:proofErr w:type="spellEnd"/>
      <w:proofErr w:type="gramEnd"/>
      <w:r w:rsidR="00B745E2" w:rsidRPr="00C1773D">
        <w:rPr>
          <w:i/>
        </w:rPr>
        <w:t xml:space="preserve"> DICE Report</w:t>
      </w:r>
      <w:r w:rsidR="00B745E2">
        <w:t xml:space="preserve"> 15, no. 1 (2017): 52–55, </w:t>
      </w:r>
      <w:r w:rsidRPr="009D2FF2">
        <w:t>accessed December 15</w:t>
      </w:r>
      <w:r w:rsidRPr="00F57146">
        <w:t>, 2018</w:t>
      </w:r>
      <w:r>
        <w:t xml:space="preserve">, </w:t>
      </w:r>
      <w:r w:rsidR="00A446B6">
        <w:t>www</w:t>
      </w:r>
      <w:r w:rsidRPr="009D2FF2">
        <w:t>.cesifo-group.de/ifoHome/facts/DICE/Labour-Market/Labour-Market/Training/DR-2017-1-oes--youth-employ/fileBinary/DR-2017-1-oes--youth-employ.pdf</w:t>
      </w:r>
      <w:r>
        <w:t>.</w:t>
      </w:r>
      <w:r w:rsidRPr="009D2FF2">
        <w:t xml:space="preserve"> </w:t>
      </w:r>
    </w:p>
  </w:footnote>
  <w:footnote w:id="18">
    <w:p w14:paraId="7443231E" w14:textId="1931208E" w:rsidR="00022DD2" w:rsidRPr="00F57146" w:rsidRDefault="00022DD2" w:rsidP="007D3660">
      <w:pPr>
        <w:pStyle w:val="Footnote"/>
      </w:pPr>
      <w:r w:rsidRPr="005B7EE5">
        <w:rPr>
          <w:rStyle w:val="FootnoteReference"/>
        </w:rPr>
        <w:footnoteRef/>
      </w:r>
      <w:r w:rsidRPr="00F57146">
        <w:t xml:space="preserve"> </w:t>
      </w:r>
      <w:r>
        <w:t>“</w:t>
      </w:r>
      <w:r w:rsidRPr="007D3660">
        <w:t xml:space="preserve">Are CEOs </w:t>
      </w:r>
      <w:r w:rsidR="00B745E2">
        <w:t>L</w:t>
      </w:r>
      <w:r w:rsidRPr="007D3660">
        <w:t xml:space="preserve">ess </w:t>
      </w:r>
      <w:r w:rsidR="00B745E2">
        <w:t>E</w:t>
      </w:r>
      <w:r w:rsidRPr="007D3660">
        <w:t>thical</w:t>
      </w:r>
      <w:r>
        <w:t xml:space="preserve"> </w:t>
      </w:r>
      <w:r w:rsidR="00B745E2">
        <w:t>T</w:t>
      </w:r>
      <w:r w:rsidRPr="007D3660">
        <w:t xml:space="preserve">han in the </w:t>
      </w:r>
      <w:r w:rsidR="00B745E2">
        <w:t>P</w:t>
      </w:r>
      <w:r w:rsidRPr="007D3660">
        <w:t>ast</w:t>
      </w:r>
      <w:proofErr w:type="gramStart"/>
      <w:r w:rsidRPr="007D3660">
        <w:t>?</w:t>
      </w:r>
      <w:r>
        <w:t>,</w:t>
      </w:r>
      <w:proofErr w:type="gramEnd"/>
      <w:r>
        <w:t xml:space="preserve">” </w:t>
      </w:r>
      <w:r w:rsidR="00B745E2">
        <w:t xml:space="preserve">PwC, </w:t>
      </w:r>
      <w:r w:rsidRPr="007D3660">
        <w:t>a</w:t>
      </w:r>
      <w:r w:rsidRPr="00F57146">
        <w:t xml:space="preserve">ccessed </w:t>
      </w:r>
      <w:r w:rsidRPr="00F57146">
        <w:rPr>
          <w:rStyle w:val="Hyperlink"/>
          <w:color w:val="auto"/>
          <w:u w:val="none"/>
        </w:rPr>
        <w:t>January 15</w:t>
      </w:r>
      <w:r w:rsidRPr="00F57146">
        <w:t>, 2019</w:t>
      </w:r>
      <w:r>
        <w:t xml:space="preserve">, </w:t>
      </w:r>
      <w:r w:rsidR="00A446B6">
        <w:t>www</w:t>
      </w:r>
      <w:r w:rsidRPr="0070433C">
        <w:t>.strategyand.pwc.com/ceosuccess</w:t>
      </w:r>
      <w:r>
        <w:t>.</w:t>
      </w:r>
      <w:r w:rsidRPr="007D3660">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D1B95" w14:textId="0C27BB61" w:rsidR="00022DD2" w:rsidRPr="0021234D" w:rsidRDefault="00022DD2" w:rsidP="001C7777">
    <w:pPr>
      <w:pBdr>
        <w:bottom w:val="single" w:sz="18" w:space="1" w:color="auto"/>
      </w:pBdr>
      <w:tabs>
        <w:tab w:val="left" w:pos="-1440"/>
        <w:tab w:val="left" w:pos="-720"/>
        <w:tab w:val="right" w:pos="9360"/>
      </w:tabs>
      <w:rPr>
        <w:sz w:val="20"/>
        <w:szCs w:val="20"/>
      </w:rPr>
    </w:pPr>
    <w:r w:rsidRPr="0021234D">
      <w:rPr>
        <w:rFonts w:ascii="Arial" w:hAnsi="Arial"/>
        <w:b/>
        <w:sz w:val="20"/>
        <w:szCs w:val="20"/>
      </w:rPr>
      <w:t xml:space="preserve">Page </w:t>
    </w:r>
    <w:r w:rsidRPr="0021234D">
      <w:rPr>
        <w:rFonts w:ascii="Arial" w:hAnsi="Arial"/>
        <w:b/>
        <w:sz w:val="20"/>
        <w:szCs w:val="20"/>
      </w:rPr>
      <w:fldChar w:fldCharType="begin"/>
    </w:r>
    <w:r w:rsidRPr="0021234D">
      <w:rPr>
        <w:rFonts w:ascii="Arial" w:hAnsi="Arial"/>
        <w:b/>
        <w:sz w:val="20"/>
        <w:szCs w:val="20"/>
      </w:rPr>
      <w:instrText>PAGE</w:instrText>
    </w:r>
    <w:r w:rsidRPr="0021234D">
      <w:rPr>
        <w:rFonts w:ascii="Arial" w:hAnsi="Arial"/>
        <w:b/>
        <w:sz w:val="20"/>
        <w:szCs w:val="20"/>
      </w:rPr>
      <w:fldChar w:fldCharType="separate"/>
    </w:r>
    <w:r w:rsidR="00A446B6">
      <w:rPr>
        <w:rFonts w:ascii="Arial" w:hAnsi="Arial"/>
        <w:b/>
        <w:noProof/>
        <w:sz w:val="20"/>
        <w:szCs w:val="20"/>
      </w:rPr>
      <w:t>9</w:t>
    </w:r>
    <w:r w:rsidRPr="0021234D">
      <w:rPr>
        <w:rFonts w:ascii="Arial" w:hAnsi="Arial"/>
        <w:b/>
        <w:sz w:val="20"/>
        <w:szCs w:val="20"/>
      </w:rPr>
      <w:fldChar w:fldCharType="end"/>
    </w:r>
    <w:r w:rsidRPr="0021234D">
      <w:rPr>
        <w:rFonts w:ascii="Arial" w:hAnsi="Arial"/>
        <w:b/>
        <w:sz w:val="20"/>
        <w:szCs w:val="20"/>
      </w:rPr>
      <w:tab/>
    </w:r>
    <w:r w:rsidR="0021234D" w:rsidRPr="0021234D">
      <w:rPr>
        <w:rFonts w:ascii="Arial" w:hAnsi="Arial"/>
        <w:b/>
        <w:sz w:val="20"/>
        <w:szCs w:val="20"/>
      </w:rPr>
      <w:t>9B19M031</w:t>
    </w:r>
  </w:p>
  <w:p w14:paraId="2F180151" w14:textId="77777777" w:rsidR="00022DD2" w:rsidRDefault="00022DD2" w:rsidP="00D13667">
    <w:pPr>
      <w:pStyle w:val="Header"/>
      <w:tabs>
        <w:tab w:val="clear" w:pos="4680"/>
      </w:tabs>
      <w:rPr>
        <w:sz w:val="18"/>
        <w:szCs w:val="18"/>
      </w:rPr>
    </w:pPr>
  </w:p>
  <w:p w14:paraId="46F74044" w14:textId="77777777" w:rsidR="00022DD2" w:rsidRPr="00C92CC4" w:rsidRDefault="00022DD2"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582A1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40EC8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2E8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56C86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8BE52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42B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1A15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CFE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FB268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9C30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4B6"/>
    <w:rsid w:val="0000753B"/>
    <w:rsid w:val="000116F2"/>
    <w:rsid w:val="00012B95"/>
    <w:rsid w:val="00013360"/>
    <w:rsid w:val="000164AD"/>
    <w:rsid w:val="00016759"/>
    <w:rsid w:val="000170E6"/>
    <w:rsid w:val="000216CE"/>
    <w:rsid w:val="00021B2E"/>
    <w:rsid w:val="00022DD2"/>
    <w:rsid w:val="00024ED4"/>
    <w:rsid w:val="00025C27"/>
    <w:rsid w:val="00025DC7"/>
    <w:rsid w:val="0003374E"/>
    <w:rsid w:val="00035F09"/>
    <w:rsid w:val="00044ECC"/>
    <w:rsid w:val="000531D3"/>
    <w:rsid w:val="00053976"/>
    <w:rsid w:val="0005646B"/>
    <w:rsid w:val="000602AF"/>
    <w:rsid w:val="00063B7D"/>
    <w:rsid w:val="00067C6E"/>
    <w:rsid w:val="0007312A"/>
    <w:rsid w:val="0008102D"/>
    <w:rsid w:val="00090111"/>
    <w:rsid w:val="00094C0E"/>
    <w:rsid w:val="000C1013"/>
    <w:rsid w:val="000D22BF"/>
    <w:rsid w:val="000D3813"/>
    <w:rsid w:val="000D7091"/>
    <w:rsid w:val="000F0C22"/>
    <w:rsid w:val="000F6AA5"/>
    <w:rsid w:val="000F6B09"/>
    <w:rsid w:val="000F6FDC"/>
    <w:rsid w:val="00102933"/>
    <w:rsid w:val="00104567"/>
    <w:rsid w:val="00104916"/>
    <w:rsid w:val="00104AA7"/>
    <w:rsid w:val="00111AFB"/>
    <w:rsid w:val="00113E3E"/>
    <w:rsid w:val="0011553A"/>
    <w:rsid w:val="0012072E"/>
    <w:rsid w:val="0012732D"/>
    <w:rsid w:val="001303F9"/>
    <w:rsid w:val="00143F25"/>
    <w:rsid w:val="001468F6"/>
    <w:rsid w:val="00151AEF"/>
    <w:rsid w:val="00152682"/>
    <w:rsid w:val="00154FC9"/>
    <w:rsid w:val="00164413"/>
    <w:rsid w:val="00167198"/>
    <w:rsid w:val="00167DE4"/>
    <w:rsid w:val="00180CC7"/>
    <w:rsid w:val="00187CDE"/>
    <w:rsid w:val="001914CC"/>
    <w:rsid w:val="001919C7"/>
    <w:rsid w:val="0019241A"/>
    <w:rsid w:val="001A22D1"/>
    <w:rsid w:val="001A752D"/>
    <w:rsid w:val="001A757E"/>
    <w:rsid w:val="001B2C32"/>
    <w:rsid w:val="001B5032"/>
    <w:rsid w:val="001C7777"/>
    <w:rsid w:val="001E364F"/>
    <w:rsid w:val="001E452C"/>
    <w:rsid w:val="001F4222"/>
    <w:rsid w:val="002039F0"/>
    <w:rsid w:val="00203AA1"/>
    <w:rsid w:val="002056CD"/>
    <w:rsid w:val="00205CAD"/>
    <w:rsid w:val="0021234D"/>
    <w:rsid w:val="00213E98"/>
    <w:rsid w:val="00217026"/>
    <w:rsid w:val="002178F2"/>
    <w:rsid w:val="00221DD4"/>
    <w:rsid w:val="002231AD"/>
    <w:rsid w:val="00223467"/>
    <w:rsid w:val="00224C4E"/>
    <w:rsid w:val="0023081A"/>
    <w:rsid w:val="002372D6"/>
    <w:rsid w:val="002954D7"/>
    <w:rsid w:val="002B6275"/>
    <w:rsid w:val="002D5FAC"/>
    <w:rsid w:val="002E4BA1"/>
    <w:rsid w:val="002E7E88"/>
    <w:rsid w:val="002F26CF"/>
    <w:rsid w:val="002F460C"/>
    <w:rsid w:val="002F48D6"/>
    <w:rsid w:val="00317391"/>
    <w:rsid w:val="00326216"/>
    <w:rsid w:val="003266B6"/>
    <w:rsid w:val="00336580"/>
    <w:rsid w:val="0034051D"/>
    <w:rsid w:val="0034310C"/>
    <w:rsid w:val="00344313"/>
    <w:rsid w:val="00352715"/>
    <w:rsid w:val="00354899"/>
    <w:rsid w:val="00355FD6"/>
    <w:rsid w:val="0035700B"/>
    <w:rsid w:val="00364A5C"/>
    <w:rsid w:val="00373FB1"/>
    <w:rsid w:val="00386096"/>
    <w:rsid w:val="00396C76"/>
    <w:rsid w:val="003A06B9"/>
    <w:rsid w:val="003A681C"/>
    <w:rsid w:val="003B1880"/>
    <w:rsid w:val="003B1D0A"/>
    <w:rsid w:val="003B30D8"/>
    <w:rsid w:val="003B7EF2"/>
    <w:rsid w:val="003C3FA4"/>
    <w:rsid w:val="003D0BA1"/>
    <w:rsid w:val="003D7CA3"/>
    <w:rsid w:val="003F2B0C"/>
    <w:rsid w:val="00406486"/>
    <w:rsid w:val="004105B2"/>
    <w:rsid w:val="00412900"/>
    <w:rsid w:val="004221E4"/>
    <w:rsid w:val="00424FF5"/>
    <w:rsid w:val="004273F8"/>
    <w:rsid w:val="00432D21"/>
    <w:rsid w:val="00433278"/>
    <w:rsid w:val="004355A3"/>
    <w:rsid w:val="00436379"/>
    <w:rsid w:val="00446546"/>
    <w:rsid w:val="00452769"/>
    <w:rsid w:val="0045654B"/>
    <w:rsid w:val="00457666"/>
    <w:rsid w:val="004607B0"/>
    <w:rsid w:val="00465348"/>
    <w:rsid w:val="00472742"/>
    <w:rsid w:val="00480B81"/>
    <w:rsid w:val="00491C53"/>
    <w:rsid w:val="00495638"/>
    <w:rsid w:val="004A041D"/>
    <w:rsid w:val="004A20FD"/>
    <w:rsid w:val="004A5E7A"/>
    <w:rsid w:val="004B1CCB"/>
    <w:rsid w:val="004B41D1"/>
    <w:rsid w:val="004B632F"/>
    <w:rsid w:val="004C034E"/>
    <w:rsid w:val="004C5E98"/>
    <w:rsid w:val="004D0E65"/>
    <w:rsid w:val="004D3FB1"/>
    <w:rsid w:val="004D6F21"/>
    <w:rsid w:val="004D73A5"/>
    <w:rsid w:val="004E2C28"/>
    <w:rsid w:val="004E2EA5"/>
    <w:rsid w:val="004E3271"/>
    <w:rsid w:val="005160F1"/>
    <w:rsid w:val="00522053"/>
    <w:rsid w:val="0052294F"/>
    <w:rsid w:val="00524F2F"/>
    <w:rsid w:val="00527E5C"/>
    <w:rsid w:val="00532CF5"/>
    <w:rsid w:val="005350D0"/>
    <w:rsid w:val="005528CB"/>
    <w:rsid w:val="00566771"/>
    <w:rsid w:val="00575E0D"/>
    <w:rsid w:val="00581CB4"/>
    <w:rsid w:val="00581E2E"/>
    <w:rsid w:val="00584F15"/>
    <w:rsid w:val="0059514B"/>
    <w:rsid w:val="00595D05"/>
    <w:rsid w:val="005A1B0F"/>
    <w:rsid w:val="005A7343"/>
    <w:rsid w:val="005B7EE5"/>
    <w:rsid w:val="005C1167"/>
    <w:rsid w:val="005F6B58"/>
    <w:rsid w:val="0060468B"/>
    <w:rsid w:val="006163F7"/>
    <w:rsid w:val="00616871"/>
    <w:rsid w:val="00627C63"/>
    <w:rsid w:val="0063350B"/>
    <w:rsid w:val="00652606"/>
    <w:rsid w:val="00692FE6"/>
    <w:rsid w:val="006946EE"/>
    <w:rsid w:val="006A3152"/>
    <w:rsid w:val="006A58A9"/>
    <w:rsid w:val="006A606D"/>
    <w:rsid w:val="006C0371"/>
    <w:rsid w:val="006C08B6"/>
    <w:rsid w:val="006C0B1A"/>
    <w:rsid w:val="006C6065"/>
    <w:rsid w:val="006C7F9F"/>
    <w:rsid w:val="006E10C2"/>
    <w:rsid w:val="006E2F6D"/>
    <w:rsid w:val="006E58F6"/>
    <w:rsid w:val="006E77E1"/>
    <w:rsid w:val="006F131D"/>
    <w:rsid w:val="006F5C76"/>
    <w:rsid w:val="0070433C"/>
    <w:rsid w:val="00711642"/>
    <w:rsid w:val="00714194"/>
    <w:rsid w:val="007363BB"/>
    <w:rsid w:val="00750373"/>
    <w:rsid w:val="007507C6"/>
    <w:rsid w:val="00750D2A"/>
    <w:rsid w:val="00751E0B"/>
    <w:rsid w:val="00752BCD"/>
    <w:rsid w:val="0075759D"/>
    <w:rsid w:val="00766DA1"/>
    <w:rsid w:val="00770325"/>
    <w:rsid w:val="00770B09"/>
    <w:rsid w:val="00780D94"/>
    <w:rsid w:val="00782BC7"/>
    <w:rsid w:val="007866A6"/>
    <w:rsid w:val="00793C1E"/>
    <w:rsid w:val="007A130D"/>
    <w:rsid w:val="007B456E"/>
    <w:rsid w:val="007C2D67"/>
    <w:rsid w:val="007D1A2D"/>
    <w:rsid w:val="007D3660"/>
    <w:rsid w:val="007D4102"/>
    <w:rsid w:val="007E0A10"/>
    <w:rsid w:val="007F43B7"/>
    <w:rsid w:val="007F5BF5"/>
    <w:rsid w:val="00810C87"/>
    <w:rsid w:val="00815976"/>
    <w:rsid w:val="00821FFC"/>
    <w:rsid w:val="008271CA"/>
    <w:rsid w:val="008312D0"/>
    <w:rsid w:val="00834527"/>
    <w:rsid w:val="008467D5"/>
    <w:rsid w:val="008477AC"/>
    <w:rsid w:val="00854A0F"/>
    <w:rsid w:val="00864952"/>
    <w:rsid w:val="008859BE"/>
    <w:rsid w:val="008A25BA"/>
    <w:rsid w:val="008A4DC4"/>
    <w:rsid w:val="008B382E"/>
    <w:rsid w:val="008B438C"/>
    <w:rsid w:val="008C22F1"/>
    <w:rsid w:val="008D06CA"/>
    <w:rsid w:val="008D3A46"/>
    <w:rsid w:val="008D730A"/>
    <w:rsid w:val="009067A4"/>
    <w:rsid w:val="00930885"/>
    <w:rsid w:val="00933D68"/>
    <w:rsid w:val="009340DB"/>
    <w:rsid w:val="0094618C"/>
    <w:rsid w:val="009502A3"/>
    <w:rsid w:val="0095684B"/>
    <w:rsid w:val="00961483"/>
    <w:rsid w:val="00972498"/>
    <w:rsid w:val="0097481F"/>
    <w:rsid w:val="00974CC6"/>
    <w:rsid w:val="00976AD4"/>
    <w:rsid w:val="00995547"/>
    <w:rsid w:val="009A312F"/>
    <w:rsid w:val="009A5348"/>
    <w:rsid w:val="009B0AB7"/>
    <w:rsid w:val="009B5111"/>
    <w:rsid w:val="009C2C0C"/>
    <w:rsid w:val="009C76D5"/>
    <w:rsid w:val="009C7C59"/>
    <w:rsid w:val="009D2FF2"/>
    <w:rsid w:val="009E33E8"/>
    <w:rsid w:val="009E4DDC"/>
    <w:rsid w:val="009F7AA4"/>
    <w:rsid w:val="00A0199B"/>
    <w:rsid w:val="00A10AD7"/>
    <w:rsid w:val="00A1213A"/>
    <w:rsid w:val="00A3054E"/>
    <w:rsid w:val="00A31745"/>
    <w:rsid w:val="00A42B9F"/>
    <w:rsid w:val="00A446B6"/>
    <w:rsid w:val="00A47069"/>
    <w:rsid w:val="00A559DB"/>
    <w:rsid w:val="00A569EA"/>
    <w:rsid w:val="00A74C7E"/>
    <w:rsid w:val="00A7664B"/>
    <w:rsid w:val="00A965A9"/>
    <w:rsid w:val="00AC01F9"/>
    <w:rsid w:val="00AC2160"/>
    <w:rsid w:val="00AC58E1"/>
    <w:rsid w:val="00AD21D8"/>
    <w:rsid w:val="00AE7200"/>
    <w:rsid w:val="00AF35FC"/>
    <w:rsid w:val="00AF4D04"/>
    <w:rsid w:val="00AF5556"/>
    <w:rsid w:val="00B02D7A"/>
    <w:rsid w:val="00B03639"/>
    <w:rsid w:val="00B0652A"/>
    <w:rsid w:val="00B2039E"/>
    <w:rsid w:val="00B21855"/>
    <w:rsid w:val="00B40937"/>
    <w:rsid w:val="00B423EF"/>
    <w:rsid w:val="00B42819"/>
    <w:rsid w:val="00B453DE"/>
    <w:rsid w:val="00B50DAA"/>
    <w:rsid w:val="00B552E2"/>
    <w:rsid w:val="00B57910"/>
    <w:rsid w:val="00B57C4F"/>
    <w:rsid w:val="00B72597"/>
    <w:rsid w:val="00B745E2"/>
    <w:rsid w:val="00B775FB"/>
    <w:rsid w:val="00B83A73"/>
    <w:rsid w:val="00B901F9"/>
    <w:rsid w:val="00BA496E"/>
    <w:rsid w:val="00BA6165"/>
    <w:rsid w:val="00BB6649"/>
    <w:rsid w:val="00BC0329"/>
    <w:rsid w:val="00BD297B"/>
    <w:rsid w:val="00BD6EFB"/>
    <w:rsid w:val="00C1584D"/>
    <w:rsid w:val="00C15BE2"/>
    <w:rsid w:val="00C1773D"/>
    <w:rsid w:val="00C3447F"/>
    <w:rsid w:val="00C35EDB"/>
    <w:rsid w:val="00C40852"/>
    <w:rsid w:val="00C44ED6"/>
    <w:rsid w:val="00C46ED7"/>
    <w:rsid w:val="00C51F1E"/>
    <w:rsid w:val="00C56487"/>
    <w:rsid w:val="00C67102"/>
    <w:rsid w:val="00C709E7"/>
    <w:rsid w:val="00C7121F"/>
    <w:rsid w:val="00C81491"/>
    <w:rsid w:val="00C81676"/>
    <w:rsid w:val="00C85C5D"/>
    <w:rsid w:val="00C8749D"/>
    <w:rsid w:val="00C91FF2"/>
    <w:rsid w:val="00C92CC4"/>
    <w:rsid w:val="00C96AD3"/>
    <w:rsid w:val="00CA0AFB"/>
    <w:rsid w:val="00CA2CE1"/>
    <w:rsid w:val="00CA3976"/>
    <w:rsid w:val="00CA50E3"/>
    <w:rsid w:val="00CA757B"/>
    <w:rsid w:val="00CB6F6A"/>
    <w:rsid w:val="00CC1787"/>
    <w:rsid w:val="00CC182C"/>
    <w:rsid w:val="00CD0824"/>
    <w:rsid w:val="00CD2908"/>
    <w:rsid w:val="00CD78FD"/>
    <w:rsid w:val="00CF129C"/>
    <w:rsid w:val="00D03A82"/>
    <w:rsid w:val="00D13667"/>
    <w:rsid w:val="00D15344"/>
    <w:rsid w:val="00D1796D"/>
    <w:rsid w:val="00D23F57"/>
    <w:rsid w:val="00D31BEC"/>
    <w:rsid w:val="00D5738E"/>
    <w:rsid w:val="00D63150"/>
    <w:rsid w:val="00D636BA"/>
    <w:rsid w:val="00D64A32"/>
    <w:rsid w:val="00D64EFC"/>
    <w:rsid w:val="00D7015D"/>
    <w:rsid w:val="00D75295"/>
    <w:rsid w:val="00D7581B"/>
    <w:rsid w:val="00D76CE9"/>
    <w:rsid w:val="00D817FB"/>
    <w:rsid w:val="00D8689E"/>
    <w:rsid w:val="00D91BE7"/>
    <w:rsid w:val="00D93B5B"/>
    <w:rsid w:val="00D95A4F"/>
    <w:rsid w:val="00D97F12"/>
    <w:rsid w:val="00DA6095"/>
    <w:rsid w:val="00DB42E7"/>
    <w:rsid w:val="00DD2947"/>
    <w:rsid w:val="00DD70F6"/>
    <w:rsid w:val="00DE01A6"/>
    <w:rsid w:val="00DE6B98"/>
    <w:rsid w:val="00DE7A98"/>
    <w:rsid w:val="00DF32C2"/>
    <w:rsid w:val="00E10D82"/>
    <w:rsid w:val="00E45337"/>
    <w:rsid w:val="00E471A7"/>
    <w:rsid w:val="00E635CF"/>
    <w:rsid w:val="00E661BC"/>
    <w:rsid w:val="00E70551"/>
    <w:rsid w:val="00E73F80"/>
    <w:rsid w:val="00E768DE"/>
    <w:rsid w:val="00E83D79"/>
    <w:rsid w:val="00E8555A"/>
    <w:rsid w:val="00E974A8"/>
    <w:rsid w:val="00EB4FD6"/>
    <w:rsid w:val="00EC40D7"/>
    <w:rsid w:val="00EC6E0A"/>
    <w:rsid w:val="00ED4E18"/>
    <w:rsid w:val="00ED7396"/>
    <w:rsid w:val="00EE1F37"/>
    <w:rsid w:val="00EF305F"/>
    <w:rsid w:val="00F0159C"/>
    <w:rsid w:val="00F04322"/>
    <w:rsid w:val="00F105B7"/>
    <w:rsid w:val="00F13220"/>
    <w:rsid w:val="00F161C8"/>
    <w:rsid w:val="00F17A21"/>
    <w:rsid w:val="00F32C92"/>
    <w:rsid w:val="00F37B27"/>
    <w:rsid w:val="00F40014"/>
    <w:rsid w:val="00F46556"/>
    <w:rsid w:val="00F50E91"/>
    <w:rsid w:val="00F536B8"/>
    <w:rsid w:val="00F57146"/>
    <w:rsid w:val="00F57D29"/>
    <w:rsid w:val="00F701F3"/>
    <w:rsid w:val="00F80AD6"/>
    <w:rsid w:val="00F92FE1"/>
    <w:rsid w:val="00F94D21"/>
    <w:rsid w:val="00F96201"/>
    <w:rsid w:val="00FC3E87"/>
    <w:rsid w:val="00FD0B18"/>
    <w:rsid w:val="00FD2FAD"/>
    <w:rsid w:val="00FE714F"/>
    <w:rsid w:val="00FE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A6D2D8C"/>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2A3"/>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 w:val="20"/>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 w:val="20"/>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sz w:val="20"/>
      <w:szCs w:val="20"/>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sz w:val="20"/>
      <w:szCs w:val="20"/>
      <w:lang w:val="en-GB"/>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sz w:val="20"/>
      <w:szCs w:val="20"/>
      <w:lang w:val="en-GB"/>
    </w:rPr>
  </w:style>
  <w:style w:type="paragraph" w:styleId="Heading7">
    <w:name w:val="heading 7"/>
    <w:basedOn w:val="Normal"/>
    <w:next w:val="Normal"/>
    <w:link w:val="Heading7Char"/>
    <w:qFormat/>
    <w:rsid w:val="004273F8"/>
    <w:pPr>
      <w:keepNext/>
      <w:outlineLvl w:val="6"/>
    </w:pPr>
    <w:rPr>
      <w:b/>
      <w:bCs/>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szCs w:val="20"/>
      <w:lang w:val="en-AU"/>
    </w:rPr>
  </w:style>
  <w:style w:type="paragraph" w:styleId="Heading9">
    <w:name w:val="heading 9"/>
    <w:basedOn w:val="Normal"/>
    <w:next w:val="Normal"/>
    <w:link w:val="Heading9Char"/>
    <w:qFormat/>
    <w:rsid w:val="00711642"/>
    <w:pPr>
      <w:spacing w:before="40" w:after="40"/>
      <w:outlineLvl w:val="8"/>
    </w:pPr>
    <w:rPr>
      <w:b/>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lang w:val="en-GB"/>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lang w:val="en-GB"/>
    </w:rPr>
  </w:style>
  <w:style w:type="paragraph" w:customStyle="1" w:styleId="BodyTextMain">
    <w:name w:val="Body Text Main"/>
    <w:basedOn w:val="Normal"/>
    <w:link w:val="BodyTextMainChar"/>
    <w:qFormat/>
    <w:rsid w:val="000F0C22"/>
    <w:pPr>
      <w:jc w:val="both"/>
    </w:pPr>
    <w:rPr>
      <w:sz w:val="22"/>
      <w:szCs w:val="22"/>
      <w:lang w:val="en-GB"/>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5B7EE5"/>
    <w:pPr>
      <w:keepNext/>
    </w:pPr>
    <w:rPr>
      <w:rFonts w:ascii="Arial" w:hAnsi="Arial" w:cs="Arial"/>
      <w:b/>
      <w:caps/>
      <w:sz w:val="20"/>
      <w:szCs w:val="20"/>
    </w:rPr>
  </w:style>
  <w:style w:type="character" w:customStyle="1" w:styleId="Casehead1Char">
    <w:name w:val="Casehead 1 Char"/>
    <w:basedOn w:val="BodyTextMainChar"/>
    <w:link w:val="Casehead1"/>
    <w:rsid w:val="005B7EE5"/>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semiHidden/>
    <w:unhideWhenUsed/>
    <w:rsid w:val="00B2039E"/>
    <w:rPr>
      <w:sz w:val="20"/>
      <w:szCs w:val="20"/>
      <w:lang w:val="en-GB"/>
    </w:rPr>
  </w:style>
  <w:style w:type="character" w:customStyle="1" w:styleId="FootnoteTextChar">
    <w:name w:val="Footnote Text Char"/>
    <w:basedOn w:val="DefaultParagraphFont"/>
    <w:link w:val="FootnoteText"/>
    <w:uiPriority w:val="99"/>
    <w:semiHidden/>
    <w:rsid w:val="00B2039E"/>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unhideWhenUsed/>
    <w:rsid w:val="000602AF"/>
    <w:rPr>
      <w:b w:val="0"/>
      <w:color w:val="auto"/>
      <w:vertAlign w:val="superscript"/>
    </w:rPr>
  </w:style>
  <w:style w:type="paragraph" w:customStyle="1" w:styleId="Footnote">
    <w:name w:val="Footnote"/>
    <w:basedOn w:val="Normal"/>
    <w:link w:val="FootnoteChar"/>
    <w:qFormat/>
    <w:rsid w:val="005B7EE5"/>
    <w:rPr>
      <w:rFonts w:ascii="Arial" w:hAnsi="Arial" w:cs="Arial"/>
      <w:sz w:val="17"/>
      <w:szCs w:val="17"/>
      <w:lang w:val="en-GB"/>
    </w:rPr>
  </w:style>
  <w:style w:type="character" w:customStyle="1" w:styleId="FootnoteChar">
    <w:name w:val="Footnote Char"/>
    <w:basedOn w:val="DefaultParagraphFont"/>
    <w:link w:val="Footnote"/>
    <w:rsid w:val="005B7EE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5B7EE5"/>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5B7EE5"/>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Cs w:val="20"/>
      <w:lang w:val="en-GB"/>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sz w:val="20"/>
      <w:szCs w:val="20"/>
      <w:lang w:val="en-GB"/>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sz w:val="20"/>
      <w:szCs w:val="20"/>
      <w:lang w:val="en-GB"/>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sz w:val="20"/>
      <w:szCs w:val="20"/>
      <w:lang w:val="en-GB"/>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lang w:val="en-GB"/>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rPr>
      <w:sz w:val="20"/>
      <w:szCs w:val="20"/>
      <w:lang w:val="en-GB"/>
    </w:rPr>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lang w:val="en-GB"/>
    </w:rPr>
  </w:style>
  <w:style w:type="paragraph" w:styleId="NormalWeb">
    <w:name w:val="Normal (Web)"/>
    <w:basedOn w:val="Normal"/>
    <w:uiPriority w:val="99"/>
    <w:unhideWhenUsed/>
    <w:rsid w:val="004273F8"/>
    <w:pPr>
      <w:spacing w:before="100" w:beforeAutospacing="1" w:after="100" w:afterAutospacing="1"/>
    </w:pPr>
    <w:rPr>
      <w:lang w:val="en-IN" w:eastAsia="en-IN"/>
    </w:rPr>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sz w:val="20"/>
      <w:szCs w:val="20"/>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Cs w:val="20"/>
      <w:lang w:val="en-GB"/>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rPr>
      <w:sz w:val="20"/>
      <w:szCs w:val="20"/>
      <w:lang w:val="en-GB"/>
    </w:r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sz w:val="20"/>
      <w:szCs w:val="20"/>
      <w:lang w:val="en-AU"/>
    </w:rPr>
  </w:style>
  <w:style w:type="paragraph" w:styleId="BodyTextIndent3">
    <w:name w:val="Body Text Indent 3"/>
    <w:basedOn w:val="Normal"/>
    <w:link w:val="BodyTextIndent3Char"/>
    <w:rsid w:val="00711642"/>
    <w:pPr>
      <w:spacing w:after="120"/>
      <w:ind w:left="360"/>
    </w:pPr>
    <w:rPr>
      <w:sz w:val="16"/>
      <w:szCs w:val="16"/>
      <w:lang w:val="en-GB"/>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Cs w:val="20"/>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sz w:val="20"/>
      <w:szCs w:val="20"/>
      <w:lang w:val="en-GB" w:eastAsia="en-CA"/>
    </w:rPr>
  </w:style>
  <w:style w:type="paragraph" w:customStyle="1" w:styleId="casehead20">
    <w:name w:val="casehead2"/>
    <w:basedOn w:val="Normal"/>
    <w:next w:val="BodyText"/>
    <w:rsid w:val="001C7777"/>
    <w:rPr>
      <w:rFonts w:ascii="Arial" w:hAnsi="Arial"/>
      <w:b/>
      <w:sz w:val="20"/>
      <w:szCs w:val="20"/>
      <w:lang w:val="en-GB" w:eastAsia="en-CA"/>
    </w:rPr>
  </w:style>
  <w:style w:type="table" w:customStyle="1" w:styleId="TableGrid1">
    <w:name w:val="Table Grid1"/>
    <w:basedOn w:val="TableNormal"/>
    <w:next w:val="TableGrid"/>
    <w:uiPriority w:val="99"/>
    <w:rsid w:val="004E2C28"/>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7664B"/>
    <w:rPr>
      <w:color w:val="605E5C"/>
      <w:shd w:val="clear" w:color="auto" w:fill="E1DFDD"/>
    </w:rPr>
  </w:style>
  <w:style w:type="character" w:customStyle="1" w:styleId="UnresolvedMention2">
    <w:name w:val="Unresolved Mention2"/>
    <w:basedOn w:val="DefaultParagraphFont"/>
    <w:uiPriority w:val="99"/>
    <w:semiHidden/>
    <w:unhideWhenUsed/>
    <w:rsid w:val="0052294F"/>
    <w:rPr>
      <w:color w:val="605E5C"/>
      <w:shd w:val="clear" w:color="auto" w:fill="E1DFDD"/>
    </w:rPr>
  </w:style>
  <w:style w:type="character" w:customStyle="1" w:styleId="UnresolvedMention">
    <w:name w:val="Unresolved Mention"/>
    <w:basedOn w:val="DefaultParagraphFont"/>
    <w:uiPriority w:val="99"/>
    <w:semiHidden/>
    <w:unhideWhenUsed/>
    <w:rsid w:val="00011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375753">
      <w:bodyDiv w:val="1"/>
      <w:marLeft w:val="0"/>
      <w:marRight w:val="0"/>
      <w:marTop w:val="0"/>
      <w:marBottom w:val="0"/>
      <w:divBdr>
        <w:top w:val="none" w:sz="0" w:space="0" w:color="auto"/>
        <w:left w:val="none" w:sz="0" w:space="0" w:color="auto"/>
        <w:bottom w:val="none" w:sz="0" w:space="0" w:color="auto"/>
        <w:right w:val="none" w:sz="0" w:space="0" w:color="auto"/>
      </w:divBdr>
    </w:div>
    <w:div w:id="118555937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martbrief.com/original/2017/07/millennial-snackers-drive-specialty-food-sales-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69019-B9B1-4CA9-9E77-CF18F851A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4432</Words>
  <Characters>25264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2019-04-23T17:30:00Z</dcterms:created>
  <dcterms:modified xsi:type="dcterms:W3CDTF">2019-04-26T12:20:00Z</dcterms:modified>
</cp:coreProperties>
</file>