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93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3"/>
        <w:gridCol w:w="4593"/>
      </w:tblGrid>
      <w:tr w:rsidR="0007263F" w:rsidRPr="00A71B1D" w14:paraId="2C6E6142" w14:textId="77777777" w:rsidTr="0007263F">
        <w:trPr>
          <w:jc w:val="center"/>
        </w:trPr>
        <w:tc>
          <w:tcPr>
            <w:tcW w:w="4788" w:type="dxa"/>
          </w:tcPr>
          <w:p w14:paraId="6A9EF941" w14:textId="77777777" w:rsidR="0007263F" w:rsidRPr="00A71B1D" w:rsidRDefault="0007263F" w:rsidP="0007263F">
            <w:pPr>
              <w:tabs>
                <w:tab w:val="left" w:pos="-1440"/>
                <w:tab w:val="left" w:pos="-720"/>
                <w:tab w:val="left" w:pos="1"/>
              </w:tabs>
              <w:jc w:val="both"/>
              <w:rPr>
                <w:rFonts w:ascii="Arial" w:hAnsi="Arial"/>
                <w:b/>
                <w:sz w:val="24"/>
              </w:rPr>
            </w:pPr>
            <w:r w:rsidRPr="00A71B1D">
              <w:rPr>
                <w:rFonts w:ascii="Arial" w:hAnsi="Arial"/>
                <w:b/>
                <w:noProof/>
                <w:sz w:val="24"/>
                <w:lang w:val="en-GB" w:eastAsia="en-GB"/>
              </w:rPr>
              <w:drawing>
                <wp:inline distT="0" distB="0" distL="0" distR="0" wp14:anchorId="3DF9D605" wp14:editId="58D75C5F">
                  <wp:extent cx="2613804" cy="551245"/>
                  <wp:effectExtent l="0" t="0" r="0" b="1270"/>
                  <wp:docPr id="2" name="Picture 2"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6FCD276D" w14:textId="77777777" w:rsidR="0007263F" w:rsidRPr="00A71B1D" w:rsidRDefault="0007263F" w:rsidP="0007263F">
            <w:pPr>
              <w:tabs>
                <w:tab w:val="left" w:pos="-1440"/>
                <w:tab w:val="left" w:pos="-720"/>
                <w:tab w:val="left" w:pos="1"/>
              </w:tabs>
              <w:jc w:val="right"/>
              <w:rPr>
                <w:rFonts w:ascii="Arial" w:hAnsi="Arial"/>
                <w:b/>
                <w:sz w:val="24"/>
              </w:rPr>
            </w:pPr>
            <w:r>
              <w:rPr>
                <w:rFonts w:ascii="Arial" w:hAnsi="Arial"/>
                <w:b/>
                <w:noProof/>
                <w:sz w:val="24"/>
                <w:lang w:val="en-GB" w:eastAsia="en-GB"/>
              </w:rPr>
              <w:drawing>
                <wp:inline distT="0" distB="0" distL="0" distR="0" wp14:anchorId="3BAB65EB" wp14:editId="6123C7D5">
                  <wp:extent cx="1278327" cy="679450"/>
                  <wp:effectExtent l="0" t="0" r="0" b="6350"/>
                  <wp:docPr id="1" name="Picture 1" descr="MacEwan University School of Busine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B_Stacked.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1468335" cy="780442"/>
                          </a:xfrm>
                          <a:prstGeom prst="rect">
                            <a:avLst/>
                          </a:prstGeom>
                        </pic:spPr>
                      </pic:pic>
                    </a:graphicData>
                  </a:graphic>
                </wp:inline>
              </w:drawing>
            </w:r>
          </w:p>
        </w:tc>
      </w:tr>
    </w:tbl>
    <w:p w14:paraId="2195E0BE" w14:textId="77777777" w:rsidR="0007263F" w:rsidRPr="00A44C9E" w:rsidRDefault="0007263F" w:rsidP="0007263F">
      <w:pPr>
        <w:pBdr>
          <w:bottom w:val="single" w:sz="18" w:space="1" w:color="auto"/>
        </w:pBdr>
        <w:tabs>
          <w:tab w:val="left" w:pos="-1440"/>
          <w:tab w:val="left" w:pos="-720"/>
          <w:tab w:val="left" w:pos="1"/>
        </w:tabs>
        <w:jc w:val="both"/>
        <w:rPr>
          <w:rFonts w:ascii="Arial" w:hAnsi="Arial"/>
          <w:b/>
          <w:sz w:val="8"/>
          <w:szCs w:val="24"/>
        </w:rPr>
      </w:pPr>
    </w:p>
    <w:p w14:paraId="4E057522" w14:textId="76A11F54" w:rsidR="00D75295" w:rsidRPr="0007263F" w:rsidRDefault="00B42345" w:rsidP="0007263F">
      <w:pPr>
        <w:jc w:val="right"/>
        <w:rPr>
          <w:rFonts w:ascii="Arial" w:hAnsi="Arial" w:cs="Arial"/>
          <w:b/>
          <w:sz w:val="24"/>
          <w:szCs w:val="24"/>
          <w:lang w:val="en-GB"/>
        </w:rPr>
      </w:pPr>
      <w:r>
        <w:rPr>
          <w:rFonts w:ascii="Arial" w:hAnsi="Arial" w:cs="Arial"/>
          <w:b/>
          <w:sz w:val="24"/>
          <w:szCs w:val="24"/>
        </w:rPr>
        <w:t>9B19M032</w:t>
      </w:r>
    </w:p>
    <w:p w14:paraId="426B7211" w14:textId="77777777" w:rsidR="00013360" w:rsidRPr="00CD0E79" w:rsidRDefault="00013360" w:rsidP="00D75295">
      <w:pPr>
        <w:jc w:val="right"/>
        <w:rPr>
          <w:rFonts w:ascii="Arial" w:hAnsi="Arial"/>
          <w:b/>
          <w:sz w:val="28"/>
          <w:szCs w:val="28"/>
          <w:lang w:val="en-GB"/>
        </w:rPr>
      </w:pPr>
    </w:p>
    <w:p w14:paraId="2F03D26A" w14:textId="10BA3941" w:rsidR="00013360" w:rsidRPr="00CD0E79" w:rsidRDefault="0071309E" w:rsidP="00013360">
      <w:pPr>
        <w:pStyle w:val="CaseTitle"/>
        <w:spacing w:after="0" w:line="240" w:lineRule="auto"/>
        <w:rPr>
          <w:sz w:val="20"/>
          <w:szCs w:val="20"/>
          <w:lang w:val="en-GB"/>
        </w:rPr>
      </w:pPr>
      <w:r w:rsidRPr="00CD0E79">
        <w:rPr>
          <w:lang w:val="en-GB"/>
        </w:rPr>
        <w:t>Feihe Dairy: Investing in Canada</w:t>
      </w:r>
    </w:p>
    <w:p w14:paraId="40ABF6FD" w14:textId="77777777" w:rsidR="00CA3976" w:rsidRPr="00CD0E79" w:rsidRDefault="00CA3976" w:rsidP="00013360">
      <w:pPr>
        <w:pStyle w:val="CaseTitle"/>
        <w:spacing w:after="0" w:line="240" w:lineRule="auto"/>
        <w:rPr>
          <w:sz w:val="20"/>
          <w:szCs w:val="20"/>
          <w:lang w:val="en-GB"/>
        </w:rPr>
      </w:pPr>
    </w:p>
    <w:p w14:paraId="202F1085" w14:textId="77777777" w:rsidR="00013360" w:rsidRPr="00CD0E79" w:rsidRDefault="00013360" w:rsidP="00013360">
      <w:pPr>
        <w:pStyle w:val="CaseTitle"/>
        <w:spacing w:after="0" w:line="240" w:lineRule="auto"/>
        <w:rPr>
          <w:sz w:val="20"/>
          <w:szCs w:val="20"/>
          <w:lang w:val="en-GB"/>
        </w:rPr>
      </w:pPr>
    </w:p>
    <w:p w14:paraId="58B0C73F" w14:textId="570D4481" w:rsidR="00086B26" w:rsidRPr="00CD0E79" w:rsidRDefault="0071309E" w:rsidP="00086B26">
      <w:pPr>
        <w:pStyle w:val="StyleCopyrightStatementAfter0ptBottomSinglesolidline1"/>
        <w:rPr>
          <w:lang w:val="en-GB"/>
        </w:rPr>
      </w:pPr>
      <w:r w:rsidRPr="00CD0E79">
        <w:rPr>
          <w:lang w:val="en-GB"/>
        </w:rPr>
        <w:t>William Wei, Vicky Nie, Rongrong Zhang, and Xuewei Liu</w:t>
      </w:r>
      <w:r w:rsidR="00ED7922" w:rsidRPr="00CD0E79">
        <w:rPr>
          <w:rFonts w:cs="Arial"/>
          <w:szCs w:val="16"/>
          <w:lang w:val="en-GB"/>
        </w:rPr>
        <w:t xml:space="preserve"> </w:t>
      </w:r>
      <w:r w:rsidR="00086B26" w:rsidRPr="00CD0E79">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CD0E79" w:rsidRDefault="00086B26" w:rsidP="00086B26">
      <w:pPr>
        <w:pStyle w:val="StyleCopyrightStatementAfter0ptBottomSinglesolidline1"/>
        <w:rPr>
          <w:lang w:val="en-GB"/>
        </w:rPr>
      </w:pPr>
    </w:p>
    <w:p w14:paraId="1B9DDE06" w14:textId="77777777" w:rsidR="00B83E5C" w:rsidRPr="00A323B0" w:rsidRDefault="00B83E5C" w:rsidP="00B83E5C">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25B5384" w14:textId="77777777" w:rsidR="00B83E5C" w:rsidRPr="00A323B0" w:rsidRDefault="00B83E5C" w:rsidP="00B83E5C">
      <w:pPr>
        <w:pStyle w:val="StyleStyleCopyrightStatementAfter0ptBottomSinglesolid"/>
        <w:rPr>
          <w:rFonts w:cs="Arial"/>
          <w:szCs w:val="16"/>
        </w:rPr>
      </w:pPr>
    </w:p>
    <w:p w14:paraId="3922E14F" w14:textId="007F3790" w:rsidR="00751E0B" w:rsidRPr="00CD0E79" w:rsidRDefault="00B83E5C" w:rsidP="00B83E5C">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sidR="002B6EE7">
        <w:rPr>
          <w:rFonts w:cs="Arial"/>
          <w:iCs w:val="0"/>
          <w:color w:val="auto"/>
          <w:szCs w:val="16"/>
        </w:rPr>
        <w:t>2021-03-31</w:t>
      </w:r>
    </w:p>
    <w:p w14:paraId="0A2A54E4" w14:textId="77777777" w:rsidR="00751E0B" w:rsidRPr="00CD0E79" w:rsidRDefault="00751E0B" w:rsidP="00751E0B">
      <w:pPr>
        <w:pStyle w:val="StyleCopyrightStatementAfter0ptBottomSinglesolidline1"/>
        <w:rPr>
          <w:rFonts w:ascii="Times New Roman" w:hAnsi="Times New Roman"/>
          <w:sz w:val="20"/>
          <w:lang w:val="en-GB"/>
        </w:rPr>
      </w:pPr>
    </w:p>
    <w:p w14:paraId="2C183161" w14:textId="77777777" w:rsidR="00B87DC0" w:rsidRPr="00CD0E79" w:rsidRDefault="00B87DC0" w:rsidP="004B632F">
      <w:pPr>
        <w:pStyle w:val="StyleCopyrightStatementAfter0ptBottomSinglesolidline1"/>
        <w:rPr>
          <w:rFonts w:ascii="Times New Roman" w:hAnsi="Times New Roman"/>
          <w:sz w:val="20"/>
          <w:lang w:val="en-GB"/>
        </w:rPr>
      </w:pPr>
    </w:p>
    <w:p w14:paraId="5BEB1B85" w14:textId="5ADD3134" w:rsidR="0071309E" w:rsidRPr="00CD0E79" w:rsidRDefault="0071309E" w:rsidP="0071309E">
      <w:pPr>
        <w:pStyle w:val="BodyTextMain"/>
        <w:rPr>
          <w:lang w:val="en-GB"/>
        </w:rPr>
      </w:pPr>
      <w:r w:rsidRPr="00CD0E79">
        <w:rPr>
          <w:lang w:val="en-GB"/>
        </w:rPr>
        <w:t xml:space="preserve">It was a cold day in </w:t>
      </w:r>
      <w:r w:rsidR="00723789">
        <w:rPr>
          <w:lang w:val="en-GB"/>
        </w:rPr>
        <w:t xml:space="preserve">December </w:t>
      </w:r>
      <w:r w:rsidRPr="00CD0E79">
        <w:rPr>
          <w:lang w:val="en-GB"/>
        </w:rPr>
        <w:t xml:space="preserve">of 2016. Sitting in the lounge of Toronto’s Pearson </w:t>
      </w:r>
      <w:r w:rsidR="00413253" w:rsidRPr="00CD0E79">
        <w:rPr>
          <w:lang w:val="en-GB"/>
        </w:rPr>
        <w:t xml:space="preserve">International </w:t>
      </w:r>
      <w:r w:rsidRPr="00CD0E79">
        <w:rPr>
          <w:lang w:val="en-GB"/>
        </w:rPr>
        <w:t xml:space="preserve">Airport, Youbin Leng, the chairperson, chief executive officer, and president of Feihe International Inc. (Feihe), was reading a joint statement from the governments of Canada and the People’s Republic of China, which communicated an open attitude toward direct investment. </w:t>
      </w:r>
    </w:p>
    <w:p w14:paraId="60934F8B" w14:textId="77777777" w:rsidR="0071309E" w:rsidRPr="00CD0E79" w:rsidRDefault="0071309E" w:rsidP="0071309E">
      <w:pPr>
        <w:pStyle w:val="BodyTextMain"/>
        <w:rPr>
          <w:lang w:val="en-GB"/>
        </w:rPr>
      </w:pPr>
    </w:p>
    <w:p w14:paraId="658B98CD" w14:textId="75B03079" w:rsidR="0071309E" w:rsidRPr="00CD0E79" w:rsidRDefault="0071309E" w:rsidP="0071309E">
      <w:pPr>
        <w:pStyle w:val="BodyTextMain"/>
        <w:rPr>
          <w:lang w:val="en-GB"/>
        </w:rPr>
      </w:pPr>
      <w:r w:rsidRPr="00CD0E79">
        <w:rPr>
          <w:lang w:val="en-GB"/>
        </w:rPr>
        <w:t xml:space="preserve">Leng was excited about the Canadian government’s desire to attract foreign investment. He and the executive team of Feihe were considering entering </w:t>
      </w:r>
      <w:r w:rsidR="00CD0E79">
        <w:rPr>
          <w:lang w:val="en-GB"/>
        </w:rPr>
        <w:t xml:space="preserve">the </w:t>
      </w:r>
      <w:r w:rsidRPr="00CD0E79">
        <w:rPr>
          <w:lang w:val="en-GB"/>
        </w:rPr>
        <w:t>Canad</w:t>
      </w:r>
      <w:r w:rsidR="00CD0E79">
        <w:rPr>
          <w:lang w:val="en-GB"/>
        </w:rPr>
        <w:t>i</w:t>
      </w:r>
      <w:r w:rsidRPr="00CD0E79">
        <w:rPr>
          <w:lang w:val="en-GB"/>
        </w:rPr>
        <w:t>a</w:t>
      </w:r>
      <w:r w:rsidR="00CD0E79">
        <w:rPr>
          <w:lang w:val="en-GB"/>
        </w:rPr>
        <w:t>n</w:t>
      </w:r>
      <w:r w:rsidRPr="00CD0E79">
        <w:rPr>
          <w:lang w:val="en-GB"/>
        </w:rPr>
        <w:t xml:space="preserve"> market very soon. Leng was confident that internationalization would make Feihe one of the most widely known infant formula brands</w:t>
      </w:r>
      <w:r w:rsidR="00C2321B" w:rsidRPr="00CD0E79">
        <w:rPr>
          <w:lang w:val="en-GB"/>
        </w:rPr>
        <w:t>; however</w:t>
      </w:r>
      <w:r w:rsidRPr="00CD0E79">
        <w:rPr>
          <w:lang w:val="en-GB"/>
        </w:rPr>
        <w:t xml:space="preserve">, </w:t>
      </w:r>
      <w:r w:rsidR="00C2321B" w:rsidRPr="00CD0E79">
        <w:rPr>
          <w:lang w:val="en-GB"/>
        </w:rPr>
        <w:t xml:space="preserve">as he considered </w:t>
      </w:r>
      <w:r w:rsidRPr="00CD0E79">
        <w:rPr>
          <w:lang w:val="en-GB"/>
        </w:rPr>
        <w:t xml:space="preserve">the cultural and institutional differences between China and Canada, and the uncertainty </w:t>
      </w:r>
      <w:r w:rsidR="00C2321B" w:rsidRPr="00CD0E79">
        <w:rPr>
          <w:lang w:val="en-GB"/>
        </w:rPr>
        <w:t xml:space="preserve">involved </w:t>
      </w:r>
      <w:r w:rsidRPr="00CD0E79">
        <w:rPr>
          <w:lang w:val="en-GB"/>
        </w:rPr>
        <w:t>in the Canadian</w:t>
      </w:r>
      <w:r w:rsidR="00C2321B" w:rsidRPr="00CD0E79">
        <w:rPr>
          <w:lang w:val="en-GB"/>
        </w:rPr>
        <w:t>–</w:t>
      </w:r>
      <w:r w:rsidRPr="00CD0E79">
        <w:rPr>
          <w:lang w:val="en-GB"/>
        </w:rPr>
        <w:t xml:space="preserve">Chinese business relationship, he </w:t>
      </w:r>
      <w:r w:rsidR="00C2321B" w:rsidRPr="00CD0E79">
        <w:rPr>
          <w:lang w:val="en-GB"/>
        </w:rPr>
        <w:t xml:space="preserve">wondered </w:t>
      </w:r>
      <w:r w:rsidRPr="00CD0E79">
        <w:rPr>
          <w:lang w:val="en-GB"/>
        </w:rPr>
        <w:t xml:space="preserve">what </w:t>
      </w:r>
      <w:r w:rsidR="00C2321B" w:rsidRPr="00CD0E79">
        <w:rPr>
          <w:lang w:val="en-GB"/>
        </w:rPr>
        <w:t xml:space="preserve">would be </w:t>
      </w:r>
      <w:r w:rsidRPr="00CD0E79">
        <w:rPr>
          <w:lang w:val="en-GB"/>
        </w:rPr>
        <w:t>the best way to enter the Canadian market.</w:t>
      </w:r>
      <w:r w:rsidRPr="00CD0E79" w:rsidDel="005F74D2">
        <w:rPr>
          <w:lang w:val="en-GB"/>
        </w:rPr>
        <w:t xml:space="preserve"> </w:t>
      </w:r>
      <w:r w:rsidRPr="00CD0E79">
        <w:rPr>
          <w:lang w:val="en-GB"/>
        </w:rPr>
        <w:t xml:space="preserve">Should Feihe use a greenfield investment, </w:t>
      </w:r>
      <w:r w:rsidR="00C2321B" w:rsidRPr="00CD0E79">
        <w:rPr>
          <w:lang w:val="en-GB"/>
        </w:rPr>
        <w:t xml:space="preserve">an </w:t>
      </w:r>
      <w:r w:rsidRPr="00CD0E79">
        <w:rPr>
          <w:lang w:val="en-GB"/>
        </w:rPr>
        <w:t xml:space="preserve">acquisition, or </w:t>
      </w:r>
      <w:r w:rsidR="00C2321B" w:rsidRPr="00CD0E79">
        <w:rPr>
          <w:lang w:val="en-GB"/>
        </w:rPr>
        <w:t xml:space="preserve">a </w:t>
      </w:r>
      <w:r w:rsidRPr="00CD0E79">
        <w:rPr>
          <w:lang w:val="en-GB"/>
        </w:rPr>
        <w:t xml:space="preserve">joint venture? </w:t>
      </w:r>
    </w:p>
    <w:p w14:paraId="3771E85C" w14:textId="77777777" w:rsidR="0071309E" w:rsidRPr="00CD0E79" w:rsidRDefault="0071309E" w:rsidP="0071309E">
      <w:pPr>
        <w:pStyle w:val="BodyTextMain"/>
        <w:rPr>
          <w:lang w:val="en-GB"/>
        </w:rPr>
      </w:pPr>
    </w:p>
    <w:p w14:paraId="0E5F6ED3" w14:textId="77777777" w:rsidR="0071309E" w:rsidRPr="00CD0E79" w:rsidRDefault="0071309E" w:rsidP="0071309E">
      <w:pPr>
        <w:pStyle w:val="BodyTextMain"/>
        <w:rPr>
          <w:lang w:val="en-GB"/>
        </w:rPr>
      </w:pPr>
    </w:p>
    <w:p w14:paraId="27EBDCE0" w14:textId="77777777" w:rsidR="0071309E" w:rsidRPr="00CD0E79" w:rsidRDefault="0071309E" w:rsidP="0071309E">
      <w:pPr>
        <w:pStyle w:val="Casehead1"/>
        <w:rPr>
          <w:lang w:val="en-GB"/>
        </w:rPr>
      </w:pPr>
      <w:r w:rsidRPr="00CD0E79">
        <w:rPr>
          <w:lang w:val="en-GB"/>
        </w:rPr>
        <w:t>Feihe International</w:t>
      </w:r>
    </w:p>
    <w:p w14:paraId="1E8553D8" w14:textId="77777777" w:rsidR="0071309E" w:rsidRPr="00CD0E79" w:rsidRDefault="0071309E" w:rsidP="0071309E">
      <w:pPr>
        <w:pStyle w:val="BodyTextMain"/>
        <w:rPr>
          <w:lang w:val="en-GB"/>
        </w:rPr>
      </w:pPr>
    </w:p>
    <w:p w14:paraId="7BEE5078" w14:textId="7008D0B8" w:rsidR="0071309E" w:rsidRPr="00CD0E79" w:rsidRDefault="0071309E" w:rsidP="0071309E">
      <w:pPr>
        <w:pStyle w:val="BodyTextMain"/>
        <w:rPr>
          <w:lang w:val="en-GB"/>
        </w:rPr>
      </w:pPr>
      <w:r w:rsidRPr="00CD0E79">
        <w:rPr>
          <w:lang w:val="en-GB"/>
        </w:rPr>
        <w:t xml:space="preserve">In Chinese, </w:t>
      </w:r>
      <w:r w:rsidR="00C2321B" w:rsidRPr="00CD0E79">
        <w:rPr>
          <w:i/>
          <w:lang w:val="en-GB"/>
        </w:rPr>
        <w:t>f</w:t>
      </w:r>
      <w:r w:rsidRPr="00CD0E79">
        <w:rPr>
          <w:i/>
          <w:lang w:val="en-GB"/>
        </w:rPr>
        <w:t>eihe</w:t>
      </w:r>
      <w:r w:rsidRPr="00CD0E79">
        <w:rPr>
          <w:lang w:val="en-GB"/>
        </w:rPr>
        <w:t xml:space="preserve"> </w:t>
      </w:r>
      <w:r w:rsidR="00C2321B" w:rsidRPr="00CD0E79">
        <w:rPr>
          <w:lang w:val="en-GB"/>
        </w:rPr>
        <w:t xml:space="preserve">meant </w:t>
      </w:r>
      <w:r w:rsidRPr="00CD0E79">
        <w:rPr>
          <w:lang w:val="en-GB"/>
        </w:rPr>
        <w:t xml:space="preserve">“a flying crane,” a symbol of auspice, loyalty, and longevity. Feihe was founded in 1962 in </w:t>
      </w:r>
      <w:bookmarkStart w:id="0" w:name="OLE_LINK1"/>
      <w:bookmarkStart w:id="1" w:name="OLE_LINK2"/>
      <w:r w:rsidRPr="00CD0E79">
        <w:rPr>
          <w:lang w:val="en-GB"/>
        </w:rPr>
        <w:t>Qiqihar</w:t>
      </w:r>
      <w:bookmarkEnd w:id="0"/>
      <w:bookmarkEnd w:id="1"/>
      <w:r w:rsidRPr="00CD0E79">
        <w:rPr>
          <w:lang w:val="en-GB"/>
        </w:rPr>
        <w:t xml:space="preserve">, a city in Heilongjiang Province </w:t>
      </w:r>
      <w:r w:rsidR="00C2321B" w:rsidRPr="00CD0E79">
        <w:rPr>
          <w:lang w:val="en-GB"/>
        </w:rPr>
        <w:t xml:space="preserve">in </w:t>
      </w:r>
      <w:r w:rsidRPr="00CD0E79">
        <w:rPr>
          <w:lang w:val="en-GB"/>
        </w:rPr>
        <w:t xml:space="preserve">northeastern China, which was famous for its habitat for red-crowned cranes. This company started as a state-owned enterprise (SOE) that manufactured milk powder. In </w:t>
      </w:r>
      <w:r w:rsidR="00413253" w:rsidRPr="00CD0E79">
        <w:rPr>
          <w:lang w:val="en-GB"/>
        </w:rPr>
        <w:t xml:space="preserve">the </w:t>
      </w:r>
      <w:r w:rsidRPr="00CD0E79">
        <w:rPr>
          <w:lang w:val="en-GB"/>
        </w:rPr>
        <w:t>1990s, Youbin Leng joined the</w:t>
      </w:r>
      <w:r w:rsidRPr="00CD0E79" w:rsidDel="00F23ECC">
        <w:rPr>
          <w:lang w:val="en-GB"/>
        </w:rPr>
        <w:t xml:space="preserve"> </w:t>
      </w:r>
      <w:r w:rsidRPr="00CD0E79">
        <w:rPr>
          <w:lang w:val="en-GB"/>
        </w:rPr>
        <w:t xml:space="preserve">company and found that the company was growing slowly under the planned economy. In August 1996, it was incorporated as Feihe Dairy during a period of </w:t>
      </w:r>
      <w:r w:rsidR="00C2321B" w:rsidRPr="00CD0E79">
        <w:rPr>
          <w:lang w:val="en-GB"/>
        </w:rPr>
        <w:t xml:space="preserve">China’s </w:t>
      </w:r>
      <w:r w:rsidRPr="00CD0E79">
        <w:rPr>
          <w:lang w:val="en-GB"/>
        </w:rPr>
        <w:t>nationwide SOE asset restructuring.</w:t>
      </w:r>
      <w:r w:rsidRPr="00CD0E79" w:rsidDel="002E43A7">
        <w:rPr>
          <w:lang w:val="en-GB"/>
        </w:rPr>
        <w:t xml:space="preserve"> </w:t>
      </w:r>
      <w:r w:rsidRPr="00CD0E79">
        <w:rPr>
          <w:lang w:val="en-GB"/>
        </w:rPr>
        <w:t>Leng acquired a majority of equity in the company in 1998 and transformed Feihe into a privately owned company in 2001.</w:t>
      </w:r>
    </w:p>
    <w:p w14:paraId="6040EBB7" w14:textId="77777777" w:rsidR="0071309E" w:rsidRPr="00CD0E79" w:rsidRDefault="0071309E" w:rsidP="0071309E">
      <w:pPr>
        <w:pStyle w:val="BodyTextMain"/>
        <w:rPr>
          <w:lang w:val="en-GB"/>
        </w:rPr>
      </w:pPr>
    </w:p>
    <w:p w14:paraId="009204FB" w14:textId="03408AD2" w:rsidR="00763E20" w:rsidRPr="00CD0E79" w:rsidRDefault="0071309E" w:rsidP="0071309E">
      <w:pPr>
        <w:pStyle w:val="BodyTextMain"/>
        <w:rPr>
          <w:lang w:val="en-GB"/>
        </w:rPr>
      </w:pPr>
      <w:r w:rsidRPr="00CD0E79">
        <w:rPr>
          <w:lang w:val="en-GB"/>
        </w:rPr>
        <w:t>Fifteen years later, Feihe was headquartered in Beijing, China. It became the largest domestic Chinese infant</w:t>
      </w:r>
      <w:r w:rsidR="00DB0496" w:rsidRPr="00CD0E79">
        <w:rPr>
          <w:lang w:val="en-GB"/>
        </w:rPr>
        <w:t xml:space="preserve"> </w:t>
      </w:r>
      <w:r w:rsidRPr="00CD0E79">
        <w:rPr>
          <w:lang w:val="en-GB"/>
        </w:rPr>
        <w:t xml:space="preserve">formula company and the third-largest dairy company operating in China (including both domestic and foreign brands). </w:t>
      </w:r>
      <w:r w:rsidR="00C2321B" w:rsidRPr="00CD0E79">
        <w:rPr>
          <w:lang w:val="en-GB"/>
        </w:rPr>
        <w:t xml:space="preserve">In </w:t>
      </w:r>
      <w:r w:rsidRPr="00CD0E79">
        <w:rPr>
          <w:lang w:val="en-GB"/>
        </w:rPr>
        <w:t>2016</w:t>
      </w:r>
      <w:bookmarkStart w:id="2" w:name="OLE_LINK26"/>
      <w:bookmarkStart w:id="3" w:name="OLE_LINK27"/>
      <w:r w:rsidRPr="00CD0E79">
        <w:rPr>
          <w:lang w:val="en-GB"/>
        </w:rPr>
        <w:t xml:space="preserve">, Feihe had 16.9 per cent of </w:t>
      </w:r>
      <w:r w:rsidR="00EE622E" w:rsidRPr="00CD0E79">
        <w:rPr>
          <w:lang w:val="en-GB"/>
        </w:rPr>
        <w:t xml:space="preserve">retail sales in </w:t>
      </w:r>
      <w:r w:rsidRPr="00CD0E79">
        <w:rPr>
          <w:lang w:val="en-GB"/>
        </w:rPr>
        <w:t xml:space="preserve">the domestic </w:t>
      </w:r>
      <w:r w:rsidR="00413253" w:rsidRPr="00CD0E79">
        <w:rPr>
          <w:lang w:val="en-GB"/>
        </w:rPr>
        <w:t xml:space="preserve">infant formula </w:t>
      </w:r>
      <w:r w:rsidRPr="00CD0E79">
        <w:rPr>
          <w:lang w:val="en-GB"/>
        </w:rPr>
        <w:t xml:space="preserve">market and 7.7 per cent of </w:t>
      </w:r>
      <w:r w:rsidR="00EE622E" w:rsidRPr="00CD0E79">
        <w:rPr>
          <w:lang w:val="en-GB"/>
        </w:rPr>
        <w:t xml:space="preserve">retail sales in </w:t>
      </w:r>
      <w:r w:rsidRPr="00CD0E79">
        <w:rPr>
          <w:lang w:val="en-GB"/>
        </w:rPr>
        <w:t xml:space="preserve">the overall </w:t>
      </w:r>
      <w:r w:rsidR="00413253" w:rsidRPr="00CD0E79">
        <w:rPr>
          <w:lang w:val="en-GB"/>
        </w:rPr>
        <w:t xml:space="preserve">infant formula </w:t>
      </w:r>
      <w:r w:rsidRPr="00CD0E79">
        <w:rPr>
          <w:lang w:val="en-GB"/>
        </w:rPr>
        <w:t xml:space="preserve">market (including both domestic and </w:t>
      </w:r>
      <w:r w:rsidR="00413253" w:rsidRPr="00CD0E79">
        <w:rPr>
          <w:lang w:val="en-GB"/>
        </w:rPr>
        <w:t xml:space="preserve">foreign </w:t>
      </w:r>
      <w:r w:rsidRPr="00CD0E79">
        <w:rPr>
          <w:lang w:val="en-GB"/>
        </w:rPr>
        <w:t>brands)</w:t>
      </w:r>
      <w:bookmarkEnd w:id="2"/>
      <w:bookmarkEnd w:id="3"/>
      <w:r w:rsidRPr="00CD0E79">
        <w:rPr>
          <w:lang w:val="en-GB"/>
        </w:rPr>
        <w:t>. The company earned revenue of ¥3,724.4 million</w:t>
      </w:r>
      <w:r w:rsidR="00763E20" w:rsidRPr="00CD0E79">
        <w:rPr>
          <w:rStyle w:val="EndnoteReference"/>
          <w:lang w:val="en-GB"/>
        </w:rPr>
        <w:endnoteReference w:id="1"/>
      </w:r>
      <w:r w:rsidR="00763E20" w:rsidRPr="00CD0E79">
        <w:rPr>
          <w:lang w:val="en-GB"/>
        </w:rPr>
        <w:t xml:space="preserve"> with a profit of ¥406.2 million (see Exhibit 1). It mainly manufactured infant formula but also produced adult milk powders, liquid milk, and soybean powders. It provided milk powder formulated from fresh milk for infants and children under six years old. In addition to producing cow milk infant formula, Feihe was exploring the market for goat milk infant </w:t>
      </w:r>
      <w:r w:rsidR="00763E20" w:rsidRPr="00CD0E79">
        <w:rPr>
          <w:lang w:val="en-GB"/>
        </w:rPr>
        <w:lastRenderedPageBreak/>
        <w:t>formula. Feihe’s principal products were high-end and regular infant formulas. Its high-end products included the award-winning Astrobaby premium infant formula. In 2017, Astrobaby won, for the third consecutive year, the International High Quality Trophy from Monde Selection in Belgium</w:t>
      </w:r>
      <w:r w:rsidR="00CD0E79">
        <w:rPr>
          <w:lang w:val="en-GB"/>
        </w:rPr>
        <w:t>,</w:t>
      </w:r>
      <w:r w:rsidR="00763E20" w:rsidRPr="00CD0E79">
        <w:rPr>
          <w:lang w:val="en-GB"/>
        </w:rPr>
        <w:t xml:space="preserve"> which served as an endorsement of Feihe’s product safety and premium quality.</w:t>
      </w:r>
      <w:r w:rsidR="00763E20" w:rsidRPr="00CD0E79">
        <w:rPr>
          <w:rStyle w:val="EndnoteReference"/>
          <w:lang w:val="en-GB"/>
        </w:rPr>
        <w:endnoteReference w:id="2"/>
      </w:r>
      <w:r w:rsidR="00763E20" w:rsidRPr="00CD0E79">
        <w:rPr>
          <w:lang w:val="en-GB"/>
        </w:rPr>
        <w:t xml:space="preserve"> More importantly, Feihe’s high-end products were very profitable. For 2014, 2015, and 2016, Feihe’s overall gross profit margin was 47.8 per cent, 55.3 per cent, and 54.6 per cent, respectively; and the gross profit margin for the high-end products was 60.2 per cent, 68.5 per cent, and 68.9 per cent, respectively.</w:t>
      </w:r>
    </w:p>
    <w:p w14:paraId="0BC5AEAD" w14:textId="77777777" w:rsidR="00763E20" w:rsidRPr="00CD0E79" w:rsidRDefault="00763E20" w:rsidP="0071309E">
      <w:pPr>
        <w:pStyle w:val="BodyTextMain"/>
        <w:rPr>
          <w:lang w:val="en-GB"/>
        </w:rPr>
      </w:pPr>
    </w:p>
    <w:p w14:paraId="7CD5CE8C" w14:textId="2E48E5B4" w:rsidR="00763E20" w:rsidRPr="00CD0E79" w:rsidRDefault="00763E20" w:rsidP="0071309E">
      <w:pPr>
        <w:pStyle w:val="BodyTextMain"/>
        <w:rPr>
          <w:lang w:val="en-GB"/>
        </w:rPr>
      </w:pPr>
      <w:r w:rsidRPr="00CD0E79">
        <w:rPr>
          <w:lang w:val="en-GB"/>
        </w:rPr>
        <w:t>The success of Feihe in China depended on its clear positioning in the market. Feihe had hired Junzhi</w:t>
      </w:r>
      <w:r w:rsidR="002F13AB">
        <w:rPr>
          <w:lang w:val="en-GB"/>
        </w:rPr>
        <w:t xml:space="preserve"> C</w:t>
      </w:r>
      <w:r w:rsidRPr="00CD0E79">
        <w:rPr>
          <w:lang w:val="en-GB"/>
        </w:rPr>
        <w:t>onsulting to clarify its strategies as “producing the milk powder that is more suitable for Chinese babies.”</w:t>
      </w:r>
      <w:r w:rsidRPr="00CD0E79">
        <w:rPr>
          <w:rStyle w:val="EndnoteReference"/>
          <w:lang w:val="en-GB"/>
        </w:rPr>
        <w:endnoteReference w:id="3"/>
      </w:r>
      <w:r w:rsidRPr="00CD0E79">
        <w:rPr>
          <w:lang w:val="en-GB"/>
        </w:rPr>
        <w:t xml:space="preserve"> More specifically, it aimed to be “standing at the top of the industry to avoid the price war, winning the consumers’ faith with the rise of brand strength, and building competitiveness by focusing on resource acquisitions and corporate strengths development.”</w:t>
      </w:r>
      <w:r w:rsidRPr="00CD0E79">
        <w:rPr>
          <w:rStyle w:val="EndnoteReference"/>
          <w:lang w:val="en-GB"/>
        </w:rPr>
        <w:endnoteReference w:id="4"/>
      </w:r>
    </w:p>
    <w:p w14:paraId="6F975EF8" w14:textId="77777777" w:rsidR="00763E20" w:rsidRPr="00CD0E79" w:rsidRDefault="00763E20" w:rsidP="0071309E">
      <w:pPr>
        <w:pStyle w:val="BodyTextMain"/>
        <w:rPr>
          <w:lang w:val="en-GB"/>
        </w:rPr>
      </w:pPr>
    </w:p>
    <w:p w14:paraId="3161C7FF" w14:textId="3DA0EE20" w:rsidR="00763E20" w:rsidRPr="00CD0E79" w:rsidRDefault="00763E20" w:rsidP="0071309E">
      <w:pPr>
        <w:pStyle w:val="BodyTextMain"/>
        <w:rPr>
          <w:lang w:val="en-GB"/>
        </w:rPr>
      </w:pPr>
      <w:r w:rsidRPr="00CD0E79">
        <w:rPr>
          <w:lang w:val="en-GB"/>
        </w:rPr>
        <w:t>Aligned with the strategic positioning, Feihe successfully managed its supply chain. The infant formula industry had a long value chain, and the price and quality of the raw materials were two primary factors that affected the operation of dairy enterprises.</w:t>
      </w:r>
      <w:r w:rsidRPr="00CD0E79">
        <w:rPr>
          <w:color w:val="FF0000"/>
          <w:lang w:val="en-GB"/>
        </w:rPr>
        <w:t xml:space="preserve"> </w:t>
      </w:r>
      <w:r w:rsidRPr="00CD0E79">
        <w:rPr>
          <w:lang w:val="en-GB"/>
        </w:rPr>
        <w:t>Feihe’s supply chain gave it control over the entire production process, including choosing the raw materials, implementing its unique processing technology, enforcing its strict inspection system, and accessing diversified suppliers.</w:t>
      </w:r>
    </w:p>
    <w:p w14:paraId="6DD7F06C" w14:textId="77777777" w:rsidR="00763E20" w:rsidRPr="00CD0E79" w:rsidRDefault="00763E20" w:rsidP="0071309E">
      <w:pPr>
        <w:pStyle w:val="BodyTextMain"/>
        <w:rPr>
          <w:lang w:val="en-GB"/>
        </w:rPr>
      </w:pPr>
    </w:p>
    <w:p w14:paraId="0F425FAD" w14:textId="6ED1E179" w:rsidR="00763E20" w:rsidRPr="00CD0E79" w:rsidRDefault="00763E20" w:rsidP="0071309E">
      <w:pPr>
        <w:pStyle w:val="BodyTextMain"/>
        <w:rPr>
          <w:lang w:val="en-GB"/>
        </w:rPr>
      </w:pPr>
      <w:r w:rsidRPr="00CD0E79">
        <w:rPr>
          <w:lang w:val="en-GB"/>
        </w:rPr>
        <w:t xml:space="preserve">As for the choosing of raw materials, Feihe differentiated itself from most domestic brands by using fresh milk as the main ingredient in all its infant formula products. Depending on individual brands’ strategies, both milk powder and fresh milk could be used as raw materials for producing infant formulas; however, many Chinese customers believed that using fresh milk maintained the most nutrients in infant formula. </w:t>
      </w:r>
    </w:p>
    <w:p w14:paraId="01735FC9" w14:textId="77777777" w:rsidR="00763E20" w:rsidRPr="00CD0E79" w:rsidRDefault="00763E20" w:rsidP="0071309E">
      <w:pPr>
        <w:pStyle w:val="BodyTextMain"/>
        <w:rPr>
          <w:lang w:val="en-GB"/>
        </w:rPr>
      </w:pPr>
    </w:p>
    <w:p w14:paraId="005D21C1" w14:textId="7A6033CD" w:rsidR="00763E20" w:rsidRPr="00CD0E79" w:rsidRDefault="00763E20" w:rsidP="0071309E">
      <w:pPr>
        <w:pStyle w:val="BodyTextMain"/>
        <w:rPr>
          <w:lang w:val="en-GB"/>
        </w:rPr>
      </w:pPr>
      <w:r w:rsidRPr="00CD0E79">
        <w:rPr>
          <w:lang w:val="en-GB"/>
        </w:rPr>
        <w:t>Complementary to the use of fresh milk, Feihe exclusively used the wet blending–spray drying process to manufacture its infant formula products. Compared with a dry blending process, the resulting products were more water-soluble, the nutrients were more uniformly distributed throughout each batch, and the powder particle size and colour were more consistent. In 2016, Feihe’s fresh milk procurement costs amounted to ¥569.9 million, 33.7 per cent of the sales revenue. To ensure freshness and timely delivery, Feihe had spent 10 years building a vertical supply chain that included the cultivation of cattle feed, large-scale dairy farming, production and processing, logistics warehousing, channel control, and after-sales service. The major farms in Feihe’s supply chain were along the 47th parallel north, which the dairy industry regarded as the “world gold milk source” because of its climate conditions and natural environment.</w:t>
      </w:r>
      <w:r w:rsidRPr="00CD0E79">
        <w:rPr>
          <w:rStyle w:val="EndnoteReference"/>
          <w:lang w:val="en-GB"/>
        </w:rPr>
        <w:endnoteReference w:id="5"/>
      </w:r>
    </w:p>
    <w:p w14:paraId="422E4E87" w14:textId="77777777" w:rsidR="00763E20" w:rsidRPr="00CD0E79" w:rsidRDefault="00763E20" w:rsidP="0071309E">
      <w:pPr>
        <w:pStyle w:val="BodyTextMain"/>
        <w:rPr>
          <w:lang w:val="en-GB"/>
        </w:rPr>
      </w:pPr>
    </w:p>
    <w:p w14:paraId="0FE49B8B" w14:textId="04159AE5" w:rsidR="00763E20" w:rsidRPr="00CD0E79" w:rsidRDefault="00763E20" w:rsidP="0071309E">
      <w:pPr>
        <w:pStyle w:val="BodyTextMain"/>
        <w:rPr>
          <w:lang w:val="en-GB"/>
        </w:rPr>
      </w:pPr>
      <w:r w:rsidRPr="00CD0E79">
        <w:rPr>
          <w:lang w:val="en-GB"/>
        </w:rPr>
        <w:t>Feihe ensured the quality of its raw materials through an overall quality control system comprising 25 comprehensive procedures and more than 300 checkpoints, from the inspection of feed in the whole production process to the delivery of finished products. The company designed highly automated production lines and procured advanced equipment and machinery to decrease risks of both contamination and human error</w:t>
      </w:r>
      <w:r w:rsidR="00486390">
        <w:rPr>
          <w:lang w:val="en-GB"/>
        </w:rPr>
        <w:t>,</w:t>
      </w:r>
      <w:r w:rsidRPr="00CD0E79">
        <w:rPr>
          <w:lang w:val="en-GB"/>
        </w:rPr>
        <w:t xml:space="preserve"> while increasing production.</w:t>
      </w:r>
    </w:p>
    <w:p w14:paraId="058766D7" w14:textId="77777777" w:rsidR="00763E20" w:rsidRPr="00CD0E79" w:rsidRDefault="00763E20" w:rsidP="0071309E">
      <w:pPr>
        <w:pStyle w:val="BodyTextMain"/>
        <w:rPr>
          <w:lang w:val="en-GB"/>
        </w:rPr>
      </w:pPr>
    </w:p>
    <w:p w14:paraId="502FE057" w14:textId="230D6A8F" w:rsidR="00763E20" w:rsidRPr="00CD0E79" w:rsidRDefault="00763E20" w:rsidP="0071309E">
      <w:pPr>
        <w:pStyle w:val="BodyTextMain"/>
        <w:rPr>
          <w:lang w:val="en-GB"/>
        </w:rPr>
      </w:pPr>
      <w:r w:rsidRPr="00CD0E79">
        <w:rPr>
          <w:lang w:val="en-GB"/>
        </w:rPr>
        <w:t xml:space="preserve">The company’s main suppliers were dairy farms close to Feihe’s production facilities, which was aligned with the Chinese government policies to support the local, smaller-scale milk suppliers. Its exclusive suppliers included internationally accredited farms in Gannan and Kedong, which housed approximately 45,900 Australian Holstein cows. The largest supplier was YST Dairy Farm Ltd. (YST) in Heilongjiang Province. In 2016, fresh milk purchased from YST accounted for 80.1 per cent of the company’s total procurement cost, at a cost of ¥456.4 million. Although Feihe had 25 other raw material suppliers, its business and operations were highly dependent on fresh milk from YST. Besides fresh milk, Feihe also procured a variety of other ingredients for its infant formula production, such as whey protein powder and </w:t>
      </w:r>
      <w:r w:rsidRPr="00CD0E79">
        <w:rPr>
          <w:lang w:val="en-GB"/>
        </w:rPr>
        <w:lastRenderedPageBreak/>
        <w:t>non-fat milk powder, which were generally procured from domestic trading companies and international suppliers, including powder manufacturers in Australia and New Zealand. Feihe also had its own milk collection stations, production facilities, and an extensive distribution network throughout China. Thus, the majority of Feihe’s production facilities were within a 30-minute drive of the milk suppliers, which enabled the company to process milk quickly to ensure freshness and better quality.</w:t>
      </w:r>
    </w:p>
    <w:p w14:paraId="23954057" w14:textId="77777777" w:rsidR="00763E20" w:rsidRPr="00CD0E79" w:rsidRDefault="00763E20" w:rsidP="0071309E">
      <w:pPr>
        <w:pStyle w:val="BodyTextMain"/>
        <w:rPr>
          <w:lang w:val="en-GB"/>
        </w:rPr>
      </w:pPr>
    </w:p>
    <w:p w14:paraId="57BE3E54" w14:textId="0E8B6589" w:rsidR="00763E20" w:rsidRPr="00CD0E79" w:rsidRDefault="00763E20" w:rsidP="0071309E">
      <w:pPr>
        <w:pStyle w:val="BodyTextMain"/>
        <w:rPr>
          <w:spacing w:val="-2"/>
          <w:lang w:val="en-GB"/>
        </w:rPr>
      </w:pPr>
      <w:r w:rsidRPr="00CD0E79">
        <w:rPr>
          <w:spacing w:val="-2"/>
          <w:lang w:val="en-GB"/>
        </w:rPr>
        <w:t>Feihe’s diversification of suppliers ensured the stability of raw materials sourcing. However, due to increasing costs of land, water, and labour resources, the overall costs of feed and fodder were rising in China.</w:t>
      </w:r>
      <w:r w:rsidRPr="00CD0E79">
        <w:rPr>
          <w:rStyle w:val="EndnoteReference"/>
          <w:spacing w:val="-2"/>
          <w:lang w:val="en-GB"/>
        </w:rPr>
        <w:endnoteReference w:id="6"/>
      </w:r>
      <w:r w:rsidRPr="00CD0E79">
        <w:rPr>
          <w:spacing w:val="-2"/>
          <w:lang w:val="en-GB"/>
        </w:rPr>
        <w:t xml:space="preserve"> Thus, upstream processors such as Feihe suffered from the high costs and price volatility of raw materials.</w:t>
      </w:r>
    </w:p>
    <w:p w14:paraId="386A0EEF" w14:textId="6F4B5C42" w:rsidR="00763E20" w:rsidRPr="00CD0E79" w:rsidRDefault="00763E20" w:rsidP="0071309E">
      <w:pPr>
        <w:pStyle w:val="BodyTextMain"/>
        <w:rPr>
          <w:lang w:val="en-GB"/>
        </w:rPr>
      </w:pPr>
    </w:p>
    <w:p w14:paraId="2FD2004E" w14:textId="0A4C2982" w:rsidR="00763E20" w:rsidRPr="00CD0E79" w:rsidRDefault="00763E20" w:rsidP="0071309E">
      <w:pPr>
        <w:pStyle w:val="BodyTextMain"/>
        <w:rPr>
          <w:lang w:val="en-GB"/>
        </w:rPr>
      </w:pPr>
    </w:p>
    <w:p w14:paraId="57CBA84F" w14:textId="77777777" w:rsidR="00763E20" w:rsidRPr="00CD0E79" w:rsidRDefault="00763E20" w:rsidP="0071309E">
      <w:pPr>
        <w:pStyle w:val="Casehead1"/>
        <w:rPr>
          <w:rFonts w:eastAsiaTheme="minorEastAsia"/>
          <w:lang w:val="en-GB" w:eastAsia="zh-CN"/>
        </w:rPr>
      </w:pPr>
      <w:r w:rsidRPr="00CD0E79">
        <w:rPr>
          <w:rFonts w:eastAsiaTheme="minorEastAsia"/>
          <w:lang w:val="en-GB" w:eastAsia="zh-CN"/>
        </w:rPr>
        <w:t>The Chinese</w:t>
      </w:r>
      <w:r w:rsidRPr="00CD0E79">
        <w:rPr>
          <w:lang w:val="en-GB"/>
        </w:rPr>
        <w:t xml:space="preserve"> Dairy Sector</w:t>
      </w:r>
    </w:p>
    <w:p w14:paraId="3B04D576" w14:textId="77777777" w:rsidR="00763E20" w:rsidRPr="00CD0E79" w:rsidRDefault="00763E20" w:rsidP="0071309E">
      <w:pPr>
        <w:pStyle w:val="BodyTextMain"/>
        <w:rPr>
          <w:lang w:val="en-GB"/>
        </w:rPr>
      </w:pPr>
    </w:p>
    <w:p w14:paraId="437DE5E3" w14:textId="641B78F7" w:rsidR="00763E20" w:rsidRPr="00FB6D53" w:rsidRDefault="00763E20" w:rsidP="0071309E">
      <w:pPr>
        <w:pStyle w:val="BodyTextMain"/>
        <w:rPr>
          <w:rFonts w:eastAsiaTheme="minorEastAsia"/>
          <w:lang w:val="en-GB" w:eastAsia="zh-CN"/>
        </w:rPr>
      </w:pPr>
      <w:r w:rsidRPr="00CD0E79">
        <w:rPr>
          <w:lang w:val="en-GB"/>
        </w:rPr>
        <w:t>In 2008, a milk scandal had seriously damaged the Chinese infant formula sector. During this food safety incident, dairy products, including infant formula and other food products from China, were adulterated with melamine, which killed six infants and sickened 300,000 others. Although Feihe was not one of the brands involved, this scandal damaged the whole domestic dairy industry by eroding consumers’ trust in Chinese domestic dairy brands.</w:t>
      </w:r>
      <w:r w:rsidR="00723789">
        <w:rPr>
          <w:rStyle w:val="EndnoteReference"/>
          <w:lang w:val="en-GB"/>
        </w:rPr>
        <w:endnoteReference w:id="7"/>
      </w:r>
    </w:p>
    <w:p w14:paraId="2B0B8CAA" w14:textId="77777777" w:rsidR="00763E20" w:rsidRPr="00CD0E79" w:rsidRDefault="00763E20" w:rsidP="0071309E">
      <w:pPr>
        <w:pStyle w:val="BodyTextMain"/>
        <w:rPr>
          <w:lang w:val="en-GB"/>
        </w:rPr>
      </w:pPr>
    </w:p>
    <w:p w14:paraId="4FE8FD05" w14:textId="1656672C" w:rsidR="00763E20" w:rsidRPr="00535F49" w:rsidRDefault="00763E20" w:rsidP="0071309E">
      <w:pPr>
        <w:pStyle w:val="BodyTextMain"/>
        <w:rPr>
          <w:spacing w:val="-2"/>
          <w:lang w:val="en-GB"/>
        </w:rPr>
      </w:pPr>
      <w:r w:rsidRPr="00535F49">
        <w:rPr>
          <w:spacing w:val="-2"/>
          <w:lang w:val="en-GB"/>
        </w:rPr>
        <w:t>After 2008, the Chinese dairy sector had stepped into a reforming stage, when more and more domestic and foreign brands were emerging. The domestic dairy companies continuously optimized their management systems, improved food quality, and participated in global competition. Although the safety issues of domestic dairy products were eliminated, consumers’ safety concerns and trust were still the biggest challenges to the recovery of the industry. Due to the loss of consumers’ trust in domestic dairy products, China became a net importer of dairy products, and the trade deficit in this sector increased each year. China’s percentage of imported dairy products increased from 5.2 per cent in 2008, to 13.3 per cent in 2010 and 27.0 per cent in 2014. In 2016, China</w:t>
      </w:r>
      <w:r w:rsidR="00D3796F" w:rsidRPr="00535F49">
        <w:rPr>
          <w:spacing w:val="-2"/>
          <w:lang w:val="en-GB"/>
        </w:rPr>
        <w:t>’</w:t>
      </w:r>
      <w:r w:rsidRPr="00535F49">
        <w:rPr>
          <w:spacing w:val="-2"/>
          <w:lang w:val="en-GB"/>
        </w:rPr>
        <w:t>s main dairy imports were milk powder products, mostly from New Zealand but also from Australia, the United States, France, Germany, and Canada (see Exhibit 2). From 2008 to 2017, China’s imports of dairy products and infant formula had increased 3.62 times and 3.80 times, respectively.</w:t>
      </w:r>
      <w:r w:rsidRPr="00535F49">
        <w:rPr>
          <w:rStyle w:val="EndnoteReference"/>
          <w:spacing w:val="-2"/>
          <w:lang w:val="en-GB"/>
        </w:rPr>
        <w:endnoteReference w:id="8"/>
      </w:r>
      <w:r w:rsidRPr="00535F49">
        <w:rPr>
          <w:spacing w:val="-2"/>
          <w:lang w:val="en-GB"/>
        </w:rPr>
        <w:t xml:space="preserve"> </w:t>
      </w:r>
    </w:p>
    <w:p w14:paraId="69BB8CB5" w14:textId="77777777" w:rsidR="00763E20" w:rsidRPr="00CD0E79" w:rsidRDefault="00763E20" w:rsidP="0071309E">
      <w:pPr>
        <w:pStyle w:val="BodyTextMain"/>
        <w:rPr>
          <w:lang w:val="en-GB"/>
        </w:rPr>
      </w:pPr>
    </w:p>
    <w:p w14:paraId="383F9490" w14:textId="0D024D98" w:rsidR="00763E20" w:rsidRPr="00CD0E79" w:rsidRDefault="00763E20" w:rsidP="0071309E">
      <w:pPr>
        <w:pStyle w:val="BodyTextMain"/>
        <w:rPr>
          <w:lang w:val="en-GB"/>
        </w:rPr>
      </w:pPr>
      <w:r w:rsidRPr="00CD0E79">
        <w:rPr>
          <w:lang w:val="en-GB"/>
        </w:rPr>
        <w:t>The Chinese dairy sector failed to quickly recover from the scandal not only because of safety concerns but also for three other reasons. First, the production costs of domestic milk powder were higher than the production costs for imported milk powder due to China’s limitations in terms of agricultural land, clean water, and cattle resources. At the same time, the price of the dutiable imported dairy products was significantly lower than the price of domestic dairy products.</w:t>
      </w:r>
      <w:r w:rsidRPr="00CD0E79">
        <w:rPr>
          <w:rStyle w:val="EndnoteReference"/>
          <w:lang w:val="en-GB"/>
        </w:rPr>
        <w:endnoteReference w:id="9"/>
      </w:r>
      <w:r w:rsidRPr="00CD0E79">
        <w:rPr>
          <w:lang w:val="en-GB"/>
        </w:rPr>
        <w:t xml:space="preserve"> Second, Chinese consumers’ purchasing habits were being shaped by an e-commerce boom in China, resulting in more online sales and cross-border purchases, which enabled foreign infant formula to pour into the domestic market.</w:t>
      </w:r>
      <w:r w:rsidRPr="00CD0E79">
        <w:rPr>
          <w:rStyle w:val="EndnoteReference"/>
          <w:lang w:val="en-GB"/>
        </w:rPr>
        <w:endnoteReference w:id="10"/>
      </w:r>
      <w:r w:rsidRPr="00CD0E79">
        <w:rPr>
          <w:lang w:val="en-GB"/>
        </w:rPr>
        <w:t xml:space="preserve"> Finally, to satisfy consumers and obtain high profits, some manufacturers chose to register their brands overseas but produce domestically, or to label their products “imported with original packaging,” or “100% foreign milk source,” which contributed to a disorderly and competitive marketing environment.</w:t>
      </w:r>
      <w:r w:rsidRPr="00CD0E79">
        <w:rPr>
          <w:rStyle w:val="EndnoteReference"/>
          <w:lang w:val="en-GB"/>
        </w:rPr>
        <w:endnoteReference w:id="11"/>
      </w:r>
    </w:p>
    <w:p w14:paraId="5B11EA92" w14:textId="77777777" w:rsidR="00763E20" w:rsidRPr="00CD0E79" w:rsidRDefault="00763E20" w:rsidP="0071309E">
      <w:pPr>
        <w:pStyle w:val="BodyTextMain"/>
        <w:rPr>
          <w:lang w:val="en-GB"/>
        </w:rPr>
      </w:pPr>
    </w:p>
    <w:p w14:paraId="7A3339CA" w14:textId="5CA15A13" w:rsidR="00763E20" w:rsidRPr="00CD0E79" w:rsidRDefault="00763E20" w:rsidP="0071309E">
      <w:pPr>
        <w:pStyle w:val="BodyTextMain"/>
        <w:rPr>
          <w:lang w:val="en-GB"/>
        </w:rPr>
      </w:pPr>
      <w:r w:rsidRPr="00CD0E79">
        <w:rPr>
          <w:lang w:val="en-GB"/>
        </w:rPr>
        <w:t>However, domestic producers also had opportunities. First, with the relaxing of the one-child policy, the demand for infant formula was increasing. According to AskCI Consulting Co., Ltd., the retail sales value of the infant formula market increased from ¥63.7 billion in 2012 to ¥84.4 billion in 2016, and its sales volume increased from 375,000 tonnes in 2012 to 465,800 tonnes in 2016.</w:t>
      </w:r>
      <w:r w:rsidRPr="00CD0E79">
        <w:rPr>
          <w:rStyle w:val="EndnoteReference"/>
          <w:lang w:val="en-GB"/>
        </w:rPr>
        <w:endnoteReference w:id="12"/>
      </w:r>
      <w:r w:rsidRPr="00CD0E79">
        <w:rPr>
          <w:lang w:val="en-GB"/>
        </w:rPr>
        <w:t xml:space="preserve"> </w:t>
      </w:r>
      <w:bookmarkStart w:id="4" w:name="OLE_LINK21"/>
      <w:bookmarkStart w:id="5" w:name="OLE_LINK22"/>
      <w:r w:rsidRPr="00CD0E79">
        <w:rPr>
          <w:lang w:val="en-GB"/>
        </w:rPr>
        <w:t>Observers estimated that the market growth would continue as a result of the government supports for the dairy sector, increasing industry concentration, and the implementation of the universal two-child policy.</w:t>
      </w:r>
      <w:bookmarkEnd w:id="4"/>
      <w:bookmarkEnd w:id="5"/>
      <w:r w:rsidRPr="00CD0E79">
        <w:rPr>
          <w:rStyle w:val="EndnoteReference"/>
          <w:lang w:val="en-GB"/>
        </w:rPr>
        <w:endnoteReference w:id="13"/>
      </w:r>
    </w:p>
    <w:p w14:paraId="026995BC" w14:textId="77777777" w:rsidR="00535F49" w:rsidRDefault="00535F49" w:rsidP="0071309E">
      <w:pPr>
        <w:pStyle w:val="BodyTextMain"/>
        <w:rPr>
          <w:lang w:val="en-GB"/>
        </w:rPr>
      </w:pPr>
    </w:p>
    <w:p w14:paraId="1A3D06A7" w14:textId="2685BB67" w:rsidR="00763E20" w:rsidRPr="00CD0E79" w:rsidRDefault="00763E20" w:rsidP="0071309E">
      <w:pPr>
        <w:pStyle w:val="BodyTextMain"/>
        <w:rPr>
          <w:lang w:val="en-GB"/>
        </w:rPr>
      </w:pPr>
      <w:r w:rsidRPr="00CD0E79">
        <w:rPr>
          <w:lang w:val="en-GB"/>
        </w:rPr>
        <w:lastRenderedPageBreak/>
        <w:t>Second, the demand for goat milk infant formula was increasing in China. One reason was that some Chinese infants suffered from lactose intolerance or other cow protein allergies so that the parents preferred to source goat milk powder for their babies. These parents were willing to pay a premium price for goat milk infant formula.</w:t>
      </w:r>
      <w:r w:rsidRPr="00CD0E79">
        <w:rPr>
          <w:rStyle w:val="EndnoteReference"/>
          <w:lang w:val="en-GB"/>
        </w:rPr>
        <w:endnoteReference w:id="14"/>
      </w:r>
      <w:r w:rsidRPr="00CD0E79">
        <w:rPr>
          <w:lang w:val="en-GB"/>
        </w:rPr>
        <w:t xml:space="preserve"> Many domestic infant formula milk producers, including Feihe, were trying to develop their goat milk production lines after 2013, and some industry experts estimated that goat milk infant formula would be the next high-end star product in the Chinese infant formula industry.</w:t>
      </w:r>
      <w:r w:rsidRPr="00CD0E79">
        <w:rPr>
          <w:rStyle w:val="EndnoteReference"/>
          <w:lang w:val="en-GB"/>
        </w:rPr>
        <w:endnoteReference w:id="15"/>
      </w:r>
    </w:p>
    <w:p w14:paraId="1075BD59" w14:textId="77777777" w:rsidR="00763E20" w:rsidRPr="00CD0E79" w:rsidRDefault="00763E20" w:rsidP="0071309E">
      <w:pPr>
        <w:pStyle w:val="BodyTextMain"/>
        <w:rPr>
          <w:lang w:val="en-GB"/>
        </w:rPr>
      </w:pPr>
    </w:p>
    <w:p w14:paraId="3234E958" w14:textId="4C873080" w:rsidR="00763E20" w:rsidRPr="00CD0E79" w:rsidRDefault="00763E20" w:rsidP="0071309E">
      <w:pPr>
        <w:pStyle w:val="BodyTextMain"/>
        <w:rPr>
          <w:lang w:val="en-GB"/>
        </w:rPr>
      </w:pPr>
      <w:r w:rsidRPr="00CD0E79">
        <w:rPr>
          <w:lang w:val="en-GB"/>
        </w:rPr>
        <w:t>Third, in 2016, China announced a new regulation that required all infant formula manufacturers to register the ingredients in their brands before selling in China.</w:t>
      </w:r>
      <w:r w:rsidRPr="00CD0E79">
        <w:rPr>
          <w:rStyle w:val="EndnoteReference"/>
          <w:lang w:val="en-GB"/>
        </w:rPr>
        <w:endnoteReference w:id="16"/>
      </w:r>
      <w:r w:rsidRPr="00CD0E79">
        <w:rPr>
          <w:lang w:val="en-GB"/>
        </w:rPr>
        <w:t xml:space="preserve"> The regulation aimed to increase the market concentration of the infant formula market, and would likely drive some small brands out of the market, while the major domestic dairy companies would benefit from this new policy. </w:t>
      </w:r>
    </w:p>
    <w:p w14:paraId="0FEDB06A" w14:textId="77777777" w:rsidR="00763E20" w:rsidRPr="00CD0E79" w:rsidRDefault="00763E20" w:rsidP="0071309E">
      <w:pPr>
        <w:pStyle w:val="BodyTextMain"/>
        <w:rPr>
          <w:lang w:val="en-GB"/>
        </w:rPr>
      </w:pPr>
    </w:p>
    <w:p w14:paraId="32E8A30C" w14:textId="605B5855" w:rsidR="00763E20" w:rsidRPr="00D30F34" w:rsidRDefault="00763E20" w:rsidP="0071309E">
      <w:pPr>
        <w:pStyle w:val="BodyTextMain"/>
        <w:rPr>
          <w:spacing w:val="-2"/>
          <w:lang w:val="en-GB"/>
        </w:rPr>
      </w:pPr>
      <w:r w:rsidRPr="00D30F34">
        <w:rPr>
          <w:spacing w:val="-2"/>
          <w:lang w:val="en-GB"/>
        </w:rPr>
        <w:t>Fourth, supported by the Chinese government, the dairy sector had entered into a period of rapid revolution after 2008, with massive mergers and acquisitions and internationalization. The leading domestic dairy enterprises began to invest in farms and plants and to collaborate with strategic partners overseas. Through this internationalizing approach, domestic firms introduced high-quality foreign milk products into China to meet domestic consumer demand and improve their brands’ reputations and competitiveness. Internationalization strategies became an important part of the Chinese dairy sector’s market expansion.</w:t>
      </w:r>
    </w:p>
    <w:p w14:paraId="21C3C12D" w14:textId="77777777" w:rsidR="00763E20" w:rsidRPr="00CD0E79" w:rsidRDefault="00763E20" w:rsidP="0071309E">
      <w:pPr>
        <w:pStyle w:val="BodyTextMain"/>
        <w:rPr>
          <w:lang w:val="en-GB"/>
        </w:rPr>
      </w:pPr>
    </w:p>
    <w:p w14:paraId="6DD6AF91" w14:textId="7917C899" w:rsidR="00763E20" w:rsidRPr="00CD0E79" w:rsidRDefault="00763E20" w:rsidP="0071309E">
      <w:pPr>
        <w:pStyle w:val="BodyTextMain"/>
        <w:rPr>
          <w:lang w:val="en-GB"/>
        </w:rPr>
      </w:pPr>
    </w:p>
    <w:p w14:paraId="601A2DCF" w14:textId="77777777" w:rsidR="00763E20" w:rsidRPr="00CD0E79" w:rsidRDefault="00763E20" w:rsidP="0057660D">
      <w:pPr>
        <w:pStyle w:val="Casehead2"/>
        <w:keepNext/>
        <w:rPr>
          <w:lang w:val="en-GB"/>
        </w:rPr>
      </w:pPr>
      <w:r w:rsidRPr="00CD0E79">
        <w:rPr>
          <w:lang w:val="en-GB"/>
        </w:rPr>
        <w:t xml:space="preserve">The </w:t>
      </w:r>
      <w:r w:rsidRPr="00CD0E79">
        <w:rPr>
          <w:rFonts w:eastAsiaTheme="minorEastAsia"/>
          <w:lang w:val="en-GB" w:eastAsia="zh-CN"/>
        </w:rPr>
        <w:t>Internationalization</w:t>
      </w:r>
      <w:r w:rsidRPr="00CD0E79">
        <w:rPr>
          <w:lang w:val="en-GB"/>
        </w:rPr>
        <w:t xml:space="preserve"> of Chinese Infant Formula Companies</w:t>
      </w:r>
    </w:p>
    <w:p w14:paraId="675C39D6" w14:textId="77777777" w:rsidR="00763E20" w:rsidRPr="00CD0E79" w:rsidRDefault="00763E20" w:rsidP="0057660D">
      <w:pPr>
        <w:pStyle w:val="BodyTextMain"/>
        <w:keepNext/>
        <w:rPr>
          <w:lang w:val="en-GB"/>
        </w:rPr>
      </w:pPr>
    </w:p>
    <w:p w14:paraId="5823A633" w14:textId="3A80AC49" w:rsidR="00763E20" w:rsidRPr="00CD0E79" w:rsidRDefault="00763E20" w:rsidP="0057660D">
      <w:pPr>
        <w:pStyle w:val="BodyTextMain"/>
        <w:keepNext/>
        <w:rPr>
          <w:lang w:val="en-GB"/>
        </w:rPr>
      </w:pPr>
      <w:r w:rsidRPr="00CD0E79">
        <w:rPr>
          <w:lang w:val="en-GB"/>
        </w:rPr>
        <w:t>In 2016, China had a total of 103 infant formula companies, which produced approximately 725,700 tonnes of powdered infant formula.</w:t>
      </w:r>
      <w:r w:rsidRPr="00CD0E79">
        <w:rPr>
          <w:rStyle w:val="EndnoteReference"/>
          <w:lang w:val="en-GB"/>
        </w:rPr>
        <w:endnoteReference w:id="17"/>
      </w:r>
      <w:r w:rsidRPr="00CD0E79">
        <w:rPr>
          <w:lang w:val="en-GB"/>
        </w:rPr>
        <w:t xml:space="preserve"> Major domestic infant formula brands grew to 45.5 per cent of the Chinese infant formula market in 2016 from 41 per cent in 2012</w:t>
      </w:r>
      <w:r w:rsidR="00AB0C30">
        <w:rPr>
          <w:lang w:val="en-GB"/>
        </w:rPr>
        <w:t>,</w:t>
      </w:r>
      <w:r w:rsidRPr="00CD0E79">
        <w:rPr>
          <w:lang w:val="en-GB"/>
        </w:rPr>
        <w:t xml:space="preserve"> and were estimated to reach 48 per cent by 2021. The industry was dominated by 10 big players that together held a concentration ratio of almost 80 per cent. Among them, </w:t>
      </w:r>
      <w:r w:rsidR="001F1C69">
        <w:rPr>
          <w:lang w:val="en-GB"/>
        </w:rPr>
        <w:t>eight</w:t>
      </w:r>
      <w:r w:rsidRPr="00CD0E79">
        <w:rPr>
          <w:lang w:val="en-GB"/>
        </w:rPr>
        <w:t xml:space="preserve"> companies—Yili Inc.; Mengniu Dairy Co., Ltd.; Bright Dairy &amp; Food Co., Ltd.; Want China Holding Limited; Shijiazhuang Junlebao Dairy Co., Ltd.; Nestlé</w:t>
      </w:r>
      <w:r w:rsidRPr="00CD0E79">
        <w:rPr>
          <w:rFonts w:ascii="Arial" w:hAnsi="Arial" w:cs="Arial"/>
          <w:lang w:val="en-GB"/>
        </w:rPr>
        <w:t xml:space="preserve"> </w:t>
      </w:r>
      <w:r w:rsidRPr="00CD0E79">
        <w:rPr>
          <w:lang w:val="en-GB"/>
        </w:rPr>
        <w:t>China; Feihe Dairy</w:t>
      </w:r>
      <w:r w:rsidR="001F1C69">
        <w:rPr>
          <w:lang w:val="en-GB"/>
        </w:rPr>
        <w:t>;</w:t>
      </w:r>
      <w:r w:rsidRPr="00CD0E79">
        <w:rPr>
          <w:lang w:val="en-GB"/>
        </w:rPr>
        <w:t xml:space="preserve"> and Beijing Sanyuan Foods Co., Ltd.—accounted for 51 per cent of the infant formula market’s total production and 54 per cent of its sales (see Exhibit 3).</w:t>
      </w:r>
    </w:p>
    <w:p w14:paraId="7F1C87E5" w14:textId="77777777" w:rsidR="00763E20" w:rsidRPr="00CD0E79" w:rsidRDefault="00763E20" w:rsidP="0071309E">
      <w:pPr>
        <w:pStyle w:val="BodyTextMain"/>
        <w:rPr>
          <w:lang w:val="en-GB"/>
        </w:rPr>
      </w:pPr>
    </w:p>
    <w:p w14:paraId="6AABDC19" w14:textId="2B589B4F" w:rsidR="00763E20" w:rsidRPr="00CD0E79" w:rsidRDefault="00763E20" w:rsidP="0071309E">
      <w:pPr>
        <w:pStyle w:val="BodyTextMain"/>
        <w:rPr>
          <w:lang w:val="en-GB"/>
        </w:rPr>
      </w:pPr>
      <w:r w:rsidRPr="00CD0E79">
        <w:rPr>
          <w:lang w:val="en-GB"/>
        </w:rPr>
        <w:t xml:space="preserve">All </w:t>
      </w:r>
      <w:r w:rsidR="00D30F34">
        <w:rPr>
          <w:lang w:val="en-GB"/>
        </w:rPr>
        <w:t xml:space="preserve">of </w:t>
      </w:r>
      <w:r w:rsidRPr="00CD0E79">
        <w:rPr>
          <w:lang w:val="en-GB"/>
        </w:rPr>
        <w:t xml:space="preserve">these major Chinese dairy companies had started to expand overseas. Yili Industrial Group Co. Ltd. (Yili), from Inner Mongolia, which was one of the forerunners among the Chinese dairy enterprises, began internationalization in 2007 and accelerated the process after 2013 by seeking high-quality, low-cost destinations. Within two years, Yili had successfully established a global supply chain covering Europe, Asia, America, and Oceania. Yili’s production plant in Waimate, New Zealand, was the company’s flagship international innovation project. The plant was the world’s largest integrated dairy facility to date; it included research and development (R&amp;D), production, deep processing, packaging, and manufacturing facilities, and represented an investment of US$600 million—a new record for economic co-operation between China and New Zealand. </w:t>
      </w:r>
    </w:p>
    <w:p w14:paraId="1999A6E4" w14:textId="77777777" w:rsidR="00763E20" w:rsidRPr="00CD0E79" w:rsidRDefault="00763E20" w:rsidP="0071309E">
      <w:pPr>
        <w:pStyle w:val="BodyTextMain"/>
        <w:rPr>
          <w:lang w:val="en-GB"/>
        </w:rPr>
      </w:pPr>
      <w:bookmarkStart w:id="6" w:name="OLE_LINK56"/>
      <w:bookmarkStart w:id="7" w:name="OLE_LINK57"/>
    </w:p>
    <w:p w14:paraId="5E27A8A9" w14:textId="2B83359A" w:rsidR="00763E20" w:rsidRPr="00CD0E79" w:rsidRDefault="00763E20" w:rsidP="0071309E">
      <w:pPr>
        <w:pStyle w:val="BodyTextMain"/>
        <w:rPr>
          <w:lang w:val="en-GB"/>
        </w:rPr>
      </w:pPr>
      <w:r w:rsidRPr="00CD0E79">
        <w:rPr>
          <w:lang w:val="en-GB"/>
        </w:rPr>
        <w:t>China’s Mengniu Dairy Co., Ltd. (Mengniu), another leading dairy enterprise in China, moved relatively slow. In June 2013, it acquired Yashili International Holdings Ltd. for HK$12.4 billion,</w:t>
      </w:r>
      <w:r w:rsidRPr="00CD0E79">
        <w:rPr>
          <w:rStyle w:val="EndnoteReference"/>
          <w:lang w:val="en-GB"/>
        </w:rPr>
        <w:endnoteReference w:id="18"/>
      </w:r>
      <w:r w:rsidRPr="00CD0E79">
        <w:rPr>
          <w:lang w:val="en-GB"/>
        </w:rPr>
        <w:t xml:space="preserve"> obtaining two infant formula brands, Yashili and Scient. Yashili, a wholly owned subsidiary, expanded overseas as part of Mengniu’s internationalization strategy. Construction of Yashili’s New Zealand plant—a NZ$220 million</w:t>
      </w:r>
      <w:r w:rsidRPr="00CD0E79">
        <w:rPr>
          <w:rStyle w:val="EndnoteReference"/>
          <w:lang w:val="en-GB"/>
        </w:rPr>
        <w:endnoteReference w:id="19"/>
      </w:r>
      <w:r w:rsidRPr="00CD0E79">
        <w:rPr>
          <w:lang w:val="en-GB"/>
        </w:rPr>
        <w:t xml:space="preserve"> investment—began in July 2012. The plant was expected to have an annual output of approximately 47,174 tonnes of infant formula. In April 2017, Mengniu signed an agreement with several large farms in New Zealand to supply its Deluxe milk line; it aimed to develop a joint strategy that would include its supply chain and dairy processing.</w:t>
      </w:r>
      <w:r w:rsidRPr="00CD0E79">
        <w:rPr>
          <w:rStyle w:val="EndnoteReference"/>
          <w:lang w:val="en-GB"/>
        </w:rPr>
        <w:endnoteReference w:id="20"/>
      </w:r>
      <w:r w:rsidRPr="00CD0E79">
        <w:rPr>
          <w:lang w:val="en-GB"/>
        </w:rPr>
        <w:t xml:space="preserve"> Mengniu also entered into strategic co-operative </w:t>
      </w:r>
      <w:r w:rsidRPr="00CD0E79">
        <w:rPr>
          <w:lang w:val="en-GB"/>
        </w:rPr>
        <w:lastRenderedPageBreak/>
        <w:t>arrangements with several leading international dairy enterprises, including Arla Foods, based in De</w:t>
      </w:r>
      <w:r w:rsidR="002B6EE7">
        <w:rPr>
          <w:lang w:val="en-GB"/>
        </w:rPr>
        <w:t>n</w:t>
      </w:r>
      <w:r w:rsidRPr="00CD0E79">
        <w:rPr>
          <w:lang w:val="en-GB"/>
        </w:rPr>
        <w:t>mark, and Danone, based in France.</w:t>
      </w:r>
    </w:p>
    <w:bookmarkEnd w:id="6"/>
    <w:bookmarkEnd w:id="7"/>
    <w:p w14:paraId="5E805E38" w14:textId="77777777" w:rsidR="002B6EE7" w:rsidRDefault="002B6EE7" w:rsidP="0071309E">
      <w:pPr>
        <w:pStyle w:val="BodyTextMain"/>
        <w:rPr>
          <w:lang w:val="en-GB"/>
        </w:rPr>
      </w:pPr>
    </w:p>
    <w:p w14:paraId="327E45B8" w14:textId="63AC27D1" w:rsidR="00763E20" w:rsidRPr="00CD0E79" w:rsidRDefault="00763E20" w:rsidP="0071309E">
      <w:pPr>
        <w:pStyle w:val="BodyTextMain"/>
        <w:rPr>
          <w:lang w:val="en-GB"/>
        </w:rPr>
      </w:pPr>
      <w:r w:rsidRPr="00CD0E79">
        <w:rPr>
          <w:lang w:val="en-GB"/>
        </w:rPr>
        <w:t>The Biostime International Holdings Ltd. (Biostime), another major infant formula producer in China, had a long history of collaborating with French strategic partners in seeking milk resources. In 2013, Biostime and Isigny Sainte-Mère, a leading French dairy brand, signed an agreement to expand their infant formula production capacity. On June 12, 2015, the company’s French infant formula plant became operational through a €65 million investment;</w:t>
      </w:r>
      <w:r w:rsidRPr="00CD0E79">
        <w:rPr>
          <w:rStyle w:val="EndnoteReference"/>
          <w:lang w:val="en-GB"/>
        </w:rPr>
        <w:t xml:space="preserve"> </w:t>
      </w:r>
      <w:r w:rsidRPr="00CD0E79">
        <w:rPr>
          <w:lang w:val="en-GB"/>
        </w:rPr>
        <w:t>Biostime’s investment accounted for €20 million.</w:t>
      </w:r>
      <w:r w:rsidRPr="00CD0E79">
        <w:rPr>
          <w:rStyle w:val="EndnoteReference"/>
          <w:lang w:val="en-GB"/>
        </w:rPr>
        <w:endnoteReference w:id="21"/>
      </w:r>
      <w:r w:rsidRPr="00CD0E79">
        <w:rPr>
          <w:lang w:val="en-GB"/>
        </w:rPr>
        <w:t xml:space="preserve"> The 40,000-square-metre plant was designed to process approximately 45,359 tonnes of infant formula by 2018.</w:t>
      </w:r>
      <w:r w:rsidRPr="00CD0E79">
        <w:rPr>
          <w:rStyle w:val="EndnoteReference"/>
          <w:lang w:val="en-GB"/>
        </w:rPr>
        <w:endnoteReference w:id="22"/>
      </w:r>
      <w:r w:rsidRPr="00CD0E79">
        <w:rPr>
          <w:lang w:val="en-GB"/>
        </w:rPr>
        <w:t xml:space="preserve"> </w:t>
      </w:r>
    </w:p>
    <w:p w14:paraId="5244A984" w14:textId="77777777" w:rsidR="00763E20" w:rsidRPr="00CD0E79" w:rsidRDefault="00763E20" w:rsidP="0071309E">
      <w:pPr>
        <w:pStyle w:val="BodyTextMain"/>
        <w:rPr>
          <w:lang w:val="en-GB"/>
        </w:rPr>
      </w:pPr>
    </w:p>
    <w:p w14:paraId="31457405" w14:textId="4EE2954A" w:rsidR="00763E20" w:rsidRPr="00CD0E79" w:rsidRDefault="00763E20" w:rsidP="0071309E">
      <w:pPr>
        <w:pStyle w:val="BodyTextMain"/>
        <w:rPr>
          <w:lang w:val="en-GB"/>
        </w:rPr>
      </w:pPr>
      <w:r w:rsidRPr="00CD0E79">
        <w:rPr>
          <w:lang w:val="en-GB"/>
        </w:rPr>
        <w:t>Another Chinese leading infant formula producer, Beingmate Baby &amp; Child Food Co., Ltd. (Beingmate), invested ¥170 million to set up a subsidiary in Ireland in 2013 for R&amp;D, production, and sales of infant formula and related products. In 2015, Fonterra Brands (Australia) Pty. Ltd., the dairy giant from New Zealand, acquired Beingmate, which enabled Beingmate to acquire 51 per cent equity in Darnum, another processor under that group’s umbrella. The company thus formed an unincorporated joint venture with Fonterra and established an infant formula production plant in Victoria, Australia.</w:t>
      </w:r>
      <w:r w:rsidRPr="00CD0E79">
        <w:rPr>
          <w:rStyle w:val="EndnoteReference"/>
          <w:lang w:val="en-GB"/>
        </w:rPr>
        <w:endnoteReference w:id="23"/>
      </w:r>
    </w:p>
    <w:p w14:paraId="2F281BD9" w14:textId="77777777" w:rsidR="00763E20" w:rsidRPr="00CD0E79" w:rsidRDefault="00763E20" w:rsidP="0071309E">
      <w:pPr>
        <w:pStyle w:val="BodyTextMain"/>
        <w:rPr>
          <w:lang w:val="en-GB"/>
        </w:rPr>
      </w:pPr>
    </w:p>
    <w:p w14:paraId="5080A4EE" w14:textId="7DAB720B" w:rsidR="00763E20" w:rsidRPr="00CD0E79" w:rsidRDefault="00763E20" w:rsidP="0071309E">
      <w:pPr>
        <w:pStyle w:val="BodyTextMain"/>
        <w:rPr>
          <w:lang w:val="en-GB"/>
        </w:rPr>
      </w:pPr>
      <w:r w:rsidRPr="00CD0E79">
        <w:rPr>
          <w:lang w:val="en-GB"/>
        </w:rPr>
        <w:t>Acquisition was a widely used strategy in the Chinese dairy sector. Bright, a leading brand in southeast China with a 100-year history, divided its international acquisition and strategic alliance</w:t>
      </w:r>
      <w:r w:rsidRPr="00CD0E79" w:rsidDel="000A64CF">
        <w:rPr>
          <w:lang w:val="en-GB"/>
        </w:rPr>
        <w:t xml:space="preserve"> </w:t>
      </w:r>
      <w:r w:rsidRPr="00CD0E79">
        <w:rPr>
          <w:lang w:val="en-GB"/>
        </w:rPr>
        <w:t>strategy into three steps. First, it acquired 51 per cent of the New Zealand New Wright Dairy in August 2010, for NZ$82</w:t>
      </w:r>
      <w:r w:rsidR="002B6EE7">
        <w:rPr>
          <w:lang w:val="en-GB"/>
        </w:rPr>
        <w:t xml:space="preserve"> </w:t>
      </w:r>
      <w:r w:rsidRPr="00CD0E79">
        <w:rPr>
          <w:lang w:val="en-GB"/>
        </w:rPr>
        <w:t>million. Second, it started a strategic co-operation with the Australian Pactum Dairy Group in April 2014. Third, it acquired full control of Tnuva, the largest integrated food enterprise in Israel, in June 2015.</w:t>
      </w:r>
      <w:r w:rsidRPr="00CD0E79">
        <w:rPr>
          <w:rStyle w:val="EndnoteReference"/>
          <w:lang w:val="en-GB"/>
        </w:rPr>
        <w:endnoteReference w:id="24"/>
      </w:r>
      <w:r w:rsidRPr="00CD0E79">
        <w:rPr>
          <w:lang w:val="en-GB"/>
        </w:rPr>
        <w:t xml:space="preserve"> Another high-end brand, Ausnutria Dairy Corporation Ltd. (Ausnutria), used a similar strategy by acquiring 51 per cent equity in the Dutch company Hyproca Dairy Group (Hyproca) with equity exchange and cash in 2011. This acquisition provided stable milk resources and production plants in Europe and thus developed Ausnutria’s experience in farm management, resource control, R&amp;D, technology, and quality system design, which improved the company’s operation. In July 2013, Ausnutria acquired 100 per cent equity in Hyproca and aimed to develop its production capacity further in the high-end market.</w:t>
      </w:r>
    </w:p>
    <w:p w14:paraId="30C12714" w14:textId="77777777" w:rsidR="00763E20" w:rsidRPr="00CD0E79" w:rsidRDefault="00763E20" w:rsidP="0071309E">
      <w:pPr>
        <w:pStyle w:val="BodyTextMain"/>
        <w:rPr>
          <w:lang w:val="en-GB"/>
        </w:rPr>
      </w:pPr>
    </w:p>
    <w:p w14:paraId="72441261" w14:textId="37339E05" w:rsidR="00763E20" w:rsidRPr="00CD0E79" w:rsidRDefault="00763E20" w:rsidP="0071309E">
      <w:pPr>
        <w:pStyle w:val="BodyTextMain"/>
        <w:rPr>
          <w:lang w:val="en-GB"/>
        </w:rPr>
      </w:pPr>
      <w:r w:rsidRPr="00CD0E79">
        <w:rPr>
          <w:lang w:val="en-GB"/>
        </w:rPr>
        <w:t>But internationalization could be risky. For example, in 2012, another infant formula producer, Synutra International, Inc. (Synutra), signed an agreement with Sodiaal International SA, the largest French dairy company</w:t>
      </w:r>
      <w:r w:rsidR="001F1C69">
        <w:rPr>
          <w:lang w:val="en-GB"/>
        </w:rPr>
        <w:t>,</w:t>
      </w:r>
      <w:r w:rsidRPr="00CD0E79">
        <w:rPr>
          <w:lang w:val="en-GB"/>
        </w:rPr>
        <w:t xml:space="preserve"> and invested €90 million to build a new modern infant formula plant with an annual capacity of approximately 90,718 tonnes.</w:t>
      </w:r>
      <w:r w:rsidRPr="00CD0E79">
        <w:rPr>
          <w:rStyle w:val="EndnoteReference"/>
          <w:lang w:val="en-GB"/>
        </w:rPr>
        <w:endnoteReference w:id="25"/>
      </w:r>
      <w:r w:rsidRPr="00CD0E79">
        <w:rPr>
          <w:lang w:val="en-GB"/>
        </w:rPr>
        <w:t xml:space="preserve"> However, in 2016, it was reported that Synutra was unable to pay its bills because of its undesirable sale of French products in China.</w:t>
      </w:r>
      <w:r w:rsidRPr="00CD0E79">
        <w:rPr>
          <w:rStyle w:val="EndnoteReference"/>
          <w:lang w:val="en-GB"/>
        </w:rPr>
        <w:endnoteReference w:id="26"/>
      </w:r>
      <w:r w:rsidRPr="00CD0E79">
        <w:rPr>
          <w:lang w:val="en-GB"/>
        </w:rPr>
        <w:t xml:space="preserve"> </w:t>
      </w:r>
    </w:p>
    <w:p w14:paraId="7D04FC89" w14:textId="77777777" w:rsidR="00763E20" w:rsidRPr="00CD0E79" w:rsidRDefault="00763E20" w:rsidP="0071309E">
      <w:pPr>
        <w:pStyle w:val="BodyTextMain"/>
        <w:rPr>
          <w:lang w:val="en-GB"/>
        </w:rPr>
      </w:pPr>
    </w:p>
    <w:p w14:paraId="4358FE8B" w14:textId="77777777" w:rsidR="00763E20" w:rsidRPr="00CD0E79" w:rsidRDefault="00763E20" w:rsidP="0071309E">
      <w:pPr>
        <w:pStyle w:val="BodyTextMain"/>
        <w:rPr>
          <w:lang w:val="en-GB"/>
        </w:rPr>
      </w:pPr>
    </w:p>
    <w:p w14:paraId="3881FDDD" w14:textId="77777777" w:rsidR="00763E20" w:rsidRPr="00CD0E79" w:rsidRDefault="00763E20" w:rsidP="0071309E">
      <w:pPr>
        <w:pStyle w:val="Casehead1"/>
        <w:rPr>
          <w:rFonts w:eastAsiaTheme="minorEastAsia"/>
          <w:lang w:val="en-GB" w:eastAsia="zh-CN"/>
        </w:rPr>
      </w:pPr>
      <w:r w:rsidRPr="00CD0E79">
        <w:rPr>
          <w:lang w:val="en-GB"/>
        </w:rPr>
        <w:t>Canada’s Dairy Industry</w:t>
      </w:r>
    </w:p>
    <w:p w14:paraId="6DF4CD0A" w14:textId="77777777" w:rsidR="00763E20" w:rsidRPr="00CD0E79" w:rsidRDefault="00763E20" w:rsidP="0071309E">
      <w:pPr>
        <w:pStyle w:val="BodyTextMain"/>
        <w:rPr>
          <w:lang w:val="en-GB"/>
        </w:rPr>
      </w:pPr>
    </w:p>
    <w:p w14:paraId="625280A7" w14:textId="743C4A3A" w:rsidR="00763E20" w:rsidRPr="00CD0E79" w:rsidRDefault="00763E20" w:rsidP="0071309E">
      <w:pPr>
        <w:pStyle w:val="BodyTextMain"/>
        <w:rPr>
          <w:lang w:val="en-GB"/>
        </w:rPr>
      </w:pPr>
      <w:r w:rsidRPr="00CD0E79">
        <w:rPr>
          <w:lang w:val="en-GB"/>
        </w:rPr>
        <w:t>Canada’s dairy sector was an important and growing part in the Canadian economy (see Exhibit 4). According to the Canadian Dairy Commission (CDC), the dairy industry was Canada’s third-largest agricultural sector (behind grains, oilseeds, and red meats)</w:t>
      </w:r>
      <w:r w:rsidRPr="00CD0E79" w:rsidDel="007B050E">
        <w:rPr>
          <w:lang w:val="en-GB"/>
        </w:rPr>
        <w:t xml:space="preserve"> </w:t>
      </w:r>
      <w:r w:rsidRPr="00CD0E79">
        <w:rPr>
          <w:lang w:val="en-GB"/>
        </w:rPr>
        <w:t>and contributed significantly to the Canadian economy. It employed approximately 221,000 people in 2015, contributed about CA$19.9 billion each year to Canada’s gross domestic product, and remitted CA$3.8 billion each year in federal, provincial, and regional taxes.</w:t>
      </w:r>
      <w:r w:rsidRPr="00CD0E79">
        <w:rPr>
          <w:rStyle w:val="EndnoteReference"/>
          <w:lang w:val="en-GB"/>
        </w:rPr>
        <w:endnoteReference w:id="27"/>
      </w:r>
      <w:r w:rsidRPr="00CD0E79">
        <w:rPr>
          <w:lang w:val="en-GB"/>
        </w:rPr>
        <w:t xml:space="preserve"> In 2016, it generated CA$6.17 billion in net receipts, and employed approximately 22,900 workers in dairy processing alone.</w:t>
      </w:r>
      <w:r w:rsidRPr="00CD0E79">
        <w:rPr>
          <w:rStyle w:val="EndnoteReference"/>
          <w:lang w:val="en-GB"/>
        </w:rPr>
        <w:endnoteReference w:id="28"/>
      </w:r>
      <w:r w:rsidRPr="00CD0E79">
        <w:rPr>
          <w:lang w:val="en-GB"/>
        </w:rPr>
        <w:t xml:space="preserve"> </w:t>
      </w:r>
      <w:bookmarkStart w:id="12" w:name="OLE_LINK40"/>
      <w:bookmarkStart w:id="13" w:name="OLE_LINK41"/>
    </w:p>
    <w:p w14:paraId="32D8BDFB" w14:textId="77777777" w:rsidR="00763E20" w:rsidRPr="00CD0E79" w:rsidRDefault="00763E20" w:rsidP="0071309E">
      <w:pPr>
        <w:pStyle w:val="BodyTextMain"/>
        <w:rPr>
          <w:lang w:val="en-GB"/>
        </w:rPr>
      </w:pPr>
    </w:p>
    <w:p w14:paraId="1A771474" w14:textId="67C6C121" w:rsidR="00763E20" w:rsidRPr="00CD0E79" w:rsidRDefault="00763E20" w:rsidP="0071309E">
      <w:pPr>
        <w:pStyle w:val="BodyTextMain"/>
        <w:rPr>
          <w:lang w:val="en-GB"/>
        </w:rPr>
      </w:pPr>
      <w:r w:rsidRPr="00CD0E79">
        <w:rPr>
          <w:lang w:val="en-GB"/>
        </w:rPr>
        <w:t xml:space="preserve">Canada had developed a system to ensure the quality of dairy products, and its strict quality standards resulted in the great </w:t>
      </w:r>
      <w:bookmarkEnd w:id="12"/>
      <w:bookmarkEnd w:id="13"/>
      <w:r w:rsidRPr="00CD0E79">
        <w:rPr>
          <w:lang w:val="en-GB"/>
        </w:rPr>
        <w:t>reputation of Canadian dairy products.</w:t>
      </w:r>
      <w:r w:rsidRPr="00CD0E79">
        <w:rPr>
          <w:rStyle w:val="EndnoteReference"/>
          <w:lang w:val="en-GB"/>
        </w:rPr>
        <w:endnoteReference w:id="29"/>
      </w:r>
      <w:r w:rsidRPr="00CD0E79">
        <w:rPr>
          <w:lang w:val="en-GB"/>
        </w:rPr>
        <w:t xml:space="preserve"> A wide range of institutions, including the federal government departments, regulatory bodies, and advocacy groups, supported the implementation of </w:t>
      </w:r>
      <w:r w:rsidRPr="00CD0E79">
        <w:rPr>
          <w:lang w:val="en-GB"/>
        </w:rPr>
        <w:lastRenderedPageBreak/>
        <w:t>these standards. For example, the Canadian Food Inspection Agency was responsible for ensuring the safety and quality of dairy products, both exported from and imported to Canada, through the establishment of dairy product standards and grades, dairy plant inspections, packaging and labelling requirements regulations, animal health programs, and product safety monitoring.</w:t>
      </w:r>
      <w:r w:rsidRPr="00CD0E79">
        <w:rPr>
          <w:rStyle w:val="EndnoteReference"/>
          <w:lang w:val="en-GB"/>
        </w:rPr>
        <w:endnoteReference w:id="30"/>
      </w:r>
      <w:r w:rsidRPr="00CD0E79">
        <w:rPr>
          <w:lang w:val="en-GB"/>
        </w:rPr>
        <w:t xml:space="preserve"> Agriculture and Agri-Food Canada worked with farmers and producers to enact dairy policy, conduct research, assist market and rural development, and help with the livestock improvement.</w:t>
      </w:r>
      <w:r w:rsidRPr="00CD0E79">
        <w:rPr>
          <w:rStyle w:val="EndnoteReference"/>
          <w:lang w:val="en-GB"/>
        </w:rPr>
        <w:endnoteReference w:id="31"/>
      </w:r>
      <w:r w:rsidRPr="00CD0E79">
        <w:rPr>
          <w:lang w:val="en-GB"/>
        </w:rPr>
        <w:t xml:space="preserve"> The Dairy Farmers of Canada also developed the Canadian Quality Milk Program, which provided guidance for dairy producers to improve food safety management in dairy farms.</w:t>
      </w:r>
      <w:r w:rsidRPr="00CD0E79">
        <w:rPr>
          <w:rStyle w:val="EndnoteReference"/>
          <w:lang w:val="en-GB"/>
        </w:rPr>
        <w:endnoteReference w:id="32"/>
      </w:r>
    </w:p>
    <w:p w14:paraId="3354E24B" w14:textId="77777777" w:rsidR="00763E20" w:rsidRPr="00CD0E79" w:rsidRDefault="00763E20" w:rsidP="0071309E">
      <w:pPr>
        <w:pStyle w:val="BodyTextMain"/>
        <w:rPr>
          <w:lang w:val="en-GB"/>
        </w:rPr>
      </w:pPr>
    </w:p>
    <w:p w14:paraId="65586AA0" w14:textId="76C1EBF0" w:rsidR="00763E20" w:rsidRPr="00CD0E79" w:rsidRDefault="00763E20" w:rsidP="0071309E">
      <w:pPr>
        <w:pStyle w:val="BodyTextMain"/>
        <w:rPr>
          <w:color w:val="000000"/>
          <w:spacing w:val="-2"/>
          <w:sz w:val="19"/>
          <w:szCs w:val="19"/>
          <w:shd w:val="clear" w:color="auto" w:fill="FFFFFF"/>
          <w:lang w:val="en-GB"/>
        </w:rPr>
      </w:pPr>
      <w:r w:rsidRPr="00CD0E79">
        <w:rPr>
          <w:spacing w:val="-2"/>
          <w:lang w:val="en-GB"/>
        </w:rPr>
        <w:t>Although the Canadian dairy industry occupied an important position in Canada, its output was relatively low compared with that of other major countries. In 2016, Canada’s milk production was approximately 8 million tonnes,</w:t>
      </w:r>
      <w:r w:rsidRPr="00CD0E79">
        <w:rPr>
          <w:rStyle w:val="EndnoteReference"/>
          <w:spacing w:val="-2"/>
          <w:lang w:val="en-GB"/>
        </w:rPr>
        <w:endnoteReference w:id="33"/>
      </w:r>
      <w:r w:rsidRPr="00CD0E79">
        <w:rPr>
          <w:spacing w:val="-2"/>
          <w:lang w:val="en-GB"/>
        </w:rPr>
        <w:t xml:space="preserve"> which was significantly lower than production in New Zealand (approximately 21 million tonnes), the European Union (approximately 221 million tonnes), or the United States (approximately 96 million tonnes).</w:t>
      </w:r>
      <w:r w:rsidRPr="00CD0E79">
        <w:rPr>
          <w:rStyle w:val="EndnoteReference"/>
          <w:spacing w:val="-2"/>
          <w:lang w:val="en-GB"/>
        </w:rPr>
        <w:endnoteReference w:id="34"/>
      </w:r>
      <w:r w:rsidRPr="00CD0E79">
        <w:rPr>
          <w:spacing w:val="-2"/>
          <w:lang w:val="en-GB"/>
        </w:rPr>
        <w:t xml:space="preserve"> Because of its relatively small population, Canada was able to meet its domestic requirements with its milk and dairy production, but the country was not very active in the international dairy trade (see Exhibit 5). From 2007 to 2016, Canada’s exports and imports of dairy products both increased, but imports were consistently higher than exports, leading to a deficit each year. In 2016, the country imported 233,560 tonnes of dairy products valued at CA$969.4 million, representing an 8 per cent growth rate; it exported 98,758 tonnes valued at CA$235.3 million, representing an 11 per cent growth rate.</w:t>
      </w:r>
      <w:r w:rsidRPr="00CD0E79">
        <w:rPr>
          <w:rStyle w:val="EndnoteReference"/>
          <w:spacing w:val="-2"/>
          <w:lang w:val="en-GB"/>
        </w:rPr>
        <w:endnoteReference w:id="35"/>
      </w:r>
      <w:r w:rsidRPr="00CD0E79">
        <w:rPr>
          <w:spacing w:val="-2"/>
          <w:lang w:val="en-GB"/>
        </w:rPr>
        <w:t xml:space="preserve"> </w:t>
      </w:r>
    </w:p>
    <w:p w14:paraId="5A7A37FA" w14:textId="77777777" w:rsidR="00763E20" w:rsidRPr="00CD0E79" w:rsidRDefault="00763E20" w:rsidP="0071309E">
      <w:pPr>
        <w:pStyle w:val="BodyTextMain"/>
        <w:rPr>
          <w:lang w:val="en-GB"/>
        </w:rPr>
      </w:pPr>
    </w:p>
    <w:p w14:paraId="1DC25EC5" w14:textId="77777777" w:rsidR="00763E20" w:rsidRPr="00CD0E79" w:rsidRDefault="00763E20" w:rsidP="0071309E">
      <w:pPr>
        <w:pStyle w:val="BodyTextMain"/>
        <w:rPr>
          <w:lang w:val="en-GB"/>
        </w:rPr>
      </w:pPr>
    </w:p>
    <w:p w14:paraId="0BFF56B8" w14:textId="77777777" w:rsidR="00763E20" w:rsidRPr="00CD0E79" w:rsidRDefault="00763E20" w:rsidP="0071309E">
      <w:pPr>
        <w:pStyle w:val="Casehead2"/>
        <w:rPr>
          <w:lang w:val="en-GB"/>
        </w:rPr>
      </w:pPr>
      <w:r w:rsidRPr="00CD0E79">
        <w:rPr>
          <w:lang w:val="en-GB"/>
        </w:rPr>
        <w:t>The Supply Management System</w:t>
      </w:r>
    </w:p>
    <w:p w14:paraId="5DAE751C" w14:textId="77777777" w:rsidR="00763E20" w:rsidRPr="00CD0E79" w:rsidRDefault="00763E20" w:rsidP="0071309E">
      <w:pPr>
        <w:pStyle w:val="BodyTextMain"/>
        <w:rPr>
          <w:lang w:val="en-GB"/>
        </w:rPr>
      </w:pPr>
    </w:p>
    <w:p w14:paraId="08CF89B8" w14:textId="7B345FCF" w:rsidR="00763E20" w:rsidRPr="00CD0E79" w:rsidRDefault="00763E20" w:rsidP="0071309E">
      <w:pPr>
        <w:pStyle w:val="BodyTextMain"/>
        <w:rPr>
          <w:lang w:val="en-GB"/>
        </w:rPr>
      </w:pPr>
      <w:r w:rsidRPr="00CD0E79">
        <w:rPr>
          <w:lang w:val="en-GB"/>
        </w:rPr>
        <w:t>One important reason for Canada’s smaller scale of dairy production and deficit was the unique Canadian Supply Management System, monitored by Dairy Farmers of Canada. This system aimed to stabilize producers’ revenues and consumer prices and to avoid costly product surpluses through “three pillars,” namely, setting production quotas, managing minimum prices, and controlling imports.</w:t>
      </w:r>
      <w:r w:rsidRPr="00CD0E79">
        <w:rPr>
          <w:rStyle w:val="EndnoteReference"/>
          <w:lang w:val="en-GB"/>
        </w:rPr>
        <w:endnoteReference w:id="36"/>
      </w:r>
      <w:r w:rsidRPr="00CD0E79">
        <w:rPr>
          <w:lang w:val="en-GB"/>
        </w:rPr>
        <w:t xml:space="preserve"> Every year, the Canadian Milk Supply Management Committee looked at yearly demand to determine the production and supply quotas of milk for each province, and to set a minimum price for milk. This system led to three notable outcomes: it kept foreign products out through its high tariffs, beyond the quota;</w:t>
      </w:r>
      <w:r w:rsidRPr="00CD0E79">
        <w:rPr>
          <w:vertAlign w:val="superscript"/>
          <w:lang w:val="en-GB"/>
        </w:rPr>
        <w:endnoteReference w:id="37"/>
      </w:r>
      <w:r w:rsidRPr="00CD0E79">
        <w:rPr>
          <w:lang w:val="en-GB"/>
        </w:rPr>
        <w:t xml:space="preserve"> Canadian producers and consumers avoided unpredictable price fluctuations; and the sustainability of this sector was ensured so that producers did not need a government subsidy, as producers did in other countries.</w:t>
      </w:r>
      <w:r w:rsidRPr="00CD0E79">
        <w:rPr>
          <w:rStyle w:val="EndnoteReference"/>
          <w:lang w:val="en-GB"/>
        </w:rPr>
        <w:endnoteReference w:id="38"/>
      </w:r>
      <w:r w:rsidRPr="00CD0E79">
        <w:rPr>
          <w:lang w:val="en-GB"/>
        </w:rPr>
        <w:t xml:space="preserve"> </w:t>
      </w:r>
    </w:p>
    <w:p w14:paraId="44BA6317" w14:textId="77777777" w:rsidR="00763E20" w:rsidRPr="00CD0E79" w:rsidRDefault="00763E20" w:rsidP="0071309E">
      <w:pPr>
        <w:pStyle w:val="BodyTextMain"/>
        <w:rPr>
          <w:lang w:val="en-GB"/>
        </w:rPr>
      </w:pPr>
    </w:p>
    <w:p w14:paraId="1CE30374" w14:textId="3137F0FA" w:rsidR="00763E20" w:rsidRPr="00535F49" w:rsidRDefault="00763E20" w:rsidP="0071309E">
      <w:pPr>
        <w:pStyle w:val="BodyTextMain"/>
        <w:rPr>
          <w:spacing w:val="-2"/>
          <w:lang w:val="en-GB"/>
        </w:rPr>
      </w:pPr>
      <w:r w:rsidRPr="00535F49">
        <w:rPr>
          <w:spacing w:val="-2"/>
          <w:lang w:val="en-GB"/>
        </w:rPr>
        <w:t>However, this system was also criticized for trade protectionism. Since the dairy industry was not covered by the North American Free Trade Agreement (NAFTA), it became a target of the NAFTA renegotiation between the United States and Canada.</w:t>
      </w:r>
      <w:r w:rsidRPr="00535F49">
        <w:rPr>
          <w:rStyle w:val="EndnoteReference"/>
          <w:spacing w:val="-2"/>
          <w:lang w:val="en-GB"/>
        </w:rPr>
        <w:endnoteReference w:id="39"/>
      </w:r>
      <w:r w:rsidRPr="00535F49">
        <w:rPr>
          <w:spacing w:val="-2"/>
          <w:lang w:val="en-GB"/>
        </w:rPr>
        <w:t xml:space="preserve"> The Canadian government also attempted to expand similar protections to other milk ingredients by implementing a new price class, Class 7, to lower the price paid by domestic producers, which angered not only the </w:t>
      </w:r>
      <w:r w:rsidR="00D30F34">
        <w:rPr>
          <w:spacing w:val="-2"/>
          <w:lang w:val="en-GB"/>
        </w:rPr>
        <w:t>US</w:t>
      </w:r>
      <w:r w:rsidRPr="00535F49">
        <w:rPr>
          <w:spacing w:val="-2"/>
          <w:lang w:val="en-GB"/>
        </w:rPr>
        <w:t xml:space="preserve"> producers but also producers from Australia, the European Union, Mexico, and New Zealand, who were driven out from the Canadian dairy market by this policy.</w:t>
      </w:r>
      <w:r w:rsidRPr="00535F49">
        <w:rPr>
          <w:rStyle w:val="EndnoteReference"/>
          <w:spacing w:val="-2"/>
          <w:lang w:val="en-GB"/>
        </w:rPr>
        <w:endnoteReference w:id="40"/>
      </w:r>
      <w:r w:rsidRPr="00535F49">
        <w:rPr>
          <w:spacing w:val="-2"/>
          <w:lang w:val="en-GB"/>
        </w:rPr>
        <w:t xml:space="preserve"> As an opinion piece from the University of Calgary’s School of Public Policy noted, such protection had “resulted in low Foreign Direct Investment to the Canadian dairy sector. Of the [US]$21 billion invested globally into the dairy sector, Canada attracted a minuscule amount—less than one per cent.”</w:t>
      </w:r>
      <w:r w:rsidRPr="00535F49">
        <w:rPr>
          <w:rStyle w:val="EndnoteReference"/>
          <w:spacing w:val="-2"/>
          <w:lang w:val="en-GB"/>
        </w:rPr>
        <w:endnoteReference w:id="41"/>
      </w:r>
      <w:r w:rsidRPr="00535F49">
        <w:rPr>
          <w:spacing w:val="-2"/>
          <w:lang w:val="en-GB"/>
        </w:rPr>
        <w:t xml:space="preserve"> </w:t>
      </w:r>
    </w:p>
    <w:p w14:paraId="3D7833AF" w14:textId="77777777" w:rsidR="00763E20" w:rsidRPr="00CD0E79" w:rsidRDefault="00763E20" w:rsidP="0071309E">
      <w:pPr>
        <w:pStyle w:val="BodyTextMain"/>
        <w:rPr>
          <w:lang w:val="en-GB"/>
        </w:rPr>
      </w:pPr>
    </w:p>
    <w:p w14:paraId="4763A19B" w14:textId="77777777" w:rsidR="00763E20" w:rsidRPr="00CD0E79" w:rsidRDefault="00763E20" w:rsidP="0071309E">
      <w:pPr>
        <w:pStyle w:val="BodyTextMain"/>
        <w:rPr>
          <w:lang w:val="en-GB"/>
        </w:rPr>
      </w:pPr>
    </w:p>
    <w:p w14:paraId="4C08480A" w14:textId="77777777" w:rsidR="00763E20" w:rsidRPr="00CD0E79" w:rsidRDefault="00763E20" w:rsidP="0071309E">
      <w:pPr>
        <w:pStyle w:val="Casehead2"/>
        <w:rPr>
          <w:rFonts w:eastAsiaTheme="minorEastAsia"/>
          <w:lang w:val="en-GB" w:eastAsia="zh-CN"/>
        </w:rPr>
      </w:pPr>
      <w:r w:rsidRPr="00CD0E79">
        <w:rPr>
          <w:lang w:val="en-GB"/>
        </w:rPr>
        <w:t>Dairy Industry</w:t>
      </w:r>
      <w:r w:rsidRPr="00CD0E79">
        <w:rPr>
          <w:rFonts w:eastAsiaTheme="minorEastAsia"/>
          <w:lang w:val="en-GB" w:eastAsia="zh-CN"/>
        </w:rPr>
        <w:t xml:space="preserve"> in Ontario</w:t>
      </w:r>
    </w:p>
    <w:p w14:paraId="74C08BBC" w14:textId="77777777" w:rsidR="00763E20" w:rsidRPr="00CD0E79" w:rsidRDefault="00763E20" w:rsidP="0071309E">
      <w:pPr>
        <w:pStyle w:val="BodyTextMain"/>
        <w:rPr>
          <w:lang w:val="en-GB"/>
        </w:rPr>
      </w:pPr>
    </w:p>
    <w:p w14:paraId="19BD9EEA" w14:textId="1C9AA8C2" w:rsidR="00763E20" w:rsidRPr="00CD0E79" w:rsidRDefault="00763E20" w:rsidP="0071309E">
      <w:pPr>
        <w:pStyle w:val="BodyTextMain"/>
        <w:rPr>
          <w:lang w:val="en-GB"/>
        </w:rPr>
      </w:pPr>
      <w:r w:rsidRPr="00CD0E79">
        <w:rPr>
          <w:lang w:val="en-GB"/>
        </w:rPr>
        <w:t>The majority (approximately 82 per cent) of Canada’s dairy farms were in Ontario and Quebec, approximately 12 per cent were in Western Canada, and just over 5 per cent were in the Atlantic provinces.</w:t>
      </w:r>
      <w:r w:rsidRPr="00CD0E79">
        <w:rPr>
          <w:rStyle w:val="EndnoteReference"/>
          <w:lang w:val="en-GB"/>
        </w:rPr>
        <w:endnoteReference w:id="42"/>
      </w:r>
      <w:r w:rsidRPr="00CD0E79">
        <w:rPr>
          <w:lang w:val="en-GB"/>
        </w:rPr>
        <w:t xml:space="preserve"> Ontario’s share of the total Canadian milk market was approximately 32.0 per cent, with 2.77 million litres of milk produced in 2016. Ontario had 3,705 dairy farms and 72 dairy processing plants</w:t>
      </w:r>
      <w:r w:rsidRPr="00CD0E79">
        <w:rPr>
          <w:rStyle w:val="EndnoteReference"/>
          <w:lang w:val="en-GB"/>
        </w:rPr>
        <w:endnoteReference w:id="43"/>
      </w:r>
      <w:r w:rsidRPr="00CD0E79">
        <w:rPr>
          <w:lang w:val="en-GB"/>
        </w:rPr>
        <w:t xml:space="preserve"> that supplied and </w:t>
      </w:r>
      <w:r w:rsidRPr="00CD0E79">
        <w:rPr>
          <w:lang w:val="en-GB"/>
        </w:rPr>
        <w:lastRenderedPageBreak/>
        <w:t xml:space="preserve">processed not only raw milk but also all the other milk products. Ontario was also a major goat milk production base, with 52 per cent of Canada’s goats and 36 per cent of Canada’s goat farms. According to </w:t>
      </w:r>
      <w:r w:rsidRPr="00CD0E79">
        <w:rPr>
          <w:i/>
          <w:lang w:val="en-GB"/>
        </w:rPr>
        <w:t>Ontario Farmer</w:t>
      </w:r>
      <w:r w:rsidRPr="00CD0E79">
        <w:rPr>
          <w:lang w:val="en-GB"/>
        </w:rPr>
        <w:t xml:space="preserve"> magazine, “There were 240 goat milk producers licensed by the Ontario Ministry of Agriculture, Food and Rural Affairs in 2015. The Ministry licenced 22 new producers in 2014 and 35 in 2015. There were already 24 new producers ‘pending’ in 2016 ‘in all ranges of farm size.’”</w:t>
      </w:r>
      <w:r w:rsidRPr="00CD0E79">
        <w:rPr>
          <w:vertAlign w:val="superscript"/>
          <w:lang w:val="en-GB"/>
        </w:rPr>
        <w:endnoteReference w:id="44"/>
      </w:r>
    </w:p>
    <w:p w14:paraId="1A8634FA" w14:textId="77777777" w:rsidR="00763E20" w:rsidRPr="00CD0E79" w:rsidRDefault="00763E20" w:rsidP="0071309E">
      <w:pPr>
        <w:pStyle w:val="BodyTextMain"/>
        <w:rPr>
          <w:lang w:val="en-GB"/>
        </w:rPr>
      </w:pPr>
    </w:p>
    <w:p w14:paraId="543B99C3" w14:textId="77777777" w:rsidR="00763E20" w:rsidRPr="00CD0E79" w:rsidRDefault="00763E20" w:rsidP="0071309E">
      <w:pPr>
        <w:pStyle w:val="BodyTextMain"/>
        <w:rPr>
          <w:lang w:val="en-GB"/>
        </w:rPr>
      </w:pPr>
    </w:p>
    <w:p w14:paraId="29AB169D" w14:textId="4A0D7FD2" w:rsidR="00763E20" w:rsidRPr="00CD0E79" w:rsidRDefault="00763E20" w:rsidP="0071309E">
      <w:pPr>
        <w:pStyle w:val="Casehead1"/>
        <w:rPr>
          <w:rFonts w:eastAsiaTheme="minorEastAsia"/>
          <w:lang w:val="en-GB" w:eastAsia="zh-CN"/>
        </w:rPr>
      </w:pPr>
      <w:r w:rsidRPr="00CD0E79">
        <w:rPr>
          <w:lang w:val="en-GB"/>
        </w:rPr>
        <w:t xml:space="preserve">Feihe’s </w:t>
      </w:r>
      <w:r w:rsidRPr="00CD0E79">
        <w:rPr>
          <w:rFonts w:eastAsiaTheme="minorEastAsia"/>
          <w:lang w:val="en-GB" w:eastAsia="zh-CN"/>
        </w:rPr>
        <w:t>INTERNAtionaLIZATION</w:t>
      </w:r>
    </w:p>
    <w:p w14:paraId="238F5CEE" w14:textId="77777777" w:rsidR="00763E20" w:rsidRPr="00CD0E79" w:rsidRDefault="00763E20" w:rsidP="0071309E">
      <w:pPr>
        <w:pStyle w:val="BodyTextMain"/>
        <w:rPr>
          <w:lang w:val="en-GB"/>
        </w:rPr>
      </w:pPr>
    </w:p>
    <w:p w14:paraId="4DECCC69" w14:textId="21092CCA" w:rsidR="00763E20" w:rsidRPr="00CD0E79" w:rsidRDefault="00763E20" w:rsidP="0071309E">
      <w:pPr>
        <w:pStyle w:val="BodyTextMain"/>
        <w:rPr>
          <w:lang w:val="en-GB"/>
        </w:rPr>
      </w:pPr>
      <w:r w:rsidRPr="00CD0E79">
        <w:rPr>
          <w:lang w:val="en-GB"/>
        </w:rPr>
        <w:t>The Chinese customers’ awareness of product quality and safety had been increasing since the milk scandal in 2008 that had involved Sanlu, the producer responsible for the tainted infant formula. Many Chinese customers were willing to buy foreign products to ensure food safety for their babies. As a result, the Chinese market was currently dominated by international brands, but domestic brands, including Feihe, were attempting to catch up by increasing their investments in raw material sourcing and technology.</w:t>
      </w:r>
    </w:p>
    <w:p w14:paraId="05BE2324" w14:textId="77777777" w:rsidR="00763E20" w:rsidRPr="00CD0E79" w:rsidRDefault="00763E20" w:rsidP="0071309E">
      <w:pPr>
        <w:pStyle w:val="BodyTextMain"/>
        <w:rPr>
          <w:lang w:val="en-GB"/>
        </w:rPr>
      </w:pPr>
    </w:p>
    <w:p w14:paraId="106AA998" w14:textId="27A422B8" w:rsidR="00763E20" w:rsidRPr="00CD0E79" w:rsidRDefault="00763E20" w:rsidP="0071309E">
      <w:pPr>
        <w:pStyle w:val="BodyTextMain"/>
        <w:rPr>
          <w:spacing w:val="-2"/>
          <w:lang w:val="en-GB"/>
        </w:rPr>
      </w:pPr>
      <w:r w:rsidRPr="00CD0E79">
        <w:rPr>
          <w:spacing w:val="-2"/>
          <w:lang w:val="en-GB"/>
        </w:rPr>
        <w:t>Feihe aimed to compete with international brands on both quality and price. It seized a chance to grow in the domestic market after the falling of Sanlu in 2008. In 2016, it beat foreign brands in 10 provinces of China</w:t>
      </w:r>
      <w:r w:rsidR="00C61D14">
        <w:rPr>
          <w:spacing w:val="-2"/>
          <w:lang w:val="en-GB"/>
        </w:rPr>
        <w:t>.</w:t>
      </w:r>
      <w:r w:rsidRPr="00CD0E79">
        <w:rPr>
          <w:rStyle w:val="EndnoteReference"/>
          <w:spacing w:val="-2"/>
          <w:lang w:val="en-GB"/>
        </w:rPr>
        <w:endnoteReference w:id="45"/>
      </w:r>
      <w:r w:rsidRPr="00CD0E79">
        <w:rPr>
          <w:spacing w:val="-2"/>
          <w:lang w:val="en-GB"/>
        </w:rPr>
        <w:t xml:space="preserve"> Also, the company noticed that since 2012, the high-end infant formula segment in China had increased from a sales value of ¥19.9 billion (31.2 per cent of the overall market) and was expected to reach ¥66.4 billion by 2021. Although Feihe had begun its internationalization strategy as early as 2005, when it was listed on the New York Stock Exchange, it did not have any foreign manufacturing plants. Further, it delisted from the New York Stock Exchange in 2013 to free more capital for domestic mergers. However, Feihe needed more suppliers of low-cost, high-quality raw materials to satisfy the growing demands in China. </w:t>
      </w:r>
    </w:p>
    <w:p w14:paraId="6A56C8A9" w14:textId="77777777" w:rsidR="00763E20" w:rsidRPr="00CD0E79" w:rsidRDefault="00763E20" w:rsidP="0071309E">
      <w:pPr>
        <w:pStyle w:val="BodyTextMain"/>
        <w:rPr>
          <w:spacing w:val="-2"/>
          <w:lang w:val="en-GB"/>
        </w:rPr>
      </w:pPr>
    </w:p>
    <w:p w14:paraId="66F8F0B3" w14:textId="2CA8519C" w:rsidR="00763E20" w:rsidRPr="00CD0E79" w:rsidRDefault="00763E20" w:rsidP="0071309E">
      <w:pPr>
        <w:pStyle w:val="BodyTextMain"/>
        <w:rPr>
          <w:lang w:val="en-GB"/>
        </w:rPr>
      </w:pPr>
      <w:r w:rsidRPr="00CD0E79">
        <w:rPr>
          <w:lang w:val="en-GB"/>
        </w:rPr>
        <w:t>To support its internationalization strategy, the company positioned its brand as “more suitable for Chinese babies” and spent ¥13.8 million in R&amp;D in collaboration with international research institutions, including the Feihe Nutrition Laboratory at Beth Israel Deaconess Medical Centre at Harvard Medical School in 2016. Feihe then filed its initial public offering application with the Hong Kong Stock Exchange in May 2017, which indicated that the company was trying to obtain more capital and secure its leading market position in China.</w:t>
      </w:r>
      <w:r w:rsidRPr="00CD0E79">
        <w:rPr>
          <w:rStyle w:val="EndnoteReference"/>
          <w:lang w:val="en-GB"/>
        </w:rPr>
        <w:endnoteReference w:id="46"/>
      </w:r>
      <w:r w:rsidRPr="00CD0E79">
        <w:rPr>
          <w:lang w:val="en-GB"/>
        </w:rPr>
        <w:t xml:space="preserve"> However, since this company had not yet been listed, it still lacked sufficient capital for a large investment. </w:t>
      </w:r>
    </w:p>
    <w:p w14:paraId="1E5CD828" w14:textId="77777777" w:rsidR="00763E20" w:rsidRPr="00CD0E79" w:rsidRDefault="00763E20" w:rsidP="0071309E">
      <w:pPr>
        <w:pStyle w:val="BodyTextMain"/>
        <w:rPr>
          <w:lang w:val="en-GB"/>
        </w:rPr>
      </w:pPr>
    </w:p>
    <w:p w14:paraId="773703FA" w14:textId="2F64A931" w:rsidR="00763E20" w:rsidRPr="00CD0E79" w:rsidRDefault="00763E20" w:rsidP="0071309E">
      <w:pPr>
        <w:pStyle w:val="BodyTextMain"/>
        <w:rPr>
          <w:spacing w:val="-2"/>
          <w:lang w:val="en-GB"/>
        </w:rPr>
      </w:pPr>
      <w:r w:rsidRPr="00CD0E79">
        <w:rPr>
          <w:spacing w:val="-2"/>
          <w:lang w:val="en-GB"/>
        </w:rPr>
        <w:t>In November 2015, Feihe announced a plan to invest US$100 million in building an intelligent plant with an annual output of approximately 45,359 tonnes of milk powder in California.</w:t>
      </w:r>
      <w:r w:rsidRPr="00CD0E79">
        <w:rPr>
          <w:rStyle w:val="EndnoteReference"/>
          <w:spacing w:val="-2"/>
          <w:lang w:val="en-GB"/>
        </w:rPr>
        <w:endnoteReference w:id="47"/>
      </w:r>
      <w:r w:rsidRPr="00CD0E79">
        <w:rPr>
          <w:spacing w:val="-2"/>
          <w:lang w:val="en-GB"/>
        </w:rPr>
        <w:t xml:space="preserve"> However, it soon found that due to the local laws and policy restrictions in the United States, it might not be the perfect match for Feihe.</w:t>
      </w:r>
    </w:p>
    <w:p w14:paraId="14A07ED1" w14:textId="77777777" w:rsidR="00763E20" w:rsidRPr="00CD0E79" w:rsidRDefault="00763E20" w:rsidP="0071309E">
      <w:pPr>
        <w:pStyle w:val="BodyTextMain"/>
        <w:rPr>
          <w:lang w:val="en-GB"/>
        </w:rPr>
      </w:pPr>
    </w:p>
    <w:p w14:paraId="6ADD4B6C" w14:textId="77777777" w:rsidR="00763E20" w:rsidRPr="00CD0E79" w:rsidRDefault="00763E20" w:rsidP="0071309E">
      <w:pPr>
        <w:pStyle w:val="BodyTextMain"/>
        <w:rPr>
          <w:lang w:val="en-GB"/>
        </w:rPr>
      </w:pPr>
    </w:p>
    <w:p w14:paraId="6C2DC81A" w14:textId="77777777" w:rsidR="00763E20" w:rsidRPr="00CD0E79" w:rsidRDefault="00763E20" w:rsidP="0071309E">
      <w:pPr>
        <w:pStyle w:val="Casehead1"/>
        <w:rPr>
          <w:rFonts w:eastAsiaTheme="minorEastAsia"/>
          <w:lang w:val="en-GB" w:eastAsia="zh-CN"/>
        </w:rPr>
      </w:pPr>
      <w:r w:rsidRPr="00CD0E79">
        <w:rPr>
          <w:rFonts w:eastAsiaTheme="minorEastAsia"/>
          <w:lang w:val="en-GB" w:eastAsia="zh-CN"/>
        </w:rPr>
        <w:t>Kingston’s Ambition</w:t>
      </w:r>
    </w:p>
    <w:p w14:paraId="336285C8" w14:textId="77777777" w:rsidR="00763E20" w:rsidRPr="00CD0E79" w:rsidRDefault="00763E20" w:rsidP="0071309E">
      <w:pPr>
        <w:pStyle w:val="BodyTextMain"/>
        <w:rPr>
          <w:lang w:val="en-GB"/>
        </w:rPr>
      </w:pPr>
    </w:p>
    <w:p w14:paraId="65B318B4" w14:textId="2ABEA84D" w:rsidR="00763E20" w:rsidRPr="00CD0E79" w:rsidRDefault="00763E20" w:rsidP="0071309E">
      <w:pPr>
        <w:pStyle w:val="BodyTextMain"/>
        <w:rPr>
          <w:lang w:val="en-GB"/>
        </w:rPr>
      </w:pPr>
      <w:r w:rsidRPr="00CD0E79">
        <w:rPr>
          <w:lang w:val="en-GB"/>
        </w:rPr>
        <w:t>The year 2016 was a milestone in the history of China–Canada relations. Canadian Prime Minister Justin Trudeau attended the G20 leaders’ summit in Hangzhou, China; and, only a couple of weeks later, Chinese Premier Li Keqiang visited Canada, for four days—the first Chinese Premier to do so in 13 years. The two leaders issued a joint statement to encourage more co-operation between their countries.</w:t>
      </w:r>
      <w:r w:rsidRPr="00CD0E79">
        <w:rPr>
          <w:rStyle w:val="EndnoteReference"/>
          <w:lang w:val="en-GB"/>
        </w:rPr>
        <w:endnoteReference w:id="48"/>
      </w:r>
    </w:p>
    <w:p w14:paraId="091E3984" w14:textId="77777777" w:rsidR="00763E20" w:rsidRPr="00CD0E79" w:rsidRDefault="00763E20" w:rsidP="0071309E">
      <w:pPr>
        <w:pStyle w:val="BodyTextMain"/>
        <w:rPr>
          <w:lang w:val="en-GB"/>
        </w:rPr>
      </w:pPr>
    </w:p>
    <w:p w14:paraId="22C7A36F" w14:textId="3563312A" w:rsidR="00763E20" w:rsidRPr="00CD0E79" w:rsidRDefault="00763E20" w:rsidP="0071309E">
      <w:pPr>
        <w:pStyle w:val="BodyTextMain"/>
        <w:rPr>
          <w:lang w:val="en-GB"/>
        </w:rPr>
      </w:pPr>
      <w:r w:rsidRPr="00CD0E79">
        <w:rPr>
          <w:lang w:val="en-GB"/>
        </w:rPr>
        <w:t>It was exactly at this time—“a time to nurture cooperation”</w:t>
      </w:r>
      <w:r w:rsidRPr="00CD0E79">
        <w:rPr>
          <w:rStyle w:val="EndnoteReference"/>
          <w:lang w:val="en-GB"/>
        </w:rPr>
        <w:endnoteReference w:id="49"/>
      </w:r>
      <w:r w:rsidRPr="00CD0E79">
        <w:rPr>
          <w:lang w:val="en-GB"/>
        </w:rPr>
        <w:t xml:space="preserve"> between these two countries—that Feihe targeted the Canadian market. Canada’s three largest dairy processors—Saputo Inc., Agropur Cooperative, and Parmalat Canada—processed approximately 80 per cent of Canada’s raw milk and did not have a clear strategy on infant formula or tapping international markets. To attract more capital and diversity, the CDC started to search for an infant formula processor in Europe or Asia. Kingston, a city on the eastern end of Lake Ontario, was chosen as a potential location. </w:t>
      </w:r>
      <w:bookmarkStart w:id="16" w:name="OLE_LINK44"/>
      <w:bookmarkStart w:id="17" w:name="OLE_LINK45"/>
      <w:r w:rsidRPr="00CD0E79">
        <w:rPr>
          <w:lang w:val="en-GB"/>
        </w:rPr>
        <w:t xml:space="preserve">In June 2016, Feihe invited a small delegation from the </w:t>
      </w:r>
      <w:r w:rsidRPr="00CD0E79">
        <w:rPr>
          <w:lang w:val="en-GB"/>
        </w:rPr>
        <w:lastRenderedPageBreak/>
        <w:t xml:space="preserve">Kingston Economic Development Corporation (KEDCO) to China to help celebrate its anniversary, </w:t>
      </w:r>
      <w:bookmarkEnd w:id="16"/>
      <w:bookmarkEnd w:id="17"/>
      <w:r w:rsidRPr="00CD0E79">
        <w:rPr>
          <w:lang w:val="en-GB"/>
        </w:rPr>
        <w:t>and this trip provided an opportunity for the city to forge a new relationship with this potential investor.</w:t>
      </w:r>
      <w:r w:rsidRPr="00CD0E79">
        <w:rPr>
          <w:rStyle w:val="EndnoteReference"/>
          <w:lang w:val="en-GB"/>
        </w:rPr>
        <w:endnoteReference w:id="50"/>
      </w:r>
    </w:p>
    <w:p w14:paraId="679143C2" w14:textId="77777777" w:rsidR="00763E20" w:rsidRPr="00CD0E79" w:rsidRDefault="00763E20" w:rsidP="0071309E">
      <w:pPr>
        <w:pStyle w:val="BodyTextMain"/>
        <w:rPr>
          <w:lang w:val="en-GB"/>
        </w:rPr>
      </w:pPr>
    </w:p>
    <w:p w14:paraId="5FD59E55" w14:textId="13765F1D" w:rsidR="00763E20" w:rsidRPr="00CD0E79" w:rsidRDefault="00763E20" w:rsidP="0071309E">
      <w:pPr>
        <w:pStyle w:val="BodyTextMain"/>
        <w:rPr>
          <w:lang w:val="en-GB"/>
        </w:rPr>
      </w:pPr>
      <w:r w:rsidRPr="00CD0E79">
        <w:rPr>
          <w:lang w:val="en-GB"/>
        </w:rPr>
        <w:t xml:space="preserve">Kingston was recognized by the London (UK) </w:t>
      </w:r>
      <w:r w:rsidRPr="00CD0E79">
        <w:rPr>
          <w:i/>
          <w:lang w:val="en-GB"/>
        </w:rPr>
        <w:t>Financial Times</w:t>
      </w:r>
      <w:r w:rsidRPr="00CD0E79">
        <w:rPr>
          <w:lang w:val="en-GB"/>
        </w:rPr>
        <w:t xml:space="preserve"> 2017–2018 publication on “American Cities of the Future</w:t>
      </w:r>
      <w:r w:rsidR="00AD4EAB">
        <w:rPr>
          <w:lang w:val="en-GB"/>
        </w:rPr>
        <w:t>;</w:t>
      </w:r>
      <w:r w:rsidRPr="00CD0E79">
        <w:rPr>
          <w:lang w:val="en-GB"/>
        </w:rPr>
        <w:t>” was the winner of “Small Cities in North America for Foreign Direct Investment Strategy</w:t>
      </w:r>
      <w:r w:rsidR="00AD4EAB">
        <w:rPr>
          <w:lang w:val="en-GB"/>
        </w:rPr>
        <w:t>;</w:t>
      </w:r>
      <w:r w:rsidRPr="00CD0E79">
        <w:rPr>
          <w:lang w:val="en-GB"/>
        </w:rPr>
        <w:t>” and was rated sixth in the category of “Small City for Human Capital and Lifestyle.”</w:t>
      </w:r>
      <w:r w:rsidRPr="00CD0E79">
        <w:rPr>
          <w:rStyle w:val="EndnoteReference"/>
          <w:lang w:val="en-GB"/>
        </w:rPr>
        <w:endnoteReference w:id="51"/>
      </w:r>
      <w:r w:rsidRPr="00CD0E79">
        <w:rPr>
          <w:lang w:val="en-GB"/>
        </w:rPr>
        <w:t xml:space="preserve"> </w:t>
      </w:r>
      <w:bookmarkStart w:id="20" w:name="OLE_LINK46"/>
      <w:bookmarkStart w:id="21" w:name="OLE_LINK47"/>
      <w:r w:rsidRPr="00CD0E79">
        <w:rPr>
          <w:lang w:val="en-GB"/>
        </w:rPr>
        <w:t>While economic growth in 2016 was more robust outside the Kingston metropolitan area, Kingston had a population of 167,965 and a well-educated labour force of approximately 91,</w:t>
      </w:r>
      <w:bookmarkEnd w:id="20"/>
      <w:bookmarkEnd w:id="21"/>
      <w:r w:rsidRPr="00CD0E79">
        <w:rPr>
          <w:lang w:val="en-GB"/>
        </w:rPr>
        <w:t>000.</w:t>
      </w:r>
      <w:r w:rsidRPr="00CD0E79">
        <w:rPr>
          <w:rStyle w:val="EndnoteReference"/>
          <w:lang w:val="en-GB"/>
        </w:rPr>
        <w:endnoteReference w:id="52"/>
      </w:r>
      <w:r w:rsidRPr="00CD0E79">
        <w:rPr>
          <w:lang w:val="en-GB"/>
        </w:rPr>
        <w:t xml:space="preserve"> It had access to an effective transportation system composed of highways, railways, and air transportation, integrated with </w:t>
      </w:r>
      <w:r w:rsidR="00D30F34">
        <w:rPr>
          <w:lang w:val="en-GB"/>
        </w:rPr>
        <w:t>US</w:t>
      </w:r>
      <w:r w:rsidRPr="00CD0E79">
        <w:rPr>
          <w:lang w:val="en-GB"/>
        </w:rPr>
        <w:t xml:space="preserve"> networks, which enabled passengers and cargo to conveniently arrive at major North American cities. Kingston also had four well-organized business parks with complete facilities, infrastructure, and was close to major highways and downtown.</w:t>
      </w:r>
      <w:r w:rsidRPr="00CD0E79">
        <w:rPr>
          <w:rStyle w:val="EndnoteReference"/>
          <w:lang w:val="en-GB"/>
        </w:rPr>
        <w:endnoteReference w:id="53"/>
      </w:r>
    </w:p>
    <w:p w14:paraId="4AE15C44" w14:textId="77777777" w:rsidR="00763E20" w:rsidRPr="00CD0E79" w:rsidRDefault="00763E20" w:rsidP="0071309E">
      <w:pPr>
        <w:pStyle w:val="BodyTextMain"/>
        <w:rPr>
          <w:lang w:val="en-GB"/>
        </w:rPr>
      </w:pPr>
    </w:p>
    <w:p w14:paraId="212807E2" w14:textId="4CBD15FD" w:rsidR="00763E20" w:rsidRPr="00CD0E79" w:rsidRDefault="00763E20" w:rsidP="0071309E">
      <w:pPr>
        <w:pStyle w:val="BodyTextMain"/>
        <w:rPr>
          <w:lang w:val="en-GB"/>
        </w:rPr>
      </w:pPr>
      <w:r w:rsidRPr="00CD0E79">
        <w:rPr>
          <w:lang w:val="en-GB"/>
        </w:rPr>
        <w:t>Another advantage of Kingston was that it had the support of KEDCO. Established in 1998, KEDCO was a not-for-profit agency providing sales and marketing for the City of Kingston. It facilitated investment and job creation. In its 2015–2020 strategic plan, KEDCO aimed to reposition the city as an agri-business centre by focusing on food processing, technology, and sustainable agriculture.</w:t>
      </w:r>
      <w:r w:rsidRPr="00CD0E79">
        <w:rPr>
          <w:rStyle w:val="EndnoteReference"/>
          <w:lang w:val="en-GB"/>
        </w:rPr>
        <w:endnoteReference w:id="54"/>
      </w:r>
      <w:r w:rsidRPr="00CD0E79">
        <w:rPr>
          <w:lang w:val="en-GB"/>
        </w:rPr>
        <w:t xml:space="preserve"> </w:t>
      </w:r>
    </w:p>
    <w:p w14:paraId="429D8108" w14:textId="77777777" w:rsidR="00763E20" w:rsidRPr="00CD0E79" w:rsidRDefault="00763E20" w:rsidP="0071309E">
      <w:pPr>
        <w:pStyle w:val="BodyTextMain"/>
        <w:rPr>
          <w:lang w:val="en-GB"/>
        </w:rPr>
      </w:pPr>
    </w:p>
    <w:p w14:paraId="17C33D40" w14:textId="1A7FFF13" w:rsidR="0071309E" w:rsidRPr="00CD0E79" w:rsidRDefault="00763E20" w:rsidP="0071309E">
      <w:pPr>
        <w:pStyle w:val="BodyTextMain"/>
        <w:rPr>
          <w:lang w:val="en-GB"/>
        </w:rPr>
      </w:pPr>
      <w:r w:rsidRPr="00CD0E79">
        <w:rPr>
          <w:lang w:val="en-GB"/>
        </w:rPr>
        <w:t>To achieve this goal, KEDCO assisted enterprises in applying for funding and determining which programs and services would best meet their needs.</w:t>
      </w:r>
      <w:r w:rsidRPr="00CD0E79">
        <w:rPr>
          <w:rStyle w:val="EndnoteReference"/>
          <w:lang w:val="en-GB"/>
        </w:rPr>
        <w:endnoteReference w:id="55"/>
      </w:r>
      <w:r w:rsidRPr="00CD0E79">
        <w:rPr>
          <w:lang w:val="en-GB"/>
        </w:rPr>
        <w:t xml:space="preserve"> The funding programs were supported by both provincial and federal governments, and included two five-year federal programs to improve the competitiveness of the agriculture, agri-food, and agriculturally based product sectors in domestic and international markets, which were in operation until 2019, with total funding of CA$391.3 million; </w:t>
      </w:r>
      <w:r w:rsidR="00AD4EAB">
        <w:rPr>
          <w:lang w:val="en-GB"/>
        </w:rPr>
        <w:t xml:space="preserve">a </w:t>
      </w:r>
      <w:r w:rsidRPr="00CD0E79">
        <w:rPr>
          <w:lang w:val="en-GB"/>
        </w:rPr>
        <w:t>CA$5 million funding program offered by the Ontario provincial government for food and beverage processing; a development fund for economic development in eastern Ontario; and an innovation fund to help the agriculture sector adapt to the global and domestic market environment.</w:t>
      </w:r>
      <w:r w:rsidRPr="00CD0E79">
        <w:rPr>
          <w:rStyle w:val="EndnoteReference"/>
          <w:lang w:val="en-GB"/>
        </w:rPr>
        <w:endnoteReference w:id="56"/>
      </w:r>
      <w:r w:rsidRPr="00CD0E79">
        <w:rPr>
          <w:lang w:val="en-GB"/>
        </w:rPr>
        <w:t xml:space="preserve"> </w:t>
      </w:r>
    </w:p>
    <w:p w14:paraId="3811730D" w14:textId="77777777" w:rsidR="0071309E" w:rsidRPr="00CD0E79" w:rsidRDefault="0071309E" w:rsidP="0071309E">
      <w:pPr>
        <w:pStyle w:val="BodyTextMain"/>
        <w:rPr>
          <w:lang w:val="en-GB"/>
        </w:rPr>
      </w:pPr>
    </w:p>
    <w:p w14:paraId="2F6BF210" w14:textId="77777777" w:rsidR="0071309E" w:rsidRPr="00CD0E79" w:rsidRDefault="0071309E" w:rsidP="0071309E">
      <w:pPr>
        <w:pStyle w:val="BodyTextMain"/>
        <w:rPr>
          <w:lang w:val="en-GB"/>
        </w:rPr>
      </w:pPr>
    </w:p>
    <w:p w14:paraId="10779969" w14:textId="77777777" w:rsidR="0071309E" w:rsidRPr="00CD0E79" w:rsidRDefault="0071309E" w:rsidP="0071309E">
      <w:pPr>
        <w:pStyle w:val="Casehead1"/>
        <w:rPr>
          <w:lang w:val="en-GB"/>
        </w:rPr>
      </w:pPr>
      <w:r w:rsidRPr="00CD0E79">
        <w:rPr>
          <w:lang w:val="en-GB"/>
        </w:rPr>
        <w:t>Next Steps</w:t>
      </w:r>
    </w:p>
    <w:p w14:paraId="574502E5" w14:textId="77777777" w:rsidR="0071309E" w:rsidRPr="00CD0E79" w:rsidRDefault="0071309E" w:rsidP="0071309E">
      <w:pPr>
        <w:pStyle w:val="BodyTextMain"/>
        <w:rPr>
          <w:lang w:val="en-GB"/>
        </w:rPr>
      </w:pPr>
    </w:p>
    <w:p w14:paraId="39E8077A" w14:textId="75AAC487" w:rsidR="0071309E" w:rsidRPr="00535F49" w:rsidRDefault="0071309E" w:rsidP="0071309E">
      <w:pPr>
        <w:pStyle w:val="BodyTextMain"/>
        <w:rPr>
          <w:spacing w:val="-2"/>
          <w:lang w:val="en-GB"/>
        </w:rPr>
      </w:pPr>
      <w:r w:rsidRPr="00535F49">
        <w:rPr>
          <w:spacing w:val="-2"/>
          <w:lang w:val="en-GB"/>
        </w:rPr>
        <w:t xml:space="preserve">Most of Feihe’s competitors had invested in New Zealand and Australia; Canada was not a traditionally popular investment destination for the Chinese dairy giants. </w:t>
      </w:r>
      <w:r w:rsidR="00923790" w:rsidRPr="00535F49">
        <w:rPr>
          <w:spacing w:val="-2"/>
          <w:lang w:val="en-GB"/>
        </w:rPr>
        <w:t xml:space="preserve">In addition, </w:t>
      </w:r>
      <w:r w:rsidR="00923790" w:rsidRPr="00535F49">
        <w:rPr>
          <w:rFonts w:eastAsiaTheme="minorEastAsia"/>
          <w:spacing w:val="-2"/>
          <w:lang w:val="en-GB"/>
        </w:rPr>
        <w:t>Canada ha</w:t>
      </w:r>
      <w:r w:rsidR="00D30F34">
        <w:rPr>
          <w:rFonts w:eastAsiaTheme="minorEastAsia"/>
          <w:spacing w:val="-2"/>
          <w:lang w:val="en-GB"/>
        </w:rPr>
        <w:t>d</w:t>
      </w:r>
      <w:r w:rsidR="00923790" w:rsidRPr="00535F49">
        <w:rPr>
          <w:rFonts w:eastAsiaTheme="minorEastAsia"/>
          <w:spacing w:val="-2"/>
          <w:lang w:val="en-GB"/>
        </w:rPr>
        <w:t xml:space="preserve"> not had an infant formula processor in the country in the past 20 years. </w:t>
      </w:r>
      <w:r w:rsidRPr="00535F49">
        <w:rPr>
          <w:spacing w:val="-2"/>
          <w:lang w:val="en-GB"/>
        </w:rPr>
        <w:t>Kingston was fuel</w:t>
      </w:r>
      <w:r w:rsidR="00DE628B" w:rsidRPr="00535F49">
        <w:rPr>
          <w:spacing w:val="-2"/>
          <w:lang w:val="en-GB"/>
        </w:rPr>
        <w:t>l</w:t>
      </w:r>
      <w:r w:rsidRPr="00535F49">
        <w:rPr>
          <w:spacing w:val="-2"/>
          <w:lang w:val="en-GB"/>
        </w:rPr>
        <w:t xml:space="preserve">ed by the investment and ready for its ambitious plan. Any major dairy country would envy a large inward foreign direct investment in </w:t>
      </w:r>
      <w:r w:rsidR="00D30F34">
        <w:rPr>
          <w:spacing w:val="-2"/>
          <w:lang w:val="en-GB"/>
        </w:rPr>
        <w:t>the</w:t>
      </w:r>
      <w:r w:rsidRPr="00535F49">
        <w:rPr>
          <w:spacing w:val="-2"/>
          <w:lang w:val="en-GB"/>
        </w:rPr>
        <w:t xml:space="preserve"> competitive global market. At the same time, Feihe was already on track for internationalization and was highly interested in investing in Canada. The question was: How could Leng formulate a best entry strategic plan for Feihe?</w:t>
      </w:r>
    </w:p>
    <w:p w14:paraId="19594FC3" w14:textId="77777777" w:rsidR="002576DD" w:rsidRPr="00CD0E79" w:rsidRDefault="002576DD">
      <w:pPr>
        <w:spacing w:after="200" w:line="276" w:lineRule="auto"/>
        <w:rPr>
          <w:lang w:val="en-GB"/>
        </w:rPr>
      </w:pPr>
      <w:r w:rsidRPr="00CD0E79">
        <w:rPr>
          <w:lang w:val="en-GB"/>
        </w:rPr>
        <w:br w:type="page"/>
      </w:r>
    </w:p>
    <w:p w14:paraId="310B21BB" w14:textId="4F7CEF70" w:rsidR="002576DD" w:rsidRPr="00CD0E79" w:rsidRDefault="002576DD" w:rsidP="002576DD">
      <w:pPr>
        <w:pStyle w:val="ExhibitHeading"/>
        <w:rPr>
          <w:lang w:val="en-GB"/>
        </w:rPr>
      </w:pPr>
      <w:r w:rsidRPr="00CD0E79">
        <w:rPr>
          <w:lang w:val="en-GB"/>
        </w:rPr>
        <w:lastRenderedPageBreak/>
        <w:t>Exhibit 1: Feihe Financial Data For the year ended December 31 (in ¥ thousands)</w:t>
      </w:r>
    </w:p>
    <w:p w14:paraId="06FA70F6" w14:textId="77777777" w:rsidR="002576DD" w:rsidRPr="00CD0E79" w:rsidRDefault="002576DD" w:rsidP="002576DD">
      <w:pPr>
        <w:jc w:val="center"/>
        <w:rPr>
          <w:rFonts w:ascii="Arial" w:hAnsi="Arial" w:cs="Arial"/>
          <w:lang w:val="en-GB"/>
        </w:rPr>
      </w:pPr>
    </w:p>
    <w:tbl>
      <w:tblPr>
        <w:tblStyle w:val="TableGrid"/>
        <w:tblW w:w="9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Exhibit 1"/>
        <w:tblDescription w:val="FEIHE FINANCIAL DATA FOR THE YEAR ENDED DECEMBER 31 (IN ¥ THOUSANDS)"/>
      </w:tblPr>
      <w:tblGrid>
        <w:gridCol w:w="5094"/>
        <w:gridCol w:w="1413"/>
        <w:gridCol w:w="1415"/>
        <w:gridCol w:w="1424"/>
      </w:tblGrid>
      <w:tr w:rsidR="002576DD" w:rsidRPr="00CD0E79" w14:paraId="76A794E2" w14:textId="77777777" w:rsidTr="002B6EE7">
        <w:trPr>
          <w:tblHeader/>
        </w:trPr>
        <w:tc>
          <w:tcPr>
            <w:tcW w:w="4130" w:type="dxa"/>
          </w:tcPr>
          <w:p w14:paraId="1319D6B5" w14:textId="77777777" w:rsidR="002576DD" w:rsidRPr="00CD0E79" w:rsidRDefault="002576DD" w:rsidP="00C2321B">
            <w:pPr>
              <w:rPr>
                <w:rFonts w:ascii="Arial" w:hAnsi="Arial" w:cs="Arial"/>
                <w:lang w:val="en-GB"/>
              </w:rPr>
            </w:pPr>
          </w:p>
        </w:tc>
        <w:tc>
          <w:tcPr>
            <w:tcW w:w="1146" w:type="dxa"/>
          </w:tcPr>
          <w:p w14:paraId="1E939132" w14:textId="77777777" w:rsidR="002576DD" w:rsidRPr="00CD0E79" w:rsidRDefault="002576DD" w:rsidP="00831E43">
            <w:pPr>
              <w:jc w:val="center"/>
              <w:rPr>
                <w:rFonts w:ascii="Arial" w:hAnsi="Arial" w:cs="Arial"/>
                <w:b/>
                <w:lang w:val="en-GB"/>
              </w:rPr>
            </w:pPr>
            <w:r w:rsidRPr="00CD0E79">
              <w:rPr>
                <w:rFonts w:ascii="Arial" w:hAnsi="Arial" w:cs="Arial"/>
                <w:b/>
                <w:lang w:val="en-GB"/>
              </w:rPr>
              <w:t>2014</w:t>
            </w:r>
          </w:p>
        </w:tc>
        <w:tc>
          <w:tcPr>
            <w:tcW w:w="1147" w:type="dxa"/>
          </w:tcPr>
          <w:p w14:paraId="1E35DB0C" w14:textId="77777777" w:rsidR="002576DD" w:rsidRPr="00CD0E79" w:rsidRDefault="002576DD" w:rsidP="00831E43">
            <w:pPr>
              <w:jc w:val="center"/>
              <w:rPr>
                <w:rFonts w:ascii="Arial" w:hAnsi="Arial" w:cs="Arial"/>
                <w:b/>
                <w:lang w:val="en-GB"/>
              </w:rPr>
            </w:pPr>
            <w:r w:rsidRPr="00CD0E79">
              <w:rPr>
                <w:rFonts w:ascii="Arial" w:hAnsi="Arial" w:cs="Arial"/>
                <w:b/>
                <w:lang w:val="en-GB"/>
              </w:rPr>
              <w:t>2015</w:t>
            </w:r>
          </w:p>
        </w:tc>
        <w:tc>
          <w:tcPr>
            <w:tcW w:w="1155" w:type="dxa"/>
          </w:tcPr>
          <w:p w14:paraId="13211176" w14:textId="77777777" w:rsidR="002576DD" w:rsidRPr="00CD0E79" w:rsidRDefault="002576DD" w:rsidP="00831E43">
            <w:pPr>
              <w:jc w:val="center"/>
              <w:rPr>
                <w:rFonts w:ascii="Arial" w:hAnsi="Arial" w:cs="Arial"/>
                <w:b/>
                <w:lang w:val="en-GB"/>
              </w:rPr>
            </w:pPr>
            <w:r w:rsidRPr="00CD0E79">
              <w:rPr>
                <w:rFonts w:ascii="Arial" w:hAnsi="Arial" w:cs="Arial"/>
                <w:b/>
                <w:lang w:val="en-GB"/>
              </w:rPr>
              <w:t>2016</w:t>
            </w:r>
          </w:p>
        </w:tc>
      </w:tr>
      <w:tr w:rsidR="002576DD" w:rsidRPr="00CD0E79" w14:paraId="135F1346" w14:textId="77777777" w:rsidTr="002B6EE7">
        <w:trPr>
          <w:tblHeader/>
        </w:trPr>
        <w:tc>
          <w:tcPr>
            <w:tcW w:w="4130" w:type="dxa"/>
          </w:tcPr>
          <w:p w14:paraId="1607AB13" w14:textId="77777777" w:rsidR="002576DD" w:rsidRPr="00CD0E79" w:rsidRDefault="002576DD" w:rsidP="00C2321B">
            <w:pPr>
              <w:rPr>
                <w:rFonts w:ascii="Arial" w:hAnsi="Arial" w:cs="Arial"/>
                <w:b/>
                <w:lang w:val="en-GB"/>
              </w:rPr>
            </w:pPr>
            <w:r w:rsidRPr="00CD0E79">
              <w:rPr>
                <w:rFonts w:ascii="Arial" w:hAnsi="Arial" w:cs="Arial"/>
                <w:b/>
                <w:lang w:val="en-GB"/>
              </w:rPr>
              <w:t>Revenue</w:t>
            </w:r>
          </w:p>
        </w:tc>
        <w:tc>
          <w:tcPr>
            <w:tcW w:w="1146" w:type="dxa"/>
          </w:tcPr>
          <w:p w14:paraId="4906F753" w14:textId="77777777" w:rsidR="002576DD" w:rsidRPr="00CD0E79" w:rsidRDefault="002576DD" w:rsidP="00C2321B">
            <w:pPr>
              <w:rPr>
                <w:rFonts w:ascii="Arial" w:hAnsi="Arial" w:cs="Arial"/>
                <w:lang w:val="en-GB"/>
              </w:rPr>
            </w:pPr>
          </w:p>
        </w:tc>
        <w:tc>
          <w:tcPr>
            <w:tcW w:w="1147" w:type="dxa"/>
          </w:tcPr>
          <w:p w14:paraId="2B4AFED9" w14:textId="77777777" w:rsidR="002576DD" w:rsidRPr="00CD0E79" w:rsidRDefault="002576DD" w:rsidP="00C2321B">
            <w:pPr>
              <w:rPr>
                <w:rFonts w:ascii="Arial" w:hAnsi="Arial" w:cs="Arial"/>
                <w:lang w:val="en-GB"/>
              </w:rPr>
            </w:pPr>
          </w:p>
        </w:tc>
        <w:tc>
          <w:tcPr>
            <w:tcW w:w="1155" w:type="dxa"/>
          </w:tcPr>
          <w:p w14:paraId="771FA08C" w14:textId="77777777" w:rsidR="002576DD" w:rsidRPr="00CD0E79" w:rsidRDefault="002576DD" w:rsidP="00C2321B">
            <w:pPr>
              <w:rPr>
                <w:rFonts w:ascii="Arial" w:hAnsi="Arial" w:cs="Arial"/>
                <w:lang w:val="en-GB"/>
              </w:rPr>
            </w:pPr>
          </w:p>
        </w:tc>
      </w:tr>
      <w:tr w:rsidR="002576DD" w:rsidRPr="00CD0E79" w14:paraId="5BA8498A" w14:textId="77777777" w:rsidTr="002B6EE7">
        <w:trPr>
          <w:tblHeader/>
        </w:trPr>
        <w:tc>
          <w:tcPr>
            <w:tcW w:w="4130" w:type="dxa"/>
          </w:tcPr>
          <w:p w14:paraId="41731402" w14:textId="77777777" w:rsidR="002576DD" w:rsidRPr="00CD0E79" w:rsidRDefault="002576DD" w:rsidP="00C2321B">
            <w:pPr>
              <w:rPr>
                <w:rFonts w:ascii="Arial" w:hAnsi="Arial" w:cs="Arial"/>
                <w:b/>
                <w:lang w:val="en-GB"/>
              </w:rPr>
            </w:pPr>
            <w:r w:rsidRPr="00CD0E79">
              <w:rPr>
                <w:rFonts w:ascii="Arial" w:hAnsi="Arial" w:cs="Arial"/>
                <w:lang w:val="en-GB"/>
              </w:rPr>
              <w:t xml:space="preserve">    </w:t>
            </w:r>
            <w:r w:rsidRPr="00CD0E79">
              <w:rPr>
                <w:rFonts w:ascii="Arial" w:hAnsi="Arial" w:cs="Arial"/>
                <w:b/>
                <w:lang w:val="en-GB"/>
              </w:rPr>
              <w:t>Infant Formula Products</w:t>
            </w:r>
          </w:p>
        </w:tc>
        <w:tc>
          <w:tcPr>
            <w:tcW w:w="1146" w:type="dxa"/>
          </w:tcPr>
          <w:p w14:paraId="29A317B8" w14:textId="77777777" w:rsidR="002576DD" w:rsidRPr="00CD0E79" w:rsidRDefault="002576DD" w:rsidP="00C2321B">
            <w:pPr>
              <w:rPr>
                <w:rFonts w:ascii="Arial" w:hAnsi="Arial" w:cs="Arial"/>
                <w:lang w:val="en-GB"/>
              </w:rPr>
            </w:pPr>
          </w:p>
        </w:tc>
        <w:tc>
          <w:tcPr>
            <w:tcW w:w="1147" w:type="dxa"/>
          </w:tcPr>
          <w:p w14:paraId="70D1A8A9" w14:textId="77777777" w:rsidR="002576DD" w:rsidRPr="00CD0E79" w:rsidRDefault="002576DD" w:rsidP="00C2321B">
            <w:pPr>
              <w:rPr>
                <w:rFonts w:ascii="Arial" w:hAnsi="Arial" w:cs="Arial"/>
                <w:lang w:val="en-GB"/>
              </w:rPr>
            </w:pPr>
          </w:p>
        </w:tc>
        <w:tc>
          <w:tcPr>
            <w:tcW w:w="1155" w:type="dxa"/>
          </w:tcPr>
          <w:p w14:paraId="36404BCA" w14:textId="77777777" w:rsidR="002576DD" w:rsidRPr="00CD0E79" w:rsidRDefault="002576DD" w:rsidP="00C2321B">
            <w:pPr>
              <w:rPr>
                <w:rFonts w:ascii="Arial" w:hAnsi="Arial" w:cs="Arial"/>
                <w:lang w:val="en-GB"/>
              </w:rPr>
            </w:pPr>
          </w:p>
        </w:tc>
      </w:tr>
      <w:tr w:rsidR="002576DD" w:rsidRPr="00CD0E79" w14:paraId="1913410E" w14:textId="77777777" w:rsidTr="002B6EE7">
        <w:trPr>
          <w:tblHeader/>
        </w:trPr>
        <w:tc>
          <w:tcPr>
            <w:tcW w:w="4130" w:type="dxa"/>
          </w:tcPr>
          <w:p w14:paraId="621A2612" w14:textId="77777777" w:rsidR="002576DD" w:rsidRPr="00CD0E79" w:rsidRDefault="002576DD" w:rsidP="00C2321B">
            <w:pPr>
              <w:rPr>
                <w:rFonts w:ascii="Arial" w:hAnsi="Arial" w:cs="Arial"/>
                <w:i/>
                <w:lang w:val="en-GB"/>
              </w:rPr>
            </w:pPr>
            <w:r w:rsidRPr="00CD0E79">
              <w:rPr>
                <w:rFonts w:ascii="Arial" w:hAnsi="Arial" w:cs="Arial"/>
                <w:lang w:val="en-GB"/>
              </w:rPr>
              <w:t xml:space="preserve">    </w:t>
            </w:r>
            <w:r w:rsidRPr="00CD0E79">
              <w:rPr>
                <w:rFonts w:ascii="Arial" w:hAnsi="Arial" w:cs="Arial"/>
                <w:i/>
                <w:lang w:val="en-GB"/>
              </w:rPr>
              <w:t>High-End Infant Formula Product Series</w:t>
            </w:r>
          </w:p>
        </w:tc>
        <w:tc>
          <w:tcPr>
            <w:tcW w:w="1146" w:type="dxa"/>
          </w:tcPr>
          <w:p w14:paraId="70C822BF" w14:textId="77777777" w:rsidR="002576DD" w:rsidRPr="00CD0E79" w:rsidRDefault="002576DD" w:rsidP="00C2321B">
            <w:pPr>
              <w:rPr>
                <w:rFonts w:ascii="Arial" w:hAnsi="Arial" w:cs="Arial"/>
                <w:lang w:val="en-GB"/>
              </w:rPr>
            </w:pPr>
          </w:p>
        </w:tc>
        <w:tc>
          <w:tcPr>
            <w:tcW w:w="1147" w:type="dxa"/>
          </w:tcPr>
          <w:p w14:paraId="48E9F864" w14:textId="77777777" w:rsidR="002576DD" w:rsidRPr="00CD0E79" w:rsidRDefault="002576DD" w:rsidP="00C2321B">
            <w:pPr>
              <w:rPr>
                <w:rFonts w:ascii="Arial" w:hAnsi="Arial" w:cs="Arial"/>
                <w:lang w:val="en-GB"/>
              </w:rPr>
            </w:pPr>
          </w:p>
        </w:tc>
        <w:tc>
          <w:tcPr>
            <w:tcW w:w="1155" w:type="dxa"/>
          </w:tcPr>
          <w:p w14:paraId="52EAE9AC" w14:textId="77777777" w:rsidR="002576DD" w:rsidRPr="00CD0E79" w:rsidRDefault="002576DD" w:rsidP="00C2321B">
            <w:pPr>
              <w:rPr>
                <w:rFonts w:ascii="Arial" w:hAnsi="Arial" w:cs="Arial"/>
                <w:lang w:val="en-GB"/>
              </w:rPr>
            </w:pPr>
          </w:p>
        </w:tc>
      </w:tr>
      <w:tr w:rsidR="002576DD" w:rsidRPr="00CD0E79" w14:paraId="078874A0" w14:textId="77777777" w:rsidTr="002B6EE7">
        <w:trPr>
          <w:trHeight w:val="52"/>
          <w:tblHeader/>
        </w:trPr>
        <w:tc>
          <w:tcPr>
            <w:tcW w:w="4130" w:type="dxa"/>
          </w:tcPr>
          <w:p w14:paraId="12B37A33" w14:textId="77777777" w:rsidR="002576DD" w:rsidRPr="00CD0E79" w:rsidRDefault="002576DD" w:rsidP="00C2321B">
            <w:pPr>
              <w:rPr>
                <w:rFonts w:ascii="Arial" w:hAnsi="Arial" w:cs="Arial"/>
                <w:lang w:val="en-GB"/>
              </w:rPr>
            </w:pPr>
            <w:r w:rsidRPr="00CD0E79">
              <w:rPr>
                <w:rFonts w:ascii="Arial" w:hAnsi="Arial" w:cs="Arial"/>
                <w:lang w:val="en-GB"/>
              </w:rPr>
              <w:t xml:space="preserve">       Super Premium (Astrobaby)</w:t>
            </w:r>
          </w:p>
        </w:tc>
        <w:tc>
          <w:tcPr>
            <w:tcW w:w="1146" w:type="dxa"/>
          </w:tcPr>
          <w:p w14:paraId="2D2192AA" w14:textId="77777777" w:rsidR="002576DD" w:rsidRPr="00CD0E79" w:rsidRDefault="002576DD" w:rsidP="00831E43">
            <w:pPr>
              <w:tabs>
                <w:tab w:val="decimal" w:pos="1037"/>
              </w:tabs>
              <w:jc w:val="center"/>
              <w:rPr>
                <w:rFonts w:ascii="Arial" w:hAnsi="Arial" w:cs="Arial"/>
                <w:lang w:val="en-GB"/>
              </w:rPr>
            </w:pPr>
            <w:r w:rsidRPr="00CD0E79">
              <w:rPr>
                <w:rFonts w:ascii="Arial" w:hAnsi="Arial" w:cs="Arial"/>
                <w:lang w:val="en-GB"/>
              </w:rPr>
              <w:t>294,413</w:t>
            </w:r>
          </w:p>
        </w:tc>
        <w:tc>
          <w:tcPr>
            <w:tcW w:w="1147" w:type="dxa"/>
          </w:tcPr>
          <w:p w14:paraId="7C04586C" w14:textId="77777777" w:rsidR="002576DD" w:rsidRPr="00CD0E79" w:rsidRDefault="002576DD" w:rsidP="00831E43">
            <w:pPr>
              <w:tabs>
                <w:tab w:val="decimal" w:pos="1039"/>
              </w:tabs>
              <w:jc w:val="center"/>
              <w:rPr>
                <w:rFonts w:ascii="Arial" w:hAnsi="Arial" w:cs="Arial"/>
                <w:lang w:val="en-GB"/>
              </w:rPr>
            </w:pPr>
            <w:r w:rsidRPr="00CD0E79">
              <w:rPr>
                <w:rFonts w:ascii="Arial" w:hAnsi="Arial" w:cs="Arial"/>
                <w:lang w:val="en-GB"/>
              </w:rPr>
              <w:t>438,107</w:t>
            </w:r>
          </w:p>
        </w:tc>
        <w:tc>
          <w:tcPr>
            <w:tcW w:w="1155" w:type="dxa"/>
          </w:tcPr>
          <w:p w14:paraId="4DC1312D" w14:textId="77777777" w:rsidR="002576DD" w:rsidRPr="00CD0E79" w:rsidRDefault="002576DD" w:rsidP="00831E43">
            <w:pPr>
              <w:tabs>
                <w:tab w:val="decimal" w:pos="1040"/>
              </w:tabs>
              <w:rPr>
                <w:rFonts w:ascii="Arial" w:hAnsi="Arial" w:cs="Arial"/>
                <w:lang w:val="en-GB"/>
              </w:rPr>
            </w:pPr>
            <w:r w:rsidRPr="00CD0E79">
              <w:rPr>
                <w:rFonts w:ascii="Arial" w:hAnsi="Arial" w:cs="Arial"/>
                <w:lang w:val="en-GB"/>
              </w:rPr>
              <w:t>711,464</w:t>
            </w:r>
          </w:p>
        </w:tc>
      </w:tr>
      <w:tr w:rsidR="002576DD" w:rsidRPr="00CD0E79" w14:paraId="16FE89C1" w14:textId="77777777" w:rsidTr="002B6EE7">
        <w:trPr>
          <w:tblHeader/>
        </w:trPr>
        <w:tc>
          <w:tcPr>
            <w:tcW w:w="4130" w:type="dxa"/>
          </w:tcPr>
          <w:p w14:paraId="18EED979" w14:textId="77777777" w:rsidR="002576DD" w:rsidRPr="00CD0E79" w:rsidRDefault="002576DD" w:rsidP="00C2321B">
            <w:pPr>
              <w:rPr>
                <w:rFonts w:ascii="Arial" w:hAnsi="Arial" w:cs="Arial"/>
                <w:lang w:val="en-GB"/>
              </w:rPr>
            </w:pPr>
            <w:r w:rsidRPr="00CD0E79">
              <w:rPr>
                <w:rFonts w:ascii="Arial" w:hAnsi="Arial" w:cs="Arial"/>
                <w:lang w:val="en-GB"/>
              </w:rPr>
              <w:t xml:space="preserve">       Premium (Super Feifan)</w:t>
            </w:r>
          </w:p>
        </w:tc>
        <w:tc>
          <w:tcPr>
            <w:tcW w:w="1146" w:type="dxa"/>
          </w:tcPr>
          <w:p w14:paraId="58DD3F4E" w14:textId="77777777" w:rsidR="002576DD" w:rsidRPr="00CD0E79" w:rsidRDefault="002576DD" w:rsidP="00831E43">
            <w:pPr>
              <w:tabs>
                <w:tab w:val="decimal" w:pos="1037"/>
              </w:tabs>
              <w:jc w:val="center"/>
              <w:rPr>
                <w:rFonts w:ascii="Arial" w:hAnsi="Arial" w:cs="Arial"/>
                <w:u w:val="single"/>
                <w:lang w:val="en-GB"/>
              </w:rPr>
            </w:pPr>
            <w:r w:rsidRPr="00CD0E79">
              <w:rPr>
                <w:rFonts w:ascii="Arial" w:hAnsi="Arial" w:cs="Arial"/>
                <w:u w:val="single"/>
                <w:lang w:val="en-GB"/>
              </w:rPr>
              <w:t>693,206</w:t>
            </w:r>
          </w:p>
        </w:tc>
        <w:tc>
          <w:tcPr>
            <w:tcW w:w="1147" w:type="dxa"/>
          </w:tcPr>
          <w:p w14:paraId="3AD288E6" w14:textId="77777777" w:rsidR="002576DD" w:rsidRPr="00CD0E79" w:rsidRDefault="002576DD" w:rsidP="00831E43">
            <w:pPr>
              <w:tabs>
                <w:tab w:val="decimal" w:pos="1039"/>
              </w:tabs>
              <w:jc w:val="center"/>
              <w:rPr>
                <w:rFonts w:ascii="Arial" w:hAnsi="Arial" w:cs="Arial"/>
                <w:u w:val="single"/>
                <w:lang w:val="en-GB"/>
              </w:rPr>
            </w:pPr>
            <w:r w:rsidRPr="00CD0E79">
              <w:rPr>
                <w:rFonts w:ascii="Arial" w:hAnsi="Arial" w:cs="Arial"/>
                <w:u w:val="single"/>
                <w:lang w:val="en-GB"/>
              </w:rPr>
              <w:t>861,708</w:t>
            </w:r>
          </w:p>
        </w:tc>
        <w:tc>
          <w:tcPr>
            <w:tcW w:w="1155" w:type="dxa"/>
          </w:tcPr>
          <w:p w14:paraId="39DAB92B" w14:textId="77777777" w:rsidR="002576DD" w:rsidRPr="00CD0E79" w:rsidRDefault="002576DD" w:rsidP="00831E43">
            <w:pPr>
              <w:tabs>
                <w:tab w:val="decimal" w:pos="1040"/>
              </w:tabs>
              <w:rPr>
                <w:rFonts w:ascii="Arial" w:hAnsi="Arial" w:cs="Arial"/>
                <w:u w:val="single"/>
                <w:lang w:val="en-GB"/>
              </w:rPr>
            </w:pPr>
            <w:r w:rsidRPr="00CD0E79">
              <w:rPr>
                <w:rFonts w:ascii="Arial" w:hAnsi="Arial" w:cs="Arial"/>
                <w:u w:val="single"/>
                <w:lang w:val="en-GB"/>
              </w:rPr>
              <w:t>874,552</w:t>
            </w:r>
          </w:p>
        </w:tc>
      </w:tr>
      <w:tr w:rsidR="002576DD" w:rsidRPr="00CD0E79" w14:paraId="7BE519FE" w14:textId="77777777" w:rsidTr="002B6EE7">
        <w:trPr>
          <w:tblHeader/>
        </w:trPr>
        <w:tc>
          <w:tcPr>
            <w:tcW w:w="4130" w:type="dxa"/>
          </w:tcPr>
          <w:p w14:paraId="3DF77081" w14:textId="6E72C5A9" w:rsidR="002576DD" w:rsidRPr="00CD0E79" w:rsidRDefault="002576DD" w:rsidP="00C2321B">
            <w:pPr>
              <w:ind w:right="-288"/>
              <w:rPr>
                <w:rFonts w:ascii="Arial" w:hAnsi="Arial" w:cs="Arial"/>
                <w:lang w:val="en-GB"/>
              </w:rPr>
            </w:pPr>
            <w:r w:rsidRPr="00CD0E79">
              <w:rPr>
                <w:rFonts w:ascii="Arial" w:hAnsi="Arial" w:cs="Arial"/>
                <w:lang w:val="en-GB"/>
              </w:rPr>
              <w:t xml:space="preserve">  Sub</w:t>
            </w:r>
            <w:r w:rsidR="00ED0B00">
              <w:rPr>
                <w:rFonts w:ascii="Arial" w:hAnsi="Arial" w:cs="Arial"/>
                <w:lang w:val="en-GB"/>
              </w:rPr>
              <w:t>t</w:t>
            </w:r>
            <w:r w:rsidRPr="00CD0E79">
              <w:rPr>
                <w:rFonts w:ascii="Arial" w:hAnsi="Arial" w:cs="Arial"/>
                <w:lang w:val="en-GB"/>
              </w:rPr>
              <w:t xml:space="preserve">otal </w:t>
            </w:r>
            <w:r w:rsidR="00F55F53" w:rsidRPr="00CD0E79">
              <w:rPr>
                <w:rFonts w:ascii="Arial" w:hAnsi="Arial" w:cs="Arial"/>
                <w:lang w:val="en-GB"/>
              </w:rPr>
              <w:t>f</w:t>
            </w:r>
            <w:r w:rsidRPr="00CD0E79">
              <w:rPr>
                <w:rFonts w:ascii="Arial" w:hAnsi="Arial" w:cs="Arial"/>
                <w:lang w:val="en-GB"/>
              </w:rPr>
              <w:t>or High-End Infant Formula Product Series</w:t>
            </w:r>
          </w:p>
        </w:tc>
        <w:tc>
          <w:tcPr>
            <w:tcW w:w="1146" w:type="dxa"/>
          </w:tcPr>
          <w:p w14:paraId="5B72FACA" w14:textId="77777777" w:rsidR="002576DD" w:rsidRPr="00CD0E79" w:rsidRDefault="002576DD" w:rsidP="00831E43">
            <w:pPr>
              <w:tabs>
                <w:tab w:val="decimal" w:pos="1037"/>
              </w:tabs>
              <w:jc w:val="right"/>
              <w:rPr>
                <w:rFonts w:ascii="Arial" w:hAnsi="Arial" w:cs="Arial"/>
                <w:u w:val="single"/>
                <w:lang w:val="en-GB"/>
              </w:rPr>
            </w:pPr>
          </w:p>
          <w:p w14:paraId="650BF2A5" w14:textId="77777777" w:rsidR="002576DD" w:rsidRPr="00CD0E79" w:rsidRDefault="002576DD" w:rsidP="00831E43">
            <w:pPr>
              <w:tabs>
                <w:tab w:val="decimal" w:pos="1037"/>
              </w:tabs>
              <w:jc w:val="center"/>
              <w:rPr>
                <w:rFonts w:ascii="Arial" w:hAnsi="Arial" w:cs="Arial"/>
                <w:u w:val="single"/>
                <w:lang w:val="en-GB"/>
              </w:rPr>
            </w:pPr>
            <w:r w:rsidRPr="00CD0E79">
              <w:rPr>
                <w:rFonts w:ascii="Arial" w:hAnsi="Arial" w:cs="Arial"/>
                <w:u w:val="single"/>
                <w:lang w:val="en-GB"/>
              </w:rPr>
              <w:t>987,619</w:t>
            </w:r>
          </w:p>
        </w:tc>
        <w:tc>
          <w:tcPr>
            <w:tcW w:w="1147" w:type="dxa"/>
          </w:tcPr>
          <w:p w14:paraId="166886ED" w14:textId="77777777" w:rsidR="002576DD" w:rsidRPr="00CD0E79" w:rsidRDefault="002576DD" w:rsidP="00831E43">
            <w:pPr>
              <w:tabs>
                <w:tab w:val="decimal" w:pos="1039"/>
              </w:tabs>
              <w:jc w:val="right"/>
              <w:rPr>
                <w:rFonts w:ascii="Arial" w:hAnsi="Arial" w:cs="Arial"/>
                <w:lang w:val="en-GB"/>
              </w:rPr>
            </w:pPr>
          </w:p>
          <w:p w14:paraId="430CE38D" w14:textId="77777777" w:rsidR="002576DD" w:rsidRPr="00CD0E79" w:rsidRDefault="002576DD" w:rsidP="00831E43">
            <w:pPr>
              <w:tabs>
                <w:tab w:val="decimal" w:pos="1039"/>
              </w:tabs>
              <w:jc w:val="center"/>
              <w:rPr>
                <w:rFonts w:ascii="Arial" w:hAnsi="Arial" w:cs="Arial"/>
                <w:u w:val="single"/>
                <w:lang w:val="en-GB"/>
              </w:rPr>
            </w:pPr>
            <w:r w:rsidRPr="00CD0E79">
              <w:rPr>
                <w:rFonts w:ascii="Arial" w:hAnsi="Arial" w:cs="Arial"/>
                <w:u w:val="single"/>
                <w:lang w:val="en-GB"/>
              </w:rPr>
              <w:t>1,299,815</w:t>
            </w:r>
          </w:p>
        </w:tc>
        <w:tc>
          <w:tcPr>
            <w:tcW w:w="1155" w:type="dxa"/>
          </w:tcPr>
          <w:p w14:paraId="60826D90" w14:textId="77777777" w:rsidR="002576DD" w:rsidRPr="00CD0E79" w:rsidRDefault="002576DD" w:rsidP="00831E43">
            <w:pPr>
              <w:tabs>
                <w:tab w:val="decimal" w:pos="1040"/>
              </w:tabs>
              <w:jc w:val="right"/>
              <w:rPr>
                <w:rFonts w:ascii="Arial" w:hAnsi="Arial" w:cs="Arial"/>
                <w:lang w:val="en-GB"/>
              </w:rPr>
            </w:pPr>
          </w:p>
          <w:p w14:paraId="06B2293F" w14:textId="77777777" w:rsidR="002576DD" w:rsidRPr="00CD0E79" w:rsidRDefault="002576DD" w:rsidP="00831E43">
            <w:pPr>
              <w:tabs>
                <w:tab w:val="decimal" w:pos="1040"/>
              </w:tabs>
              <w:rPr>
                <w:rFonts w:ascii="Arial" w:hAnsi="Arial" w:cs="Arial"/>
                <w:u w:val="single"/>
                <w:lang w:val="en-GB"/>
              </w:rPr>
            </w:pPr>
            <w:r w:rsidRPr="00CD0E79">
              <w:rPr>
                <w:rFonts w:ascii="Arial" w:hAnsi="Arial" w:cs="Arial"/>
                <w:u w:val="single"/>
                <w:lang w:val="en-GB"/>
              </w:rPr>
              <w:t>1,586,016</w:t>
            </w:r>
          </w:p>
        </w:tc>
      </w:tr>
      <w:tr w:rsidR="002576DD" w:rsidRPr="00CD0E79" w14:paraId="121C249F" w14:textId="77777777" w:rsidTr="002B6EE7">
        <w:trPr>
          <w:tblHeader/>
        </w:trPr>
        <w:tc>
          <w:tcPr>
            <w:tcW w:w="4130" w:type="dxa"/>
          </w:tcPr>
          <w:p w14:paraId="1F2329C0" w14:textId="77777777" w:rsidR="002576DD" w:rsidRPr="00CD0E79" w:rsidRDefault="002576DD" w:rsidP="00C2321B">
            <w:pPr>
              <w:rPr>
                <w:rFonts w:ascii="Arial" w:hAnsi="Arial" w:cs="Arial"/>
                <w:i/>
                <w:lang w:val="en-GB"/>
              </w:rPr>
            </w:pPr>
            <w:r w:rsidRPr="00CD0E79">
              <w:rPr>
                <w:rFonts w:ascii="Arial" w:hAnsi="Arial" w:cs="Arial"/>
                <w:lang w:val="en-GB"/>
              </w:rPr>
              <w:t xml:space="preserve">  </w:t>
            </w:r>
            <w:r w:rsidRPr="00CD0E79">
              <w:rPr>
                <w:rFonts w:ascii="Arial" w:hAnsi="Arial" w:cs="Arial"/>
                <w:i/>
                <w:lang w:val="en-GB"/>
              </w:rPr>
              <w:t>Regular Infant Formula Products Series</w:t>
            </w:r>
          </w:p>
        </w:tc>
        <w:tc>
          <w:tcPr>
            <w:tcW w:w="1146" w:type="dxa"/>
          </w:tcPr>
          <w:p w14:paraId="20CB9F6F" w14:textId="77777777" w:rsidR="002576DD" w:rsidRPr="00CD0E79" w:rsidRDefault="002576DD" w:rsidP="00831E43">
            <w:pPr>
              <w:tabs>
                <w:tab w:val="decimal" w:pos="1037"/>
              </w:tabs>
              <w:jc w:val="right"/>
              <w:rPr>
                <w:rFonts w:ascii="Arial" w:hAnsi="Arial" w:cs="Arial"/>
                <w:lang w:val="en-GB"/>
              </w:rPr>
            </w:pPr>
          </w:p>
        </w:tc>
        <w:tc>
          <w:tcPr>
            <w:tcW w:w="1147" w:type="dxa"/>
          </w:tcPr>
          <w:p w14:paraId="3EB0228B" w14:textId="77777777" w:rsidR="002576DD" w:rsidRPr="00CD0E79" w:rsidRDefault="002576DD" w:rsidP="00831E43">
            <w:pPr>
              <w:tabs>
                <w:tab w:val="decimal" w:pos="1039"/>
              </w:tabs>
              <w:jc w:val="right"/>
              <w:rPr>
                <w:rFonts w:ascii="Arial" w:hAnsi="Arial" w:cs="Arial"/>
                <w:lang w:val="en-GB"/>
              </w:rPr>
            </w:pPr>
          </w:p>
        </w:tc>
        <w:tc>
          <w:tcPr>
            <w:tcW w:w="1155" w:type="dxa"/>
          </w:tcPr>
          <w:p w14:paraId="0629F156" w14:textId="77777777" w:rsidR="002576DD" w:rsidRPr="00CD0E79" w:rsidRDefault="002576DD" w:rsidP="00831E43">
            <w:pPr>
              <w:tabs>
                <w:tab w:val="decimal" w:pos="1040"/>
              </w:tabs>
              <w:jc w:val="right"/>
              <w:rPr>
                <w:rFonts w:ascii="Arial" w:hAnsi="Arial" w:cs="Arial"/>
                <w:lang w:val="en-GB"/>
              </w:rPr>
            </w:pPr>
          </w:p>
        </w:tc>
      </w:tr>
      <w:tr w:rsidR="002576DD" w:rsidRPr="00CD0E79" w14:paraId="41290711" w14:textId="77777777" w:rsidTr="002B6EE7">
        <w:trPr>
          <w:tblHeader/>
        </w:trPr>
        <w:tc>
          <w:tcPr>
            <w:tcW w:w="4130" w:type="dxa"/>
          </w:tcPr>
          <w:p w14:paraId="5CB599F6" w14:textId="5950ED22" w:rsidR="002576DD" w:rsidRPr="00CD0E79" w:rsidRDefault="002576DD" w:rsidP="00C2321B">
            <w:pPr>
              <w:rPr>
                <w:rFonts w:ascii="Arial" w:hAnsi="Arial" w:cs="Arial"/>
                <w:lang w:val="en-GB"/>
              </w:rPr>
            </w:pPr>
            <w:r w:rsidRPr="00CD0E79">
              <w:rPr>
                <w:rFonts w:ascii="Arial" w:hAnsi="Arial" w:cs="Arial"/>
                <w:lang w:val="en-GB"/>
              </w:rPr>
              <w:t xml:space="preserve">       Mid-</w:t>
            </w:r>
            <w:r w:rsidR="00ED0B00">
              <w:rPr>
                <w:rFonts w:ascii="Arial" w:hAnsi="Arial" w:cs="Arial"/>
                <w:lang w:val="en-GB"/>
              </w:rPr>
              <w:t xml:space="preserve"> </w:t>
            </w:r>
            <w:r w:rsidRPr="00CD0E79">
              <w:rPr>
                <w:rFonts w:ascii="Arial" w:hAnsi="Arial" w:cs="Arial"/>
                <w:lang w:val="en-GB"/>
              </w:rPr>
              <w:t>to High-End</w:t>
            </w:r>
          </w:p>
        </w:tc>
        <w:tc>
          <w:tcPr>
            <w:tcW w:w="1146" w:type="dxa"/>
          </w:tcPr>
          <w:p w14:paraId="64DD70A0" w14:textId="77777777" w:rsidR="002576DD" w:rsidRPr="00CD0E79" w:rsidRDefault="002576DD" w:rsidP="00831E43">
            <w:pPr>
              <w:tabs>
                <w:tab w:val="decimal" w:pos="1037"/>
              </w:tabs>
              <w:jc w:val="center"/>
              <w:rPr>
                <w:rFonts w:ascii="Arial" w:hAnsi="Arial" w:cs="Arial"/>
                <w:lang w:val="en-GB"/>
              </w:rPr>
            </w:pPr>
            <w:r w:rsidRPr="00CD0E79">
              <w:rPr>
                <w:rFonts w:ascii="Arial" w:hAnsi="Arial" w:cs="Arial"/>
                <w:lang w:val="en-GB"/>
              </w:rPr>
              <w:t>1,864,997</w:t>
            </w:r>
          </w:p>
        </w:tc>
        <w:tc>
          <w:tcPr>
            <w:tcW w:w="1147" w:type="dxa"/>
          </w:tcPr>
          <w:p w14:paraId="1E369859" w14:textId="77777777" w:rsidR="002576DD" w:rsidRPr="00CD0E79" w:rsidRDefault="002576DD" w:rsidP="00831E43">
            <w:pPr>
              <w:tabs>
                <w:tab w:val="decimal" w:pos="1039"/>
              </w:tabs>
              <w:jc w:val="center"/>
              <w:rPr>
                <w:rFonts w:ascii="Arial" w:hAnsi="Arial" w:cs="Arial"/>
                <w:lang w:val="en-GB"/>
              </w:rPr>
            </w:pPr>
            <w:r w:rsidRPr="00CD0E79">
              <w:rPr>
                <w:rFonts w:ascii="Arial" w:hAnsi="Arial" w:cs="Arial"/>
                <w:lang w:val="en-GB"/>
              </w:rPr>
              <w:t>1,601,032</w:t>
            </w:r>
          </w:p>
        </w:tc>
        <w:tc>
          <w:tcPr>
            <w:tcW w:w="1155" w:type="dxa"/>
          </w:tcPr>
          <w:p w14:paraId="2F7F493A" w14:textId="77777777" w:rsidR="002576DD" w:rsidRPr="00CD0E79" w:rsidRDefault="002576DD" w:rsidP="00831E43">
            <w:pPr>
              <w:tabs>
                <w:tab w:val="decimal" w:pos="1040"/>
              </w:tabs>
              <w:rPr>
                <w:rFonts w:ascii="Arial" w:hAnsi="Arial" w:cs="Arial"/>
                <w:lang w:val="en-GB"/>
              </w:rPr>
            </w:pPr>
            <w:r w:rsidRPr="00CD0E79">
              <w:rPr>
                <w:rFonts w:ascii="Arial" w:hAnsi="Arial" w:cs="Arial"/>
                <w:lang w:val="en-GB"/>
              </w:rPr>
              <w:t>1,469,128</w:t>
            </w:r>
          </w:p>
        </w:tc>
      </w:tr>
      <w:tr w:rsidR="002576DD" w:rsidRPr="00CD0E79" w14:paraId="1A3F53C7" w14:textId="77777777" w:rsidTr="002B6EE7">
        <w:trPr>
          <w:tblHeader/>
        </w:trPr>
        <w:tc>
          <w:tcPr>
            <w:tcW w:w="4130" w:type="dxa"/>
          </w:tcPr>
          <w:p w14:paraId="5E00FE93" w14:textId="77777777" w:rsidR="002576DD" w:rsidRPr="00CD0E79" w:rsidRDefault="002576DD" w:rsidP="00C2321B">
            <w:pPr>
              <w:rPr>
                <w:rFonts w:ascii="Arial" w:hAnsi="Arial" w:cs="Arial"/>
                <w:lang w:val="en-GB"/>
              </w:rPr>
            </w:pPr>
            <w:r w:rsidRPr="00CD0E79">
              <w:rPr>
                <w:rFonts w:ascii="Arial" w:hAnsi="Arial" w:cs="Arial"/>
                <w:lang w:val="en-GB"/>
              </w:rPr>
              <w:t xml:space="preserve">       Others</w:t>
            </w:r>
          </w:p>
        </w:tc>
        <w:tc>
          <w:tcPr>
            <w:tcW w:w="1146" w:type="dxa"/>
          </w:tcPr>
          <w:p w14:paraId="34469B3A" w14:textId="77777777" w:rsidR="002576DD" w:rsidRPr="00CD0E79" w:rsidRDefault="002576DD" w:rsidP="00831E43">
            <w:pPr>
              <w:tabs>
                <w:tab w:val="decimal" w:pos="1037"/>
              </w:tabs>
              <w:jc w:val="center"/>
              <w:rPr>
                <w:rFonts w:ascii="Arial" w:hAnsi="Arial" w:cs="Arial"/>
                <w:u w:val="double"/>
                <w:lang w:val="en-GB"/>
              </w:rPr>
            </w:pPr>
            <w:r w:rsidRPr="00CD0E79">
              <w:rPr>
                <w:rFonts w:ascii="Arial" w:hAnsi="Arial" w:cs="Arial"/>
                <w:u w:val="double"/>
                <w:lang w:val="en-GB"/>
              </w:rPr>
              <w:t>231,478</w:t>
            </w:r>
          </w:p>
        </w:tc>
        <w:tc>
          <w:tcPr>
            <w:tcW w:w="1147" w:type="dxa"/>
          </w:tcPr>
          <w:p w14:paraId="13BDC562" w14:textId="77777777" w:rsidR="002576DD" w:rsidRPr="00CD0E79" w:rsidRDefault="002576DD" w:rsidP="00831E43">
            <w:pPr>
              <w:tabs>
                <w:tab w:val="decimal" w:pos="1039"/>
              </w:tabs>
              <w:jc w:val="center"/>
              <w:rPr>
                <w:rFonts w:ascii="Arial" w:hAnsi="Arial" w:cs="Arial"/>
                <w:u w:val="double"/>
                <w:lang w:val="en-GB"/>
              </w:rPr>
            </w:pPr>
            <w:r w:rsidRPr="00CD0E79">
              <w:rPr>
                <w:rFonts w:ascii="Arial" w:hAnsi="Arial" w:cs="Arial"/>
                <w:u w:val="double"/>
                <w:lang w:val="en-GB"/>
              </w:rPr>
              <w:t>296,653</w:t>
            </w:r>
          </w:p>
        </w:tc>
        <w:tc>
          <w:tcPr>
            <w:tcW w:w="1155" w:type="dxa"/>
          </w:tcPr>
          <w:p w14:paraId="7249F4C0" w14:textId="77777777" w:rsidR="002576DD" w:rsidRPr="00CD0E79" w:rsidRDefault="002576DD" w:rsidP="00831E43">
            <w:pPr>
              <w:tabs>
                <w:tab w:val="decimal" w:pos="1040"/>
              </w:tabs>
              <w:rPr>
                <w:rFonts w:ascii="Arial" w:hAnsi="Arial" w:cs="Arial"/>
                <w:u w:val="double"/>
                <w:lang w:val="en-GB"/>
              </w:rPr>
            </w:pPr>
            <w:r w:rsidRPr="00CD0E79">
              <w:rPr>
                <w:rFonts w:ascii="Arial" w:hAnsi="Arial" w:cs="Arial"/>
                <w:u w:val="double"/>
                <w:lang w:val="en-GB"/>
              </w:rPr>
              <w:t>125,784</w:t>
            </w:r>
          </w:p>
        </w:tc>
      </w:tr>
      <w:tr w:rsidR="002576DD" w:rsidRPr="00CD0E79" w14:paraId="77953EA5" w14:textId="77777777" w:rsidTr="002B6EE7">
        <w:trPr>
          <w:tblHeader/>
        </w:trPr>
        <w:tc>
          <w:tcPr>
            <w:tcW w:w="4130" w:type="dxa"/>
          </w:tcPr>
          <w:p w14:paraId="0A7DADAC" w14:textId="4415D636" w:rsidR="002576DD" w:rsidRPr="00CD0E79" w:rsidRDefault="002576DD" w:rsidP="00C2321B">
            <w:pPr>
              <w:rPr>
                <w:rFonts w:ascii="Arial" w:hAnsi="Arial" w:cs="Arial"/>
                <w:lang w:val="en-GB"/>
              </w:rPr>
            </w:pPr>
            <w:r w:rsidRPr="00CD0E79">
              <w:rPr>
                <w:rFonts w:ascii="Arial" w:hAnsi="Arial" w:cs="Arial"/>
                <w:lang w:val="en-GB"/>
              </w:rPr>
              <w:t xml:space="preserve">  Sub</w:t>
            </w:r>
            <w:r w:rsidR="00ED0B00">
              <w:rPr>
                <w:rFonts w:ascii="Arial" w:hAnsi="Arial" w:cs="Arial"/>
                <w:lang w:val="en-GB"/>
              </w:rPr>
              <w:t>t</w:t>
            </w:r>
            <w:r w:rsidRPr="00CD0E79">
              <w:rPr>
                <w:rFonts w:ascii="Arial" w:hAnsi="Arial" w:cs="Arial"/>
                <w:lang w:val="en-GB"/>
              </w:rPr>
              <w:t xml:space="preserve">otal </w:t>
            </w:r>
            <w:r w:rsidR="00F55F53" w:rsidRPr="00CD0E79">
              <w:rPr>
                <w:rFonts w:ascii="Arial" w:hAnsi="Arial" w:cs="Arial"/>
                <w:lang w:val="en-GB"/>
              </w:rPr>
              <w:t>f</w:t>
            </w:r>
            <w:r w:rsidRPr="00CD0E79">
              <w:rPr>
                <w:rFonts w:ascii="Arial" w:hAnsi="Arial" w:cs="Arial"/>
                <w:lang w:val="en-GB"/>
              </w:rPr>
              <w:t>or Regular Infant Formula Product Series</w:t>
            </w:r>
          </w:p>
        </w:tc>
        <w:tc>
          <w:tcPr>
            <w:tcW w:w="1146" w:type="dxa"/>
          </w:tcPr>
          <w:p w14:paraId="038E45E3" w14:textId="77777777" w:rsidR="002576DD" w:rsidRPr="00CD0E79" w:rsidRDefault="002576DD" w:rsidP="00831E43">
            <w:pPr>
              <w:tabs>
                <w:tab w:val="decimal" w:pos="1037"/>
              </w:tabs>
              <w:jc w:val="right"/>
              <w:rPr>
                <w:rFonts w:ascii="Arial" w:hAnsi="Arial" w:cs="Arial"/>
                <w:u w:val="single"/>
                <w:lang w:val="en-GB"/>
              </w:rPr>
            </w:pPr>
          </w:p>
          <w:p w14:paraId="041BB6F6" w14:textId="77777777" w:rsidR="002576DD" w:rsidRPr="00CD0E79" w:rsidRDefault="002576DD" w:rsidP="00831E43">
            <w:pPr>
              <w:tabs>
                <w:tab w:val="decimal" w:pos="1037"/>
              </w:tabs>
              <w:jc w:val="center"/>
              <w:rPr>
                <w:rFonts w:ascii="Arial" w:hAnsi="Arial" w:cs="Arial"/>
                <w:u w:val="single"/>
                <w:lang w:val="en-GB"/>
              </w:rPr>
            </w:pPr>
            <w:r w:rsidRPr="00CD0E79">
              <w:rPr>
                <w:rFonts w:ascii="Arial" w:hAnsi="Arial" w:cs="Arial"/>
                <w:u w:val="single"/>
                <w:lang w:val="en-GB"/>
              </w:rPr>
              <w:t>2,096,475</w:t>
            </w:r>
          </w:p>
        </w:tc>
        <w:tc>
          <w:tcPr>
            <w:tcW w:w="1147" w:type="dxa"/>
          </w:tcPr>
          <w:p w14:paraId="3646B643" w14:textId="77777777" w:rsidR="002576DD" w:rsidRPr="00CD0E79" w:rsidRDefault="002576DD" w:rsidP="00831E43">
            <w:pPr>
              <w:tabs>
                <w:tab w:val="decimal" w:pos="1039"/>
              </w:tabs>
              <w:jc w:val="right"/>
              <w:rPr>
                <w:rFonts w:ascii="Arial" w:hAnsi="Arial" w:cs="Arial"/>
                <w:u w:val="single"/>
                <w:lang w:val="en-GB"/>
              </w:rPr>
            </w:pPr>
          </w:p>
          <w:p w14:paraId="51CAF956" w14:textId="77777777" w:rsidR="002576DD" w:rsidRPr="00CD0E79" w:rsidRDefault="002576DD" w:rsidP="00831E43">
            <w:pPr>
              <w:tabs>
                <w:tab w:val="decimal" w:pos="1039"/>
              </w:tabs>
              <w:jc w:val="center"/>
              <w:rPr>
                <w:rFonts w:ascii="Arial" w:hAnsi="Arial" w:cs="Arial"/>
                <w:u w:val="single"/>
                <w:lang w:val="en-GB"/>
              </w:rPr>
            </w:pPr>
            <w:r w:rsidRPr="00CD0E79">
              <w:rPr>
                <w:rFonts w:ascii="Arial" w:hAnsi="Arial" w:cs="Arial"/>
                <w:u w:val="single"/>
                <w:lang w:val="en-GB"/>
              </w:rPr>
              <w:t>1,897,685</w:t>
            </w:r>
          </w:p>
        </w:tc>
        <w:tc>
          <w:tcPr>
            <w:tcW w:w="1155" w:type="dxa"/>
          </w:tcPr>
          <w:p w14:paraId="72CC3FA4" w14:textId="77777777" w:rsidR="002576DD" w:rsidRPr="00CD0E79" w:rsidRDefault="002576DD" w:rsidP="00831E43">
            <w:pPr>
              <w:tabs>
                <w:tab w:val="decimal" w:pos="1040"/>
              </w:tabs>
              <w:jc w:val="right"/>
              <w:rPr>
                <w:rFonts w:ascii="Arial" w:hAnsi="Arial" w:cs="Arial"/>
                <w:u w:val="single"/>
                <w:lang w:val="en-GB"/>
              </w:rPr>
            </w:pPr>
          </w:p>
          <w:p w14:paraId="20B269E5" w14:textId="77777777" w:rsidR="002576DD" w:rsidRPr="00CD0E79" w:rsidRDefault="002576DD" w:rsidP="00831E43">
            <w:pPr>
              <w:tabs>
                <w:tab w:val="decimal" w:pos="1040"/>
              </w:tabs>
              <w:rPr>
                <w:rFonts w:ascii="Arial" w:hAnsi="Arial" w:cs="Arial"/>
                <w:u w:val="single"/>
                <w:lang w:val="en-GB"/>
              </w:rPr>
            </w:pPr>
            <w:r w:rsidRPr="00CD0E79">
              <w:rPr>
                <w:rFonts w:ascii="Arial" w:hAnsi="Arial" w:cs="Arial"/>
                <w:u w:val="single"/>
                <w:lang w:val="en-GB"/>
              </w:rPr>
              <w:t>1,594,912</w:t>
            </w:r>
          </w:p>
        </w:tc>
      </w:tr>
      <w:tr w:rsidR="002576DD" w:rsidRPr="00CD0E79" w14:paraId="2109E3EF" w14:textId="77777777" w:rsidTr="002B6EE7">
        <w:trPr>
          <w:tblHeader/>
        </w:trPr>
        <w:tc>
          <w:tcPr>
            <w:tcW w:w="4130" w:type="dxa"/>
          </w:tcPr>
          <w:p w14:paraId="33913295" w14:textId="14C7AC2A" w:rsidR="002576DD" w:rsidRPr="00CD0E79" w:rsidRDefault="002576DD" w:rsidP="00C2321B">
            <w:pPr>
              <w:rPr>
                <w:rFonts w:ascii="Arial" w:hAnsi="Arial" w:cs="Arial"/>
                <w:b/>
                <w:lang w:val="en-GB"/>
              </w:rPr>
            </w:pPr>
            <w:r w:rsidRPr="00CD0E79">
              <w:rPr>
                <w:rFonts w:ascii="Arial" w:hAnsi="Arial" w:cs="Arial"/>
                <w:b/>
                <w:lang w:val="en-GB"/>
              </w:rPr>
              <w:t xml:space="preserve">  Sub</w:t>
            </w:r>
            <w:r w:rsidR="00ED0B00">
              <w:rPr>
                <w:rFonts w:ascii="Arial" w:hAnsi="Arial" w:cs="Arial"/>
                <w:b/>
                <w:lang w:val="en-GB"/>
              </w:rPr>
              <w:t>t</w:t>
            </w:r>
            <w:r w:rsidRPr="00CD0E79">
              <w:rPr>
                <w:rFonts w:ascii="Arial" w:hAnsi="Arial" w:cs="Arial"/>
                <w:b/>
                <w:lang w:val="en-GB"/>
              </w:rPr>
              <w:t xml:space="preserve">otal </w:t>
            </w:r>
          </w:p>
        </w:tc>
        <w:tc>
          <w:tcPr>
            <w:tcW w:w="1146" w:type="dxa"/>
          </w:tcPr>
          <w:p w14:paraId="2C131C75" w14:textId="77777777" w:rsidR="002576DD" w:rsidRPr="00CD0E79" w:rsidRDefault="002576DD" w:rsidP="00831E43">
            <w:pPr>
              <w:tabs>
                <w:tab w:val="decimal" w:pos="1037"/>
              </w:tabs>
              <w:jc w:val="center"/>
              <w:rPr>
                <w:rFonts w:ascii="Arial" w:hAnsi="Arial" w:cs="Arial"/>
                <w:u w:val="double"/>
                <w:lang w:val="en-GB"/>
              </w:rPr>
            </w:pPr>
            <w:r w:rsidRPr="00CD0E79">
              <w:rPr>
                <w:rFonts w:ascii="Arial" w:hAnsi="Arial" w:cs="Arial"/>
                <w:u w:val="double"/>
                <w:lang w:val="en-GB"/>
              </w:rPr>
              <w:t>3,084,094</w:t>
            </w:r>
          </w:p>
        </w:tc>
        <w:tc>
          <w:tcPr>
            <w:tcW w:w="1147" w:type="dxa"/>
          </w:tcPr>
          <w:p w14:paraId="74378367" w14:textId="77777777" w:rsidR="002576DD" w:rsidRPr="00CD0E79" w:rsidRDefault="002576DD" w:rsidP="00831E43">
            <w:pPr>
              <w:tabs>
                <w:tab w:val="decimal" w:pos="1039"/>
              </w:tabs>
              <w:jc w:val="center"/>
              <w:rPr>
                <w:rFonts w:ascii="Arial" w:hAnsi="Arial" w:cs="Arial"/>
                <w:u w:val="double"/>
                <w:lang w:val="en-GB"/>
              </w:rPr>
            </w:pPr>
            <w:r w:rsidRPr="00CD0E79">
              <w:rPr>
                <w:rFonts w:ascii="Arial" w:hAnsi="Arial" w:cs="Arial"/>
                <w:u w:val="double"/>
                <w:lang w:val="en-GB"/>
              </w:rPr>
              <w:t>3,197,500</w:t>
            </w:r>
          </w:p>
        </w:tc>
        <w:tc>
          <w:tcPr>
            <w:tcW w:w="1155" w:type="dxa"/>
          </w:tcPr>
          <w:p w14:paraId="10B8EA86" w14:textId="77777777" w:rsidR="002576DD" w:rsidRPr="00CD0E79" w:rsidRDefault="002576DD" w:rsidP="00831E43">
            <w:pPr>
              <w:tabs>
                <w:tab w:val="decimal" w:pos="1040"/>
              </w:tabs>
              <w:rPr>
                <w:rFonts w:ascii="Arial" w:hAnsi="Arial" w:cs="Arial"/>
                <w:u w:val="double"/>
                <w:lang w:val="en-GB"/>
              </w:rPr>
            </w:pPr>
            <w:r w:rsidRPr="00CD0E79">
              <w:rPr>
                <w:rFonts w:ascii="Arial" w:hAnsi="Arial" w:cs="Arial"/>
                <w:u w:val="double"/>
                <w:lang w:val="en-GB"/>
              </w:rPr>
              <w:t>3,180,928</w:t>
            </w:r>
          </w:p>
        </w:tc>
      </w:tr>
      <w:tr w:rsidR="002576DD" w:rsidRPr="00CD0E79" w14:paraId="24B27B49" w14:textId="77777777" w:rsidTr="002B6EE7">
        <w:trPr>
          <w:tblHeader/>
        </w:trPr>
        <w:tc>
          <w:tcPr>
            <w:tcW w:w="4130" w:type="dxa"/>
          </w:tcPr>
          <w:p w14:paraId="137A05B8" w14:textId="77777777" w:rsidR="002576DD" w:rsidRPr="00CD0E79" w:rsidRDefault="002576DD" w:rsidP="00C2321B">
            <w:pPr>
              <w:rPr>
                <w:rFonts w:ascii="Arial" w:hAnsi="Arial" w:cs="Arial"/>
                <w:b/>
                <w:lang w:val="en-GB"/>
              </w:rPr>
            </w:pPr>
            <w:r w:rsidRPr="00CD0E79">
              <w:rPr>
                <w:rFonts w:ascii="Arial" w:hAnsi="Arial" w:cs="Arial"/>
                <w:b/>
                <w:lang w:val="en-GB"/>
              </w:rPr>
              <w:t xml:space="preserve">  Other Products</w:t>
            </w:r>
          </w:p>
        </w:tc>
        <w:tc>
          <w:tcPr>
            <w:tcW w:w="1146" w:type="dxa"/>
          </w:tcPr>
          <w:p w14:paraId="0ED13423" w14:textId="77777777" w:rsidR="002576DD" w:rsidRPr="00CD0E79" w:rsidRDefault="002576DD" w:rsidP="00831E43">
            <w:pPr>
              <w:tabs>
                <w:tab w:val="decimal" w:pos="1037"/>
              </w:tabs>
              <w:jc w:val="center"/>
              <w:rPr>
                <w:rFonts w:ascii="Arial" w:hAnsi="Arial" w:cs="Arial"/>
                <w:u w:val="double"/>
                <w:lang w:val="en-GB"/>
              </w:rPr>
            </w:pPr>
            <w:r w:rsidRPr="00CD0E79">
              <w:rPr>
                <w:rFonts w:ascii="Arial" w:hAnsi="Arial" w:cs="Arial"/>
                <w:u w:val="double"/>
                <w:lang w:val="en-GB"/>
              </w:rPr>
              <w:t>499,173</w:t>
            </w:r>
          </w:p>
        </w:tc>
        <w:tc>
          <w:tcPr>
            <w:tcW w:w="1147" w:type="dxa"/>
          </w:tcPr>
          <w:p w14:paraId="0AC9D84B" w14:textId="77777777" w:rsidR="002576DD" w:rsidRPr="00CD0E79" w:rsidRDefault="002576DD" w:rsidP="00831E43">
            <w:pPr>
              <w:tabs>
                <w:tab w:val="decimal" w:pos="1039"/>
              </w:tabs>
              <w:jc w:val="center"/>
              <w:rPr>
                <w:rFonts w:ascii="Arial" w:hAnsi="Arial" w:cs="Arial"/>
                <w:u w:val="double"/>
                <w:lang w:val="en-GB"/>
              </w:rPr>
            </w:pPr>
            <w:r w:rsidRPr="00CD0E79">
              <w:rPr>
                <w:rFonts w:ascii="Arial" w:hAnsi="Arial" w:cs="Arial"/>
                <w:u w:val="double"/>
                <w:lang w:val="en-GB"/>
              </w:rPr>
              <w:t>417,891</w:t>
            </w:r>
          </w:p>
        </w:tc>
        <w:tc>
          <w:tcPr>
            <w:tcW w:w="1155" w:type="dxa"/>
          </w:tcPr>
          <w:p w14:paraId="7C7B63D9" w14:textId="77777777" w:rsidR="002576DD" w:rsidRPr="00CD0E79" w:rsidRDefault="002576DD" w:rsidP="00831E43">
            <w:pPr>
              <w:tabs>
                <w:tab w:val="decimal" w:pos="1040"/>
              </w:tabs>
              <w:rPr>
                <w:rFonts w:ascii="Arial" w:hAnsi="Arial" w:cs="Arial"/>
                <w:u w:val="double"/>
                <w:lang w:val="en-GB"/>
              </w:rPr>
            </w:pPr>
            <w:r w:rsidRPr="00CD0E79">
              <w:rPr>
                <w:rFonts w:ascii="Arial" w:hAnsi="Arial" w:cs="Arial"/>
                <w:u w:val="double"/>
                <w:lang w:val="en-GB"/>
              </w:rPr>
              <w:t>543,453</w:t>
            </w:r>
          </w:p>
        </w:tc>
      </w:tr>
      <w:tr w:rsidR="002576DD" w:rsidRPr="00CD0E79" w14:paraId="5C51F63A" w14:textId="77777777" w:rsidTr="002B6EE7">
        <w:trPr>
          <w:tblHeader/>
        </w:trPr>
        <w:tc>
          <w:tcPr>
            <w:tcW w:w="4130" w:type="dxa"/>
          </w:tcPr>
          <w:p w14:paraId="6E30784F" w14:textId="77777777" w:rsidR="002576DD" w:rsidRPr="00CD0E79" w:rsidRDefault="002576DD" w:rsidP="00C2321B">
            <w:pPr>
              <w:rPr>
                <w:rFonts w:ascii="Arial" w:hAnsi="Arial" w:cs="Arial"/>
                <w:b/>
                <w:lang w:val="en-GB"/>
              </w:rPr>
            </w:pPr>
            <w:r w:rsidRPr="00CD0E79">
              <w:rPr>
                <w:rFonts w:ascii="Arial" w:hAnsi="Arial" w:cs="Arial"/>
                <w:b/>
                <w:lang w:val="en-GB"/>
              </w:rPr>
              <w:t xml:space="preserve">  Total Revenue</w:t>
            </w:r>
          </w:p>
        </w:tc>
        <w:tc>
          <w:tcPr>
            <w:tcW w:w="1146" w:type="dxa"/>
          </w:tcPr>
          <w:p w14:paraId="7346F7A3" w14:textId="77777777" w:rsidR="002576DD" w:rsidRPr="00CD0E79" w:rsidRDefault="002576DD" w:rsidP="00831E43">
            <w:pPr>
              <w:tabs>
                <w:tab w:val="decimal" w:pos="1037"/>
              </w:tabs>
              <w:jc w:val="center"/>
              <w:rPr>
                <w:rFonts w:ascii="Arial" w:hAnsi="Arial" w:cs="Arial"/>
                <w:b/>
                <w:u w:val="double"/>
                <w:lang w:val="en-GB"/>
              </w:rPr>
            </w:pPr>
            <w:r w:rsidRPr="00CD0E79">
              <w:rPr>
                <w:rFonts w:ascii="Arial" w:hAnsi="Arial" w:cs="Arial"/>
                <w:b/>
                <w:u w:val="double"/>
                <w:lang w:val="en-GB"/>
              </w:rPr>
              <w:t>3,583,267</w:t>
            </w:r>
          </w:p>
        </w:tc>
        <w:tc>
          <w:tcPr>
            <w:tcW w:w="1147" w:type="dxa"/>
          </w:tcPr>
          <w:p w14:paraId="04971790" w14:textId="77777777" w:rsidR="002576DD" w:rsidRPr="00CD0E79" w:rsidRDefault="002576DD" w:rsidP="00831E43">
            <w:pPr>
              <w:tabs>
                <w:tab w:val="decimal" w:pos="1039"/>
              </w:tabs>
              <w:jc w:val="center"/>
              <w:rPr>
                <w:rFonts w:ascii="Arial" w:hAnsi="Arial" w:cs="Arial"/>
                <w:b/>
                <w:u w:val="double"/>
                <w:lang w:val="en-GB"/>
              </w:rPr>
            </w:pPr>
            <w:r w:rsidRPr="00CD0E79">
              <w:rPr>
                <w:rFonts w:ascii="Arial" w:hAnsi="Arial" w:cs="Arial"/>
                <w:b/>
                <w:u w:val="double"/>
                <w:lang w:val="en-GB"/>
              </w:rPr>
              <w:t>3,615,391</w:t>
            </w:r>
          </w:p>
        </w:tc>
        <w:tc>
          <w:tcPr>
            <w:tcW w:w="1155" w:type="dxa"/>
          </w:tcPr>
          <w:p w14:paraId="336F9FCB" w14:textId="77777777" w:rsidR="002576DD" w:rsidRPr="00CD0E79" w:rsidRDefault="002576DD" w:rsidP="00831E43">
            <w:pPr>
              <w:tabs>
                <w:tab w:val="decimal" w:pos="1040"/>
              </w:tabs>
              <w:rPr>
                <w:rFonts w:ascii="Arial" w:hAnsi="Arial" w:cs="Arial"/>
                <w:b/>
                <w:u w:val="double"/>
                <w:lang w:val="en-GB"/>
              </w:rPr>
            </w:pPr>
            <w:r w:rsidRPr="00CD0E79">
              <w:rPr>
                <w:rFonts w:ascii="Arial" w:hAnsi="Arial" w:cs="Arial"/>
                <w:b/>
                <w:u w:val="double"/>
                <w:lang w:val="en-GB"/>
              </w:rPr>
              <w:t>3,724,381</w:t>
            </w:r>
          </w:p>
        </w:tc>
      </w:tr>
      <w:tr w:rsidR="002576DD" w:rsidRPr="00CD0E79" w14:paraId="09E1D90E" w14:textId="77777777" w:rsidTr="002B6EE7">
        <w:trPr>
          <w:tblHeader/>
        </w:trPr>
        <w:tc>
          <w:tcPr>
            <w:tcW w:w="4130" w:type="dxa"/>
          </w:tcPr>
          <w:p w14:paraId="4F5FF3D9" w14:textId="77777777" w:rsidR="002576DD" w:rsidRPr="00CD0E79" w:rsidRDefault="002576DD" w:rsidP="00C2321B">
            <w:pPr>
              <w:rPr>
                <w:rFonts w:ascii="Arial" w:hAnsi="Arial" w:cs="Arial"/>
                <w:b/>
                <w:lang w:val="en-GB"/>
              </w:rPr>
            </w:pPr>
            <w:r w:rsidRPr="00CD0E79">
              <w:rPr>
                <w:rFonts w:ascii="Arial" w:hAnsi="Arial" w:cs="Arial"/>
                <w:b/>
                <w:lang w:val="en-GB"/>
              </w:rPr>
              <w:t>Cost of Sales</w:t>
            </w:r>
          </w:p>
        </w:tc>
        <w:tc>
          <w:tcPr>
            <w:tcW w:w="1146" w:type="dxa"/>
          </w:tcPr>
          <w:p w14:paraId="2E15D4DA" w14:textId="77777777" w:rsidR="002576DD" w:rsidRPr="00CD0E79" w:rsidRDefault="002576DD" w:rsidP="00831E43">
            <w:pPr>
              <w:tabs>
                <w:tab w:val="decimal" w:pos="1037"/>
              </w:tabs>
              <w:jc w:val="right"/>
              <w:rPr>
                <w:rFonts w:ascii="Arial" w:hAnsi="Arial" w:cs="Arial"/>
                <w:lang w:val="en-GB"/>
              </w:rPr>
            </w:pPr>
          </w:p>
        </w:tc>
        <w:tc>
          <w:tcPr>
            <w:tcW w:w="1147" w:type="dxa"/>
          </w:tcPr>
          <w:p w14:paraId="16938DC2" w14:textId="77777777" w:rsidR="002576DD" w:rsidRPr="00CD0E79" w:rsidRDefault="002576DD" w:rsidP="00831E43">
            <w:pPr>
              <w:tabs>
                <w:tab w:val="decimal" w:pos="1039"/>
              </w:tabs>
              <w:jc w:val="right"/>
              <w:rPr>
                <w:rFonts w:ascii="Arial" w:hAnsi="Arial" w:cs="Arial"/>
                <w:lang w:val="en-GB"/>
              </w:rPr>
            </w:pPr>
          </w:p>
        </w:tc>
        <w:tc>
          <w:tcPr>
            <w:tcW w:w="1155" w:type="dxa"/>
          </w:tcPr>
          <w:p w14:paraId="35B207CB" w14:textId="77777777" w:rsidR="002576DD" w:rsidRPr="00CD0E79" w:rsidRDefault="002576DD" w:rsidP="00831E43">
            <w:pPr>
              <w:tabs>
                <w:tab w:val="decimal" w:pos="1040"/>
              </w:tabs>
              <w:jc w:val="right"/>
              <w:rPr>
                <w:rFonts w:ascii="Arial" w:hAnsi="Arial" w:cs="Arial"/>
                <w:lang w:val="en-GB"/>
              </w:rPr>
            </w:pPr>
          </w:p>
        </w:tc>
      </w:tr>
      <w:tr w:rsidR="002576DD" w:rsidRPr="00CD0E79" w14:paraId="56711859" w14:textId="77777777" w:rsidTr="002B6EE7">
        <w:trPr>
          <w:tblHeader/>
        </w:trPr>
        <w:tc>
          <w:tcPr>
            <w:tcW w:w="4130" w:type="dxa"/>
          </w:tcPr>
          <w:p w14:paraId="3850AD8D" w14:textId="77777777" w:rsidR="002576DD" w:rsidRPr="00CD0E79" w:rsidRDefault="002576DD" w:rsidP="00C2321B">
            <w:pPr>
              <w:rPr>
                <w:rFonts w:ascii="Arial" w:hAnsi="Arial" w:cs="Arial"/>
                <w:b/>
                <w:lang w:val="en-GB"/>
              </w:rPr>
            </w:pPr>
            <w:r w:rsidRPr="00CD0E79">
              <w:rPr>
                <w:rFonts w:ascii="Arial" w:hAnsi="Arial" w:cs="Arial"/>
                <w:lang w:val="en-GB"/>
              </w:rPr>
              <w:t xml:space="preserve">  </w:t>
            </w:r>
            <w:r w:rsidRPr="00CD0E79">
              <w:rPr>
                <w:rFonts w:ascii="Arial" w:hAnsi="Arial" w:cs="Arial"/>
                <w:b/>
                <w:lang w:val="en-GB"/>
              </w:rPr>
              <w:t>Raw Materials</w:t>
            </w:r>
          </w:p>
        </w:tc>
        <w:tc>
          <w:tcPr>
            <w:tcW w:w="1146" w:type="dxa"/>
          </w:tcPr>
          <w:p w14:paraId="5ADCE571" w14:textId="77777777" w:rsidR="002576DD" w:rsidRPr="00CD0E79" w:rsidRDefault="002576DD" w:rsidP="00831E43">
            <w:pPr>
              <w:tabs>
                <w:tab w:val="decimal" w:pos="1037"/>
              </w:tabs>
              <w:jc w:val="right"/>
              <w:rPr>
                <w:rFonts w:ascii="Arial" w:hAnsi="Arial" w:cs="Arial"/>
                <w:lang w:val="en-GB"/>
              </w:rPr>
            </w:pPr>
          </w:p>
        </w:tc>
        <w:tc>
          <w:tcPr>
            <w:tcW w:w="1147" w:type="dxa"/>
          </w:tcPr>
          <w:p w14:paraId="675B03DA" w14:textId="77777777" w:rsidR="002576DD" w:rsidRPr="00CD0E79" w:rsidRDefault="002576DD" w:rsidP="00831E43">
            <w:pPr>
              <w:tabs>
                <w:tab w:val="decimal" w:pos="1039"/>
              </w:tabs>
              <w:jc w:val="right"/>
              <w:rPr>
                <w:rFonts w:ascii="Arial" w:hAnsi="Arial" w:cs="Arial"/>
                <w:lang w:val="en-GB"/>
              </w:rPr>
            </w:pPr>
          </w:p>
        </w:tc>
        <w:tc>
          <w:tcPr>
            <w:tcW w:w="1155" w:type="dxa"/>
          </w:tcPr>
          <w:p w14:paraId="29AFC04D" w14:textId="77777777" w:rsidR="002576DD" w:rsidRPr="00CD0E79" w:rsidRDefault="002576DD" w:rsidP="00831E43">
            <w:pPr>
              <w:tabs>
                <w:tab w:val="decimal" w:pos="1040"/>
              </w:tabs>
              <w:jc w:val="right"/>
              <w:rPr>
                <w:rFonts w:ascii="Arial" w:hAnsi="Arial" w:cs="Arial"/>
                <w:lang w:val="en-GB"/>
              </w:rPr>
            </w:pPr>
          </w:p>
        </w:tc>
      </w:tr>
      <w:tr w:rsidR="002576DD" w:rsidRPr="00CD0E79" w14:paraId="55A1AFED" w14:textId="77777777" w:rsidTr="002B6EE7">
        <w:trPr>
          <w:tblHeader/>
        </w:trPr>
        <w:tc>
          <w:tcPr>
            <w:tcW w:w="4130" w:type="dxa"/>
          </w:tcPr>
          <w:p w14:paraId="4BBFE805" w14:textId="77777777" w:rsidR="002576DD" w:rsidRPr="00CD0E79" w:rsidRDefault="002576DD" w:rsidP="00C2321B">
            <w:pPr>
              <w:rPr>
                <w:rFonts w:ascii="Arial" w:hAnsi="Arial" w:cs="Arial"/>
                <w:lang w:val="en-GB"/>
              </w:rPr>
            </w:pPr>
            <w:r w:rsidRPr="00CD0E79">
              <w:rPr>
                <w:rFonts w:ascii="Arial" w:hAnsi="Arial" w:cs="Arial"/>
                <w:lang w:val="en-GB"/>
              </w:rPr>
              <w:t xml:space="preserve">  Fresh Milk</w:t>
            </w:r>
          </w:p>
        </w:tc>
        <w:tc>
          <w:tcPr>
            <w:tcW w:w="1146" w:type="dxa"/>
          </w:tcPr>
          <w:p w14:paraId="36317FA4" w14:textId="77777777" w:rsidR="002576DD" w:rsidRPr="00CD0E79" w:rsidRDefault="002576DD" w:rsidP="00831E43">
            <w:pPr>
              <w:tabs>
                <w:tab w:val="decimal" w:pos="1037"/>
              </w:tabs>
              <w:rPr>
                <w:rFonts w:ascii="Arial" w:hAnsi="Arial" w:cs="Arial"/>
                <w:lang w:val="en-GB"/>
              </w:rPr>
            </w:pPr>
            <w:r w:rsidRPr="00CD0E79">
              <w:rPr>
                <w:rFonts w:ascii="Arial" w:hAnsi="Arial" w:cs="Arial"/>
                <w:lang w:val="en-GB"/>
              </w:rPr>
              <w:t>629,098</w:t>
            </w:r>
          </w:p>
        </w:tc>
        <w:tc>
          <w:tcPr>
            <w:tcW w:w="1147" w:type="dxa"/>
          </w:tcPr>
          <w:p w14:paraId="23FA840E" w14:textId="77777777" w:rsidR="002576DD" w:rsidRPr="00CD0E79" w:rsidRDefault="002576DD" w:rsidP="00831E43">
            <w:pPr>
              <w:tabs>
                <w:tab w:val="decimal" w:pos="1039"/>
              </w:tabs>
              <w:rPr>
                <w:rFonts w:ascii="Arial" w:hAnsi="Arial" w:cs="Arial"/>
                <w:lang w:val="en-GB"/>
              </w:rPr>
            </w:pPr>
            <w:r w:rsidRPr="00CD0E79">
              <w:rPr>
                <w:rFonts w:ascii="Arial" w:hAnsi="Arial" w:cs="Arial"/>
                <w:lang w:val="en-GB"/>
              </w:rPr>
              <w:t>567,188</w:t>
            </w:r>
          </w:p>
        </w:tc>
        <w:tc>
          <w:tcPr>
            <w:tcW w:w="1155" w:type="dxa"/>
          </w:tcPr>
          <w:p w14:paraId="5CA8DFE1" w14:textId="77777777" w:rsidR="002576DD" w:rsidRPr="00CD0E79" w:rsidRDefault="002576DD" w:rsidP="00831E43">
            <w:pPr>
              <w:tabs>
                <w:tab w:val="decimal" w:pos="1040"/>
              </w:tabs>
              <w:rPr>
                <w:rFonts w:ascii="Arial" w:hAnsi="Arial" w:cs="Arial"/>
                <w:lang w:val="en-GB"/>
              </w:rPr>
            </w:pPr>
            <w:r w:rsidRPr="00CD0E79">
              <w:rPr>
                <w:rFonts w:ascii="Arial" w:hAnsi="Arial" w:cs="Arial"/>
                <w:lang w:val="en-GB"/>
              </w:rPr>
              <w:t>569,915</w:t>
            </w:r>
          </w:p>
        </w:tc>
      </w:tr>
      <w:tr w:rsidR="002576DD" w:rsidRPr="00CD0E79" w14:paraId="6ECCC313" w14:textId="77777777" w:rsidTr="002B6EE7">
        <w:trPr>
          <w:tblHeader/>
        </w:trPr>
        <w:tc>
          <w:tcPr>
            <w:tcW w:w="4130" w:type="dxa"/>
          </w:tcPr>
          <w:p w14:paraId="36E6F43C" w14:textId="77777777" w:rsidR="002576DD" w:rsidRPr="00CD0E79" w:rsidRDefault="002576DD" w:rsidP="00C2321B">
            <w:pPr>
              <w:rPr>
                <w:rFonts w:ascii="Arial" w:hAnsi="Arial" w:cs="Arial"/>
                <w:lang w:val="en-GB"/>
              </w:rPr>
            </w:pPr>
            <w:r w:rsidRPr="00CD0E79">
              <w:rPr>
                <w:rFonts w:ascii="Arial" w:hAnsi="Arial" w:cs="Arial"/>
                <w:lang w:val="en-GB"/>
              </w:rPr>
              <w:t xml:space="preserve">  Packaging Materials</w:t>
            </w:r>
          </w:p>
        </w:tc>
        <w:tc>
          <w:tcPr>
            <w:tcW w:w="1146" w:type="dxa"/>
          </w:tcPr>
          <w:p w14:paraId="58331C80" w14:textId="77777777" w:rsidR="002576DD" w:rsidRPr="00CD0E79" w:rsidRDefault="002576DD" w:rsidP="00831E43">
            <w:pPr>
              <w:tabs>
                <w:tab w:val="decimal" w:pos="1037"/>
              </w:tabs>
              <w:rPr>
                <w:rFonts w:ascii="Arial" w:hAnsi="Arial" w:cs="Arial"/>
                <w:lang w:val="en-GB"/>
              </w:rPr>
            </w:pPr>
            <w:r w:rsidRPr="00CD0E79">
              <w:rPr>
                <w:rFonts w:ascii="Arial" w:hAnsi="Arial" w:cs="Arial"/>
                <w:lang w:val="en-GB"/>
              </w:rPr>
              <w:t>189,076</w:t>
            </w:r>
          </w:p>
        </w:tc>
        <w:tc>
          <w:tcPr>
            <w:tcW w:w="1147" w:type="dxa"/>
          </w:tcPr>
          <w:p w14:paraId="3BD93936" w14:textId="77777777" w:rsidR="002576DD" w:rsidRPr="00CD0E79" w:rsidRDefault="002576DD" w:rsidP="00831E43">
            <w:pPr>
              <w:tabs>
                <w:tab w:val="decimal" w:pos="1039"/>
              </w:tabs>
              <w:rPr>
                <w:rFonts w:ascii="Arial" w:hAnsi="Arial" w:cs="Arial"/>
                <w:lang w:val="en-GB"/>
              </w:rPr>
            </w:pPr>
            <w:r w:rsidRPr="00CD0E79">
              <w:rPr>
                <w:rFonts w:ascii="Arial" w:hAnsi="Arial" w:cs="Arial"/>
                <w:lang w:val="en-GB"/>
              </w:rPr>
              <w:t>189,864</w:t>
            </w:r>
          </w:p>
        </w:tc>
        <w:tc>
          <w:tcPr>
            <w:tcW w:w="1155" w:type="dxa"/>
          </w:tcPr>
          <w:p w14:paraId="177496E0" w14:textId="77777777" w:rsidR="002576DD" w:rsidRPr="00CD0E79" w:rsidRDefault="002576DD" w:rsidP="00831E43">
            <w:pPr>
              <w:tabs>
                <w:tab w:val="decimal" w:pos="1040"/>
              </w:tabs>
              <w:rPr>
                <w:rFonts w:ascii="Arial" w:hAnsi="Arial" w:cs="Arial"/>
                <w:lang w:val="en-GB"/>
              </w:rPr>
            </w:pPr>
            <w:r w:rsidRPr="00CD0E79">
              <w:rPr>
                <w:rFonts w:ascii="Arial" w:hAnsi="Arial" w:cs="Arial"/>
                <w:lang w:val="en-GB"/>
              </w:rPr>
              <w:t>237,558</w:t>
            </w:r>
          </w:p>
        </w:tc>
      </w:tr>
      <w:tr w:rsidR="002576DD" w:rsidRPr="00CD0E79" w14:paraId="4744475E" w14:textId="77777777" w:rsidTr="002B6EE7">
        <w:trPr>
          <w:tblHeader/>
        </w:trPr>
        <w:tc>
          <w:tcPr>
            <w:tcW w:w="4130" w:type="dxa"/>
          </w:tcPr>
          <w:p w14:paraId="4064967B" w14:textId="77777777" w:rsidR="002576DD" w:rsidRPr="00CD0E79" w:rsidRDefault="002576DD" w:rsidP="00C2321B">
            <w:pPr>
              <w:rPr>
                <w:rFonts w:ascii="Arial" w:hAnsi="Arial" w:cs="Arial"/>
                <w:lang w:val="en-GB"/>
              </w:rPr>
            </w:pPr>
            <w:r w:rsidRPr="00CD0E79">
              <w:rPr>
                <w:rFonts w:ascii="Arial" w:hAnsi="Arial" w:cs="Arial"/>
                <w:lang w:val="en-GB"/>
              </w:rPr>
              <w:t xml:space="preserve">  Whey Protein Powder</w:t>
            </w:r>
          </w:p>
        </w:tc>
        <w:tc>
          <w:tcPr>
            <w:tcW w:w="1146" w:type="dxa"/>
          </w:tcPr>
          <w:p w14:paraId="53FD2A56" w14:textId="77777777" w:rsidR="002576DD" w:rsidRPr="00CD0E79" w:rsidRDefault="002576DD" w:rsidP="00831E43">
            <w:pPr>
              <w:tabs>
                <w:tab w:val="decimal" w:pos="1037"/>
              </w:tabs>
              <w:rPr>
                <w:rFonts w:ascii="Arial" w:hAnsi="Arial" w:cs="Arial"/>
                <w:lang w:val="en-GB"/>
              </w:rPr>
            </w:pPr>
            <w:r w:rsidRPr="00CD0E79">
              <w:rPr>
                <w:rFonts w:ascii="Arial" w:hAnsi="Arial" w:cs="Arial"/>
                <w:lang w:val="en-GB"/>
              </w:rPr>
              <w:t>173,295</w:t>
            </w:r>
          </w:p>
        </w:tc>
        <w:tc>
          <w:tcPr>
            <w:tcW w:w="1147" w:type="dxa"/>
          </w:tcPr>
          <w:p w14:paraId="324E08AC" w14:textId="77777777" w:rsidR="002576DD" w:rsidRPr="00CD0E79" w:rsidRDefault="002576DD" w:rsidP="00831E43">
            <w:pPr>
              <w:tabs>
                <w:tab w:val="decimal" w:pos="1039"/>
              </w:tabs>
              <w:rPr>
                <w:rFonts w:ascii="Arial" w:hAnsi="Arial" w:cs="Arial"/>
                <w:lang w:val="en-GB"/>
              </w:rPr>
            </w:pPr>
            <w:r w:rsidRPr="00CD0E79">
              <w:rPr>
                <w:rFonts w:ascii="Arial" w:hAnsi="Arial" w:cs="Arial"/>
                <w:lang w:val="en-GB"/>
              </w:rPr>
              <w:t>150,083</w:t>
            </w:r>
          </w:p>
        </w:tc>
        <w:tc>
          <w:tcPr>
            <w:tcW w:w="1155" w:type="dxa"/>
          </w:tcPr>
          <w:p w14:paraId="76AF89BE" w14:textId="77777777" w:rsidR="002576DD" w:rsidRPr="00CD0E79" w:rsidRDefault="002576DD" w:rsidP="00831E43">
            <w:pPr>
              <w:tabs>
                <w:tab w:val="decimal" w:pos="1040"/>
              </w:tabs>
              <w:rPr>
                <w:rFonts w:ascii="Arial" w:hAnsi="Arial" w:cs="Arial"/>
                <w:lang w:val="en-GB"/>
              </w:rPr>
            </w:pPr>
            <w:r w:rsidRPr="00CD0E79">
              <w:rPr>
                <w:rFonts w:ascii="Arial" w:hAnsi="Arial" w:cs="Arial"/>
                <w:lang w:val="en-GB"/>
              </w:rPr>
              <w:t>111,576</w:t>
            </w:r>
          </w:p>
        </w:tc>
      </w:tr>
      <w:tr w:rsidR="002576DD" w:rsidRPr="00CD0E79" w14:paraId="107811AA" w14:textId="77777777" w:rsidTr="002B6EE7">
        <w:trPr>
          <w:tblHeader/>
        </w:trPr>
        <w:tc>
          <w:tcPr>
            <w:tcW w:w="4130" w:type="dxa"/>
          </w:tcPr>
          <w:p w14:paraId="2172B90B" w14:textId="77777777" w:rsidR="002576DD" w:rsidRPr="00CD0E79" w:rsidRDefault="002576DD" w:rsidP="00C2321B">
            <w:pPr>
              <w:rPr>
                <w:rFonts w:ascii="Arial" w:hAnsi="Arial" w:cs="Arial"/>
                <w:lang w:val="en-GB"/>
              </w:rPr>
            </w:pPr>
            <w:r w:rsidRPr="00CD0E79">
              <w:rPr>
                <w:rFonts w:ascii="Arial" w:hAnsi="Arial" w:cs="Arial"/>
                <w:lang w:val="en-GB"/>
              </w:rPr>
              <w:t xml:space="preserve">  Mixed Vegetable Oils</w:t>
            </w:r>
          </w:p>
        </w:tc>
        <w:tc>
          <w:tcPr>
            <w:tcW w:w="1146" w:type="dxa"/>
          </w:tcPr>
          <w:p w14:paraId="0D92655D" w14:textId="77777777" w:rsidR="002576DD" w:rsidRPr="00CD0E79" w:rsidRDefault="002576DD" w:rsidP="00831E43">
            <w:pPr>
              <w:tabs>
                <w:tab w:val="decimal" w:pos="1037"/>
              </w:tabs>
              <w:rPr>
                <w:rFonts w:ascii="Arial" w:hAnsi="Arial" w:cs="Arial"/>
                <w:lang w:val="en-GB"/>
              </w:rPr>
            </w:pPr>
            <w:r w:rsidRPr="00CD0E79">
              <w:rPr>
                <w:rFonts w:ascii="Arial" w:hAnsi="Arial" w:cs="Arial"/>
                <w:lang w:val="en-GB"/>
              </w:rPr>
              <w:t>52,157</w:t>
            </w:r>
          </w:p>
        </w:tc>
        <w:tc>
          <w:tcPr>
            <w:tcW w:w="1147" w:type="dxa"/>
          </w:tcPr>
          <w:p w14:paraId="44476545" w14:textId="77777777" w:rsidR="002576DD" w:rsidRPr="00CD0E79" w:rsidRDefault="002576DD" w:rsidP="00831E43">
            <w:pPr>
              <w:tabs>
                <w:tab w:val="decimal" w:pos="1039"/>
              </w:tabs>
              <w:rPr>
                <w:rFonts w:ascii="Arial" w:hAnsi="Arial" w:cs="Arial"/>
                <w:lang w:val="en-GB"/>
              </w:rPr>
            </w:pPr>
            <w:r w:rsidRPr="00CD0E79">
              <w:rPr>
                <w:rFonts w:ascii="Arial" w:hAnsi="Arial" w:cs="Arial"/>
                <w:lang w:val="en-GB"/>
              </w:rPr>
              <w:t>43,415</w:t>
            </w:r>
          </w:p>
        </w:tc>
        <w:tc>
          <w:tcPr>
            <w:tcW w:w="1155" w:type="dxa"/>
          </w:tcPr>
          <w:p w14:paraId="0204E2A9" w14:textId="1B49BD7A" w:rsidR="002576DD" w:rsidRPr="00CD0E79" w:rsidRDefault="002576DD" w:rsidP="00831E43">
            <w:pPr>
              <w:tabs>
                <w:tab w:val="decimal" w:pos="1040"/>
              </w:tabs>
              <w:rPr>
                <w:rFonts w:ascii="Arial" w:hAnsi="Arial" w:cs="Arial"/>
                <w:lang w:val="en-GB"/>
              </w:rPr>
            </w:pPr>
            <w:r w:rsidRPr="00CD0E79">
              <w:rPr>
                <w:rFonts w:ascii="Arial" w:hAnsi="Arial" w:cs="Arial"/>
                <w:lang w:val="en-GB"/>
              </w:rPr>
              <w:t>57,728</w:t>
            </w:r>
          </w:p>
        </w:tc>
      </w:tr>
      <w:tr w:rsidR="002576DD" w:rsidRPr="00CD0E79" w14:paraId="038F34D3" w14:textId="77777777" w:rsidTr="002B6EE7">
        <w:trPr>
          <w:tblHeader/>
        </w:trPr>
        <w:tc>
          <w:tcPr>
            <w:tcW w:w="4130" w:type="dxa"/>
          </w:tcPr>
          <w:p w14:paraId="694A56F0" w14:textId="77777777" w:rsidR="002576DD" w:rsidRPr="00CD0E79" w:rsidRDefault="002576DD" w:rsidP="00C2321B">
            <w:pPr>
              <w:rPr>
                <w:rFonts w:ascii="Arial" w:hAnsi="Arial" w:cs="Arial"/>
                <w:lang w:val="en-GB"/>
              </w:rPr>
            </w:pPr>
            <w:r w:rsidRPr="00CD0E79">
              <w:rPr>
                <w:rFonts w:ascii="Arial" w:hAnsi="Arial" w:cs="Arial"/>
                <w:lang w:val="en-GB"/>
              </w:rPr>
              <w:t xml:space="preserve">  Non-Fat Milk Powder</w:t>
            </w:r>
          </w:p>
        </w:tc>
        <w:tc>
          <w:tcPr>
            <w:tcW w:w="1146" w:type="dxa"/>
          </w:tcPr>
          <w:p w14:paraId="73EFF717" w14:textId="77777777" w:rsidR="002576DD" w:rsidRPr="00CD0E79" w:rsidRDefault="002576DD" w:rsidP="00831E43">
            <w:pPr>
              <w:tabs>
                <w:tab w:val="decimal" w:pos="1037"/>
              </w:tabs>
              <w:rPr>
                <w:rFonts w:ascii="Arial" w:hAnsi="Arial" w:cs="Arial"/>
                <w:lang w:val="en-GB"/>
              </w:rPr>
            </w:pPr>
            <w:r w:rsidRPr="00CD0E79">
              <w:rPr>
                <w:rFonts w:ascii="Arial" w:hAnsi="Arial" w:cs="Arial"/>
                <w:lang w:val="en-GB"/>
              </w:rPr>
              <w:t>59,308</w:t>
            </w:r>
          </w:p>
        </w:tc>
        <w:tc>
          <w:tcPr>
            <w:tcW w:w="1147" w:type="dxa"/>
          </w:tcPr>
          <w:p w14:paraId="57E71248" w14:textId="77777777" w:rsidR="002576DD" w:rsidRPr="00CD0E79" w:rsidRDefault="002576DD" w:rsidP="00831E43">
            <w:pPr>
              <w:tabs>
                <w:tab w:val="decimal" w:pos="1039"/>
              </w:tabs>
              <w:rPr>
                <w:rFonts w:ascii="Arial" w:hAnsi="Arial" w:cs="Arial"/>
                <w:lang w:val="en-GB"/>
              </w:rPr>
            </w:pPr>
            <w:r w:rsidRPr="00CD0E79">
              <w:rPr>
                <w:rFonts w:ascii="Arial" w:hAnsi="Arial" w:cs="Arial"/>
                <w:lang w:val="en-GB"/>
              </w:rPr>
              <w:t>40,086</w:t>
            </w:r>
          </w:p>
        </w:tc>
        <w:tc>
          <w:tcPr>
            <w:tcW w:w="1155" w:type="dxa"/>
          </w:tcPr>
          <w:p w14:paraId="56B547C5" w14:textId="77777777" w:rsidR="002576DD" w:rsidRPr="00CD0E79" w:rsidRDefault="002576DD" w:rsidP="00831E43">
            <w:pPr>
              <w:tabs>
                <w:tab w:val="decimal" w:pos="1040"/>
              </w:tabs>
              <w:rPr>
                <w:rFonts w:ascii="Arial" w:hAnsi="Arial" w:cs="Arial"/>
                <w:lang w:val="en-GB"/>
              </w:rPr>
            </w:pPr>
            <w:r w:rsidRPr="00CD0E79">
              <w:rPr>
                <w:rFonts w:ascii="Arial" w:hAnsi="Arial" w:cs="Arial"/>
                <w:lang w:val="en-GB"/>
              </w:rPr>
              <w:t>43,945</w:t>
            </w:r>
          </w:p>
        </w:tc>
      </w:tr>
      <w:tr w:rsidR="002576DD" w:rsidRPr="00CD0E79" w14:paraId="138F01F3" w14:textId="77777777" w:rsidTr="002B6EE7">
        <w:trPr>
          <w:tblHeader/>
        </w:trPr>
        <w:tc>
          <w:tcPr>
            <w:tcW w:w="4130" w:type="dxa"/>
          </w:tcPr>
          <w:p w14:paraId="27EA377B" w14:textId="77777777" w:rsidR="002576DD" w:rsidRPr="00CD0E79" w:rsidRDefault="002576DD" w:rsidP="00C2321B">
            <w:pPr>
              <w:rPr>
                <w:rFonts w:ascii="Arial" w:hAnsi="Arial" w:cs="Arial"/>
                <w:lang w:val="en-GB"/>
              </w:rPr>
            </w:pPr>
            <w:r w:rsidRPr="00CD0E79">
              <w:rPr>
                <w:rFonts w:ascii="Arial" w:hAnsi="Arial" w:cs="Arial"/>
                <w:lang w:val="en-GB"/>
              </w:rPr>
              <w:t xml:space="preserve">  Alpha-lactalbumin</w:t>
            </w:r>
          </w:p>
        </w:tc>
        <w:tc>
          <w:tcPr>
            <w:tcW w:w="1146" w:type="dxa"/>
          </w:tcPr>
          <w:p w14:paraId="5F41DBD0" w14:textId="77777777" w:rsidR="002576DD" w:rsidRPr="00CD0E79" w:rsidRDefault="002576DD" w:rsidP="00831E43">
            <w:pPr>
              <w:tabs>
                <w:tab w:val="decimal" w:pos="1037"/>
              </w:tabs>
              <w:rPr>
                <w:rFonts w:ascii="Arial" w:hAnsi="Arial" w:cs="Arial"/>
                <w:lang w:val="en-GB"/>
              </w:rPr>
            </w:pPr>
            <w:r w:rsidRPr="00CD0E79">
              <w:rPr>
                <w:rFonts w:ascii="Arial" w:hAnsi="Arial" w:cs="Arial"/>
                <w:lang w:val="en-GB"/>
              </w:rPr>
              <w:t>36,678</w:t>
            </w:r>
          </w:p>
        </w:tc>
        <w:tc>
          <w:tcPr>
            <w:tcW w:w="1147" w:type="dxa"/>
          </w:tcPr>
          <w:p w14:paraId="7C9AB5E4" w14:textId="77777777" w:rsidR="002576DD" w:rsidRPr="00CD0E79" w:rsidRDefault="002576DD" w:rsidP="00831E43">
            <w:pPr>
              <w:tabs>
                <w:tab w:val="decimal" w:pos="1039"/>
              </w:tabs>
              <w:rPr>
                <w:rFonts w:ascii="Arial" w:hAnsi="Arial" w:cs="Arial"/>
                <w:lang w:val="en-GB"/>
              </w:rPr>
            </w:pPr>
            <w:r w:rsidRPr="00CD0E79">
              <w:rPr>
                <w:rFonts w:ascii="Arial" w:hAnsi="Arial" w:cs="Arial"/>
                <w:lang w:val="en-GB"/>
              </w:rPr>
              <w:t>29,334</w:t>
            </w:r>
          </w:p>
        </w:tc>
        <w:tc>
          <w:tcPr>
            <w:tcW w:w="1155" w:type="dxa"/>
          </w:tcPr>
          <w:p w14:paraId="5640EB48" w14:textId="77777777" w:rsidR="002576DD" w:rsidRPr="00CD0E79" w:rsidRDefault="002576DD" w:rsidP="00831E43">
            <w:pPr>
              <w:tabs>
                <w:tab w:val="decimal" w:pos="1040"/>
              </w:tabs>
              <w:rPr>
                <w:rFonts w:ascii="Arial" w:hAnsi="Arial" w:cs="Arial"/>
                <w:lang w:val="en-GB"/>
              </w:rPr>
            </w:pPr>
            <w:r w:rsidRPr="00CD0E79">
              <w:rPr>
                <w:rFonts w:ascii="Arial" w:hAnsi="Arial" w:cs="Arial"/>
                <w:lang w:val="en-GB"/>
              </w:rPr>
              <w:t>27,902</w:t>
            </w:r>
          </w:p>
        </w:tc>
      </w:tr>
      <w:tr w:rsidR="002576DD" w:rsidRPr="00CD0E79" w14:paraId="4024BB14" w14:textId="77777777" w:rsidTr="002B6EE7">
        <w:trPr>
          <w:tblHeader/>
        </w:trPr>
        <w:tc>
          <w:tcPr>
            <w:tcW w:w="4130" w:type="dxa"/>
          </w:tcPr>
          <w:p w14:paraId="704A841E" w14:textId="77777777" w:rsidR="002576DD" w:rsidRPr="00CD0E79" w:rsidRDefault="002576DD" w:rsidP="00C2321B">
            <w:pPr>
              <w:rPr>
                <w:rFonts w:ascii="Arial" w:hAnsi="Arial" w:cs="Arial"/>
                <w:lang w:val="en-GB"/>
              </w:rPr>
            </w:pPr>
            <w:r w:rsidRPr="00CD0E79">
              <w:rPr>
                <w:rFonts w:ascii="Arial" w:hAnsi="Arial" w:cs="Arial"/>
                <w:lang w:val="en-GB"/>
              </w:rPr>
              <w:t xml:space="preserve">  Others</w:t>
            </w:r>
          </w:p>
        </w:tc>
        <w:tc>
          <w:tcPr>
            <w:tcW w:w="1146" w:type="dxa"/>
          </w:tcPr>
          <w:p w14:paraId="30501FD1" w14:textId="77777777" w:rsidR="002576DD" w:rsidRPr="00CD0E79" w:rsidRDefault="002576DD" w:rsidP="00831E43">
            <w:pPr>
              <w:tabs>
                <w:tab w:val="decimal" w:pos="1037"/>
              </w:tabs>
              <w:rPr>
                <w:rFonts w:ascii="Arial" w:hAnsi="Arial" w:cs="Arial"/>
                <w:lang w:val="en-GB"/>
              </w:rPr>
            </w:pPr>
            <w:r w:rsidRPr="00CD0E79">
              <w:rPr>
                <w:rFonts w:ascii="Arial" w:hAnsi="Arial" w:cs="Arial"/>
                <w:lang w:val="en-GB"/>
              </w:rPr>
              <w:t>565,803</w:t>
            </w:r>
          </w:p>
        </w:tc>
        <w:tc>
          <w:tcPr>
            <w:tcW w:w="1147" w:type="dxa"/>
          </w:tcPr>
          <w:p w14:paraId="0CE172AA" w14:textId="77777777" w:rsidR="002576DD" w:rsidRPr="00CD0E79" w:rsidRDefault="002576DD" w:rsidP="00831E43">
            <w:pPr>
              <w:tabs>
                <w:tab w:val="decimal" w:pos="1039"/>
              </w:tabs>
              <w:rPr>
                <w:rFonts w:ascii="Arial" w:hAnsi="Arial" w:cs="Arial"/>
                <w:lang w:val="en-GB"/>
              </w:rPr>
            </w:pPr>
            <w:r w:rsidRPr="00CD0E79">
              <w:rPr>
                <w:rFonts w:ascii="Arial" w:hAnsi="Arial" w:cs="Arial"/>
                <w:lang w:val="en-GB"/>
              </w:rPr>
              <w:t>395,071</w:t>
            </w:r>
          </w:p>
        </w:tc>
        <w:tc>
          <w:tcPr>
            <w:tcW w:w="1155" w:type="dxa"/>
          </w:tcPr>
          <w:p w14:paraId="3FF8A026" w14:textId="77777777" w:rsidR="002576DD" w:rsidRPr="00CD0E79" w:rsidRDefault="002576DD" w:rsidP="00831E43">
            <w:pPr>
              <w:tabs>
                <w:tab w:val="decimal" w:pos="1040"/>
              </w:tabs>
              <w:rPr>
                <w:rFonts w:ascii="Arial" w:hAnsi="Arial" w:cs="Arial"/>
                <w:lang w:val="en-GB"/>
              </w:rPr>
            </w:pPr>
            <w:r w:rsidRPr="00CD0E79">
              <w:rPr>
                <w:rFonts w:ascii="Arial" w:hAnsi="Arial" w:cs="Arial"/>
                <w:lang w:val="en-GB"/>
              </w:rPr>
              <w:t>393,244</w:t>
            </w:r>
          </w:p>
        </w:tc>
      </w:tr>
      <w:tr w:rsidR="002576DD" w:rsidRPr="00CD0E79" w14:paraId="6E497B2D" w14:textId="77777777" w:rsidTr="002B6EE7">
        <w:trPr>
          <w:tblHeader/>
        </w:trPr>
        <w:tc>
          <w:tcPr>
            <w:tcW w:w="4130" w:type="dxa"/>
          </w:tcPr>
          <w:p w14:paraId="5C29CFF9" w14:textId="77777777" w:rsidR="002576DD" w:rsidRPr="00CD0E79" w:rsidRDefault="002576DD" w:rsidP="00C2321B">
            <w:pPr>
              <w:rPr>
                <w:rFonts w:ascii="Arial" w:hAnsi="Arial" w:cs="Arial"/>
                <w:b/>
                <w:lang w:val="en-GB"/>
              </w:rPr>
            </w:pPr>
            <w:r w:rsidRPr="00CD0E79">
              <w:rPr>
                <w:rFonts w:ascii="Arial" w:hAnsi="Arial" w:cs="Arial"/>
                <w:lang w:val="en-GB"/>
              </w:rPr>
              <w:t xml:space="preserve"> </w:t>
            </w:r>
            <w:r w:rsidRPr="00CD0E79">
              <w:rPr>
                <w:rFonts w:ascii="Arial" w:hAnsi="Arial" w:cs="Arial"/>
                <w:b/>
                <w:lang w:val="en-GB"/>
              </w:rPr>
              <w:t xml:space="preserve"> Subtotal</w:t>
            </w:r>
          </w:p>
        </w:tc>
        <w:tc>
          <w:tcPr>
            <w:tcW w:w="1146" w:type="dxa"/>
          </w:tcPr>
          <w:p w14:paraId="19650798" w14:textId="77777777" w:rsidR="002576DD" w:rsidRPr="00CD0E79" w:rsidRDefault="002576DD" w:rsidP="00831E43">
            <w:pPr>
              <w:tabs>
                <w:tab w:val="decimal" w:pos="1037"/>
              </w:tabs>
              <w:rPr>
                <w:rFonts w:ascii="Arial" w:hAnsi="Arial" w:cs="Arial"/>
                <w:lang w:val="en-GB"/>
              </w:rPr>
            </w:pPr>
            <w:r w:rsidRPr="00CD0E79">
              <w:rPr>
                <w:rFonts w:ascii="Arial" w:hAnsi="Arial" w:cs="Arial"/>
                <w:lang w:val="en-GB"/>
              </w:rPr>
              <w:t>1,705,415</w:t>
            </w:r>
          </w:p>
        </w:tc>
        <w:tc>
          <w:tcPr>
            <w:tcW w:w="1147" w:type="dxa"/>
          </w:tcPr>
          <w:p w14:paraId="53E1216B" w14:textId="52CE1683" w:rsidR="002576DD" w:rsidRPr="00CD0E79" w:rsidRDefault="002576DD" w:rsidP="006363DA">
            <w:pPr>
              <w:tabs>
                <w:tab w:val="decimal" w:pos="1039"/>
              </w:tabs>
              <w:rPr>
                <w:rFonts w:ascii="Arial" w:hAnsi="Arial" w:cs="Arial"/>
                <w:lang w:val="en-GB"/>
              </w:rPr>
            </w:pPr>
            <w:r w:rsidRPr="00CD0E79">
              <w:rPr>
                <w:rFonts w:ascii="Arial" w:hAnsi="Arial" w:cs="Arial"/>
                <w:lang w:val="en-GB"/>
              </w:rPr>
              <w:t>1,</w:t>
            </w:r>
            <w:r w:rsidR="006363DA" w:rsidRPr="00CD0E79">
              <w:rPr>
                <w:rFonts w:ascii="Arial" w:hAnsi="Arial" w:cs="Arial"/>
                <w:lang w:val="en-GB"/>
              </w:rPr>
              <w:t>415</w:t>
            </w:r>
            <w:r w:rsidRPr="00CD0E79">
              <w:rPr>
                <w:rFonts w:ascii="Arial" w:hAnsi="Arial" w:cs="Arial"/>
                <w:lang w:val="en-GB"/>
              </w:rPr>
              <w:t>,</w:t>
            </w:r>
            <w:r w:rsidR="006363DA" w:rsidRPr="00CD0E79">
              <w:rPr>
                <w:rFonts w:ascii="Arial" w:hAnsi="Arial" w:cs="Arial"/>
                <w:lang w:val="en-GB"/>
              </w:rPr>
              <w:t>041</w:t>
            </w:r>
          </w:p>
        </w:tc>
        <w:tc>
          <w:tcPr>
            <w:tcW w:w="1155" w:type="dxa"/>
          </w:tcPr>
          <w:p w14:paraId="7ECBDF7B" w14:textId="58E49141" w:rsidR="002576DD" w:rsidRPr="00CD0E79" w:rsidRDefault="002576DD" w:rsidP="006363DA">
            <w:pPr>
              <w:tabs>
                <w:tab w:val="decimal" w:pos="1040"/>
              </w:tabs>
              <w:rPr>
                <w:rFonts w:ascii="Arial" w:hAnsi="Arial" w:cs="Arial"/>
                <w:lang w:val="en-GB"/>
              </w:rPr>
            </w:pPr>
            <w:r w:rsidRPr="00CD0E79">
              <w:rPr>
                <w:rFonts w:ascii="Arial" w:hAnsi="Arial" w:cs="Arial"/>
                <w:lang w:val="en-GB"/>
              </w:rPr>
              <w:t>1,</w:t>
            </w:r>
            <w:r w:rsidR="006363DA" w:rsidRPr="00CD0E79">
              <w:rPr>
                <w:rFonts w:ascii="Arial" w:hAnsi="Arial" w:cs="Arial"/>
                <w:lang w:val="en-GB"/>
              </w:rPr>
              <w:t>441</w:t>
            </w:r>
            <w:r w:rsidRPr="00CD0E79">
              <w:rPr>
                <w:rFonts w:ascii="Arial" w:hAnsi="Arial" w:cs="Arial"/>
                <w:lang w:val="en-GB"/>
              </w:rPr>
              <w:t>,</w:t>
            </w:r>
            <w:r w:rsidR="006363DA" w:rsidRPr="00CD0E79">
              <w:rPr>
                <w:rFonts w:ascii="Arial" w:hAnsi="Arial" w:cs="Arial"/>
                <w:lang w:val="en-GB"/>
              </w:rPr>
              <w:t>868</w:t>
            </w:r>
          </w:p>
        </w:tc>
      </w:tr>
      <w:tr w:rsidR="002576DD" w:rsidRPr="00CD0E79" w14:paraId="7617989F" w14:textId="77777777" w:rsidTr="002B6EE7">
        <w:trPr>
          <w:tblHeader/>
        </w:trPr>
        <w:tc>
          <w:tcPr>
            <w:tcW w:w="4130" w:type="dxa"/>
          </w:tcPr>
          <w:p w14:paraId="1407532E" w14:textId="77777777" w:rsidR="002576DD" w:rsidRPr="00CD0E79" w:rsidRDefault="002576DD" w:rsidP="00C2321B">
            <w:pPr>
              <w:rPr>
                <w:rFonts w:ascii="Arial" w:hAnsi="Arial" w:cs="Arial"/>
                <w:lang w:val="en-GB"/>
              </w:rPr>
            </w:pPr>
            <w:r w:rsidRPr="00CD0E79">
              <w:rPr>
                <w:rFonts w:ascii="Arial" w:hAnsi="Arial" w:cs="Arial"/>
                <w:lang w:val="en-GB"/>
              </w:rPr>
              <w:t xml:space="preserve">  Manufacturing Overheads</w:t>
            </w:r>
          </w:p>
        </w:tc>
        <w:tc>
          <w:tcPr>
            <w:tcW w:w="1146" w:type="dxa"/>
          </w:tcPr>
          <w:p w14:paraId="67EEEFF0" w14:textId="77777777" w:rsidR="002576DD" w:rsidRPr="00CD0E79" w:rsidRDefault="002576DD" w:rsidP="00831E43">
            <w:pPr>
              <w:tabs>
                <w:tab w:val="decimal" w:pos="1037"/>
              </w:tabs>
              <w:rPr>
                <w:rFonts w:ascii="Arial" w:hAnsi="Arial" w:cs="Arial"/>
                <w:u w:val="single"/>
                <w:lang w:val="en-GB"/>
              </w:rPr>
            </w:pPr>
            <w:r w:rsidRPr="00CD0E79">
              <w:rPr>
                <w:rFonts w:ascii="Arial" w:hAnsi="Arial" w:cs="Arial"/>
                <w:u w:val="single"/>
                <w:lang w:val="en-GB"/>
              </w:rPr>
              <w:t>91,349</w:t>
            </w:r>
          </w:p>
        </w:tc>
        <w:tc>
          <w:tcPr>
            <w:tcW w:w="1147" w:type="dxa"/>
          </w:tcPr>
          <w:p w14:paraId="5477AA05" w14:textId="77777777" w:rsidR="002576DD" w:rsidRPr="00CD0E79" w:rsidRDefault="002576DD" w:rsidP="00831E43">
            <w:pPr>
              <w:tabs>
                <w:tab w:val="decimal" w:pos="1039"/>
              </w:tabs>
              <w:rPr>
                <w:rFonts w:ascii="Arial" w:hAnsi="Arial" w:cs="Arial"/>
                <w:u w:val="single"/>
                <w:lang w:val="en-GB"/>
              </w:rPr>
            </w:pPr>
            <w:r w:rsidRPr="00CD0E79">
              <w:rPr>
                <w:rFonts w:ascii="Arial" w:hAnsi="Arial" w:cs="Arial"/>
                <w:u w:val="single"/>
                <w:lang w:val="en-GB"/>
              </w:rPr>
              <w:t>115,932</w:t>
            </w:r>
          </w:p>
        </w:tc>
        <w:tc>
          <w:tcPr>
            <w:tcW w:w="1155" w:type="dxa"/>
          </w:tcPr>
          <w:p w14:paraId="0DC267DF" w14:textId="77777777" w:rsidR="002576DD" w:rsidRPr="00CD0E79" w:rsidRDefault="002576DD" w:rsidP="00831E43">
            <w:pPr>
              <w:tabs>
                <w:tab w:val="decimal" w:pos="1040"/>
              </w:tabs>
              <w:rPr>
                <w:rFonts w:ascii="Arial" w:hAnsi="Arial" w:cs="Arial"/>
                <w:u w:val="single"/>
                <w:lang w:val="en-GB"/>
              </w:rPr>
            </w:pPr>
            <w:r w:rsidRPr="00CD0E79">
              <w:rPr>
                <w:rFonts w:ascii="Arial" w:hAnsi="Arial" w:cs="Arial"/>
                <w:u w:val="single"/>
                <w:lang w:val="en-GB"/>
              </w:rPr>
              <w:t>146,638</w:t>
            </w:r>
          </w:p>
        </w:tc>
      </w:tr>
      <w:tr w:rsidR="002576DD" w:rsidRPr="00CD0E79" w14:paraId="28DD0AFB" w14:textId="77777777" w:rsidTr="002B6EE7">
        <w:trPr>
          <w:tblHeader/>
        </w:trPr>
        <w:tc>
          <w:tcPr>
            <w:tcW w:w="4130" w:type="dxa"/>
          </w:tcPr>
          <w:p w14:paraId="0246F7F6" w14:textId="7324E95A" w:rsidR="002576DD" w:rsidRPr="00CD0E79" w:rsidRDefault="002576DD" w:rsidP="00C2321B">
            <w:pPr>
              <w:rPr>
                <w:rFonts w:ascii="Arial" w:hAnsi="Arial" w:cs="Arial"/>
                <w:lang w:val="en-GB"/>
              </w:rPr>
            </w:pPr>
            <w:r w:rsidRPr="00CD0E79">
              <w:rPr>
                <w:rFonts w:ascii="Arial" w:hAnsi="Arial" w:cs="Arial"/>
                <w:lang w:val="en-GB"/>
              </w:rPr>
              <w:t xml:space="preserve">  Labo</w:t>
            </w:r>
            <w:r w:rsidR="00E13230" w:rsidRPr="00CD0E79">
              <w:rPr>
                <w:rFonts w:ascii="Arial" w:hAnsi="Arial" w:cs="Arial"/>
                <w:lang w:val="en-GB"/>
              </w:rPr>
              <w:t>u</w:t>
            </w:r>
            <w:r w:rsidRPr="00CD0E79">
              <w:rPr>
                <w:rFonts w:ascii="Arial" w:hAnsi="Arial" w:cs="Arial"/>
                <w:lang w:val="en-GB"/>
              </w:rPr>
              <w:t xml:space="preserve">r </w:t>
            </w:r>
            <w:r w:rsidR="00E13230" w:rsidRPr="00CD0E79">
              <w:rPr>
                <w:rFonts w:ascii="Arial" w:hAnsi="Arial" w:cs="Arial"/>
                <w:lang w:val="en-GB"/>
              </w:rPr>
              <w:t>C</w:t>
            </w:r>
            <w:r w:rsidRPr="00CD0E79">
              <w:rPr>
                <w:rFonts w:ascii="Arial" w:hAnsi="Arial" w:cs="Arial"/>
                <w:lang w:val="en-GB"/>
              </w:rPr>
              <w:t>osts</w:t>
            </w:r>
          </w:p>
        </w:tc>
        <w:tc>
          <w:tcPr>
            <w:tcW w:w="1146" w:type="dxa"/>
          </w:tcPr>
          <w:p w14:paraId="504ADC01" w14:textId="77777777" w:rsidR="002576DD" w:rsidRPr="00CD0E79" w:rsidRDefault="002576DD" w:rsidP="00831E43">
            <w:pPr>
              <w:tabs>
                <w:tab w:val="decimal" w:pos="1037"/>
              </w:tabs>
              <w:rPr>
                <w:rFonts w:ascii="Arial" w:hAnsi="Arial" w:cs="Arial"/>
                <w:lang w:val="en-GB"/>
              </w:rPr>
            </w:pPr>
            <w:r w:rsidRPr="00CD0E79">
              <w:rPr>
                <w:rFonts w:ascii="Arial" w:hAnsi="Arial" w:cs="Arial"/>
                <w:lang w:val="en-GB"/>
              </w:rPr>
              <w:t>40,457</w:t>
            </w:r>
          </w:p>
        </w:tc>
        <w:tc>
          <w:tcPr>
            <w:tcW w:w="1147" w:type="dxa"/>
          </w:tcPr>
          <w:p w14:paraId="62E6E05D" w14:textId="77777777" w:rsidR="002576DD" w:rsidRPr="00CD0E79" w:rsidRDefault="002576DD" w:rsidP="00831E43">
            <w:pPr>
              <w:tabs>
                <w:tab w:val="decimal" w:pos="1039"/>
              </w:tabs>
              <w:rPr>
                <w:rFonts w:ascii="Arial" w:hAnsi="Arial" w:cs="Arial"/>
                <w:lang w:val="en-GB"/>
              </w:rPr>
            </w:pPr>
            <w:r w:rsidRPr="00CD0E79">
              <w:rPr>
                <w:rFonts w:ascii="Arial" w:hAnsi="Arial" w:cs="Arial"/>
                <w:lang w:val="en-GB"/>
              </w:rPr>
              <w:t>38,217</w:t>
            </w:r>
          </w:p>
        </w:tc>
        <w:tc>
          <w:tcPr>
            <w:tcW w:w="1155" w:type="dxa"/>
          </w:tcPr>
          <w:p w14:paraId="4E3A2CFF" w14:textId="77777777" w:rsidR="002576DD" w:rsidRPr="00CD0E79" w:rsidRDefault="002576DD" w:rsidP="00831E43">
            <w:pPr>
              <w:tabs>
                <w:tab w:val="decimal" w:pos="1040"/>
              </w:tabs>
              <w:rPr>
                <w:rFonts w:ascii="Arial" w:hAnsi="Arial" w:cs="Arial"/>
                <w:lang w:val="en-GB"/>
              </w:rPr>
            </w:pPr>
            <w:r w:rsidRPr="00CD0E79">
              <w:rPr>
                <w:rFonts w:ascii="Arial" w:hAnsi="Arial" w:cs="Arial"/>
                <w:lang w:val="en-GB"/>
              </w:rPr>
              <w:t>56,005</w:t>
            </w:r>
          </w:p>
        </w:tc>
      </w:tr>
      <w:tr w:rsidR="002576DD" w:rsidRPr="00CD0E79" w14:paraId="594F5D12" w14:textId="77777777" w:rsidTr="002B6EE7">
        <w:trPr>
          <w:tblHeader/>
        </w:trPr>
        <w:tc>
          <w:tcPr>
            <w:tcW w:w="4130" w:type="dxa"/>
          </w:tcPr>
          <w:p w14:paraId="42FAF894" w14:textId="77777777" w:rsidR="002576DD" w:rsidRPr="00CD0E79" w:rsidRDefault="002576DD" w:rsidP="00C2321B">
            <w:pPr>
              <w:rPr>
                <w:rFonts w:ascii="Arial" w:hAnsi="Arial" w:cs="Arial"/>
                <w:lang w:val="en-GB"/>
              </w:rPr>
            </w:pPr>
            <w:r w:rsidRPr="00CD0E79">
              <w:rPr>
                <w:rFonts w:ascii="Arial" w:hAnsi="Arial" w:cs="Arial"/>
                <w:lang w:val="en-GB"/>
              </w:rPr>
              <w:t xml:space="preserve">  Others</w:t>
            </w:r>
          </w:p>
        </w:tc>
        <w:tc>
          <w:tcPr>
            <w:tcW w:w="1146" w:type="dxa"/>
          </w:tcPr>
          <w:p w14:paraId="12D585EE" w14:textId="77777777" w:rsidR="002576DD" w:rsidRPr="00CD0E79" w:rsidRDefault="002576DD" w:rsidP="00831E43">
            <w:pPr>
              <w:tabs>
                <w:tab w:val="decimal" w:pos="1037"/>
              </w:tabs>
              <w:rPr>
                <w:rFonts w:ascii="Arial" w:hAnsi="Arial" w:cs="Arial"/>
                <w:u w:val="single"/>
                <w:lang w:val="en-GB"/>
              </w:rPr>
            </w:pPr>
            <w:r w:rsidRPr="00CD0E79">
              <w:rPr>
                <w:rFonts w:ascii="Arial" w:hAnsi="Arial" w:cs="Arial"/>
                <w:u w:val="single"/>
                <w:lang w:val="en-GB"/>
              </w:rPr>
              <w:t>34,586</w:t>
            </w:r>
          </w:p>
        </w:tc>
        <w:tc>
          <w:tcPr>
            <w:tcW w:w="1147" w:type="dxa"/>
          </w:tcPr>
          <w:p w14:paraId="247FC0EC" w14:textId="77777777" w:rsidR="002576DD" w:rsidRPr="00CD0E79" w:rsidRDefault="002576DD" w:rsidP="00831E43">
            <w:pPr>
              <w:tabs>
                <w:tab w:val="decimal" w:pos="1039"/>
              </w:tabs>
              <w:rPr>
                <w:rFonts w:ascii="Arial" w:hAnsi="Arial" w:cs="Arial"/>
                <w:u w:val="single"/>
                <w:lang w:val="en-GB"/>
              </w:rPr>
            </w:pPr>
            <w:r w:rsidRPr="00CD0E79">
              <w:rPr>
                <w:rFonts w:ascii="Arial" w:hAnsi="Arial" w:cs="Arial"/>
                <w:u w:val="single"/>
                <w:lang w:val="en-GB"/>
              </w:rPr>
              <w:t>46,334</w:t>
            </w:r>
          </w:p>
        </w:tc>
        <w:tc>
          <w:tcPr>
            <w:tcW w:w="1155" w:type="dxa"/>
          </w:tcPr>
          <w:p w14:paraId="5418DFD2" w14:textId="77777777" w:rsidR="002576DD" w:rsidRPr="00CD0E79" w:rsidRDefault="002576DD" w:rsidP="00831E43">
            <w:pPr>
              <w:tabs>
                <w:tab w:val="decimal" w:pos="1040"/>
              </w:tabs>
              <w:rPr>
                <w:rFonts w:ascii="Arial" w:hAnsi="Arial" w:cs="Arial"/>
                <w:u w:val="single"/>
                <w:lang w:val="en-GB"/>
              </w:rPr>
            </w:pPr>
            <w:r w:rsidRPr="00CD0E79">
              <w:rPr>
                <w:rFonts w:ascii="Arial" w:hAnsi="Arial" w:cs="Arial"/>
                <w:u w:val="single"/>
                <w:lang w:val="en-GB"/>
              </w:rPr>
              <w:t>45,910</w:t>
            </w:r>
          </w:p>
        </w:tc>
      </w:tr>
      <w:tr w:rsidR="002576DD" w:rsidRPr="00CD0E79" w14:paraId="5679B8D7" w14:textId="77777777" w:rsidTr="002B6EE7">
        <w:trPr>
          <w:tblHeader/>
        </w:trPr>
        <w:tc>
          <w:tcPr>
            <w:tcW w:w="4130" w:type="dxa"/>
          </w:tcPr>
          <w:p w14:paraId="54B256F3" w14:textId="77777777" w:rsidR="002576DD" w:rsidRPr="00CD0E79" w:rsidRDefault="002576DD" w:rsidP="00C2321B">
            <w:pPr>
              <w:rPr>
                <w:rFonts w:ascii="Arial" w:hAnsi="Arial" w:cs="Arial"/>
                <w:b/>
                <w:lang w:val="en-GB"/>
              </w:rPr>
            </w:pPr>
            <w:r w:rsidRPr="00CD0E79">
              <w:rPr>
                <w:rFonts w:ascii="Arial" w:hAnsi="Arial" w:cs="Arial"/>
                <w:lang w:val="en-GB"/>
              </w:rPr>
              <w:t xml:space="preserve">  </w:t>
            </w:r>
            <w:r w:rsidRPr="00CD0E79">
              <w:rPr>
                <w:rFonts w:ascii="Arial" w:hAnsi="Arial" w:cs="Arial"/>
                <w:b/>
                <w:lang w:val="en-GB"/>
              </w:rPr>
              <w:t>Total cost of sales</w:t>
            </w:r>
          </w:p>
        </w:tc>
        <w:tc>
          <w:tcPr>
            <w:tcW w:w="1146" w:type="dxa"/>
          </w:tcPr>
          <w:p w14:paraId="2307E2BD" w14:textId="77777777" w:rsidR="002576DD" w:rsidRPr="00CD0E79" w:rsidRDefault="002576DD" w:rsidP="00831E43">
            <w:pPr>
              <w:tabs>
                <w:tab w:val="decimal" w:pos="1037"/>
              </w:tabs>
              <w:rPr>
                <w:rFonts w:ascii="Arial" w:hAnsi="Arial" w:cs="Arial"/>
                <w:b/>
                <w:u w:val="double"/>
                <w:lang w:val="en-GB"/>
              </w:rPr>
            </w:pPr>
            <w:r w:rsidRPr="00CD0E79">
              <w:rPr>
                <w:rFonts w:ascii="Arial" w:hAnsi="Arial" w:cs="Arial"/>
                <w:b/>
                <w:u w:val="double"/>
                <w:lang w:val="en-GB"/>
              </w:rPr>
              <w:t>(1,871,807)</w:t>
            </w:r>
          </w:p>
        </w:tc>
        <w:tc>
          <w:tcPr>
            <w:tcW w:w="1147" w:type="dxa"/>
          </w:tcPr>
          <w:p w14:paraId="009242C2" w14:textId="77777777" w:rsidR="002576DD" w:rsidRPr="00CD0E79" w:rsidRDefault="002576DD" w:rsidP="00831E43">
            <w:pPr>
              <w:tabs>
                <w:tab w:val="decimal" w:pos="1039"/>
              </w:tabs>
              <w:rPr>
                <w:rFonts w:ascii="Arial" w:hAnsi="Arial" w:cs="Arial"/>
                <w:b/>
                <w:u w:val="double"/>
                <w:lang w:val="en-GB"/>
              </w:rPr>
            </w:pPr>
            <w:r w:rsidRPr="00CD0E79">
              <w:rPr>
                <w:rFonts w:ascii="Arial" w:hAnsi="Arial" w:cs="Arial"/>
                <w:b/>
                <w:u w:val="double"/>
                <w:lang w:val="en-GB"/>
              </w:rPr>
              <w:t>(1,615,524)</w:t>
            </w:r>
          </w:p>
        </w:tc>
        <w:tc>
          <w:tcPr>
            <w:tcW w:w="1155" w:type="dxa"/>
          </w:tcPr>
          <w:p w14:paraId="0617B4A4" w14:textId="77777777" w:rsidR="002576DD" w:rsidRPr="00CD0E79" w:rsidRDefault="002576DD" w:rsidP="00831E43">
            <w:pPr>
              <w:tabs>
                <w:tab w:val="decimal" w:pos="1040"/>
              </w:tabs>
              <w:rPr>
                <w:rFonts w:ascii="Arial" w:hAnsi="Arial" w:cs="Arial"/>
                <w:b/>
                <w:u w:val="double"/>
                <w:lang w:val="en-GB"/>
              </w:rPr>
            </w:pPr>
            <w:r w:rsidRPr="00CD0E79">
              <w:rPr>
                <w:rFonts w:ascii="Arial" w:hAnsi="Arial" w:cs="Arial"/>
                <w:b/>
                <w:u w:val="double"/>
                <w:lang w:val="en-GB"/>
              </w:rPr>
              <w:t>(1,690,421)</w:t>
            </w:r>
          </w:p>
        </w:tc>
      </w:tr>
      <w:tr w:rsidR="002576DD" w:rsidRPr="00CD0E79" w14:paraId="7CBD364A" w14:textId="77777777" w:rsidTr="002B6EE7">
        <w:trPr>
          <w:tblHeader/>
        </w:trPr>
        <w:tc>
          <w:tcPr>
            <w:tcW w:w="4130" w:type="dxa"/>
          </w:tcPr>
          <w:p w14:paraId="16B4FD76" w14:textId="77777777" w:rsidR="002576DD" w:rsidRPr="00CD0E79" w:rsidRDefault="002576DD" w:rsidP="00C2321B">
            <w:pPr>
              <w:rPr>
                <w:rFonts w:ascii="Arial" w:hAnsi="Arial" w:cs="Arial"/>
                <w:b/>
                <w:lang w:val="en-GB"/>
              </w:rPr>
            </w:pPr>
            <w:r w:rsidRPr="00CD0E79">
              <w:rPr>
                <w:rFonts w:ascii="Arial" w:hAnsi="Arial" w:cs="Arial"/>
                <w:b/>
                <w:lang w:val="en-GB"/>
              </w:rPr>
              <w:t>Gross Profit</w:t>
            </w:r>
          </w:p>
        </w:tc>
        <w:tc>
          <w:tcPr>
            <w:tcW w:w="1146" w:type="dxa"/>
          </w:tcPr>
          <w:p w14:paraId="2FE925BE" w14:textId="77777777" w:rsidR="002576DD" w:rsidRPr="00CD0E79" w:rsidRDefault="002576DD" w:rsidP="00831E43">
            <w:pPr>
              <w:tabs>
                <w:tab w:val="decimal" w:pos="1037"/>
              </w:tabs>
              <w:rPr>
                <w:rFonts w:ascii="Arial" w:hAnsi="Arial" w:cs="Arial"/>
                <w:b/>
                <w:u w:val="double"/>
                <w:lang w:val="en-GB"/>
              </w:rPr>
            </w:pPr>
            <w:r w:rsidRPr="00CD0E79">
              <w:rPr>
                <w:rFonts w:ascii="Arial" w:hAnsi="Arial" w:cs="Arial"/>
                <w:b/>
                <w:u w:val="double"/>
                <w:lang w:val="en-GB"/>
              </w:rPr>
              <w:t>1,711,460</w:t>
            </w:r>
          </w:p>
        </w:tc>
        <w:tc>
          <w:tcPr>
            <w:tcW w:w="1147" w:type="dxa"/>
          </w:tcPr>
          <w:p w14:paraId="1E59B63A" w14:textId="77777777" w:rsidR="002576DD" w:rsidRPr="00CD0E79" w:rsidRDefault="002576DD" w:rsidP="00831E43">
            <w:pPr>
              <w:tabs>
                <w:tab w:val="decimal" w:pos="1039"/>
              </w:tabs>
              <w:rPr>
                <w:rFonts w:ascii="Arial" w:hAnsi="Arial" w:cs="Arial"/>
                <w:b/>
                <w:u w:val="double"/>
                <w:lang w:val="en-GB"/>
              </w:rPr>
            </w:pPr>
            <w:r w:rsidRPr="00CD0E79">
              <w:rPr>
                <w:rFonts w:ascii="Arial" w:hAnsi="Arial" w:cs="Arial"/>
                <w:b/>
                <w:u w:val="double"/>
                <w:lang w:val="en-GB"/>
              </w:rPr>
              <w:t>1,999,867</w:t>
            </w:r>
          </w:p>
        </w:tc>
        <w:tc>
          <w:tcPr>
            <w:tcW w:w="1155" w:type="dxa"/>
          </w:tcPr>
          <w:p w14:paraId="72B09E7E" w14:textId="77777777" w:rsidR="002576DD" w:rsidRPr="00CD0E79" w:rsidRDefault="002576DD" w:rsidP="00831E43">
            <w:pPr>
              <w:tabs>
                <w:tab w:val="decimal" w:pos="1040"/>
              </w:tabs>
              <w:rPr>
                <w:rFonts w:ascii="Arial" w:hAnsi="Arial" w:cs="Arial"/>
                <w:b/>
                <w:u w:val="double"/>
                <w:lang w:val="en-GB"/>
              </w:rPr>
            </w:pPr>
            <w:r w:rsidRPr="00CD0E79">
              <w:rPr>
                <w:rFonts w:ascii="Arial" w:hAnsi="Arial" w:cs="Arial"/>
                <w:b/>
                <w:u w:val="double"/>
                <w:lang w:val="en-GB"/>
              </w:rPr>
              <w:t>2,033,960</w:t>
            </w:r>
          </w:p>
        </w:tc>
      </w:tr>
      <w:tr w:rsidR="002576DD" w:rsidRPr="00CD0E79" w14:paraId="46498BCF" w14:textId="77777777" w:rsidTr="002B6EE7">
        <w:trPr>
          <w:tblHeader/>
        </w:trPr>
        <w:tc>
          <w:tcPr>
            <w:tcW w:w="4130" w:type="dxa"/>
          </w:tcPr>
          <w:p w14:paraId="01D8B218" w14:textId="77777777" w:rsidR="002576DD" w:rsidRPr="00CD0E79" w:rsidRDefault="002576DD" w:rsidP="00C2321B">
            <w:pPr>
              <w:rPr>
                <w:rFonts w:ascii="Arial" w:hAnsi="Arial" w:cs="Arial"/>
                <w:lang w:val="en-GB"/>
              </w:rPr>
            </w:pPr>
            <w:r w:rsidRPr="00CD0E79">
              <w:rPr>
                <w:rFonts w:ascii="Arial" w:hAnsi="Arial" w:cs="Arial"/>
                <w:lang w:val="en-GB"/>
              </w:rPr>
              <w:t xml:space="preserve">  Other Income and Gains, Net</w:t>
            </w:r>
          </w:p>
        </w:tc>
        <w:tc>
          <w:tcPr>
            <w:tcW w:w="1146" w:type="dxa"/>
          </w:tcPr>
          <w:p w14:paraId="15184D66" w14:textId="77777777" w:rsidR="002576DD" w:rsidRPr="00CD0E79" w:rsidRDefault="002576DD" w:rsidP="00831E43">
            <w:pPr>
              <w:tabs>
                <w:tab w:val="decimal" w:pos="1037"/>
              </w:tabs>
              <w:rPr>
                <w:rFonts w:ascii="Arial" w:hAnsi="Arial" w:cs="Arial"/>
                <w:lang w:val="en-GB"/>
              </w:rPr>
            </w:pPr>
            <w:r w:rsidRPr="00CD0E79">
              <w:rPr>
                <w:rFonts w:ascii="Arial" w:hAnsi="Arial" w:cs="Arial"/>
                <w:lang w:val="en-GB"/>
              </w:rPr>
              <w:t>216,789</w:t>
            </w:r>
          </w:p>
        </w:tc>
        <w:tc>
          <w:tcPr>
            <w:tcW w:w="1147" w:type="dxa"/>
          </w:tcPr>
          <w:p w14:paraId="605DEDE3" w14:textId="77777777" w:rsidR="002576DD" w:rsidRPr="00CD0E79" w:rsidRDefault="002576DD" w:rsidP="00831E43">
            <w:pPr>
              <w:tabs>
                <w:tab w:val="decimal" w:pos="1039"/>
              </w:tabs>
              <w:rPr>
                <w:rFonts w:ascii="Arial" w:hAnsi="Arial" w:cs="Arial"/>
                <w:lang w:val="en-GB"/>
              </w:rPr>
            </w:pPr>
            <w:r w:rsidRPr="00CD0E79">
              <w:rPr>
                <w:rFonts w:ascii="Arial" w:hAnsi="Arial" w:cs="Arial"/>
                <w:lang w:val="en-GB"/>
              </w:rPr>
              <w:t>300,187</w:t>
            </w:r>
          </w:p>
        </w:tc>
        <w:tc>
          <w:tcPr>
            <w:tcW w:w="1155" w:type="dxa"/>
          </w:tcPr>
          <w:p w14:paraId="0E7C0146" w14:textId="77777777" w:rsidR="002576DD" w:rsidRPr="00CD0E79" w:rsidRDefault="002576DD" w:rsidP="00831E43">
            <w:pPr>
              <w:tabs>
                <w:tab w:val="decimal" w:pos="1040"/>
              </w:tabs>
              <w:rPr>
                <w:rFonts w:ascii="Arial" w:hAnsi="Arial" w:cs="Arial"/>
                <w:lang w:val="en-GB"/>
              </w:rPr>
            </w:pPr>
            <w:r w:rsidRPr="00CD0E79">
              <w:rPr>
                <w:rFonts w:ascii="Arial" w:hAnsi="Arial" w:cs="Arial"/>
                <w:lang w:val="en-GB"/>
              </w:rPr>
              <w:t>359,235</w:t>
            </w:r>
          </w:p>
        </w:tc>
      </w:tr>
      <w:tr w:rsidR="002576DD" w:rsidRPr="00CD0E79" w14:paraId="6F915F93" w14:textId="77777777" w:rsidTr="002B6EE7">
        <w:trPr>
          <w:tblHeader/>
        </w:trPr>
        <w:tc>
          <w:tcPr>
            <w:tcW w:w="4130" w:type="dxa"/>
          </w:tcPr>
          <w:p w14:paraId="0E855294" w14:textId="77777777" w:rsidR="002576DD" w:rsidRPr="00CD0E79" w:rsidRDefault="002576DD" w:rsidP="00C2321B">
            <w:pPr>
              <w:rPr>
                <w:rFonts w:ascii="Arial" w:hAnsi="Arial" w:cs="Arial"/>
                <w:lang w:val="en-GB"/>
              </w:rPr>
            </w:pPr>
            <w:r w:rsidRPr="00CD0E79">
              <w:rPr>
                <w:rFonts w:ascii="Arial" w:hAnsi="Arial" w:cs="Arial"/>
                <w:lang w:val="en-GB"/>
              </w:rPr>
              <w:t xml:space="preserve">  Selling and Distribution Expenses</w:t>
            </w:r>
          </w:p>
        </w:tc>
        <w:tc>
          <w:tcPr>
            <w:tcW w:w="1146" w:type="dxa"/>
          </w:tcPr>
          <w:p w14:paraId="26597B75" w14:textId="77777777" w:rsidR="002576DD" w:rsidRPr="00CD0E79" w:rsidRDefault="002576DD" w:rsidP="00831E43">
            <w:pPr>
              <w:tabs>
                <w:tab w:val="decimal" w:pos="1037"/>
              </w:tabs>
              <w:rPr>
                <w:rFonts w:ascii="Arial" w:hAnsi="Arial" w:cs="Arial"/>
                <w:lang w:val="en-GB"/>
              </w:rPr>
            </w:pPr>
            <w:r w:rsidRPr="00CD0E79">
              <w:rPr>
                <w:rFonts w:ascii="Arial" w:hAnsi="Arial" w:cs="Arial"/>
                <w:lang w:val="en-GB"/>
              </w:rPr>
              <w:t>(756,244)</w:t>
            </w:r>
          </w:p>
        </w:tc>
        <w:tc>
          <w:tcPr>
            <w:tcW w:w="1147" w:type="dxa"/>
          </w:tcPr>
          <w:p w14:paraId="51E1F2C5" w14:textId="77777777" w:rsidR="002576DD" w:rsidRPr="00CD0E79" w:rsidRDefault="002576DD" w:rsidP="00831E43">
            <w:pPr>
              <w:tabs>
                <w:tab w:val="decimal" w:pos="1039"/>
              </w:tabs>
              <w:rPr>
                <w:rFonts w:ascii="Arial" w:hAnsi="Arial" w:cs="Arial"/>
                <w:lang w:val="en-GB"/>
              </w:rPr>
            </w:pPr>
            <w:r w:rsidRPr="00CD0E79">
              <w:rPr>
                <w:rFonts w:ascii="Arial" w:hAnsi="Arial" w:cs="Arial"/>
                <w:lang w:val="en-GB"/>
              </w:rPr>
              <w:t>(1,173,936)</w:t>
            </w:r>
          </w:p>
        </w:tc>
        <w:tc>
          <w:tcPr>
            <w:tcW w:w="1155" w:type="dxa"/>
          </w:tcPr>
          <w:p w14:paraId="642B6367" w14:textId="77777777" w:rsidR="002576DD" w:rsidRPr="00CD0E79" w:rsidRDefault="002576DD" w:rsidP="00831E43">
            <w:pPr>
              <w:tabs>
                <w:tab w:val="decimal" w:pos="1040"/>
              </w:tabs>
              <w:rPr>
                <w:rFonts w:ascii="Arial" w:hAnsi="Arial" w:cs="Arial"/>
                <w:lang w:val="en-GB"/>
              </w:rPr>
            </w:pPr>
            <w:r w:rsidRPr="00CD0E79">
              <w:rPr>
                <w:rFonts w:ascii="Arial" w:hAnsi="Arial" w:cs="Arial"/>
                <w:lang w:val="en-GB"/>
              </w:rPr>
              <w:t>(1,369,520)</w:t>
            </w:r>
          </w:p>
        </w:tc>
      </w:tr>
      <w:tr w:rsidR="002576DD" w:rsidRPr="00CD0E79" w14:paraId="63F362E7" w14:textId="77777777" w:rsidTr="002B6EE7">
        <w:trPr>
          <w:tblHeader/>
        </w:trPr>
        <w:tc>
          <w:tcPr>
            <w:tcW w:w="4130" w:type="dxa"/>
          </w:tcPr>
          <w:p w14:paraId="370C7F97" w14:textId="77777777" w:rsidR="002576DD" w:rsidRPr="00CD0E79" w:rsidRDefault="002576DD" w:rsidP="00C2321B">
            <w:pPr>
              <w:rPr>
                <w:rFonts w:ascii="Arial" w:hAnsi="Arial" w:cs="Arial"/>
                <w:lang w:val="en-GB"/>
              </w:rPr>
            </w:pPr>
            <w:r w:rsidRPr="00CD0E79">
              <w:rPr>
                <w:rFonts w:ascii="Arial" w:hAnsi="Arial" w:cs="Arial"/>
                <w:lang w:val="en-GB"/>
              </w:rPr>
              <w:t xml:space="preserve">  Administrative Expenses</w:t>
            </w:r>
          </w:p>
        </w:tc>
        <w:tc>
          <w:tcPr>
            <w:tcW w:w="1146" w:type="dxa"/>
          </w:tcPr>
          <w:p w14:paraId="6F3801A5" w14:textId="77777777" w:rsidR="002576DD" w:rsidRPr="00CD0E79" w:rsidRDefault="002576DD" w:rsidP="00831E43">
            <w:pPr>
              <w:tabs>
                <w:tab w:val="decimal" w:pos="1037"/>
              </w:tabs>
              <w:rPr>
                <w:rFonts w:ascii="Arial" w:hAnsi="Arial" w:cs="Arial"/>
                <w:lang w:val="en-GB"/>
              </w:rPr>
            </w:pPr>
            <w:r w:rsidRPr="00CD0E79">
              <w:rPr>
                <w:rFonts w:ascii="Arial" w:hAnsi="Arial" w:cs="Arial"/>
                <w:lang w:val="en-GB"/>
              </w:rPr>
              <w:t>(251,114)</w:t>
            </w:r>
          </w:p>
        </w:tc>
        <w:tc>
          <w:tcPr>
            <w:tcW w:w="1147" w:type="dxa"/>
          </w:tcPr>
          <w:p w14:paraId="52A3FAF8" w14:textId="77777777" w:rsidR="002576DD" w:rsidRPr="00CD0E79" w:rsidRDefault="002576DD" w:rsidP="00831E43">
            <w:pPr>
              <w:tabs>
                <w:tab w:val="decimal" w:pos="1039"/>
              </w:tabs>
              <w:rPr>
                <w:rFonts w:ascii="Arial" w:hAnsi="Arial" w:cs="Arial"/>
                <w:lang w:val="en-GB"/>
              </w:rPr>
            </w:pPr>
            <w:r w:rsidRPr="00CD0E79">
              <w:rPr>
                <w:rFonts w:ascii="Arial" w:hAnsi="Arial" w:cs="Arial"/>
                <w:lang w:val="en-GB"/>
              </w:rPr>
              <w:t>(256,435)</w:t>
            </w:r>
          </w:p>
        </w:tc>
        <w:tc>
          <w:tcPr>
            <w:tcW w:w="1155" w:type="dxa"/>
          </w:tcPr>
          <w:p w14:paraId="77DFE8D0" w14:textId="77777777" w:rsidR="002576DD" w:rsidRPr="00CD0E79" w:rsidRDefault="002576DD" w:rsidP="00831E43">
            <w:pPr>
              <w:tabs>
                <w:tab w:val="decimal" w:pos="1040"/>
              </w:tabs>
              <w:rPr>
                <w:rFonts w:ascii="Arial" w:hAnsi="Arial" w:cs="Arial"/>
                <w:lang w:val="en-GB"/>
              </w:rPr>
            </w:pPr>
            <w:r w:rsidRPr="00CD0E79">
              <w:rPr>
                <w:rFonts w:ascii="Arial" w:hAnsi="Arial" w:cs="Arial"/>
                <w:lang w:val="en-GB"/>
              </w:rPr>
              <w:t>(230,858)</w:t>
            </w:r>
          </w:p>
        </w:tc>
      </w:tr>
      <w:tr w:rsidR="002576DD" w:rsidRPr="00CD0E79" w14:paraId="750C3971" w14:textId="77777777" w:rsidTr="002B6EE7">
        <w:trPr>
          <w:tblHeader/>
        </w:trPr>
        <w:tc>
          <w:tcPr>
            <w:tcW w:w="4130" w:type="dxa"/>
          </w:tcPr>
          <w:p w14:paraId="0B263520" w14:textId="77777777" w:rsidR="002576DD" w:rsidRPr="00CD0E79" w:rsidRDefault="002576DD" w:rsidP="00C2321B">
            <w:pPr>
              <w:rPr>
                <w:rFonts w:ascii="Arial" w:hAnsi="Arial" w:cs="Arial"/>
                <w:lang w:val="en-GB"/>
              </w:rPr>
            </w:pPr>
            <w:r w:rsidRPr="00CD0E79">
              <w:rPr>
                <w:rFonts w:ascii="Arial" w:hAnsi="Arial" w:cs="Arial"/>
                <w:lang w:val="en-GB"/>
              </w:rPr>
              <w:t xml:space="preserve">  Other Expenses</w:t>
            </w:r>
          </w:p>
        </w:tc>
        <w:tc>
          <w:tcPr>
            <w:tcW w:w="1146" w:type="dxa"/>
          </w:tcPr>
          <w:p w14:paraId="0D65F497" w14:textId="77777777" w:rsidR="002576DD" w:rsidRPr="00CD0E79" w:rsidRDefault="002576DD" w:rsidP="00831E43">
            <w:pPr>
              <w:tabs>
                <w:tab w:val="decimal" w:pos="1037"/>
              </w:tabs>
              <w:rPr>
                <w:rFonts w:ascii="Arial" w:hAnsi="Arial" w:cs="Arial"/>
                <w:lang w:val="en-GB"/>
              </w:rPr>
            </w:pPr>
            <w:r w:rsidRPr="00CD0E79">
              <w:rPr>
                <w:rFonts w:ascii="Arial" w:hAnsi="Arial" w:cs="Arial"/>
                <w:lang w:val="en-GB"/>
              </w:rPr>
              <w:t>(53,331)</w:t>
            </w:r>
          </w:p>
        </w:tc>
        <w:tc>
          <w:tcPr>
            <w:tcW w:w="1147" w:type="dxa"/>
          </w:tcPr>
          <w:p w14:paraId="1B650419" w14:textId="77777777" w:rsidR="002576DD" w:rsidRPr="00CD0E79" w:rsidRDefault="002576DD" w:rsidP="00831E43">
            <w:pPr>
              <w:tabs>
                <w:tab w:val="decimal" w:pos="1039"/>
              </w:tabs>
              <w:rPr>
                <w:rFonts w:ascii="Arial" w:hAnsi="Arial" w:cs="Arial"/>
                <w:lang w:val="en-GB"/>
              </w:rPr>
            </w:pPr>
            <w:r w:rsidRPr="00CD0E79">
              <w:rPr>
                <w:rFonts w:ascii="Arial" w:hAnsi="Arial" w:cs="Arial"/>
                <w:lang w:val="en-GB"/>
              </w:rPr>
              <w:t>(194,005)</w:t>
            </w:r>
          </w:p>
        </w:tc>
        <w:tc>
          <w:tcPr>
            <w:tcW w:w="1155" w:type="dxa"/>
          </w:tcPr>
          <w:p w14:paraId="0D5AF240" w14:textId="77777777" w:rsidR="002576DD" w:rsidRPr="00CD0E79" w:rsidRDefault="002576DD" w:rsidP="00831E43">
            <w:pPr>
              <w:tabs>
                <w:tab w:val="decimal" w:pos="1040"/>
              </w:tabs>
              <w:rPr>
                <w:rFonts w:ascii="Arial" w:hAnsi="Arial" w:cs="Arial"/>
                <w:lang w:val="en-GB"/>
              </w:rPr>
            </w:pPr>
            <w:r w:rsidRPr="00CD0E79">
              <w:rPr>
                <w:rFonts w:ascii="Arial" w:hAnsi="Arial" w:cs="Arial"/>
                <w:lang w:val="en-GB"/>
              </w:rPr>
              <w:t>(171,097)</w:t>
            </w:r>
          </w:p>
        </w:tc>
      </w:tr>
      <w:tr w:rsidR="002576DD" w:rsidRPr="00CD0E79" w14:paraId="7585BFB6" w14:textId="77777777" w:rsidTr="002B6EE7">
        <w:trPr>
          <w:tblHeader/>
        </w:trPr>
        <w:tc>
          <w:tcPr>
            <w:tcW w:w="4130" w:type="dxa"/>
          </w:tcPr>
          <w:p w14:paraId="7104AD18" w14:textId="77777777" w:rsidR="002576DD" w:rsidRPr="00CD0E79" w:rsidRDefault="002576DD" w:rsidP="00C2321B">
            <w:pPr>
              <w:rPr>
                <w:rFonts w:ascii="Arial" w:hAnsi="Arial" w:cs="Arial"/>
                <w:lang w:val="en-GB"/>
              </w:rPr>
            </w:pPr>
            <w:r w:rsidRPr="00CD0E79">
              <w:rPr>
                <w:rFonts w:ascii="Arial" w:hAnsi="Arial" w:cs="Arial"/>
                <w:lang w:val="en-GB"/>
              </w:rPr>
              <w:t xml:space="preserve">  Finance Costs</w:t>
            </w:r>
          </w:p>
        </w:tc>
        <w:tc>
          <w:tcPr>
            <w:tcW w:w="1146" w:type="dxa"/>
          </w:tcPr>
          <w:p w14:paraId="25B42FF4" w14:textId="77777777" w:rsidR="002576DD" w:rsidRPr="00CD0E79" w:rsidRDefault="002576DD" w:rsidP="00831E43">
            <w:pPr>
              <w:tabs>
                <w:tab w:val="decimal" w:pos="1037"/>
              </w:tabs>
              <w:rPr>
                <w:rFonts w:ascii="Arial" w:hAnsi="Arial" w:cs="Arial"/>
                <w:lang w:val="en-GB"/>
              </w:rPr>
            </w:pPr>
            <w:r w:rsidRPr="00CD0E79">
              <w:rPr>
                <w:rFonts w:ascii="Arial" w:hAnsi="Arial" w:cs="Arial"/>
                <w:lang w:val="en-GB"/>
              </w:rPr>
              <w:t>(31,602)</w:t>
            </w:r>
          </w:p>
        </w:tc>
        <w:tc>
          <w:tcPr>
            <w:tcW w:w="1147" w:type="dxa"/>
          </w:tcPr>
          <w:p w14:paraId="0CA07A90" w14:textId="77777777" w:rsidR="002576DD" w:rsidRPr="00CD0E79" w:rsidRDefault="002576DD" w:rsidP="00831E43">
            <w:pPr>
              <w:tabs>
                <w:tab w:val="decimal" w:pos="1039"/>
              </w:tabs>
              <w:rPr>
                <w:rFonts w:ascii="Arial" w:hAnsi="Arial" w:cs="Arial"/>
                <w:lang w:val="en-GB"/>
              </w:rPr>
            </w:pPr>
            <w:r w:rsidRPr="00CD0E79">
              <w:rPr>
                <w:rFonts w:ascii="Arial" w:hAnsi="Arial" w:cs="Arial"/>
                <w:lang w:val="en-GB"/>
              </w:rPr>
              <w:t>(30,818)</w:t>
            </w:r>
          </w:p>
        </w:tc>
        <w:tc>
          <w:tcPr>
            <w:tcW w:w="1155" w:type="dxa"/>
          </w:tcPr>
          <w:p w14:paraId="038A8E67" w14:textId="77777777" w:rsidR="002576DD" w:rsidRPr="00CD0E79" w:rsidRDefault="002576DD" w:rsidP="00831E43">
            <w:pPr>
              <w:tabs>
                <w:tab w:val="decimal" w:pos="1040"/>
              </w:tabs>
              <w:rPr>
                <w:rFonts w:ascii="Arial" w:hAnsi="Arial" w:cs="Arial"/>
                <w:lang w:val="en-GB"/>
              </w:rPr>
            </w:pPr>
            <w:r w:rsidRPr="00CD0E79">
              <w:rPr>
                <w:rFonts w:ascii="Arial" w:hAnsi="Arial" w:cs="Arial"/>
                <w:lang w:val="en-GB"/>
              </w:rPr>
              <w:t>(26,773)</w:t>
            </w:r>
          </w:p>
        </w:tc>
      </w:tr>
      <w:tr w:rsidR="002576DD" w:rsidRPr="00CD0E79" w14:paraId="1E164C09" w14:textId="77777777" w:rsidTr="002B6EE7">
        <w:trPr>
          <w:tblHeader/>
        </w:trPr>
        <w:tc>
          <w:tcPr>
            <w:tcW w:w="4130" w:type="dxa"/>
          </w:tcPr>
          <w:p w14:paraId="27188F19" w14:textId="4B2472DE" w:rsidR="002576DD" w:rsidRPr="00CD0E79" w:rsidRDefault="002576DD" w:rsidP="00C2321B">
            <w:pPr>
              <w:rPr>
                <w:rFonts w:ascii="Arial" w:hAnsi="Arial" w:cs="Arial"/>
                <w:b/>
                <w:lang w:val="en-GB"/>
              </w:rPr>
            </w:pPr>
            <w:r w:rsidRPr="00CD0E79">
              <w:rPr>
                <w:rFonts w:ascii="Arial" w:hAnsi="Arial" w:cs="Arial"/>
                <w:b/>
                <w:lang w:val="en-GB"/>
              </w:rPr>
              <w:t xml:space="preserve">Profit </w:t>
            </w:r>
            <w:r w:rsidR="00ED0B00">
              <w:rPr>
                <w:rFonts w:ascii="Arial" w:hAnsi="Arial" w:cs="Arial"/>
                <w:b/>
                <w:lang w:val="en-GB"/>
              </w:rPr>
              <w:t>b</w:t>
            </w:r>
            <w:r w:rsidRPr="00CD0E79">
              <w:rPr>
                <w:rFonts w:ascii="Arial" w:hAnsi="Arial" w:cs="Arial"/>
                <w:b/>
                <w:lang w:val="en-GB"/>
              </w:rPr>
              <w:t>efore Tax</w:t>
            </w:r>
          </w:p>
        </w:tc>
        <w:tc>
          <w:tcPr>
            <w:tcW w:w="1146" w:type="dxa"/>
          </w:tcPr>
          <w:p w14:paraId="671F2265" w14:textId="77777777" w:rsidR="002576DD" w:rsidRPr="00CD0E79" w:rsidRDefault="002576DD" w:rsidP="00831E43">
            <w:pPr>
              <w:tabs>
                <w:tab w:val="decimal" w:pos="1037"/>
              </w:tabs>
              <w:rPr>
                <w:rFonts w:ascii="Arial" w:hAnsi="Arial" w:cs="Arial"/>
                <w:u w:val="single"/>
                <w:lang w:val="en-GB"/>
              </w:rPr>
            </w:pPr>
            <w:r w:rsidRPr="00CD0E79">
              <w:rPr>
                <w:rFonts w:ascii="Arial" w:hAnsi="Arial" w:cs="Arial"/>
                <w:u w:val="single"/>
                <w:lang w:val="en-GB"/>
              </w:rPr>
              <w:t>835,958</w:t>
            </w:r>
          </w:p>
        </w:tc>
        <w:tc>
          <w:tcPr>
            <w:tcW w:w="1147" w:type="dxa"/>
          </w:tcPr>
          <w:p w14:paraId="30775D20" w14:textId="77777777" w:rsidR="002576DD" w:rsidRPr="00CD0E79" w:rsidRDefault="002576DD" w:rsidP="00831E43">
            <w:pPr>
              <w:tabs>
                <w:tab w:val="decimal" w:pos="1039"/>
              </w:tabs>
              <w:rPr>
                <w:rFonts w:ascii="Arial" w:hAnsi="Arial" w:cs="Arial"/>
                <w:u w:val="single"/>
                <w:lang w:val="en-GB"/>
              </w:rPr>
            </w:pPr>
            <w:r w:rsidRPr="00CD0E79">
              <w:rPr>
                <w:rFonts w:ascii="Arial" w:hAnsi="Arial" w:cs="Arial"/>
                <w:u w:val="single"/>
                <w:lang w:val="en-GB"/>
              </w:rPr>
              <w:t>644,860</w:t>
            </w:r>
          </w:p>
        </w:tc>
        <w:tc>
          <w:tcPr>
            <w:tcW w:w="1155" w:type="dxa"/>
          </w:tcPr>
          <w:p w14:paraId="6E3C65B2" w14:textId="77777777" w:rsidR="002576DD" w:rsidRPr="00CD0E79" w:rsidRDefault="002576DD" w:rsidP="00831E43">
            <w:pPr>
              <w:tabs>
                <w:tab w:val="decimal" w:pos="1040"/>
              </w:tabs>
              <w:rPr>
                <w:rFonts w:ascii="Arial" w:hAnsi="Arial" w:cs="Arial"/>
                <w:u w:val="single"/>
                <w:lang w:val="en-GB"/>
              </w:rPr>
            </w:pPr>
            <w:r w:rsidRPr="00CD0E79">
              <w:rPr>
                <w:rFonts w:ascii="Arial" w:hAnsi="Arial" w:cs="Arial"/>
                <w:u w:val="single"/>
                <w:lang w:val="en-GB"/>
              </w:rPr>
              <w:t>594,947</w:t>
            </w:r>
          </w:p>
        </w:tc>
      </w:tr>
      <w:tr w:rsidR="002576DD" w:rsidRPr="00CD0E79" w14:paraId="4FB83112" w14:textId="77777777" w:rsidTr="002B6EE7">
        <w:trPr>
          <w:tblHeader/>
        </w:trPr>
        <w:tc>
          <w:tcPr>
            <w:tcW w:w="4130" w:type="dxa"/>
          </w:tcPr>
          <w:p w14:paraId="586FBE2C" w14:textId="77777777" w:rsidR="002576DD" w:rsidRPr="00CD0E79" w:rsidRDefault="002576DD" w:rsidP="00C2321B">
            <w:pPr>
              <w:rPr>
                <w:rFonts w:ascii="Arial" w:hAnsi="Arial" w:cs="Arial"/>
                <w:lang w:val="en-GB"/>
              </w:rPr>
            </w:pPr>
            <w:r w:rsidRPr="00CD0E79">
              <w:rPr>
                <w:rFonts w:ascii="Arial" w:hAnsi="Arial" w:cs="Arial"/>
                <w:lang w:val="en-GB"/>
              </w:rPr>
              <w:t xml:space="preserve">  Income Tax Expense</w:t>
            </w:r>
          </w:p>
        </w:tc>
        <w:tc>
          <w:tcPr>
            <w:tcW w:w="1146" w:type="dxa"/>
          </w:tcPr>
          <w:p w14:paraId="09405A92" w14:textId="77777777" w:rsidR="002576DD" w:rsidRPr="00CD0E79" w:rsidRDefault="002576DD" w:rsidP="00831E43">
            <w:pPr>
              <w:tabs>
                <w:tab w:val="decimal" w:pos="1037"/>
              </w:tabs>
              <w:rPr>
                <w:rFonts w:ascii="Arial" w:hAnsi="Arial" w:cs="Arial"/>
                <w:lang w:val="en-GB"/>
              </w:rPr>
            </w:pPr>
            <w:r w:rsidRPr="00CD0E79">
              <w:rPr>
                <w:rFonts w:ascii="Arial" w:hAnsi="Arial" w:cs="Arial"/>
                <w:lang w:val="en-GB"/>
              </w:rPr>
              <w:t>(335,991)</w:t>
            </w:r>
          </w:p>
        </w:tc>
        <w:tc>
          <w:tcPr>
            <w:tcW w:w="1147" w:type="dxa"/>
          </w:tcPr>
          <w:p w14:paraId="04DF5953" w14:textId="77777777" w:rsidR="002576DD" w:rsidRPr="00CD0E79" w:rsidRDefault="002576DD" w:rsidP="00831E43">
            <w:pPr>
              <w:tabs>
                <w:tab w:val="decimal" w:pos="1039"/>
              </w:tabs>
              <w:rPr>
                <w:rFonts w:ascii="Arial" w:hAnsi="Arial" w:cs="Arial"/>
                <w:lang w:val="en-GB"/>
              </w:rPr>
            </w:pPr>
            <w:r w:rsidRPr="00CD0E79">
              <w:rPr>
                <w:rFonts w:ascii="Arial" w:hAnsi="Arial" w:cs="Arial"/>
                <w:lang w:val="en-GB"/>
              </w:rPr>
              <w:t>(263,226)</w:t>
            </w:r>
          </w:p>
        </w:tc>
        <w:tc>
          <w:tcPr>
            <w:tcW w:w="1155" w:type="dxa"/>
          </w:tcPr>
          <w:p w14:paraId="0772872B" w14:textId="77777777" w:rsidR="002576DD" w:rsidRPr="00CD0E79" w:rsidRDefault="002576DD" w:rsidP="00831E43">
            <w:pPr>
              <w:tabs>
                <w:tab w:val="decimal" w:pos="1040"/>
              </w:tabs>
              <w:rPr>
                <w:rFonts w:ascii="Arial" w:hAnsi="Arial" w:cs="Arial"/>
                <w:lang w:val="en-GB"/>
              </w:rPr>
            </w:pPr>
            <w:r w:rsidRPr="00CD0E79">
              <w:rPr>
                <w:rFonts w:ascii="Arial" w:hAnsi="Arial" w:cs="Arial"/>
                <w:lang w:val="en-GB"/>
              </w:rPr>
              <w:t>(188,795)</w:t>
            </w:r>
          </w:p>
        </w:tc>
      </w:tr>
      <w:tr w:rsidR="002576DD" w:rsidRPr="00CD0E79" w14:paraId="44EECCB2" w14:textId="77777777" w:rsidTr="002B6EE7">
        <w:trPr>
          <w:tblHeader/>
        </w:trPr>
        <w:tc>
          <w:tcPr>
            <w:tcW w:w="4130" w:type="dxa"/>
          </w:tcPr>
          <w:p w14:paraId="683F5F12" w14:textId="77777777" w:rsidR="002576DD" w:rsidRPr="00CD0E79" w:rsidRDefault="002576DD" w:rsidP="00C2321B">
            <w:pPr>
              <w:rPr>
                <w:rFonts w:ascii="Arial" w:hAnsi="Arial" w:cs="Arial"/>
                <w:b/>
                <w:lang w:val="en-GB"/>
              </w:rPr>
            </w:pPr>
            <w:r w:rsidRPr="00CD0E79">
              <w:rPr>
                <w:rFonts w:ascii="Arial" w:hAnsi="Arial" w:cs="Arial"/>
                <w:b/>
                <w:lang w:val="en-GB"/>
              </w:rPr>
              <w:t>Profit for the Year</w:t>
            </w:r>
          </w:p>
        </w:tc>
        <w:tc>
          <w:tcPr>
            <w:tcW w:w="1146" w:type="dxa"/>
          </w:tcPr>
          <w:p w14:paraId="45D4C6B9" w14:textId="77777777" w:rsidR="002576DD" w:rsidRPr="00CD0E79" w:rsidRDefault="002576DD" w:rsidP="00831E43">
            <w:pPr>
              <w:tabs>
                <w:tab w:val="decimal" w:pos="1037"/>
              </w:tabs>
              <w:rPr>
                <w:rFonts w:ascii="Arial" w:hAnsi="Arial" w:cs="Arial"/>
                <w:b/>
                <w:u w:val="double"/>
                <w:lang w:val="en-GB"/>
              </w:rPr>
            </w:pPr>
            <w:r w:rsidRPr="00CD0E79">
              <w:rPr>
                <w:rFonts w:ascii="Arial" w:hAnsi="Arial" w:cs="Arial"/>
                <w:b/>
                <w:u w:val="double"/>
                <w:lang w:val="en-GB"/>
              </w:rPr>
              <w:t>499,967</w:t>
            </w:r>
          </w:p>
        </w:tc>
        <w:tc>
          <w:tcPr>
            <w:tcW w:w="1147" w:type="dxa"/>
          </w:tcPr>
          <w:p w14:paraId="0ED891E9" w14:textId="77777777" w:rsidR="002576DD" w:rsidRPr="00CD0E79" w:rsidRDefault="002576DD" w:rsidP="00831E43">
            <w:pPr>
              <w:tabs>
                <w:tab w:val="decimal" w:pos="1039"/>
              </w:tabs>
              <w:rPr>
                <w:rFonts w:ascii="Arial" w:hAnsi="Arial" w:cs="Arial"/>
                <w:b/>
                <w:u w:val="double"/>
                <w:lang w:val="en-GB"/>
              </w:rPr>
            </w:pPr>
            <w:r w:rsidRPr="00CD0E79">
              <w:rPr>
                <w:rFonts w:ascii="Arial" w:hAnsi="Arial" w:cs="Arial"/>
                <w:b/>
                <w:u w:val="double"/>
                <w:lang w:val="en-GB"/>
              </w:rPr>
              <w:t>381,634</w:t>
            </w:r>
          </w:p>
        </w:tc>
        <w:tc>
          <w:tcPr>
            <w:tcW w:w="1155" w:type="dxa"/>
          </w:tcPr>
          <w:p w14:paraId="25623DEF" w14:textId="77777777" w:rsidR="002576DD" w:rsidRPr="00CD0E79" w:rsidRDefault="002576DD" w:rsidP="00831E43">
            <w:pPr>
              <w:tabs>
                <w:tab w:val="decimal" w:pos="1040"/>
              </w:tabs>
              <w:rPr>
                <w:rFonts w:ascii="Arial" w:hAnsi="Arial" w:cs="Arial"/>
                <w:b/>
                <w:u w:val="double"/>
                <w:lang w:val="en-GB"/>
              </w:rPr>
            </w:pPr>
            <w:r w:rsidRPr="00CD0E79">
              <w:rPr>
                <w:rFonts w:ascii="Arial" w:hAnsi="Arial" w:cs="Arial"/>
                <w:b/>
                <w:u w:val="double"/>
                <w:lang w:val="en-GB"/>
              </w:rPr>
              <w:t>406,152</w:t>
            </w:r>
          </w:p>
        </w:tc>
      </w:tr>
      <w:tr w:rsidR="002576DD" w:rsidRPr="00CD0E79" w14:paraId="1A314F3F" w14:textId="77777777" w:rsidTr="002B6EE7">
        <w:trPr>
          <w:tblHeader/>
        </w:trPr>
        <w:tc>
          <w:tcPr>
            <w:tcW w:w="4130" w:type="dxa"/>
          </w:tcPr>
          <w:p w14:paraId="182F9E76" w14:textId="77777777" w:rsidR="002576DD" w:rsidRPr="00CD0E79" w:rsidRDefault="002576DD" w:rsidP="00C2321B">
            <w:pPr>
              <w:rPr>
                <w:rFonts w:ascii="Arial" w:hAnsi="Arial" w:cs="Arial"/>
                <w:b/>
                <w:lang w:val="en-GB"/>
              </w:rPr>
            </w:pPr>
            <w:r w:rsidRPr="00CD0E79">
              <w:rPr>
                <w:rFonts w:ascii="Arial" w:hAnsi="Arial" w:cs="Arial"/>
                <w:b/>
                <w:lang w:val="en-GB"/>
              </w:rPr>
              <w:t>Attributable to:</w:t>
            </w:r>
          </w:p>
        </w:tc>
        <w:tc>
          <w:tcPr>
            <w:tcW w:w="1146" w:type="dxa"/>
          </w:tcPr>
          <w:p w14:paraId="7E990B0F" w14:textId="77777777" w:rsidR="002576DD" w:rsidRPr="00CD0E79" w:rsidRDefault="002576DD" w:rsidP="00831E43">
            <w:pPr>
              <w:tabs>
                <w:tab w:val="decimal" w:pos="1037"/>
              </w:tabs>
              <w:jc w:val="right"/>
              <w:rPr>
                <w:rFonts w:ascii="Arial" w:hAnsi="Arial" w:cs="Arial"/>
                <w:lang w:val="en-GB"/>
              </w:rPr>
            </w:pPr>
          </w:p>
        </w:tc>
        <w:tc>
          <w:tcPr>
            <w:tcW w:w="1147" w:type="dxa"/>
          </w:tcPr>
          <w:p w14:paraId="504A453F" w14:textId="77777777" w:rsidR="002576DD" w:rsidRPr="00CD0E79" w:rsidRDefault="002576DD" w:rsidP="00831E43">
            <w:pPr>
              <w:tabs>
                <w:tab w:val="decimal" w:pos="1039"/>
              </w:tabs>
              <w:jc w:val="right"/>
              <w:rPr>
                <w:rFonts w:ascii="Arial" w:hAnsi="Arial" w:cs="Arial"/>
                <w:lang w:val="en-GB"/>
              </w:rPr>
            </w:pPr>
          </w:p>
        </w:tc>
        <w:tc>
          <w:tcPr>
            <w:tcW w:w="1155" w:type="dxa"/>
          </w:tcPr>
          <w:p w14:paraId="4C4F5309" w14:textId="77777777" w:rsidR="002576DD" w:rsidRPr="00CD0E79" w:rsidRDefault="002576DD" w:rsidP="00831E43">
            <w:pPr>
              <w:tabs>
                <w:tab w:val="decimal" w:pos="1040"/>
              </w:tabs>
              <w:jc w:val="right"/>
              <w:rPr>
                <w:rFonts w:ascii="Arial" w:hAnsi="Arial" w:cs="Arial"/>
                <w:lang w:val="en-GB"/>
              </w:rPr>
            </w:pPr>
          </w:p>
        </w:tc>
      </w:tr>
      <w:tr w:rsidR="002576DD" w:rsidRPr="00CD0E79" w14:paraId="3DA6BE96" w14:textId="77777777" w:rsidTr="002B6EE7">
        <w:trPr>
          <w:tblHeader/>
        </w:trPr>
        <w:tc>
          <w:tcPr>
            <w:tcW w:w="4130" w:type="dxa"/>
          </w:tcPr>
          <w:p w14:paraId="70B9E898" w14:textId="77777777" w:rsidR="002576DD" w:rsidRPr="00CD0E79" w:rsidRDefault="002576DD" w:rsidP="00C2321B">
            <w:pPr>
              <w:rPr>
                <w:rFonts w:ascii="Arial" w:hAnsi="Arial" w:cs="Arial"/>
                <w:lang w:val="en-GB"/>
              </w:rPr>
            </w:pPr>
            <w:r w:rsidRPr="00CD0E79">
              <w:rPr>
                <w:rFonts w:ascii="Arial" w:hAnsi="Arial" w:cs="Arial"/>
                <w:lang w:val="en-GB"/>
              </w:rPr>
              <w:t xml:space="preserve">  Owner of the Parent</w:t>
            </w:r>
          </w:p>
        </w:tc>
        <w:tc>
          <w:tcPr>
            <w:tcW w:w="1146" w:type="dxa"/>
          </w:tcPr>
          <w:p w14:paraId="1E6470C0" w14:textId="77777777" w:rsidR="002576DD" w:rsidRPr="00CD0E79" w:rsidRDefault="002576DD" w:rsidP="00831E43">
            <w:pPr>
              <w:tabs>
                <w:tab w:val="decimal" w:pos="1037"/>
              </w:tabs>
              <w:rPr>
                <w:rFonts w:ascii="Arial" w:hAnsi="Arial" w:cs="Arial"/>
                <w:lang w:val="en-GB"/>
              </w:rPr>
            </w:pPr>
            <w:r w:rsidRPr="00CD0E79">
              <w:rPr>
                <w:rFonts w:ascii="Arial" w:hAnsi="Arial" w:cs="Arial"/>
                <w:lang w:val="en-GB"/>
              </w:rPr>
              <w:t>485,461</w:t>
            </w:r>
          </w:p>
        </w:tc>
        <w:tc>
          <w:tcPr>
            <w:tcW w:w="1147" w:type="dxa"/>
          </w:tcPr>
          <w:p w14:paraId="0E46270E" w14:textId="77777777" w:rsidR="002576DD" w:rsidRPr="00CD0E79" w:rsidRDefault="002576DD" w:rsidP="00831E43">
            <w:pPr>
              <w:tabs>
                <w:tab w:val="decimal" w:pos="1039"/>
              </w:tabs>
              <w:rPr>
                <w:rFonts w:ascii="Arial" w:hAnsi="Arial" w:cs="Arial"/>
                <w:lang w:val="en-GB"/>
              </w:rPr>
            </w:pPr>
            <w:r w:rsidRPr="00CD0E79">
              <w:rPr>
                <w:rFonts w:ascii="Arial" w:hAnsi="Arial" w:cs="Arial"/>
                <w:lang w:val="en-GB"/>
              </w:rPr>
              <w:t>411,880</w:t>
            </w:r>
          </w:p>
        </w:tc>
        <w:tc>
          <w:tcPr>
            <w:tcW w:w="1155" w:type="dxa"/>
          </w:tcPr>
          <w:p w14:paraId="34550B7E" w14:textId="77777777" w:rsidR="002576DD" w:rsidRPr="00CD0E79" w:rsidRDefault="002576DD" w:rsidP="00831E43">
            <w:pPr>
              <w:tabs>
                <w:tab w:val="decimal" w:pos="1040"/>
              </w:tabs>
              <w:rPr>
                <w:rFonts w:ascii="Arial" w:hAnsi="Arial" w:cs="Arial"/>
                <w:lang w:val="en-GB"/>
              </w:rPr>
            </w:pPr>
            <w:r w:rsidRPr="00CD0E79">
              <w:rPr>
                <w:rFonts w:ascii="Arial" w:hAnsi="Arial" w:cs="Arial"/>
                <w:lang w:val="en-GB"/>
              </w:rPr>
              <w:t>416,988</w:t>
            </w:r>
          </w:p>
        </w:tc>
      </w:tr>
      <w:tr w:rsidR="002576DD" w:rsidRPr="00CD0E79" w14:paraId="21DE03A8" w14:textId="77777777" w:rsidTr="002B6EE7">
        <w:trPr>
          <w:tblHeader/>
        </w:trPr>
        <w:tc>
          <w:tcPr>
            <w:tcW w:w="4130" w:type="dxa"/>
          </w:tcPr>
          <w:p w14:paraId="40EA43DA" w14:textId="77777777" w:rsidR="002576DD" w:rsidRPr="00CD0E79" w:rsidRDefault="002576DD" w:rsidP="00C2321B">
            <w:pPr>
              <w:rPr>
                <w:rFonts w:ascii="Arial" w:hAnsi="Arial" w:cs="Arial"/>
                <w:lang w:val="en-GB"/>
              </w:rPr>
            </w:pPr>
            <w:r w:rsidRPr="00CD0E79">
              <w:rPr>
                <w:rFonts w:ascii="Arial" w:hAnsi="Arial" w:cs="Arial"/>
                <w:lang w:val="en-GB"/>
              </w:rPr>
              <w:t xml:space="preserve">  Non-Controlling Interests</w:t>
            </w:r>
          </w:p>
        </w:tc>
        <w:tc>
          <w:tcPr>
            <w:tcW w:w="1146" w:type="dxa"/>
          </w:tcPr>
          <w:p w14:paraId="266D236A" w14:textId="77777777" w:rsidR="002576DD" w:rsidRPr="00CD0E79" w:rsidRDefault="002576DD" w:rsidP="00831E43">
            <w:pPr>
              <w:tabs>
                <w:tab w:val="decimal" w:pos="1037"/>
              </w:tabs>
              <w:rPr>
                <w:rFonts w:ascii="Arial" w:hAnsi="Arial" w:cs="Arial"/>
                <w:u w:val="single"/>
                <w:lang w:val="en-GB"/>
              </w:rPr>
            </w:pPr>
            <w:r w:rsidRPr="00CD0E79">
              <w:rPr>
                <w:rFonts w:ascii="Arial" w:hAnsi="Arial" w:cs="Arial"/>
                <w:u w:val="single"/>
                <w:lang w:val="en-GB"/>
              </w:rPr>
              <w:t>14,506</w:t>
            </w:r>
          </w:p>
        </w:tc>
        <w:tc>
          <w:tcPr>
            <w:tcW w:w="1147" w:type="dxa"/>
          </w:tcPr>
          <w:p w14:paraId="43F46A81" w14:textId="77777777" w:rsidR="002576DD" w:rsidRPr="00CD0E79" w:rsidRDefault="002576DD" w:rsidP="00831E43">
            <w:pPr>
              <w:tabs>
                <w:tab w:val="decimal" w:pos="1039"/>
              </w:tabs>
              <w:rPr>
                <w:rFonts w:ascii="Arial" w:hAnsi="Arial" w:cs="Arial"/>
                <w:u w:val="single"/>
                <w:lang w:val="en-GB"/>
              </w:rPr>
            </w:pPr>
            <w:r w:rsidRPr="00CD0E79">
              <w:rPr>
                <w:rFonts w:ascii="Arial" w:hAnsi="Arial" w:cs="Arial"/>
                <w:u w:val="single"/>
                <w:lang w:val="en-GB"/>
              </w:rPr>
              <w:t>(30,246)</w:t>
            </w:r>
          </w:p>
        </w:tc>
        <w:tc>
          <w:tcPr>
            <w:tcW w:w="1155" w:type="dxa"/>
          </w:tcPr>
          <w:p w14:paraId="12A6BE44" w14:textId="77777777" w:rsidR="002576DD" w:rsidRPr="00CD0E79" w:rsidRDefault="002576DD" w:rsidP="00831E43">
            <w:pPr>
              <w:tabs>
                <w:tab w:val="decimal" w:pos="1040"/>
              </w:tabs>
              <w:rPr>
                <w:rFonts w:ascii="Arial" w:hAnsi="Arial" w:cs="Arial"/>
                <w:u w:val="single"/>
                <w:lang w:val="en-GB"/>
              </w:rPr>
            </w:pPr>
            <w:r w:rsidRPr="00CD0E79">
              <w:rPr>
                <w:rFonts w:ascii="Arial" w:hAnsi="Arial" w:cs="Arial"/>
                <w:u w:val="single"/>
                <w:lang w:val="en-GB"/>
              </w:rPr>
              <w:t>(10,836)</w:t>
            </w:r>
          </w:p>
        </w:tc>
      </w:tr>
      <w:tr w:rsidR="002576DD" w:rsidRPr="00CD0E79" w14:paraId="123C5B21" w14:textId="77777777" w:rsidTr="002B6EE7">
        <w:trPr>
          <w:tblHeader/>
        </w:trPr>
        <w:tc>
          <w:tcPr>
            <w:tcW w:w="4130" w:type="dxa"/>
          </w:tcPr>
          <w:p w14:paraId="5D3F0C69" w14:textId="77777777" w:rsidR="002576DD" w:rsidRPr="00CD0E79" w:rsidRDefault="002576DD" w:rsidP="00C2321B">
            <w:pPr>
              <w:rPr>
                <w:rFonts w:ascii="Arial" w:hAnsi="Arial" w:cs="Arial"/>
                <w:b/>
                <w:lang w:val="en-GB"/>
              </w:rPr>
            </w:pPr>
            <w:r w:rsidRPr="00CD0E79">
              <w:rPr>
                <w:rFonts w:ascii="Arial" w:hAnsi="Arial" w:cs="Arial"/>
                <w:b/>
                <w:lang w:val="en-GB"/>
              </w:rPr>
              <w:t>Profit for the Year</w:t>
            </w:r>
          </w:p>
        </w:tc>
        <w:tc>
          <w:tcPr>
            <w:tcW w:w="1146" w:type="dxa"/>
          </w:tcPr>
          <w:p w14:paraId="6BBB4370" w14:textId="77777777" w:rsidR="002576DD" w:rsidRPr="00CD0E79" w:rsidRDefault="002576DD" w:rsidP="00831E43">
            <w:pPr>
              <w:tabs>
                <w:tab w:val="decimal" w:pos="1037"/>
              </w:tabs>
              <w:rPr>
                <w:rFonts w:ascii="Arial" w:hAnsi="Arial" w:cs="Arial"/>
                <w:b/>
                <w:u w:val="double"/>
                <w:lang w:val="en-GB"/>
              </w:rPr>
            </w:pPr>
            <w:r w:rsidRPr="00CD0E79">
              <w:rPr>
                <w:rFonts w:ascii="Arial" w:hAnsi="Arial" w:cs="Arial"/>
                <w:b/>
                <w:u w:val="double"/>
                <w:lang w:val="en-GB"/>
              </w:rPr>
              <w:t>499,967</w:t>
            </w:r>
          </w:p>
        </w:tc>
        <w:tc>
          <w:tcPr>
            <w:tcW w:w="1147" w:type="dxa"/>
          </w:tcPr>
          <w:p w14:paraId="0A1709B7" w14:textId="77777777" w:rsidR="002576DD" w:rsidRPr="00CD0E79" w:rsidRDefault="002576DD" w:rsidP="00831E43">
            <w:pPr>
              <w:tabs>
                <w:tab w:val="decimal" w:pos="1039"/>
              </w:tabs>
              <w:rPr>
                <w:rFonts w:ascii="Arial" w:hAnsi="Arial" w:cs="Arial"/>
                <w:b/>
                <w:u w:val="double"/>
                <w:lang w:val="en-GB"/>
              </w:rPr>
            </w:pPr>
            <w:r w:rsidRPr="00CD0E79">
              <w:rPr>
                <w:rFonts w:ascii="Arial" w:hAnsi="Arial" w:cs="Arial"/>
                <w:b/>
                <w:u w:val="double"/>
                <w:lang w:val="en-GB"/>
              </w:rPr>
              <w:t>381,634</w:t>
            </w:r>
          </w:p>
        </w:tc>
        <w:tc>
          <w:tcPr>
            <w:tcW w:w="1155" w:type="dxa"/>
          </w:tcPr>
          <w:p w14:paraId="30DC65DB" w14:textId="77777777" w:rsidR="002576DD" w:rsidRPr="00CD0E79" w:rsidRDefault="002576DD" w:rsidP="00831E43">
            <w:pPr>
              <w:tabs>
                <w:tab w:val="decimal" w:pos="1040"/>
              </w:tabs>
              <w:rPr>
                <w:rFonts w:ascii="Arial" w:hAnsi="Arial" w:cs="Arial"/>
                <w:b/>
                <w:u w:val="double"/>
                <w:lang w:val="en-GB"/>
              </w:rPr>
            </w:pPr>
            <w:r w:rsidRPr="00CD0E79">
              <w:rPr>
                <w:rFonts w:ascii="Arial" w:hAnsi="Arial" w:cs="Arial"/>
                <w:b/>
                <w:u w:val="double"/>
                <w:lang w:val="en-GB"/>
              </w:rPr>
              <w:t>406,152</w:t>
            </w:r>
          </w:p>
        </w:tc>
      </w:tr>
    </w:tbl>
    <w:p w14:paraId="3080A8ED" w14:textId="77777777" w:rsidR="002576DD" w:rsidRPr="00CD0E79" w:rsidRDefault="002576DD" w:rsidP="002576DD">
      <w:pPr>
        <w:pStyle w:val="Footnote"/>
        <w:rPr>
          <w:lang w:val="en-GB"/>
        </w:rPr>
      </w:pPr>
    </w:p>
    <w:p w14:paraId="5EB90114" w14:textId="50577D8C" w:rsidR="00557FD7" w:rsidRPr="00CD0E79" w:rsidRDefault="00557FD7" w:rsidP="002576DD">
      <w:pPr>
        <w:pStyle w:val="Footnote"/>
        <w:rPr>
          <w:lang w:val="en-GB"/>
        </w:rPr>
      </w:pPr>
      <w:r w:rsidRPr="00CD0E79">
        <w:rPr>
          <w:lang w:val="en-GB"/>
        </w:rPr>
        <w:t>Note: ¥ = CNY = Chinese yuan renminbi; US$1.00 = ¥6.94 on December 30, 2016</w:t>
      </w:r>
    </w:p>
    <w:p w14:paraId="52DD5ED1" w14:textId="6299236F" w:rsidR="002576DD" w:rsidRPr="00CD0E79" w:rsidRDefault="002576DD" w:rsidP="002576DD">
      <w:pPr>
        <w:pStyle w:val="Footnote"/>
        <w:rPr>
          <w:b/>
          <w:lang w:val="en-GB"/>
        </w:rPr>
      </w:pPr>
      <w:r w:rsidRPr="00CD0E79">
        <w:rPr>
          <w:lang w:val="en-GB"/>
        </w:rPr>
        <w:t xml:space="preserve">Source: </w:t>
      </w:r>
      <w:r w:rsidR="006363DA" w:rsidRPr="00CD0E79">
        <w:rPr>
          <w:lang w:val="en-GB"/>
        </w:rPr>
        <w:t>Company files.</w:t>
      </w:r>
    </w:p>
    <w:p w14:paraId="12559A39" w14:textId="77777777" w:rsidR="002576DD" w:rsidRPr="00CD0E79" w:rsidRDefault="002576DD" w:rsidP="002576DD">
      <w:pPr>
        <w:pStyle w:val="BodyTextMain"/>
        <w:rPr>
          <w:lang w:val="en-GB"/>
        </w:rPr>
      </w:pPr>
    </w:p>
    <w:p w14:paraId="790A40E3" w14:textId="77777777" w:rsidR="002576DD" w:rsidRPr="00CD0E79" w:rsidRDefault="002576DD" w:rsidP="002576DD">
      <w:pPr>
        <w:pStyle w:val="BodyTextMain"/>
        <w:rPr>
          <w:lang w:val="en-GB"/>
        </w:rPr>
      </w:pPr>
    </w:p>
    <w:p w14:paraId="19684FE9" w14:textId="77777777" w:rsidR="002576DD" w:rsidRPr="00CD0E79" w:rsidRDefault="002576DD" w:rsidP="002576DD">
      <w:pPr>
        <w:pStyle w:val="BodyTextMain"/>
        <w:rPr>
          <w:lang w:val="en-GB"/>
        </w:rPr>
      </w:pPr>
    </w:p>
    <w:p w14:paraId="51CE5278" w14:textId="77777777" w:rsidR="002576DD" w:rsidRPr="00CD0E79" w:rsidRDefault="002576DD" w:rsidP="002576DD">
      <w:pPr>
        <w:pStyle w:val="BodyTextMain"/>
        <w:rPr>
          <w:lang w:val="en-GB"/>
        </w:rPr>
      </w:pPr>
    </w:p>
    <w:p w14:paraId="733EA19A" w14:textId="77777777" w:rsidR="002576DD" w:rsidRPr="00CD0E79" w:rsidRDefault="002576DD" w:rsidP="002576DD">
      <w:pPr>
        <w:pStyle w:val="BodyTextMain"/>
        <w:rPr>
          <w:lang w:val="en-GB"/>
        </w:rPr>
      </w:pPr>
    </w:p>
    <w:p w14:paraId="44CA933F" w14:textId="77777777" w:rsidR="002576DD" w:rsidRPr="00CD0E79" w:rsidRDefault="002576DD" w:rsidP="002576DD">
      <w:pPr>
        <w:pStyle w:val="BodyTextMain"/>
        <w:rPr>
          <w:lang w:val="en-GB"/>
        </w:rPr>
      </w:pPr>
    </w:p>
    <w:p w14:paraId="52D007E9" w14:textId="5D093FCF" w:rsidR="002576DD" w:rsidRPr="00CD0E79" w:rsidRDefault="002576DD" w:rsidP="002576DD">
      <w:pPr>
        <w:pStyle w:val="ExhibitHeading"/>
        <w:rPr>
          <w:lang w:val="en-GB"/>
        </w:rPr>
      </w:pPr>
      <w:r w:rsidRPr="00CD0E79">
        <w:rPr>
          <w:lang w:val="en-GB"/>
        </w:rPr>
        <w:lastRenderedPageBreak/>
        <w:t>Exhibit 2: 2016 China’s Milk Powder Imports</w:t>
      </w:r>
      <w:r w:rsidR="00526A14" w:rsidRPr="00CD0E79">
        <w:rPr>
          <w:lang w:val="en-GB"/>
        </w:rPr>
        <w:t xml:space="preserve">, by </w:t>
      </w:r>
      <w:r w:rsidRPr="00CD0E79">
        <w:rPr>
          <w:lang w:val="en-GB"/>
        </w:rPr>
        <w:t>Country of Origin</w:t>
      </w:r>
    </w:p>
    <w:p w14:paraId="74DDE58C" w14:textId="77777777" w:rsidR="002576DD" w:rsidRPr="00CD0E79" w:rsidRDefault="002576DD" w:rsidP="002576DD">
      <w:pPr>
        <w:jc w:val="center"/>
        <w:rPr>
          <w:rFonts w:ascii="Arial" w:hAnsi="Arial" w:cs="Arial"/>
          <w:b/>
          <w:lang w:val="en-GB"/>
        </w:rPr>
      </w:pPr>
    </w:p>
    <w:tbl>
      <w:tblPr>
        <w:tblW w:w="4765" w:type="dxa"/>
        <w:jc w:val="center"/>
        <w:tblLayout w:type="fixed"/>
        <w:tblLook w:val="04A0" w:firstRow="1" w:lastRow="0" w:firstColumn="1" w:lastColumn="0" w:noHBand="0" w:noVBand="1"/>
        <w:tblCaption w:val="EXHIBIT 2"/>
        <w:tblDescription w:val="2016 CHINA’S MILK POWDER IMPORTS, BY COUNTRY OF ORIGIN"/>
      </w:tblPr>
      <w:tblGrid>
        <w:gridCol w:w="1422"/>
        <w:gridCol w:w="1813"/>
        <w:gridCol w:w="1530"/>
      </w:tblGrid>
      <w:tr w:rsidR="002576DD" w:rsidRPr="00CD0E79" w14:paraId="202D99CB" w14:textId="77777777" w:rsidTr="00DB58D9">
        <w:trPr>
          <w:trHeight w:val="60"/>
          <w:tblHeader/>
          <w:jc w:val="center"/>
        </w:trPr>
        <w:tc>
          <w:tcPr>
            <w:tcW w:w="1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CC5F4C" w14:textId="77777777" w:rsidR="002576DD" w:rsidRPr="00CD0E79" w:rsidRDefault="002576DD" w:rsidP="002576DD">
            <w:pPr>
              <w:keepNext/>
              <w:keepLines/>
              <w:jc w:val="center"/>
              <w:rPr>
                <w:rFonts w:ascii="Arial" w:hAnsi="Arial" w:cs="Arial"/>
                <w:b/>
                <w:color w:val="000000"/>
                <w:lang w:val="en-GB"/>
              </w:rPr>
            </w:pPr>
            <w:r w:rsidRPr="00CD0E79">
              <w:rPr>
                <w:rFonts w:ascii="Arial" w:hAnsi="Arial" w:cs="Arial"/>
                <w:b/>
                <w:color w:val="000000"/>
                <w:lang w:val="en-GB"/>
              </w:rPr>
              <w:t>Origins</w:t>
            </w:r>
          </w:p>
        </w:tc>
        <w:tc>
          <w:tcPr>
            <w:tcW w:w="1813" w:type="dxa"/>
            <w:tcBorders>
              <w:top w:val="single" w:sz="4" w:space="0" w:color="auto"/>
              <w:left w:val="nil"/>
              <w:bottom w:val="single" w:sz="4" w:space="0" w:color="auto"/>
              <w:right w:val="single" w:sz="4" w:space="0" w:color="auto"/>
            </w:tcBorders>
            <w:shd w:val="clear" w:color="auto" w:fill="auto"/>
            <w:vAlign w:val="center"/>
            <w:hideMark/>
          </w:tcPr>
          <w:p w14:paraId="16929B26" w14:textId="77777777" w:rsidR="00D30F34" w:rsidRDefault="002576DD" w:rsidP="002576DD">
            <w:pPr>
              <w:keepNext/>
              <w:keepLines/>
              <w:jc w:val="center"/>
              <w:rPr>
                <w:rFonts w:ascii="Arial" w:hAnsi="Arial" w:cs="Arial"/>
                <w:b/>
                <w:color w:val="000000"/>
                <w:lang w:val="en-GB"/>
              </w:rPr>
            </w:pPr>
            <w:r w:rsidRPr="00CD0E79">
              <w:rPr>
                <w:rFonts w:ascii="Arial" w:hAnsi="Arial" w:cs="Arial"/>
                <w:b/>
                <w:color w:val="000000"/>
                <w:lang w:val="en-GB"/>
              </w:rPr>
              <w:t xml:space="preserve">Imports </w:t>
            </w:r>
          </w:p>
          <w:p w14:paraId="68709E6E" w14:textId="1156C392" w:rsidR="002576DD" w:rsidRPr="00CD0E79" w:rsidRDefault="002576DD" w:rsidP="002576DD">
            <w:pPr>
              <w:keepNext/>
              <w:keepLines/>
              <w:jc w:val="center"/>
              <w:rPr>
                <w:rFonts w:ascii="Arial" w:hAnsi="Arial" w:cs="Arial"/>
                <w:b/>
                <w:color w:val="000000"/>
                <w:lang w:val="en-GB"/>
              </w:rPr>
            </w:pPr>
            <w:r w:rsidRPr="00CD0E79">
              <w:rPr>
                <w:rFonts w:ascii="Arial" w:hAnsi="Arial" w:cs="Arial"/>
                <w:b/>
                <w:color w:val="000000"/>
                <w:lang w:val="en-GB"/>
              </w:rPr>
              <w:t>(</w:t>
            </w:r>
            <w:r w:rsidR="0069491E">
              <w:rPr>
                <w:rFonts w:ascii="Arial" w:hAnsi="Arial" w:cs="Arial"/>
                <w:b/>
                <w:color w:val="000000"/>
                <w:lang w:val="en-GB"/>
              </w:rPr>
              <w:t xml:space="preserve">in </w:t>
            </w:r>
            <w:r w:rsidR="000E4AAF">
              <w:rPr>
                <w:rFonts w:ascii="Arial" w:hAnsi="Arial" w:cs="Arial"/>
                <w:b/>
                <w:color w:val="000000"/>
                <w:lang w:val="en-GB"/>
              </w:rPr>
              <w:t>T</w:t>
            </w:r>
            <w:r w:rsidRPr="00CD0E79">
              <w:rPr>
                <w:rFonts w:ascii="Arial" w:hAnsi="Arial" w:cs="Arial"/>
                <w:b/>
                <w:color w:val="000000"/>
                <w:lang w:val="en-GB"/>
              </w:rPr>
              <w:t>onnes)</w:t>
            </w:r>
          </w:p>
        </w:tc>
        <w:tc>
          <w:tcPr>
            <w:tcW w:w="1530" w:type="dxa"/>
            <w:tcBorders>
              <w:top w:val="single" w:sz="4" w:space="0" w:color="auto"/>
              <w:left w:val="nil"/>
              <w:bottom w:val="single" w:sz="4" w:space="0" w:color="auto"/>
              <w:right w:val="single" w:sz="4" w:space="0" w:color="auto"/>
            </w:tcBorders>
            <w:vAlign w:val="center"/>
          </w:tcPr>
          <w:p w14:paraId="585DC3CE" w14:textId="77777777" w:rsidR="002576DD" w:rsidRPr="00CD0E79" w:rsidRDefault="002576DD" w:rsidP="00D30F34">
            <w:pPr>
              <w:keepNext/>
              <w:keepLines/>
              <w:jc w:val="center"/>
              <w:rPr>
                <w:rFonts w:ascii="Arial" w:hAnsi="Arial" w:cs="Arial"/>
                <w:b/>
                <w:color w:val="000000"/>
                <w:lang w:val="en-GB"/>
              </w:rPr>
            </w:pPr>
            <w:r w:rsidRPr="00CD0E79">
              <w:rPr>
                <w:rFonts w:ascii="Arial" w:hAnsi="Arial" w:cs="Arial"/>
                <w:b/>
                <w:color w:val="000000"/>
                <w:lang w:val="en-GB"/>
              </w:rPr>
              <w:t>Percentage</w:t>
            </w:r>
          </w:p>
        </w:tc>
      </w:tr>
      <w:tr w:rsidR="002576DD" w:rsidRPr="00CD0E79" w14:paraId="3D46C8D3" w14:textId="77777777" w:rsidTr="00DB58D9">
        <w:trPr>
          <w:trHeight w:val="60"/>
          <w:tblHeader/>
          <w:jc w:val="center"/>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14:paraId="1071C010" w14:textId="77777777" w:rsidR="002576DD" w:rsidRPr="00CD0E79" w:rsidRDefault="002576DD" w:rsidP="00831E43">
            <w:pPr>
              <w:keepNext/>
              <w:keepLines/>
              <w:rPr>
                <w:rFonts w:ascii="Arial" w:hAnsi="Arial" w:cs="Arial"/>
                <w:color w:val="000000"/>
                <w:lang w:val="en-GB"/>
              </w:rPr>
            </w:pPr>
            <w:r w:rsidRPr="00CD0E79">
              <w:rPr>
                <w:rFonts w:ascii="Arial" w:hAnsi="Arial" w:cs="Arial"/>
                <w:color w:val="000000"/>
                <w:lang w:val="en-GB"/>
              </w:rPr>
              <w:t>New Zealand</w:t>
            </w:r>
          </w:p>
        </w:tc>
        <w:tc>
          <w:tcPr>
            <w:tcW w:w="1813" w:type="dxa"/>
            <w:tcBorders>
              <w:top w:val="nil"/>
              <w:left w:val="nil"/>
              <w:bottom w:val="single" w:sz="4" w:space="0" w:color="auto"/>
              <w:right w:val="single" w:sz="4" w:space="0" w:color="auto"/>
            </w:tcBorders>
            <w:shd w:val="clear" w:color="auto" w:fill="auto"/>
            <w:noWrap/>
            <w:vAlign w:val="center"/>
            <w:hideMark/>
          </w:tcPr>
          <w:p w14:paraId="76E1EBF1" w14:textId="4405D070" w:rsidR="002576DD" w:rsidRPr="00CD0E79" w:rsidRDefault="002576DD" w:rsidP="00831E43">
            <w:pPr>
              <w:keepNext/>
              <w:keepLines/>
              <w:tabs>
                <w:tab w:val="decimal" w:pos="1441"/>
              </w:tabs>
              <w:rPr>
                <w:rFonts w:ascii="Arial" w:hAnsi="Arial" w:cs="Arial"/>
                <w:color w:val="000000"/>
                <w:lang w:val="en-GB"/>
              </w:rPr>
            </w:pPr>
            <w:r w:rsidRPr="00CD0E79">
              <w:rPr>
                <w:rFonts w:ascii="Arial" w:hAnsi="Arial" w:cs="Arial"/>
                <w:color w:val="000000"/>
                <w:lang w:val="en-GB"/>
              </w:rPr>
              <w:t>503</w:t>
            </w:r>
            <w:r w:rsidR="000E4AAF">
              <w:rPr>
                <w:rFonts w:ascii="Arial" w:hAnsi="Arial" w:cs="Arial"/>
                <w:color w:val="000000"/>
                <w:lang w:val="en-GB"/>
              </w:rPr>
              <w:t>,</w:t>
            </w:r>
            <w:r w:rsidRPr="00CD0E79">
              <w:rPr>
                <w:rFonts w:ascii="Arial" w:hAnsi="Arial" w:cs="Arial"/>
                <w:color w:val="000000"/>
                <w:lang w:val="en-GB"/>
              </w:rPr>
              <w:t>562</w:t>
            </w:r>
          </w:p>
        </w:tc>
        <w:tc>
          <w:tcPr>
            <w:tcW w:w="1530" w:type="dxa"/>
            <w:tcBorders>
              <w:top w:val="nil"/>
              <w:left w:val="nil"/>
              <w:bottom w:val="single" w:sz="4" w:space="0" w:color="auto"/>
              <w:right w:val="single" w:sz="4" w:space="0" w:color="auto"/>
            </w:tcBorders>
            <w:vAlign w:val="center"/>
          </w:tcPr>
          <w:p w14:paraId="54257D5A" w14:textId="77777777" w:rsidR="002576DD" w:rsidRPr="00CD0E79" w:rsidRDefault="002576DD" w:rsidP="00831E43">
            <w:pPr>
              <w:keepNext/>
              <w:keepLines/>
              <w:tabs>
                <w:tab w:val="decimal" w:pos="1412"/>
              </w:tabs>
              <w:rPr>
                <w:rFonts w:ascii="Arial" w:hAnsi="Arial" w:cs="Arial"/>
                <w:color w:val="000000"/>
                <w:lang w:val="en-GB"/>
              </w:rPr>
            </w:pPr>
            <w:r w:rsidRPr="00CD0E79">
              <w:rPr>
                <w:rFonts w:ascii="Arial" w:hAnsi="Arial" w:cs="Arial"/>
                <w:color w:val="000000"/>
                <w:lang w:val="en-GB"/>
              </w:rPr>
              <w:t>83.34%</w:t>
            </w:r>
          </w:p>
        </w:tc>
      </w:tr>
      <w:tr w:rsidR="002576DD" w:rsidRPr="00CD0E79" w14:paraId="61AF1E4D" w14:textId="77777777" w:rsidTr="00DB58D9">
        <w:trPr>
          <w:trHeight w:val="60"/>
          <w:tblHeader/>
          <w:jc w:val="center"/>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14:paraId="5F932C67" w14:textId="77777777" w:rsidR="002576DD" w:rsidRPr="00CD0E79" w:rsidRDefault="002576DD" w:rsidP="00831E43">
            <w:pPr>
              <w:keepNext/>
              <w:keepLines/>
              <w:rPr>
                <w:rFonts w:ascii="Arial" w:hAnsi="Arial" w:cs="Arial"/>
                <w:color w:val="000000"/>
                <w:lang w:val="en-GB"/>
              </w:rPr>
            </w:pPr>
            <w:r w:rsidRPr="00CD0E79">
              <w:rPr>
                <w:rFonts w:ascii="Arial" w:hAnsi="Arial" w:cs="Arial"/>
                <w:color w:val="000000"/>
                <w:lang w:val="en-GB"/>
              </w:rPr>
              <w:t>Australia</w:t>
            </w:r>
          </w:p>
        </w:tc>
        <w:tc>
          <w:tcPr>
            <w:tcW w:w="1813" w:type="dxa"/>
            <w:tcBorders>
              <w:top w:val="nil"/>
              <w:left w:val="nil"/>
              <w:bottom w:val="single" w:sz="4" w:space="0" w:color="auto"/>
              <w:right w:val="single" w:sz="4" w:space="0" w:color="auto"/>
            </w:tcBorders>
            <w:shd w:val="clear" w:color="auto" w:fill="auto"/>
            <w:noWrap/>
            <w:vAlign w:val="center"/>
            <w:hideMark/>
          </w:tcPr>
          <w:p w14:paraId="2C1B5EE2" w14:textId="2E1A3407" w:rsidR="002576DD" w:rsidRPr="00CD0E79" w:rsidRDefault="002576DD" w:rsidP="00831E43">
            <w:pPr>
              <w:keepNext/>
              <w:keepLines/>
              <w:tabs>
                <w:tab w:val="decimal" w:pos="1441"/>
              </w:tabs>
              <w:rPr>
                <w:rFonts w:ascii="Arial" w:hAnsi="Arial" w:cs="Arial"/>
                <w:color w:val="000000"/>
                <w:lang w:val="en-GB"/>
              </w:rPr>
            </w:pPr>
            <w:r w:rsidRPr="00CD0E79">
              <w:rPr>
                <w:rFonts w:ascii="Arial" w:hAnsi="Arial" w:cs="Arial"/>
                <w:color w:val="000000"/>
                <w:lang w:val="en-GB"/>
              </w:rPr>
              <w:t>26</w:t>
            </w:r>
            <w:r w:rsidR="000E4AAF">
              <w:rPr>
                <w:rFonts w:ascii="Arial" w:hAnsi="Arial" w:cs="Arial"/>
                <w:color w:val="000000"/>
                <w:lang w:val="en-GB"/>
              </w:rPr>
              <w:t>,</w:t>
            </w:r>
            <w:r w:rsidRPr="00CD0E79">
              <w:rPr>
                <w:rFonts w:ascii="Arial" w:hAnsi="Arial" w:cs="Arial"/>
                <w:color w:val="000000"/>
                <w:lang w:val="en-GB"/>
              </w:rPr>
              <w:t>687</w:t>
            </w:r>
          </w:p>
        </w:tc>
        <w:tc>
          <w:tcPr>
            <w:tcW w:w="1530" w:type="dxa"/>
            <w:tcBorders>
              <w:top w:val="nil"/>
              <w:left w:val="nil"/>
              <w:bottom w:val="single" w:sz="4" w:space="0" w:color="auto"/>
              <w:right w:val="single" w:sz="4" w:space="0" w:color="auto"/>
            </w:tcBorders>
            <w:vAlign w:val="center"/>
          </w:tcPr>
          <w:p w14:paraId="3113DA6C" w14:textId="77777777" w:rsidR="002576DD" w:rsidRPr="00CD0E79" w:rsidRDefault="002576DD" w:rsidP="00831E43">
            <w:pPr>
              <w:keepNext/>
              <w:keepLines/>
              <w:tabs>
                <w:tab w:val="decimal" w:pos="1412"/>
              </w:tabs>
              <w:rPr>
                <w:rFonts w:ascii="Arial" w:hAnsi="Arial" w:cs="Arial"/>
                <w:color w:val="000000"/>
                <w:lang w:val="en-GB"/>
              </w:rPr>
            </w:pPr>
            <w:r w:rsidRPr="00CD0E79">
              <w:rPr>
                <w:rFonts w:ascii="Arial" w:hAnsi="Arial" w:cs="Arial"/>
                <w:color w:val="000000"/>
                <w:lang w:val="en-GB"/>
              </w:rPr>
              <w:t>4.42%</w:t>
            </w:r>
          </w:p>
        </w:tc>
      </w:tr>
      <w:tr w:rsidR="002576DD" w:rsidRPr="00CD0E79" w14:paraId="23C52084" w14:textId="77777777" w:rsidTr="00DB58D9">
        <w:trPr>
          <w:trHeight w:val="60"/>
          <w:tblHeader/>
          <w:jc w:val="center"/>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14:paraId="162A4B3D" w14:textId="77777777" w:rsidR="002576DD" w:rsidRPr="00CD0E79" w:rsidRDefault="002576DD" w:rsidP="00831E43">
            <w:pPr>
              <w:keepNext/>
              <w:keepLines/>
              <w:rPr>
                <w:rFonts w:ascii="Arial" w:hAnsi="Arial" w:cs="Arial"/>
                <w:color w:val="000000"/>
                <w:lang w:val="en-GB"/>
              </w:rPr>
            </w:pPr>
            <w:r w:rsidRPr="00CD0E79">
              <w:rPr>
                <w:rFonts w:ascii="Arial" w:hAnsi="Arial" w:cs="Arial"/>
                <w:color w:val="000000"/>
                <w:lang w:val="en-GB"/>
              </w:rPr>
              <w:t>United States</w:t>
            </w:r>
          </w:p>
        </w:tc>
        <w:tc>
          <w:tcPr>
            <w:tcW w:w="1813" w:type="dxa"/>
            <w:tcBorders>
              <w:top w:val="nil"/>
              <w:left w:val="nil"/>
              <w:bottom w:val="single" w:sz="4" w:space="0" w:color="auto"/>
              <w:right w:val="single" w:sz="4" w:space="0" w:color="auto"/>
            </w:tcBorders>
            <w:shd w:val="clear" w:color="auto" w:fill="auto"/>
            <w:noWrap/>
            <w:vAlign w:val="center"/>
            <w:hideMark/>
          </w:tcPr>
          <w:p w14:paraId="6F951FC6" w14:textId="3E4AB421" w:rsidR="002576DD" w:rsidRPr="00CD0E79" w:rsidRDefault="002576DD" w:rsidP="00831E43">
            <w:pPr>
              <w:keepNext/>
              <w:keepLines/>
              <w:tabs>
                <w:tab w:val="decimal" w:pos="1441"/>
              </w:tabs>
              <w:rPr>
                <w:rFonts w:ascii="Arial" w:hAnsi="Arial" w:cs="Arial"/>
                <w:color w:val="000000"/>
                <w:lang w:val="en-GB"/>
              </w:rPr>
            </w:pPr>
            <w:r w:rsidRPr="00CD0E79">
              <w:rPr>
                <w:rFonts w:ascii="Arial" w:hAnsi="Arial" w:cs="Arial"/>
                <w:color w:val="000000"/>
                <w:lang w:val="en-GB"/>
              </w:rPr>
              <w:t>16</w:t>
            </w:r>
            <w:r w:rsidR="000E4AAF">
              <w:rPr>
                <w:rFonts w:ascii="Arial" w:hAnsi="Arial" w:cs="Arial"/>
                <w:color w:val="000000"/>
                <w:lang w:val="en-GB"/>
              </w:rPr>
              <w:t>,</w:t>
            </w:r>
            <w:r w:rsidRPr="00CD0E79">
              <w:rPr>
                <w:rFonts w:ascii="Arial" w:hAnsi="Arial" w:cs="Arial"/>
                <w:color w:val="000000"/>
                <w:lang w:val="en-GB"/>
              </w:rPr>
              <w:t>195</w:t>
            </w:r>
          </w:p>
        </w:tc>
        <w:tc>
          <w:tcPr>
            <w:tcW w:w="1530" w:type="dxa"/>
            <w:tcBorders>
              <w:top w:val="nil"/>
              <w:left w:val="nil"/>
              <w:bottom w:val="single" w:sz="4" w:space="0" w:color="auto"/>
              <w:right w:val="single" w:sz="4" w:space="0" w:color="auto"/>
            </w:tcBorders>
            <w:vAlign w:val="center"/>
          </w:tcPr>
          <w:p w14:paraId="46F0ED1C" w14:textId="77777777" w:rsidR="002576DD" w:rsidRPr="00CD0E79" w:rsidRDefault="002576DD" w:rsidP="00831E43">
            <w:pPr>
              <w:keepNext/>
              <w:keepLines/>
              <w:tabs>
                <w:tab w:val="decimal" w:pos="1412"/>
              </w:tabs>
              <w:rPr>
                <w:rFonts w:ascii="Arial" w:hAnsi="Arial" w:cs="Arial"/>
                <w:color w:val="000000"/>
                <w:lang w:val="en-GB"/>
              </w:rPr>
            </w:pPr>
            <w:r w:rsidRPr="00CD0E79">
              <w:rPr>
                <w:rFonts w:ascii="Arial" w:hAnsi="Arial" w:cs="Arial"/>
                <w:color w:val="000000"/>
                <w:lang w:val="en-GB"/>
              </w:rPr>
              <w:t>2.68%</w:t>
            </w:r>
          </w:p>
        </w:tc>
      </w:tr>
      <w:tr w:rsidR="002576DD" w:rsidRPr="00CD0E79" w14:paraId="02594103" w14:textId="77777777" w:rsidTr="00DB58D9">
        <w:trPr>
          <w:trHeight w:val="60"/>
          <w:tblHeader/>
          <w:jc w:val="center"/>
        </w:trPr>
        <w:tc>
          <w:tcPr>
            <w:tcW w:w="1422" w:type="dxa"/>
            <w:tcBorders>
              <w:top w:val="nil"/>
              <w:left w:val="single" w:sz="4" w:space="0" w:color="auto"/>
              <w:bottom w:val="single" w:sz="4" w:space="0" w:color="auto"/>
              <w:right w:val="single" w:sz="4" w:space="0" w:color="auto"/>
            </w:tcBorders>
            <w:shd w:val="clear" w:color="auto" w:fill="auto"/>
            <w:noWrap/>
            <w:vAlign w:val="center"/>
          </w:tcPr>
          <w:p w14:paraId="5C7D3D85" w14:textId="77777777" w:rsidR="002576DD" w:rsidRPr="00CD0E79" w:rsidRDefault="002576DD" w:rsidP="00831E43">
            <w:pPr>
              <w:keepNext/>
              <w:keepLines/>
              <w:rPr>
                <w:rFonts w:ascii="Arial" w:hAnsi="Arial" w:cs="Arial"/>
                <w:color w:val="000000"/>
                <w:lang w:val="en-GB"/>
              </w:rPr>
            </w:pPr>
            <w:r w:rsidRPr="00CD0E79">
              <w:rPr>
                <w:rFonts w:ascii="Arial" w:hAnsi="Arial" w:cs="Arial"/>
                <w:color w:val="000000"/>
                <w:lang w:val="en-GB"/>
              </w:rPr>
              <w:t>France</w:t>
            </w:r>
          </w:p>
        </w:tc>
        <w:tc>
          <w:tcPr>
            <w:tcW w:w="1813" w:type="dxa"/>
            <w:tcBorders>
              <w:top w:val="nil"/>
              <w:left w:val="nil"/>
              <w:bottom w:val="single" w:sz="4" w:space="0" w:color="auto"/>
              <w:right w:val="single" w:sz="4" w:space="0" w:color="auto"/>
            </w:tcBorders>
            <w:shd w:val="clear" w:color="auto" w:fill="auto"/>
            <w:noWrap/>
            <w:vAlign w:val="center"/>
          </w:tcPr>
          <w:p w14:paraId="4BAE01CA" w14:textId="52ED29AF" w:rsidR="002576DD" w:rsidRPr="00CD0E79" w:rsidRDefault="002576DD" w:rsidP="00831E43">
            <w:pPr>
              <w:keepNext/>
              <w:keepLines/>
              <w:tabs>
                <w:tab w:val="decimal" w:pos="1441"/>
              </w:tabs>
              <w:rPr>
                <w:rFonts w:ascii="Arial" w:hAnsi="Arial" w:cs="Arial"/>
                <w:color w:val="000000"/>
                <w:lang w:val="en-GB"/>
              </w:rPr>
            </w:pPr>
            <w:r w:rsidRPr="00CD0E79">
              <w:rPr>
                <w:rFonts w:ascii="Arial" w:hAnsi="Arial" w:cs="Arial"/>
                <w:color w:val="000000"/>
                <w:lang w:val="en-GB"/>
              </w:rPr>
              <w:t>13</w:t>
            </w:r>
            <w:r w:rsidR="000E4AAF">
              <w:rPr>
                <w:rFonts w:ascii="Arial" w:hAnsi="Arial" w:cs="Arial"/>
                <w:color w:val="000000"/>
                <w:lang w:val="en-GB"/>
              </w:rPr>
              <w:t>,</w:t>
            </w:r>
            <w:r w:rsidRPr="00CD0E79">
              <w:rPr>
                <w:rFonts w:ascii="Arial" w:hAnsi="Arial" w:cs="Arial"/>
                <w:color w:val="000000"/>
                <w:lang w:val="en-GB"/>
              </w:rPr>
              <w:t>441</w:t>
            </w:r>
          </w:p>
        </w:tc>
        <w:tc>
          <w:tcPr>
            <w:tcW w:w="1530" w:type="dxa"/>
            <w:tcBorders>
              <w:top w:val="nil"/>
              <w:left w:val="nil"/>
              <w:bottom w:val="single" w:sz="4" w:space="0" w:color="auto"/>
              <w:right w:val="single" w:sz="4" w:space="0" w:color="auto"/>
            </w:tcBorders>
            <w:vAlign w:val="center"/>
          </w:tcPr>
          <w:p w14:paraId="6D87807E" w14:textId="77777777" w:rsidR="002576DD" w:rsidRPr="00CD0E79" w:rsidRDefault="002576DD" w:rsidP="00831E43">
            <w:pPr>
              <w:keepNext/>
              <w:keepLines/>
              <w:tabs>
                <w:tab w:val="decimal" w:pos="1412"/>
              </w:tabs>
              <w:rPr>
                <w:rFonts w:ascii="Arial" w:hAnsi="Arial" w:cs="Arial"/>
                <w:color w:val="000000"/>
                <w:lang w:val="en-GB"/>
              </w:rPr>
            </w:pPr>
            <w:r w:rsidRPr="00CD0E79">
              <w:rPr>
                <w:rFonts w:ascii="Arial" w:hAnsi="Arial" w:cs="Arial"/>
                <w:color w:val="000000"/>
                <w:lang w:val="en-GB"/>
              </w:rPr>
              <w:t>2.22%</w:t>
            </w:r>
          </w:p>
        </w:tc>
      </w:tr>
      <w:tr w:rsidR="002576DD" w:rsidRPr="00CD0E79" w14:paraId="50457FF1" w14:textId="77777777" w:rsidTr="00DB58D9">
        <w:trPr>
          <w:trHeight w:val="60"/>
          <w:tblHeader/>
          <w:jc w:val="center"/>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14:paraId="351FBE79" w14:textId="77777777" w:rsidR="002576DD" w:rsidRPr="00CD0E79" w:rsidRDefault="002576DD" w:rsidP="00831E43">
            <w:pPr>
              <w:keepNext/>
              <w:keepLines/>
              <w:rPr>
                <w:rFonts w:ascii="Arial" w:hAnsi="Arial" w:cs="Arial"/>
                <w:color w:val="000000"/>
                <w:lang w:val="en-GB"/>
              </w:rPr>
            </w:pPr>
            <w:r w:rsidRPr="00CD0E79">
              <w:rPr>
                <w:rFonts w:ascii="Arial" w:hAnsi="Arial" w:cs="Arial"/>
                <w:color w:val="000000"/>
                <w:lang w:val="en-GB"/>
              </w:rPr>
              <w:t>Germany</w:t>
            </w:r>
          </w:p>
        </w:tc>
        <w:tc>
          <w:tcPr>
            <w:tcW w:w="1813" w:type="dxa"/>
            <w:tcBorders>
              <w:top w:val="nil"/>
              <w:left w:val="nil"/>
              <w:bottom w:val="single" w:sz="4" w:space="0" w:color="auto"/>
              <w:right w:val="single" w:sz="4" w:space="0" w:color="auto"/>
            </w:tcBorders>
            <w:shd w:val="clear" w:color="auto" w:fill="auto"/>
            <w:noWrap/>
            <w:vAlign w:val="center"/>
            <w:hideMark/>
          </w:tcPr>
          <w:p w14:paraId="1DDAEC26" w14:textId="6F64F44A" w:rsidR="002576DD" w:rsidRPr="00CD0E79" w:rsidRDefault="002576DD" w:rsidP="00831E43">
            <w:pPr>
              <w:keepNext/>
              <w:keepLines/>
              <w:tabs>
                <w:tab w:val="decimal" w:pos="1441"/>
              </w:tabs>
              <w:rPr>
                <w:rFonts w:ascii="Arial" w:hAnsi="Arial" w:cs="Arial"/>
                <w:color w:val="000000"/>
                <w:lang w:val="en-GB"/>
              </w:rPr>
            </w:pPr>
            <w:r w:rsidRPr="00CD0E79">
              <w:rPr>
                <w:rFonts w:ascii="Arial" w:hAnsi="Arial" w:cs="Arial"/>
                <w:color w:val="000000"/>
                <w:lang w:val="en-GB"/>
              </w:rPr>
              <w:t>11</w:t>
            </w:r>
            <w:r w:rsidR="000E4AAF">
              <w:rPr>
                <w:rFonts w:ascii="Arial" w:hAnsi="Arial" w:cs="Arial"/>
                <w:color w:val="000000"/>
                <w:lang w:val="en-GB"/>
              </w:rPr>
              <w:t>,</w:t>
            </w:r>
            <w:r w:rsidRPr="00CD0E79">
              <w:rPr>
                <w:rFonts w:ascii="Arial" w:hAnsi="Arial" w:cs="Arial"/>
                <w:color w:val="000000"/>
                <w:lang w:val="en-GB"/>
              </w:rPr>
              <w:t>735</w:t>
            </w:r>
          </w:p>
        </w:tc>
        <w:tc>
          <w:tcPr>
            <w:tcW w:w="1530" w:type="dxa"/>
            <w:tcBorders>
              <w:top w:val="nil"/>
              <w:left w:val="nil"/>
              <w:bottom w:val="single" w:sz="4" w:space="0" w:color="auto"/>
              <w:right w:val="single" w:sz="4" w:space="0" w:color="auto"/>
            </w:tcBorders>
            <w:vAlign w:val="center"/>
          </w:tcPr>
          <w:p w14:paraId="72A21D28" w14:textId="77777777" w:rsidR="002576DD" w:rsidRPr="00CD0E79" w:rsidRDefault="002576DD" w:rsidP="00831E43">
            <w:pPr>
              <w:keepNext/>
              <w:keepLines/>
              <w:tabs>
                <w:tab w:val="decimal" w:pos="1412"/>
              </w:tabs>
              <w:rPr>
                <w:rFonts w:ascii="Arial" w:hAnsi="Arial" w:cs="Arial"/>
                <w:color w:val="000000"/>
                <w:lang w:val="en-GB"/>
              </w:rPr>
            </w:pPr>
            <w:r w:rsidRPr="00CD0E79">
              <w:rPr>
                <w:rFonts w:ascii="Arial" w:hAnsi="Arial" w:cs="Arial"/>
                <w:color w:val="000000"/>
                <w:lang w:val="en-GB"/>
              </w:rPr>
              <w:t>1.94%</w:t>
            </w:r>
          </w:p>
        </w:tc>
      </w:tr>
      <w:tr w:rsidR="002576DD" w:rsidRPr="00CD0E79" w14:paraId="6A299502" w14:textId="77777777" w:rsidTr="00DB58D9">
        <w:trPr>
          <w:trHeight w:val="60"/>
          <w:tblHeader/>
          <w:jc w:val="center"/>
        </w:trPr>
        <w:tc>
          <w:tcPr>
            <w:tcW w:w="1422" w:type="dxa"/>
            <w:tcBorders>
              <w:top w:val="nil"/>
              <w:left w:val="single" w:sz="4" w:space="0" w:color="auto"/>
              <w:bottom w:val="single" w:sz="4" w:space="0" w:color="auto"/>
              <w:right w:val="single" w:sz="4" w:space="0" w:color="auto"/>
            </w:tcBorders>
            <w:shd w:val="clear" w:color="auto" w:fill="auto"/>
            <w:noWrap/>
            <w:vAlign w:val="center"/>
          </w:tcPr>
          <w:p w14:paraId="154A167F" w14:textId="77777777" w:rsidR="002576DD" w:rsidRPr="00CD0E79" w:rsidRDefault="002576DD" w:rsidP="00831E43">
            <w:pPr>
              <w:keepNext/>
              <w:keepLines/>
              <w:rPr>
                <w:rFonts w:ascii="Arial" w:hAnsi="Arial" w:cs="Arial"/>
                <w:color w:val="000000"/>
                <w:lang w:val="en-GB"/>
              </w:rPr>
            </w:pPr>
            <w:r w:rsidRPr="00CD0E79">
              <w:rPr>
                <w:rFonts w:ascii="Arial" w:hAnsi="Arial" w:cs="Arial"/>
                <w:color w:val="000000"/>
                <w:lang w:val="en-GB"/>
              </w:rPr>
              <w:t>Canada</w:t>
            </w:r>
          </w:p>
        </w:tc>
        <w:tc>
          <w:tcPr>
            <w:tcW w:w="1813" w:type="dxa"/>
            <w:tcBorders>
              <w:top w:val="nil"/>
              <w:left w:val="nil"/>
              <w:bottom w:val="single" w:sz="4" w:space="0" w:color="auto"/>
              <w:right w:val="single" w:sz="4" w:space="0" w:color="auto"/>
            </w:tcBorders>
            <w:shd w:val="clear" w:color="auto" w:fill="auto"/>
            <w:noWrap/>
            <w:vAlign w:val="center"/>
          </w:tcPr>
          <w:p w14:paraId="564DC6B9" w14:textId="67348A63" w:rsidR="002576DD" w:rsidRPr="00CD0E79" w:rsidRDefault="002576DD" w:rsidP="00831E43">
            <w:pPr>
              <w:keepNext/>
              <w:keepLines/>
              <w:tabs>
                <w:tab w:val="decimal" w:pos="1441"/>
              </w:tabs>
              <w:rPr>
                <w:rFonts w:ascii="Arial" w:hAnsi="Arial" w:cs="Arial"/>
                <w:color w:val="000000"/>
                <w:lang w:val="en-GB"/>
              </w:rPr>
            </w:pPr>
            <w:r w:rsidRPr="00CD0E79">
              <w:rPr>
                <w:rFonts w:ascii="Arial" w:hAnsi="Arial" w:cs="Arial"/>
                <w:color w:val="000000"/>
                <w:lang w:val="en-GB"/>
              </w:rPr>
              <w:t>2</w:t>
            </w:r>
          </w:p>
        </w:tc>
        <w:tc>
          <w:tcPr>
            <w:tcW w:w="1530" w:type="dxa"/>
            <w:tcBorders>
              <w:top w:val="nil"/>
              <w:left w:val="nil"/>
              <w:bottom w:val="single" w:sz="4" w:space="0" w:color="auto"/>
              <w:right w:val="single" w:sz="4" w:space="0" w:color="auto"/>
            </w:tcBorders>
            <w:vAlign w:val="center"/>
          </w:tcPr>
          <w:p w14:paraId="00CD9714" w14:textId="77777777" w:rsidR="002576DD" w:rsidRPr="00CD0E79" w:rsidRDefault="002576DD" w:rsidP="00831E43">
            <w:pPr>
              <w:keepNext/>
              <w:keepLines/>
              <w:tabs>
                <w:tab w:val="decimal" w:pos="1412"/>
              </w:tabs>
              <w:rPr>
                <w:rFonts w:ascii="Arial" w:hAnsi="Arial" w:cs="Arial"/>
                <w:color w:val="000000"/>
                <w:lang w:val="en-GB"/>
              </w:rPr>
            </w:pPr>
            <w:r w:rsidRPr="00CD0E79">
              <w:rPr>
                <w:rFonts w:ascii="Arial" w:hAnsi="Arial" w:cs="Arial"/>
                <w:color w:val="000000"/>
                <w:lang w:val="en-GB"/>
              </w:rPr>
              <w:t>0.00%</w:t>
            </w:r>
          </w:p>
        </w:tc>
      </w:tr>
      <w:tr w:rsidR="002576DD" w:rsidRPr="00CD0E79" w14:paraId="560F5CE1" w14:textId="77777777" w:rsidTr="00DB58D9">
        <w:trPr>
          <w:trHeight w:val="60"/>
          <w:tblHeader/>
          <w:jc w:val="center"/>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14:paraId="58465727" w14:textId="77777777" w:rsidR="002576DD" w:rsidRPr="00CD0E79" w:rsidRDefault="002576DD" w:rsidP="00831E43">
            <w:pPr>
              <w:keepNext/>
              <w:keepLines/>
              <w:rPr>
                <w:rFonts w:ascii="Arial" w:hAnsi="Arial" w:cs="Arial"/>
                <w:color w:val="000000"/>
                <w:lang w:val="en-GB"/>
              </w:rPr>
            </w:pPr>
            <w:r w:rsidRPr="00CD0E79">
              <w:rPr>
                <w:rFonts w:ascii="Arial" w:hAnsi="Arial" w:cs="Arial"/>
                <w:color w:val="000000"/>
                <w:lang w:val="en-GB"/>
              </w:rPr>
              <w:t>Others</w:t>
            </w:r>
          </w:p>
        </w:tc>
        <w:tc>
          <w:tcPr>
            <w:tcW w:w="1813" w:type="dxa"/>
            <w:tcBorders>
              <w:top w:val="nil"/>
              <w:left w:val="nil"/>
              <w:bottom w:val="single" w:sz="4" w:space="0" w:color="auto"/>
              <w:right w:val="single" w:sz="4" w:space="0" w:color="auto"/>
            </w:tcBorders>
            <w:shd w:val="clear" w:color="auto" w:fill="auto"/>
            <w:noWrap/>
            <w:vAlign w:val="center"/>
            <w:hideMark/>
          </w:tcPr>
          <w:p w14:paraId="1D8A47EA" w14:textId="65ADE7D5" w:rsidR="002576DD" w:rsidRPr="00CD0E79" w:rsidRDefault="002576DD" w:rsidP="00831E43">
            <w:pPr>
              <w:keepNext/>
              <w:keepLines/>
              <w:tabs>
                <w:tab w:val="decimal" w:pos="1441"/>
              </w:tabs>
              <w:rPr>
                <w:rFonts w:ascii="Arial" w:hAnsi="Arial" w:cs="Arial"/>
                <w:color w:val="000000"/>
                <w:lang w:val="en-GB"/>
              </w:rPr>
            </w:pPr>
            <w:r w:rsidRPr="00CD0E79">
              <w:rPr>
                <w:rFonts w:ascii="Arial" w:hAnsi="Arial" w:cs="Arial"/>
                <w:color w:val="000000"/>
                <w:lang w:val="en-GB"/>
              </w:rPr>
              <w:t>32</w:t>
            </w:r>
            <w:r w:rsidR="000E4AAF">
              <w:rPr>
                <w:rFonts w:ascii="Arial" w:hAnsi="Arial" w:cs="Arial"/>
                <w:color w:val="000000"/>
                <w:lang w:val="en-GB"/>
              </w:rPr>
              <w:t>,</w:t>
            </w:r>
            <w:r w:rsidRPr="00CD0E79">
              <w:rPr>
                <w:rFonts w:ascii="Arial" w:hAnsi="Arial" w:cs="Arial"/>
                <w:color w:val="000000"/>
                <w:lang w:val="en-GB"/>
              </w:rPr>
              <w:t>587</w:t>
            </w:r>
          </w:p>
        </w:tc>
        <w:tc>
          <w:tcPr>
            <w:tcW w:w="1530" w:type="dxa"/>
            <w:tcBorders>
              <w:top w:val="nil"/>
              <w:left w:val="nil"/>
              <w:bottom w:val="single" w:sz="4" w:space="0" w:color="auto"/>
              <w:right w:val="single" w:sz="4" w:space="0" w:color="auto"/>
            </w:tcBorders>
            <w:vAlign w:val="center"/>
          </w:tcPr>
          <w:p w14:paraId="5CF5A031" w14:textId="77777777" w:rsidR="002576DD" w:rsidRPr="00CD0E79" w:rsidRDefault="002576DD" w:rsidP="00831E43">
            <w:pPr>
              <w:keepNext/>
              <w:keepLines/>
              <w:tabs>
                <w:tab w:val="decimal" w:pos="1412"/>
              </w:tabs>
              <w:rPr>
                <w:rFonts w:ascii="Arial" w:hAnsi="Arial" w:cs="Arial"/>
                <w:color w:val="000000"/>
                <w:lang w:val="en-GB"/>
              </w:rPr>
            </w:pPr>
            <w:r w:rsidRPr="00CD0E79">
              <w:rPr>
                <w:rFonts w:ascii="Arial" w:hAnsi="Arial" w:cs="Arial"/>
                <w:color w:val="000000"/>
                <w:lang w:val="en-GB"/>
              </w:rPr>
              <w:t>5.39%</w:t>
            </w:r>
          </w:p>
        </w:tc>
      </w:tr>
    </w:tbl>
    <w:p w14:paraId="6524F237" w14:textId="77777777" w:rsidR="002576DD" w:rsidRPr="00CD0E79" w:rsidRDefault="002576DD" w:rsidP="002576DD">
      <w:pPr>
        <w:pStyle w:val="Footnote"/>
        <w:keepNext/>
        <w:keepLines/>
        <w:rPr>
          <w:lang w:val="en-GB"/>
        </w:rPr>
      </w:pPr>
    </w:p>
    <w:p w14:paraId="556D2316" w14:textId="5BA3B77C" w:rsidR="002576DD" w:rsidRPr="00CD0E79" w:rsidRDefault="002576DD" w:rsidP="002576DD">
      <w:pPr>
        <w:pStyle w:val="Footnote"/>
        <w:keepNext/>
        <w:keepLines/>
        <w:rPr>
          <w:lang w:val="en-GB"/>
        </w:rPr>
      </w:pPr>
      <w:r w:rsidRPr="00CD0E79">
        <w:rPr>
          <w:lang w:val="en-GB"/>
        </w:rPr>
        <w:t xml:space="preserve">Source: Ministry of Agriculture and Rural Affairs of the People’s Republic of China, </w:t>
      </w:r>
      <w:r w:rsidRPr="00CD0E79">
        <w:rPr>
          <w:i/>
          <w:lang w:val="en-GB"/>
        </w:rPr>
        <w:t>The Chinese Dairy Yearbook 2017</w:t>
      </w:r>
      <w:r w:rsidR="00763E20" w:rsidRPr="00CD0E79">
        <w:rPr>
          <w:i/>
          <w:lang w:val="en-GB"/>
        </w:rPr>
        <w:t xml:space="preserve"> </w:t>
      </w:r>
      <w:r w:rsidR="00763E20" w:rsidRPr="00CD0E79">
        <w:rPr>
          <w:lang w:val="en-GB"/>
        </w:rPr>
        <w:t>[in Chinese]</w:t>
      </w:r>
      <w:r w:rsidRPr="00CD0E79">
        <w:rPr>
          <w:lang w:val="en-GB"/>
        </w:rPr>
        <w:t xml:space="preserve"> (Beijing, China: China Agriculture Press, 2017), 436</w:t>
      </w:r>
      <w:r w:rsidR="00526A14" w:rsidRPr="00CD0E79">
        <w:rPr>
          <w:lang w:val="en-GB"/>
        </w:rPr>
        <w:t>–</w:t>
      </w:r>
      <w:r w:rsidRPr="00CD0E79">
        <w:rPr>
          <w:lang w:val="en-GB"/>
        </w:rPr>
        <w:t>437.</w:t>
      </w:r>
    </w:p>
    <w:p w14:paraId="77A1FED9" w14:textId="77777777" w:rsidR="002576DD" w:rsidRPr="00CD0E79" w:rsidRDefault="002576DD" w:rsidP="002576DD">
      <w:pPr>
        <w:pStyle w:val="BodyTextMain"/>
        <w:rPr>
          <w:lang w:val="en-GB"/>
        </w:rPr>
      </w:pPr>
    </w:p>
    <w:p w14:paraId="1CBAC99D" w14:textId="77777777" w:rsidR="002576DD" w:rsidRPr="00CD0E79" w:rsidRDefault="002576DD" w:rsidP="002576DD">
      <w:pPr>
        <w:pStyle w:val="BodyTextMain"/>
        <w:rPr>
          <w:lang w:val="en-GB"/>
        </w:rPr>
      </w:pPr>
    </w:p>
    <w:p w14:paraId="5A3346EC" w14:textId="77777777" w:rsidR="002576DD" w:rsidRPr="00CD0E79" w:rsidRDefault="002576DD" w:rsidP="002576DD">
      <w:pPr>
        <w:pStyle w:val="ExhibitHeading"/>
        <w:rPr>
          <w:lang w:val="en-GB"/>
        </w:rPr>
      </w:pPr>
      <w:r w:rsidRPr="00CD0E79">
        <w:rPr>
          <w:lang w:val="en-GB"/>
        </w:rPr>
        <w:t>Exhibit 3: Top 15 Dairy Companies in China</w:t>
      </w:r>
    </w:p>
    <w:p w14:paraId="543B69D4" w14:textId="77777777" w:rsidR="002576DD" w:rsidRPr="00CD0E79" w:rsidRDefault="002576DD" w:rsidP="002576DD">
      <w:pPr>
        <w:pStyle w:val="ExhibitHeading"/>
        <w:rPr>
          <w:lang w:val="en-GB"/>
        </w:rPr>
      </w:pPr>
    </w:p>
    <w:tbl>
      <w:tblPr>
        <w:tblStyle w:val="TableGrid"/>
        <w:tblW w:w="78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EXHIBIT 3"/>
        <w:tblDescription w:val="TOP 15 DAIRY COMPANIES IN CHINA"/>
      </w:tblPr>
      <w:tblGrid>
        <w:gridCol w:w="5400"/>
        <w:gridCol w:w="2430"/>
      </w:tblGrid>
      <w:tr w:rsidR="002576DD" w:rsidRPr="00CD0E79" w14:paraId="675668D0" w14:textId="77777777" w:rsidTr="00DB58D9">
        <w:trPr>
          <w:tblHeader/>
          <w:jc w:val="center"/>
        </w:trPr>
        <w:tc>
          <w:tcPr>
            <w:tcW w:w="5400" w:type="dxa"/>
            <w:vAlign w:val="center"/>
          </w:tcPr>
          <w:p w14:paraId="7C34B408" w14:textId="77777777" w:rsidR="002576DD" w:rsidRPr="00CD0E79" w:rsidRDefault="002576DD" w:rsidP="00C2321B">
            <w:pPr>
              <w:keepNext/>
              <w:keepLines/>
              <w:jc w:val="center"/>
              <w:rPr>
                <w:rFonts w:ascii="Arial" w:hAnsi="Arial" w:cs="Arial"/>
                <w:b/>
                <w:lang w:val="en-GB"/>
              </w:rPr>
            </w:pPr>
            <w:r w:rsidRPr="00CD0E79">
              <w:rPr>
                <w:rFonts w:ascii="Arial" w:hAnsi="Arial" w:cs="Arial"/>
                <w:b/>
                <w:lang w:val="en-GB"/>
              </w:rPr>
              <w:t>Name</w:t>
            </w:r>
          </w:p>
        </w:tc>
        <w:tc>
          <w:tcPr>
            <w:tcW w:w="2430" w:type="dxa"/>
            <w:vAlign w:val="center"/>
          </w:tcPr>
          <w:p w14:paraId="0CEB911E" w14:textId="77777777" w:rsidR="002576DD" w:rsidRPr="00CD0E79" w:rsidRDefault="002576DD" w:rsidP="00C2321B">
            <w:pPr>
              <w:keepNext/>
              <w:keepLines/>
              <w:jc w:val="center"/>
              <w:rPr>
                <w:rFonts w:ascii="Arial" w:hAnsi="Arial" w:cs="Arial"/>
                <w:b/>
                <w:lang w:val="en-GB"/>
              </w:rPr>
            </w:pPr>
            <w:r w:rsidRPr="00CD0E79">
              <w:rPr>
                <w:rFonts w:ascii="Arial" w:hAnsi="Arial" w:cs="Arial"/>
                <w:b/>
                <w:lang w:val="en-GB"/>
              </w:rPr>
              <w:t>2016 Sales Revenue</w:t>
            </w:r>
          </w:p>
          <w:p w14:paraId="442AE944" w14:textId="51D5338E" w:rsidR="002576DD" w:rsidRPr="00CD0E79" w:rsidRDefault="002576DD" w:rsidP="00C2321B">
            <w:pPr>
              <w:keepNext/>
              <w:keepLines/>
              <w:jc w:val="center"/>
              <w:rPr>
                <w:rFonts w:ascii="Arial" w:hAnsi="Arial" w:cs="Arial"/>
                <w:b/>
                <w:lang w:val="en-GB"/>
              </w:rPr>
            </w:pPr>
            <w:r w:rsidRPr="00CD0E79">
              <w:rPr>
                <w:rFonts w:ascii="Arial" w:hAnsi="Arial" w:cs="Arial"/>
                <w:b/>
                <w:lang w:val="en-GB"/>
              </w:rPr>
              <w:t>(</w:t>
            </w:r>
            <w:r w:rsidR="000E4AAF">
              <w:rPr>
                <w:rFonts w:ascii="Arial" w:hAnsi="Arial" w:cs="Arial"/>
                <w:b/>
                <w:lang w:val="en-GB"/>
              </w:rPr>
              <w:t xml:space="preserve">in </w:t>
            </w:r>
            <w:r w:rsidRPr="00CD0E79">
              <w:rPr>
                <w:rFonts w:ascii="Arial" w:hAnsi="Arial" w:cs="Arial"/>
                <w:b/>
                <w:lang w:val="en-GB"/>
              </w:rPr>
              <w:t xml:space="preserve">¥ </w:t>
            </w:r>
            <w:r w:rsidR="000E4AAF">
              <w:rPr>
                <w:rFonts w:ascii="Arial" w:hAnsi="Arial" w:cs="Arial"/>
                <w:b/>
                <w:lang w:val="en-GB"/>
              </w:rPr>
              <w:t>Billion</w:t>
            </w:r>
            <w:r w:rsidRPr="00CD0E79">
              <w:rPr>
                <w:rFonts w:ascii="Arial" w:hAnsi="Arial" w:cs="Arial"/>
                <w:b/>
                <w:lang w:val="en-GB"/>
              </w:rPr>
              <w:t>)</w:t>
            </w:r>
          </w:p>
          <w:p w14:paraId="3D43A67A" w14:textId="77777777" w:rsidR="002576DD" w:rsidRPr="00CD0E79" w:rsidRDefault="002576DD" w:rsidP="00C2321B">
            <w:pPr>
              <w:keepNext/>
              <w:keepLines/>
              <w:jc w:val="center"/>
              <w:rPr>
                <w:rFonts w:ascii="Arial" w:hAnsi="Arial" w:cs="Arial"/>
                <w:b/>
                <w:lang w:val="en-GB"/>
              </w:rPr>
            </w:pPr>
          </w:p>
        </w:tc>
      </w:tr>
      <w:tr w:rsidR="002576DD" w:rsidRPr="00CD0E79" w14:paraId="2D16CCE2" w14:textId="77777777" w:rsidTr="00DB58D9">
        <w:trPr>
          <w:tblHeader/>
          <w:jc w:val="center"/>
        </w:trPr>
        <w:tc>
          <w:tcPr>
            <w:tcW w:w="5400" w:type="dxa"/>
            <w:vAlign w:val="center"/>
          </w:tcPr>
          <w:p w14:paraId="0E2358C9" w14:textId="0657C19C" w:rsidR="002576DD" w:rsidRPr="00CD0E79" w:rsidRDefault="002576DD" w:rsidP="00831E43">
            <w:pPr>
              <w:keepNext/>
              <w:keepLines/>
              <w:rPr>
                <w:rFonts w:ascii="Arial" w:hAnsi="Arial" w:cs="Arial"/>
                <w:lang w:val="en-GB"/>
              </w:rPr>
            </w:pPr>
            <w:r w:rsidRPr="00CD0E79">
              <w:rPr>
                <w:rFonts w:ascii="Arial" w:hAnsi="Arial" w:cs="Arial"/>
                <w:lang w:val="en-GB"/>
              </w:rPr>
              <w:t>Yili Inc., Inner Mongolia</w:t>
            </w:r>
          </w:p>
        </w:tc>
        <w:tc>
          <w:tcPr>
            <w:tcW w:w="2430" w:type="dxa"/>
            <w:vAlign w:val="center"/>
          </w:tcPr>
          <w:p w14:paraId="7D11C09A" w14:textId="77777777" w:rsidR="002576DD" w:rsidRPr="00CD0E79" w:rsidRDefault="002576DD" w:rsidP="00831E43">
            <w:pPr>
              <w:keepNext/>
              <w:keepLines/>
              <w:tabs>
                <w:tab w:val="decimal" w:pos="1151"/>
              </w:tabs>
              <w:rPr>
                <w:rFonts w:ascii="Arial" w:hAnsi="Arial" w:cs="Arial"/>
                <w:lang w:val="en-GB"/>
              </w:rPr>
            </w:pPr>
            <w:r w:rsidRPr="00CD0E79">
              <w:rPr>
                <w:rFonts w:ascii="Arial" w:hAnsi="Arial" w:cs="Arial"/>
                <w:lang w:val="en-GB"/>
              </w:rPr>
              <w:t>606.1</w:t>
            </w:r>
          </w:p>
        </w:tc>
      </w:tr>
      <w:tr w:rsidR="002576DD" w:rsidRPr="00CD0E79" w14:paraId="4AB9D155" w14:textId="77777777" w:rsidTr="00DB58D9">
        <w:trPr>
          <w:tblHeader/>
          <w:jc w:val="center"/>
        </w:trPr>
        <w:tc>
          <w:tcPr>
            <w:tcW w:w="5400" w:type="dxa"/>
            <w:vAlign w:val="center"/>
          </w:tcPr>
          <w:p w14:paraId="5512CD0E" w14:textId="6FAB3E1C" w:rsidR="002576DD" w:rsidRPr="00CD0E79" w:rsidRDefault="002576DD" w:rsidP="00831E43">
            <w:pPr>
              <w:keepNext/>
              <w:keepLines/>
              <w:rPr>
                <w:rFonts w:ascii="Arial" w:hAnsi="Arial" w:cs="Arial"/>
                <w:lang w:val="en-GB"/>
              </w:rPr>
            </w:pPr>
            <w:r w:rsidRPr="00CD0E79">
              <w:rPr>
                <w:rFonts w:ascii="Arial" w:hAnsi="Arial" w:cs="Arial"/>
                <w:lang w:val="en-GB"/>
              </w:rPr>
              <w:t>Mengniu Dairy Co., Ltd., Inner Mongolia</w:t>
            </w:r>
          </w:p>
        </w:tc>
        <w:tc>
          <w:tcPr>
            <w:tcW w:w="2430" w:type="dxa"/>
            <w:vAlign w:val="center"/>
          </w:tcPr>
          <w:p w14:paraId="4D518074" w14:textId="77777777" w:rsidR="002576DD" w:rsidRPr="00CD0E79" w:rsidRDefault="002576DD" w:rsidP="00831E43">
            <w:pPr>
              <w:keepNext/>
              <w:keepLines/>
              <w:tabs>
                <w:tab w:val="decimal" w:pos="1151"/>
              </w:tabs>
              <w:rPr>
                <w:rFonts w:ascii="Arial" w:hAnsi="Arial" w:cs="Arial"/>
                <w:lang w:val="en-GB"/>
              </w:rPr>
            </w:pPr>
            <w:r w:rsidRPr="00CD0E79">
              <w:rPr>
                <w:rFonts w:ascii="Arial" w:hAnsi="Arial" w:cs="Arial"/>
                <w:lang w:val="en-GB"/>
              </w:rPr>
              <w:t>517.8</w:t>
            </w:r>
          </w:p>
        </w:tc>
      </w:tr>
      <w:tr w:rsidR="002576DD" w:rsidRPr="00CD0E79" w14:paraId="428887C8" w14:textId="77777777" w:rsidTr="00DB58D9">
        <w:trPr>
          <w:tblHeader/>
          <w:jc w:val="center"/>
        </w:trPr>
        <w:tc>
          <w:tcPr>
            <w:tcW w:w="5400" w:type="dxa"/>
            <w:vAlign w:val="center"/>
          </w:tcPr>
          <w:p w14:paraId="0D1A56CA" w14:textId="177A9A1B" w:rsidR="002576DD" w:rsidRPr="00CD0E79" w:rsidRDefault="002576DD" w:rsidP="00831E43">
            <w:pPr>
              <w:keepNext/>
              <w:keepLines/>
              <w:rPr>
                <w:rFonts w:ascii="Arial" w:hAnsi="Arial" w:cs="Arial"/>
                <w:lang w:val="en-GB"/>
              </w:rPr>
            </w:pPr>
            <w:r w:rsidRPr="00CD0E79">
              <w:rPr>
                <w:rFonts w:ascii="Arial" w:hAnsi="Arial" w:cs="Arial"/>
                <w:lang w:val="en-GB"/>
              </w:rPr>
              <w:t>Bright Dairy &amp; Food Co., Ltd.</w:t>
            </w:r>
          </w:p>
        </w:tc>
        <w:tc>
          <w:tcPr>
            <w:tcW w:w="2430" w:type="dxa"/>
            <w:vAlign w:val="center"/>
          </w:tcPr>
          <w:p w14:paraId="4680494A" w14:textId="77777777" w:rsidR="002576DD" w:rsidRPr="00CD0E79" w:rsidRDefault="002576DD" w:rsidP="00831E43">
            <w:pPr>
              <w:keepNext/>
              <w:keepLines/>
              <w:tabs>
                <w:tab w:val="decimal" w:pos="1151"/>
              </w:tabs>
              <w:rPr>
                <w:rFonts w:ascii="Arial" w:hAnsi="Arial" w:cs="Arial"/>
                <w:lang w:val="en-GB"/>
              </w:rPr>
            </w:pPr>
            <w:r w:rsidRPr="00CD0E79">
              <w:rPr>
                <w:rFonts w:ascii="Arial" w:hAnsi="Arial" w:cs="Arial"/>
                <w:lang w:val="en-GB"/>
              </w:rPr>
              <w:t>200.2</w:t>
            </w:r>
          </w:p>
        </w:tc>
      </w:tr>
      <w:tr w:rsidR="002576DD" w:rsidRPr="00CD0E79" w14:paraId="022499AA" w14:textId="77777777" w:rsidTr="00DB58D9">
        <w:trPr>
          <w:tblHeader/>
          <w:jc w:val="center"/>
        </w:trPr>
        <w:tc>
          <w:tcPr>
            <w:tcW w:w="5400" w:type="dxa"/>
            <w:vAlign w:val="center"/>
          </w:tcPr>
          <w:p w14:paraId="14333FC8" w14:textId="0FB99C0E" w:rsidR="002576DD" w:rsidRPr="00CD0E79" w:rsidRDefault="002576DD" w:rsidP="00831E43">
            <w:pPr>
              <w:keepNext/>
              <w:keepLines/>
              <w:rPr>
                <w:rFonts w:ascii="Arial" w:hAnsi="Arial" w:cs="Arial"/>
                <w:lang w:val="en-GB"/>
              </w:rPr>
            </w:pPr>
            <w:r w:rsidRPr="00CD0E79">
              <w:rPr>
                <w:rFonts w:ascii="Arial" w:hAnsi="Arial" w:cs="Arial"/>
                <w:lang w:val="en-GB"/>
              </w:rPr>
              <w:t>Want China Holding Limited</w:t>
            </w:r>
          </w:p>
        </w:tc>
        <w:tc>
          <w:tcPr>
            <w:tcW w:w="2430" w:type="dxa"/>
            <w:vAlign w:val="center"/>
          </w:tcPr>
          <w:p w14:paraId="0D229115" w14:textId="77777777" w:rsidR="002576DD" w:rsidRPr="00CD0E79" w:rsidRDefault="002576DD" w:rsidP="00831E43">
            <w:pPr>
              <w:keepNext/>
              <w:keepLines/>
              <w:tabs>
                <w:tab w:val="decimal" w:pos="1151"/>
              </w:tabs>
              <w:rPr>
                <w:rFonts w:ascii="Arial" w:hAnsi="Arial" w:cs="Arial"/>
                <w:lang w:val="en-GB"/>
              </w:rPr>
            </w:pPr>
            <w:r w:rsidRPr="00CD0E79">
              <w:rPr>
                <w:rFonts w:ascii="Arial" w:hAnsi="Arial" w:cs="Arial"/>
                <w:lang w:val="en-GB"/>
              </w:rPr>
              <w:t>197.0</w:t>
            </w:r>
          </w:p>
        </w:tc>
      </w:tr>
      <w:tr w:rsidR="002576DD" w:rsidRPr="00CD0E79" w14:paraId="3068B359" w14:textId="77777777" w:rsidTr="00DB58D9">
        <w:trPr>
          <w:tblHeader/>
          <w:jc w:val="center"/>
        </w:trPr>
        <w:tc>
          <w:tcPr>
            <w:tcW w:w="5400" w:type="dxa"/>
            <w:vAlign w:val="center"/>
          </w:tcPr>
          <w:p w14:paraId="7E72BC89" w14:textId="47D1F44B" w:rsidR="002576DD" w:rsidRPr="00CD0E79" w:rsidRDefault="002576DD" w:rsidP="00831E43">
            <w:pPr>
              <w:keepNext/>
              <w:keepLines/>
              <w:rPr>
                <w:rFonts w:ascii="Arial" w:hAnsi="Arial" w:cs="Arial"/>
                <w:lang w:val="en-GB"/>
              </w:rPr>
            </w:pPr>
            <w:r w:rsidRPr="00CD0E79">
              <w:rPr>
                <w:rFonts w:ascii="Arial" w:hAnsi="Arial" w:cs="Arial"/>
                <w:lang w:val="en-GB"/>
              </w:rPr>
              <w:t>Shijiazhuang Junlebao Dairy Co., Ltd.</w:t>
            </w:r>
          </w:p>
        </w:tc>
        <w:tc>
          <w:tcPr>
            <w:tcW w:w="2430" w:type="dxa"/>
            <w:vAlign w:val="center"/>
          </w:tcPr>
          <w:p w14:paraId="12B7CE0E" w14:textId="77777777" w:rsidR="002576DD" w:rsidRPr="00CD0E79" w:rsidRDefault="002576DD" w:rsidP="00831E43">
            <w:pPr>
              <w:keepNext/>
              <w:keepLines/>
              <w:tabs>
                <w:tab w:val="decimal" w:pos="1151"/>
              </w:tabs>
              <w:rPr>
                <w:rFonts w:ascii="Arial" w:hAnsi="Arial" w:cs="Arial"/>
                <w:lang w:val="en-GB"/>
              </w:rPr>
            </w:pPr>
            <w:r w:rsidRPr="00CD0E79">
              <w:rPr>
                <w:rFonts w:ascii="Arial" w:hAnsi="Arial" w:cs="Arial"/>
                <w:lang w:val="en-GB"/>
              </w:rPr>
              <w:t>79.6</w:t>
            </w:r>
          </w:p>
        </w:tc>
      </w:tr>
      <w:tr w:rsidR="002576DD" w:rsidRPr="00CD0E79" w14:paraId="25E568EB" w14:textId="77777777" w:rsidTr="00DB58D9">
        <w:trPr>
          <w:tblHeader/>
          <w:jc w:val="center"/>
        </w:trPr>
        <w:tc>
          <w:tcPr>
            <w:tcW w:w="5400" w:type="dxa"/>
            <w:vAlign w:val="center"/>
          </w:tcPr>
          <w:p w14:paraId="2F0D2772" w14:textId="5C95AD72" w:rsidR="002576DD" w:rsidRPr="00CD0E79" w:rsidRDefault="002576DD" w:rsidP="00831E43">
            <w:pPr>
              <w:keepNext/>
              <w:keepLines/>
              <w:rPr>
                <w:rFonts w:ascii="Arial" w:hAnsi="Arial" w:cs="Arial"/>
                <w:lang w:val="en-GB"/>
              </w:rPr>
            </w:pPr>
            <w:r w:rsidRPr="00CD0E79">
              <w:rPr>
                <w:rFonts w:ascii="Arial" w:hAnsi="Arial" w:cs="Arial"/>
                <w:lang w:val="en-GB"/>
              </w:rPr>
              <w:t>Nestlé China</w:t>
            </w:r>
          </w:p>
        </w:tc>
        <w:tc>
          <w:tcPr>
            <w:tcW w:w="2430" w:type="dxa"/>
            <w:vAlign w:val="center"/>
          </w:tcPr>
          <w:p w14:paraId="26AF15D6" w14:textId="77777777" w:rsidR="002576DD" w:rsidRPr="00CD0E79" w:rsidRDefault="002576DD" w:rsidP="00831E43">
            <w:pPr>
              <w:keepNext/>
              <w:keepLines/>
              <w:tabs>
                <w:tab w:val="decimal" w:pos="1151"/>
              </w:tabs>
              <w:rPr>
                <w:rFonts w:ascii="Arial" w:hAnsi="Arial" w:cs="Arial"/>
                <w:lang w:val="en-GB"/>
              </w:rPr>
            </w:pPr>
            <w:r w:rsidRPr="00CD0E79">
              <w:rPr>
                <w:rFonts w:ascii="Arial" w:hAnsi="Arial" w:cs="Arial"/>
                <w:lang w:val="en-GB"/>
              </w:rPr>
              <w:t>65.2</w:t>
            </w:r>
          </w:p>
        </w:tc>
      </w:tr>
      <w:tr w:rsidR="002576DD" w:rsidRPr="00CD0E79" w14:paraId="6E5E7392" w14:textId="77777777" w:rsidTr="00DB58D9">
        <w:trPr>
          <w:tblHeader/>
          <w:jc w:val="center"/>
        </w:trPr>
        <w:tc>
          <w:tcPr>
            <w:tcW w:w="5400" w:type="dxa"/>
            <w:vAlign w:val="center"/>
          </w:tcPr>
          <w:p w14:paraId="51180AE8" w14:textId="752BE433" w:rsidR="002576DD" w:rsidRPr="00CD0E79" w:rsidRDefault="002576DD" w:rsidP="00831E43">
            <w:pPr>
              <w:keepNext/>
              <w:keepLines/>
              <w:rPr>
                <w:rFonts w:ascii="Arial" w:hAnsi="Arial" w:cs="Arial"/>
                <w:lang w:val="en-GB"/>
              </w:rPr>
            </w:pPr>
            <w:r w:rsidRPr="00CD0E79">
              <w:rPr>
                <w:rFonts w:ascii="Arial" w:hAnsi="Arial" w:cs="Arial"/>
                <w:lang w:val="en-GB"/>
              </w:rPr>
              <w:t>Feihe Dairy, Heilongjiang</w:t>
            </w:r>
          </w:p>
        </w:tc>
        <w:tc>
          <w:tcPr>
            <w:tcW w:w="2430" w:type="dxa"/>
            <w:vAlign w:val="center"/>
          </w:tcPr>
          <w:p w14:paraId="22674212" w14:textId="77777777" w:rsidR="002576DD" w:rsidRPr="00CD0E79" w:rsidRDefault="002576DD" w:rsidP="00831E43">
            <w:pPr>
              <w:keepNext/>
              <w:keepLines/>
              <w:tabs>
                <w:tab w:val="decimal" w:pos="1151"/>
              </w:tabs>
              <w:rPr>
                <w:rFonts w:ascii="Arial" w:hAnsi="Arial" w:cs="Arial"/>
                <w:lang w:val="en-GB"/>
              </w:rPr>
            </w:pPr>
            <w:r w:rsidRPr="00CD0E79">
              <w:rPr>
                <w:rFonts w:ascii="Arial" w:hAnsi="Arial" w:cs="Arial"/>
                <w:lang w:val="en-GB"/>
              </w:rPr>
              <w:t>59.3</w:t>
            </w:r>
          </w:p>
        </w:tc>
      </w:tr>
      <w:tr w:rsidR="002576DD" w:rsidRPr="00CD0E79" w14:paraId="46C44B29" w14:textId="77777777" w:rsidTr="00DB58D9">
        <w:trPr>
          <w:tblHeader/>
          <w:jc w:val="center"/>
        </w:trPr>
        <w:tc>
          <w:tcPr>
            <w:tcW w:w="5400" w:type="dxa"/>
            <w:vAlign w:val="center"/>
          </w:tcPr>
          <w:p w14:paraId="4F96D98D" w14:textId="2FDE670C" w:rsidR="002576DD" w:rsidRPr="00CD0E79" w:rsidRDefault="002576DD" w:rsidP="00831E43">
            <w:pPr>
              <w:keepNext/>
              <w:keepLines/>
              <w:rPr>
                <w:rFonts w:ascii="Arial" w:hAnsi="Arial" w:cs="Arial"/>
                <w:lang w:val="en-GB"/>
              </w:rPr>
            </w:pPr>
            <w:r w:rsidRPr="00CD0E79">
              <w:rPr>
                <w:rFonts w:ascii="Arial" w:hAnsi="Arial" w:cs="Arial"/>
                <w:lang w:val="en-GB"/>
              </w:rPr>
              <w:t>Beijing Sanyuan Foods Co., Ltd.</w:t>
            </w:r>
          </w:p>
        </w:tc>
        <w:tc>
          <w:tcPr>
            <w:tcW w:w="2430" w:type="dxa"/>
            <w:vAlign w:val="center"/>
          </w:tcPr>
          <w:p w14:paraId="6924E078" w14:textId="77777777" w:rsidR="002576DD" w:rsidRPr="00CD0E79" w:rsidRDefault="002576DD" w:rsidP="00831E43">
            <w:pPr>
              <w:keepNext/>
              <w:keepLines/>
              <w:tabs>
                <w:tab w:val="decimal" w:pos="1151"/>
              </w:tabs>
              <w:rPr>
                <w:rFonts w:ascii="Arial" w:hAnsi="Arial" w:cs="Arial"/>
                <w:lang w:val="en-GB"/>
              </w:rPr>
            </w:pPr>
            <w:r w:rsidRPr="00CD0E79">
              <w:rPr>
                <w:rFonts w:ascii="Arial" w:hAnsi="Arial" w:cs="Arial"/>
                <w:lang w:val="en-GB"/>
              </w:rPr>
              <w:t>56.0</w:t>
            </w:r>
          </w:p>
        </w:tc>
      </w:tr>
      <w:tr w:rsidR="002576DD" w:rsidRPr="00CD0E79" w14:paraId="279A7033" w14:textId="77777777" w:rsidTr="00DB58D9">
        <w:trPr>
          <w:tblHeader/>
          <w:jc w:val="center"/>
        </w:trPr>
        <w:tc>
          <w:tcPr>
            <w:tcW w:w="5400" w:type="dxa"/>
            <w:vAlign w:val="center"/>
          </w:tcPr>
          <w:p w14:paraId="35EA6852" w14:textId="39504EEB" w:rsidR="002576DD" w:rsidRPr="00CD0E79" w:rsidRDefault="002576DD" w:rsidP="00831E43">
            <w:pPr>
              <w:keepNext/>
              <w:keepLines/>
              <w:rPr>
                <w:rFonts w:ascii="Arial" w:hAnsi="Arial" w:cs="Arial"/>
                <w:lang w:val="en-GB"/>
              </w:rPr>
            </w:pPr>
            <w:r w:rsidRPr="00CD0E79">
              <w:rPr>
                <w:rFonts w:ascii="Arial" w:hAnsi="Arial" w:cs="Arial"/>
                <w:lang w:val="en-GB"/>
              </w:rPr>
              <w:t>China Huishan Dairy Holdings Company Limited, Liaoning</w:t>
            </w:r>
          </w:p>
        </w:tc>
        <w:tc>
          <w:tcPr>
            <w:tcW w:w="2430" w:type="dxa"/>
            <w:vAlign w:val="center"/>
          </w:tcPr>
          <w:p w14:paraId="7CB0D9A4" w14:textId="77777777" w:rsidR="002576DD" w:rsidRPr="00CD0E79" w:rsidRDefault="002576DD" w:rsidP="00831E43">
            <w:pPr>
              <w:keepNext/>
              <w:keepLines/>
              <w:tabs>
                <w:tab w:val="decimal" w:pos="1151"/>
              </w:tabs>
              <w:rPr>
                <w:rFonts w:ascii="Arial" w:hAnsi="Arial" w:cs="Arial"/>
                <w:lang w:val="en-GB"/>
              </w:rPr>
            </w:pPr>
            <w:r w:rsidRPr="00CD0E79">
              <w:rPr>
                <w:rFonts w:ascii="Arial" w:hAnsi="Arial" w:cs="Arial"/>
                <w:lang w:val="en-GB"/>
              </w:rPr>
              <w:t>55.9</w:t>
            </w:r>
          </w:p>
        </w:tc>
      </w:tr>
      <w:tr w:rsidR="002576DD" w:rsidRPr="00CD0E79" w14:paraId="695DFBA8" w14:textId="77777777" w:rsidTr="00DB58D9">
        <w:trPr>
          <w:tblHeader/>
          <w:jc w:val="center"/>
        </w:trPr>
        <w:tc>
          <w:tcPr>
            <w:tcW w:w="5400" w:type="dxa"/>
            <w:vAlign w:val="center"/>
          </w:tcPr>
          <w:p w14:paraId="27E52CD3" w14:textId="58F04F02" w:rsidR="002576DD" w:rsidRPr="00CD0E79" w:rsidRDefault="002576DD" w:rsidP="00831E43">
            <w:pPr>
              <w:keepNext/>
              <w:keepLines/>
              <w:rPr>
                <w:rFonts w:ascii="Arial" w:hAnsi="Arial" w:cs="Arial"/>
                <w:lang w:val="en-GB"/>
              </w:rPr>
            </w:pPr>
            <w:r w:rsidRPr="00CD0E79">
              <w:rPr>
                <w:rFonts w:ascii="Arial" w:hAnsi="Arial" w:cs="Arial"/>
                <w:lang w:val="en-GB"/>
              </w:rPr>
              <w:t>Mead–Johnson China Limited</w:t>
            </w:r>
          </w:p>
        </w:tc>
        <w:tc>
          <w:tcPr>
            <w:tcW w:w="2430" w:type="dxa"/>
            <w:vAlign w:val="center"/>
          </w:tcPr>
          <w:p w14:paraId="1DF55F84" w14:textId="77777777" w:rsidR="002576DD" w:rsidRPr="00CD0E79" w:rsidRDefault="002576DD" w:rsidP="00831E43">
            <w:pPr>
              <w:keepNext/>
              <w:keepLines/>
              <w:tabs>
                <w:tab w:val="decimal" w:pos="1151"/>
              </w:tabs>
              <w:rPr>
                <w:rFonts w:ascii="Arial" w:hAnsi="Arial" w:cs="Arial"/>
                <w:lang w:val="en-GB"/>
              </w:rPr>
            </w:pPr>
            <w:r w:rsidRPr="00CD0E79">
              <w:rPr>
                <w:rFonts w:ascii="Arial" w:hAnsi="Arial" w:cs="Arial"/>
                <w:lang w:val="en-GB"/>
              </w:rPr>
              <w:t>53.2</w:t>
            </w:r>
          </w:p>
        </w:tc>
      </w:tr>
      <w:tr w:rsidR="002576DD" w:rsidRPr="00CD0E79" w14:paraId="56F027EC" w14:textId="77777777" w:rsidTr="00DB58D9">
        <w:trPr>
          <w:tblHeader/>
          <w:jc w:val="center"/>
        </w:trPr>
        <w:tc>
          <w:tcPr>
            <w:tcW w:w="5400" w:type="dxa"/>
            <w:vAlign w:val="center"/>
          </w:tcPr>
          <w:p w14:paraId="7F5D3948" w14:textId="1613DE10" w:rsidR="002576DD" w:rsidRPr="00CD0E79" w:rsidRDefault="002576DD" w:rsidP="00831E43">
            <w:pPr>
              <w:keepNext/>
              <w:keepLines/>
              <w:rPr>
                <w:rFonts w:ascii="Arial" w:hAnsi="Arial" w:cs="Arial"/>
                <w:lang w:val="en-GB"/>
              </w:rPr>
            </w:pPr>
            <w:r w:rsidRPr="00CD0E79">
              <w:rPr>
                <w:rFonts w:ascii="Arial" w:hAnsi="Arial" w:cs="Arial"/>
                <w:lang w:val="en-GB"/>
              </w:rPr>
              <w:t>Wondersun Dairy Co., Ltd., Heilongjiang</w:t>
            </w:r>
          </w:p>
        </w:tc>
        <w:tc>
          <w:tcPr>
            <w:tcW w:w="2430" w:type="dxa"/>
            <w:vAlign w:val="center"/>
          </w:tcPr>
          <w:p w14:paraId="366B8C3F" w14:textId="77777777" w:rsidR="002576DD" w:rsidRPr="00CD0E79" w:rsidRDefault="002576DD" w:rsidP="00831E43">
            <w:pPr>
              <w:keepNext/>
              <w:keepLines/>
              <w:tabs>
                <w:tab w:val="decimal" w:pos="1151"/>
              </w:tabs>
              <w:rPr>
                <w:rFonts w:ascii="Arial" w:hAnsi="Arial" w:cs="Arial"/>
                <w:lang w:val="en-GB"/>
              </w:rPr>
            </w:pPr>
            <w:r w:rsidRPr="00CD0E79">
              <w:rPr>
                <w:rFonts w:ascii="Arial" w:hAnsi="Arial" w:cs="Arial"/>
                <w:lang w:val="en-GB"/>
              </w:rPr>
              <w:t>52.1</w:t>
            </w:r>
          </w:p>
        </w:tc>
      </w:tr>
      <w:tr w:rsidR="002576DD" w:rsidRPr="00CD0E79" w14:paraId="48463874" w14:textId="77777777" w:rsidTr="00DB58D9">
        <w:trPr>
          <w:tblHeader/>
          <w:jc w:val="center"/>
        </w:trPr>
        <w:tc>
          <w:tcPr>
            <w:tcW w:w="5400" w:type="dxa"/>
            <w:vAlign w:val="center"/>
          </w:tcPr>
          <w:p w14:paraId="5026E52A" w14:textId="133AD997" w:rsidR="002576DD" w:rsidRPr="00CD0E79" w:rsidRDefault="002576DD" w:rsidP="00831E43">
            <w:pPr>
              <w:keepNext/>
              <w:keepLines/>
              <w:rPr>
                <w:rFonts w:ascii="Arial" w:hAnsi="Arial" w:cs="Arial"/>
                <w:lang w:val="en-GB"/>
              </w:rPr>
            </w:pPr>
            <w:r w:rsidRPr="00CD0E79">
              <w:rPr>
                <w:rFonts w:ascii="Arial" w:hAnsi="Arial" w:cs="Arial"/>
                <w:lang w:val="en-GB"/>
              </w:rPr>
              <w:t>Yinqiao Dairy Co., Ltd., Xi’an</w:t>
            </w:r>
          </w:p>
        </w:tc>
        <w:tc>
          <w:tcPr>
            <w:tcW w:w="2430" w:type="dxa"/>
            <w:vAlign w:val="center"/>
          </w:tcPr>
          <w:p w14:paraId="7F325079" w14:textId="77777777" w:rsidR="002576DD" w:rsidRPr="00CD0E79" w:rsidRDefault="002576DD" w:rsidP="00831E43">
            <w:pPr>
              <w:keepNext/>
              <w:keepLines/>
              <w:tabs>
                <w:tab w:val="decimal" w:pos="1151"/>
              </w:tabs>
              <w:rPr>
                <w:rFonts w:ascii="Arial" w:hAnsi="Arial" w:cs="Arial"/>
                <w:lang w:val="en-GB"/>
              </w:rPr>
            </w:pPr>
            <w:r w:rsidRPr="00CD0E79">
              <w:rPr>
                <w:rFonts w:ascii="Arial" w:hAnsi="Arial" w:cs="Arial"/>
                <w:lang w:val="en-GB"/>
              </w:rPr>
              <w:t>39.4</w:t>
            </w:r>
          </w:p>
        </w:tc>
      </w:tr>
      <w:tr w:rsidR="002576DD" w:rsidRPr="00CD0E79" w14:paraId="4184BC5E" w14:textId="77777777" w:rsidTr="00DB58D9">
        <w:trPr>
          <w:tblHeader/>
          <w:jc w:val="center"/>
        </w:trPr>
        <w:tc>
          <w:tcPr>
            <w:tcW w:w="5400" w:type="dxa"/>
            <w:vAlign w:val="center"/>
          </w:tcPr>
          <w:p w14:paraId="50AED2C0" w14:textId="53BA3E29" w:rsidR="002576DD" w:rsidRPr="00CD0E79" w:rsidRDefault="002576DD" w:rsidP="00831E43">
            <w:pPr>
              <w:keepNext/>
              <w:keepLines/>
              <w:rPr>
                <w:rFonts w:ascii="Arial" w:hAnsi="Arial" w:cs="Arial"/>
                <w:lang w:val="en-GB"/>
              </w:rPr>
            </w:pPr>
            <w:r w:rsidRPr="00CD0E79">
              <w:rPr>
                <w:rFonts w:ascii="Arial" w:hAnsi="Arial" w:cs="Arial"/>
                <w:lang w:val="en-GB"/>
              </w:rPr>
              <w:t>New Hope Dairy Holdings Co., Ltd.</w:t>
            </w:r>
          </w:p>
        </w:tc>
        <w:tc>
          <w:tcPr>
            <w:tcW w:w="2430" w:type="dxa"/>
            <w:vAlign w:val="center"/>
          </w:tcPr>
          <w:p w14:paraId="5DD7F953" w14:textId="77777777" w:rsidR="002576DD" w:rsidRPr="00CD0E79" w:rsidRDefault="002576DD" w:rsidP="00831E43">
            <w:pPr>
              <w:keepNext/>
              <w:keepLines/>
              <w:tabs>
                <w:tab w:val="decimal" w:pos="1151"/>
              </w:tabs>
              <w:rPr>
                <w:rFonts w:ascii="Arial" w:hAnsi="Arial" w:cs="Arial"/>
                <w:lang w:val="en-GB"/>
              </w:rPr>
            </w:pPr>
            <w:r w:rsidRPr="00CD0E79">
              <w:rPr>
                <w:rFonts w:ascii="Arial" w:hAnsi="Arial" w:cs="Arial"/>
                <w:lang w:val="en-GB"/>
              </w:rPr>
              <w:t>39.0</w:t>
            </w:r>
          </w:p>
        </w:tc>
      </w:tr>
      <w:tr w:rsidR="002576DD" w:rsidRPr="00CD0E79" w14:paraId="4D4EFC26" w14:textId="77777777" w:rsidTr="00DB58D9">
        <w:trPr>
          <w:tblHeader/>
          <w:jc w:val="center"/>
        </w:trPr>
        <w:tc>
          <w:tcPr>
            <w:tcW w:w="5400" w:type="dxa"/>
            <w:vAlign w:val="center"/>
          </w:tcPr>
          <w:p w14:paraId="29F18E22" w14:textId="2AEF8F9A" w:rsidR="002576DD" w:rsidRPr="00CD0E79" w:rsidRDefault="002576DD" w:rsidP="00831E43">
            <w:pPr>
              <w:keepNext/>
              <w:keepLines/>
              <w:rPr>
                <w:rFonts w:ascii="Arial" w:hAnsi="Arial" w:cs="Arial"/>
                <w:lang w:val="en-GB"/>
              </w:rPr>
            </w:pPr>
            <w:r w:rsidRPr="00CD0E79">
              <w:rPr>
                <w:rFonts w:ascii="Arial" w:hAnsi="Arial" w:cs="Arial"/>
                <w:lang w:val="en-GB"/>
              </w:rPr>
              <w:t>Synutra International Inc.</w:t>
            </w:r>
          </w:p>
        </w:tc>
        <w:tc>
          <w:tcPr>
            <w:tcW w:w="2430" w:type="dxa"/>
            <w:vAlign w:val="center"/>
          </w:tcPr>
          <w:p w14:paraId="32E66F77" w14:textId="77777777" w:rsidR="002576DD" w:rsidRPr="00CD0E79" w:rsidRDefault="002576DD" w:rsidP="00831E43">
            <w:pPr>
              <w:keepNext/>
              <w:keepLines/>
              <w:tabs>
                <w:tab w:val="decimal" w:pos="1151"/>
              </w:tabs>
              <w:rPr>
                <w:rFonts w:ascii="Arial" w:hAnsi="Arial" w:cs="Arial"/>
                <w:lang w:val="en-GB"/>
              </w:rPr>
            </w:pPr>
            <w:r w:rsidRPr="00CD0E79">
              <w:rPr>
                <w:rFonts w:ascii="Arial" w:hAnsi="Arial" w:cs="Arial"/>
                <w:lang w:val="en-GB"/>
              </w:rPr>
              <w:t>35.1</w:t>
            </w:r>
          </w:p>
        </w:tc>
      </w:tr>
      <w:tr w:rsidR="002576DD" w:rsidRPr="00CD0E79" w14:paraId="7747C73D" w14:textId="77777777" w:rsidTr="00DB58D9">
        <w:trPr>
          <w:tblHeader/>
          <w:jc w:val="center"/>
        </w:trPr>
        <w:tc>
          <w:tcPr>
            <w:tcW w:w="5400" w:type="dxa"/>
            <w:vAlign w:val="center"/>
          </w:tcPr>
          <w:p w14:paraId="3B17C9A5" w14:textId="4364BF37" w:rsidR="002576DD" w:rsidRPr="00CD0E79" w:rsidRDefault="002576DD" w:rsidP="00831E43">
            <w:pPr>
              <w:keepNext/>
              <w:keepLines/>
              <w:rPr>
                <w:rFonts w:ascii="Arial" w:hAnsi="Arial" w:cs="Arial"/>
                <w:lang w:val="en-GB"/>
              </w:rPr>
            </w:pPr>
            <w:r w:rsidRPr="00CD0E79">
              <w:rPr>
                <w:rFonts w:ascii="Arial" w:hAnsi="Arial" w:cs="Arial"/>
                <w:lang w:val="en-GB"/>
              </w:rPr>
              <w:t>Beingmate Baby &amp; Child Co., Ltd.</w:t>
            </w:r>
          </w:p>
        </w:tc>
        <w:tc>
          <w:tcPr>
            <w:tcW w:w="2430" w:type="dxa"/>
            <w:vAlign w:val="center"/>
          </w:tcPr>
          <w:p w14:paraId="1A9F95F0" w14:textId="77777777" w:rsidR="002576DD" w:rsidRPr="00CD0E79" w:rsidRDefault="002576DD" w:rsidP="00831E43">
            <w:pPr>
              <w:keepNext/>
              <w:keepLines/>
              <w:tabs>
                <w:tab w:val="decimal" w:pos="1151"/>
              </w:tabs>
              <w:rPr>
                <w:rFonts w:ascii="Arial" w:hAnsi="Arial" w:cs="Arial"/>
                <w:lang w:val="en-GB"/>
              </w:rPr>
            </w:pPr>
            <w:r w:rsidRPr="00CD0E79">
              <w:rPr>
                <w:rFonts w:ascii="Arial" w:hAnsi="Arial" w:cs="Arial"/>
                <w:lang w:val="en-GB"/>
              </w:rPr>
              <w:t>27.6</w:t>
            </w:r>
          </w:p>
        </w:tc>
      </w:tr>
    </w:tbl>
    <w:p w14:paraId="17B37210" w14:textId="77777777" w:rsidR="002576DD" w:rsidRPr="00CD0E79" w:rsidRDefault="002576DD" w:rsidP="002576DD">
      <w:pPr>
        <w:pStyle w:val="Footnote"/>
        <w:keepNext/>
        <w:keepLines/>
        <w:rPr>
          <w:lang w:val="en-GB"/>
        </w:rPr>
      </w:pPr>
    </w:p>
    <w:p w14:paraId="7C8843F9" w14:textId="6797BE2F" w:rsidR="00557FD7" w:rsidRPr="00CD0E79" w:rsidRDefault="00557FD7" w:rsidP="002576DD">
      <w:pPr>
        <w:pStyle w:val="Footnote"/>
        <w:rPr>
          <w:lang w:val="en-GB"/>
        </w:rPr>
      </w:pPr>
      <w:r w:rsidRPr="00CD0E79">
        <w:rPr>
          <w:lang w:val="en-GB"/>
        </w:rPr>
        <w:t>Note: ¥ = CNY = Chinese yuan renminbi; US$1.00 = ¥6.94 on December 30, 2016</w:t>
      </w:r>
      <w:r w:rsidR="00D30F34">
        <w:rPr>
          <w:lang w:val="en-GB"/>
        </w:rPr>
        <w:t>.</w:t>
      </w:r>
    </w:p>
    <w:p w14:paraId="44D54C66" w14:textId="7B16D27B" w:rsidR="002576DD" w:rsidRPr="00CD0E79" w:rsidRDefault="002576DD" w:rsidP="002576DD">
      <w:pPr>
        <w:pStyle w:val="Footnote"/>
        <w:rPr>
          <w:lang w:val="en-GB"/>
        </w:rPr>
      </w:pPr>
      <w:r w:rsidRPr="00CD0E79">
        <w:rPr>
          <w:lang w:val="en-GB"/>
        </w:rPr>
        <w:t>Source: Kungang Song, “The Dairy Industry Review in 2016 and Focus in 2017,</w:t>
      </w:r>
      <w:r w:rsidR="00763E20" w:rsidRPr="00CD0E79">
        <w:rPr>
          <w:lang w:val="en-GB"/>
        </w:rPr>
        <w:t>”</w:t>
      </w:r>
      <w:r w:rsidRPr="00CD0E79">
        <w:rPr>
          <w:lang w:val="en-GB"/>
        </w:rPr>
        <w:t xml:space="preserve"> </w:t>
      </w:r>
      <w:r w:rsidR="00763E20" w:rsidRPr="00CD0E79">
        <w:rPr>
          <w:lang w:val="en-GB"/>
        </w:rPr>
        <w:t xml:space="preserve">[in Chinese] </w:t>
      </w:r>
      <w:r w:rsidRPr="00CD0E79">
        <w:rPr>
          <w:i/>
          <w:lang w:val="en-GB"/>
        </w:rPr>
        <w:t>China Dairy Industry Newsletter</w:t>
      </w:r>
      <w:r w:rsidRPr="00CD0E79">
        <w:rPr>
          <w:lang w:val="en-GB"/>
        </w:rPr>
        <w:t>, September, 2017, accessed October 4, 2017, www.cdia.org.cn/down.php?name=uploads/pdf/1510292756.pdf.</w:t>
      </w:r>
    </w:p>
    <w:p w14:paraId="45E0C005" w14:textId="77777777" w:rsidR="002576DD" w:rsidRPr="00CD0E79" w:rsidRDefault="002576DD" w:rsidP="002576DD">
      <w:pPr>
        <w:pStyle w:val="BodyTextMain"/>
        <w:rPr>
          <w:lang w:val="en-GB"/>
        </w:rPr>
      </w:pPr>
    </w:p>
    <w:p w14:paraId="5A3E6B00" w14:textId="77777777" w:rsidR="002576DD" w:rsidRPr="00CD0E79" w:rsidRDefault="002576DD">
      <w:pPr>
        <w:spacing w:after="200" w:line="276" w:lineRule="auto"/>
        <w:rPr>
          <w:lang w:val="en-GB"/>
        </w:rPr>
      </w:pPr>
      <w:r w:rsidRPr="00CD0E79">
        <w:rPr>
          <w:lang w:val="en-GB"/>
        </w:rPr>
        <w:br w:type="page"/>
      </w:r>
    </w:p>
    <w:p w14:paraId="236AC338" w14:textId="77777777" w:rsidR="002576DD" w:rsidRPr="00CD0E79" w:rsidRDefault="002576DD" w:rsidP="002576DD">
      <w:pPr>
        <w:pStyle w:val="ExhibitHeading"/>
        <w:rPr>
          <w:lang w:val="en-GB"/>
        </w:rPr>
      </w:pPr>
      <w:r w:rsidRPr="00CD0E79">
        <w:rPr>
          <w:lang w:val="en-GB"/>
        </w:rPr>
        <w:lastRenderedPageBreak/>
        <w:t>Exhibit 4: Canada Milk Production, 2007–2016</w:t>
      </w:r>
    </w:p>
    <w:p w14:paraId="671A10EE" w14:textId="77777777" w:rsidR="002576DD" w:rsidRPr="00CD0E79" w:rsidRDefault="002576DD" w:rsidP="002576DD">
      <w:pPr>
        <w:keepNext/>
        <w:keepLines/>
        <w:jc w:val="center"/>
        <w:rPr>
          <w:rFonts w:ascii="Arial" w:hAnsi="Arial" w:cs="Arial"/>
          <w:b/>
          <w:lang w:val="en-GB"/>
        </w:rPr>
      </w:pPr>
    </w:p>
    <w:tbl>
      <w:tblPr>
        <w:tblW w:w="33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HIBIT 4"/>
        <w:tblDescription w:val="CANADA MILK PRODUCTION, 2007–2016"/>
      </w:tblPr>
      <w:tblGrid>
        <w:gridCol w:w="1042"/>
        <w:gridCol w:w="1383"/>
        <w:gridCol w:w="916"/>
      </w:tblGrid>
      <w:tr w:rsidR="002576DD" w:rsidRPr="00CD0E79" w14:paraId="32824FA3" w14:textId="77777777" w:rsidTr="00DB58D9">
        <w:trPr>
          <w:trHeight w:val="255"/>
          <w:tblHeader/>
          <w:jc w:val="center"/>
        </w:trPr>
        <w:tc>
          <w:tcPr>
            <w:tcW w:w="1175" w:type="dxa"/>
            <w:vAlign w:val="center"/>
          </w:tcPr>
          <w:p w14:paraId="51CFF27D" w14:textId="77777777" w:rsidR="002576DD" w:rsidRPr="00CD0E79" w:rsidRDefault="002576DD" w:rsidP="00C2321B">
            <w:pPr>
              <w:keepNext/>
              <w:keepLines/>
              <w:jc w:val="center"/>
              <w:rPr>
                <w:rFonts w:ascii="Arial" w:hAnsi="Arial" w:cs="Arial"/>
                <w:b/>
                <w:color w:val="000000"/>
                <w:lang w:val="en-GB"/>
              </w:rPr>
            </w:pPr>
            <w:r w:rsidRPr="00CD0E79">
              <w:rPr>
                <w:rFonts w:ascii="Arial" w:hAnsi="Arial" w:cs="Arial"/>
                <w:b/>
                <w:color w:val="000000"/>
                <w:lang w:val="en-GB"/>
              </w:rPr>
              <w:t>Year</w:t>
            </w:r>
          </w:p>
        </w:tc>
        <w:tc>
          <w:tcPr>
            <w:tcW w:w="1283" w:type="dxa"/>
            <w:shd w:val="clear" w:color="auto" w:fill="auto"/>
            <w:noWrap/>
            <w:vAlign w:val="center"/>
          </w:tcPr>
          <w:p w14:paraId="319699A0" w14:textId="77777777" w:rsidR="002576DD" w:rsidRPr="00CD0E79" w:rsidRDefault="002576DD" w:rsidP="00C2321B">
            <w:pPr>
              <w:keepNext/>
              <w:keepLines/>
              <w:jc w:val="center"/>
              <w:rPr>
                <w:rFonts w:ascii="Arial" w:hAnsi="Arial" w:cs="Arial"/>
                <w:b/>
                <w:color w:val="000000"/>
                <w:lang w:val="en-GB"/>
              </w:rPr>
            </w:pPr>
            <w:r w:rsidRPr="00CD0E79">
              <w:rPr>
                <w:rFonts w:ascii="Arial" w:hAnsi="Arial" w:cs="Arial"/>
                <w:b/>
                <w:color w:val="000000"/>
                <w:lang w:val="en-GB"/>
              </w:rPr>
              <w:t>Production (Hectolitres)</w:t>
            </w:r>
          </w:p>
        </w:tc>
        <w:tc>
          <w:tcPr>
            <w:tcW w:w="883" w:type="dxa"/>
            <w:shd w:val="clear" w:color="auto" w:fill="auto"/>
            <w:noWrap/>
            <w:vAlign w:val="center"/>
          </w:tcPr>
          <w:p w14:paraId="79905E65" w14:textId="77777777" w:rsidR="002576DD" w:rsidRPr="00CD0E79" w:rsidRDefault="002576DD" w:rsidP="00C2321B">
            <w:pPr>
              <w:keepNext/>
              <w:keepLines/>
              <w:jc w:val="center"/>
              <w:rPr>
                <w:rFonts w:ascii="Arial" w:hAnsi="Arial" w:cs="Arial"/>
                <w:b/>
                <w:lang w:val="en-GB"/>
              </w:rPr>
            </w:pPr>
            <w:r w:rsidRPr="00CD0E79">
              <w:rPr>
                <w:rFonts w:ascii="Arial" w:hAnsi="Arial" w:cs="Arial"/>
                <w:b/>
                <w:lang w:val="en-GB"/>
              </w:rPr>
              <w:t>Growth Rate</w:t>
            </w:r>
          </w:p>
        </w:tc>
      </w:tr>
      <w:tr w:rsidR="002576DD" w:rsidRPr="00CD0E79" w14:paraId="26FDFC12" w14:textId="77777777" w:rsidTr="00DB58D9">
        <w:trPr>
          <w:trHeight w:val="255"/>
          <w:tblHeader/>
          <w:jc w:val="center"/>
        </w:trPr>
        <w:tc>
          <w:tcPr>
            <w:tcW w:w="1175" w:type="dxa"/>
            <w:vAlign w:val="center"/>
          </w:tcPr>
          <w:p w14:paraId="4C35FF4C" w14:textId="77777777" w:rsidR="002576DD" w:rsidRPr="00CD0E79" w:rsidRDefault="002576DD" w:rsidP="00C2321B">
            <w:pPr>
              <w:keepNext/>
              <w:keepLines/>
              <w:jc w:val="center"/>
              <w:rPr>
                <w:rFonts w:ascii="Arial" w:hAnsi="Arial" w:cs="Arial"/>
                <w:color w:val="000000"/>
                <w:lang w:val="en-GB"/>
              </w:rPr>
            </w:pPr>
            <w:r w:rsidRPr="00CD0E79">
              <w:rPr>
                <w:rFonts w:ascii="Arial" w:hAnsi="Arial" w:cs="Arial"/>
                <w:color w:val="000000"/>
                <w:lang w:val="en-GB"/>
              </w:rPr>
              <w:t>2007</w:t>
            </w:r>
          </w:p>
        </w:tc>
        <w:tc>
          <w:tcPr>
            <w:tcW w:w="1283" w:type="dxa"/>
            <w:shd w:val="clear" w:color="auto" w:fill="auto"/>
            <w:noWrap/>
            <w:vAlign w:val="center"/>
            <w:hideMark/>
          </w:tcPr>
          <w:p w14:paraId="4E8FF3B4" w14:textId="77777777" w:rsidR="002576DD" w:rsidRPr="00CD0E79" w:rsidRDefault="002576DD" w:rsidP="00C2321B">
            <w:pPr>
              <w:keepNext/>
              <w:keepLines/>
              <w:jc w:val="right"/>
              <w:rPr>
                <w:rFonts w:ascii="Arial" w:hAnsi="Arial" w:cs="Arial"/>
                <w:color w:val="000000"/>
                <w:lang w:val="en-GB"/>
              </w:rPr>
            </w:pPr>
            <w:r w:rsidRPr="00CD0E79">
              <w:rPr>
                <w:rFonts w:ascii="Arial" w:hAnsi="Arial" w:cs="Arial"/>
                <w:color w:val="000000"/>
                <w:lang w:val="en-GB"/>
              </w:rPr>
              <w:t>75,891,672</w:t>
            </w:r>
          </w:p>
        </w:tc>
        <w:tc>
          <w:tcPr>
            <w:tcW w:w="883" w:type="dxa"/>
            <w:shd w:val="clear" w:color="auto" w:fill="auto"/>
            <w:noWrap/>
            <w:vAlign w:val="center"/>
            <w:hideMark/>
          </w:tcPr>
          <w:p w14:paraId="03852C37" w14:textId="5F8A2F09" w:rsidR="002576DD" w:rsidRPr="00CD0E79" w:rsidRDefault="00526A14" w:rsidP="00C2321B">
            <w:pPr>
              <w:keepNext/>
              <w:keepLines/>
              <w:jc w:val="right"/>
              <w:rPr>
                <w:rFonts w:ascii="Arial" w:hAnsi="Arial" w:cs="Arial"/>
                <w:lang w:val="en-GB"/>
              </w:rPr>
            </w:pPr>
            <w:r w:rsidRPr="00CD0E79">
              <w:rPr>
                <w:rFonts w:ascii="Arial" w:hAnsi="Arial" w:cs="Arial"/>
                <w:color w:val="000000"/>
                <w:lang w:val="en-GB"/>
              </w:rPr>
              <w:t>–</w:t>
            </w:r>
          </w:p>
        </w:tc>
      </w:tr>
      <w:tr w:rsidR="002576DD" w:rsidRPr="00CD0E79" w14:paraId="0DD14B2D" w14:textId="77777777" w:rsidTr="00DB58D9">
        <w:trPr>
          <w:trHeight w:val="255"/>
          <w:tblHeader/>
          <w:jc w:val="center"/>
        </w:trPr>
        <w:tc>
          <w:tcPr>
            <w:tcW w:w="1175" w:type="dxa"/>
            <w:vAlign w:val="center"/>
          </w:tcPr>
          <w:p w14:paraId="78BBF9F4" w14:textId="77777777" w:rsidR="002576DD" w:rsidRPr="00CD0E79" w:rsidRDefault="002576DD" w:rsidP="00C2321B">
            <w:pPr>
              <w:keepNext/>
              <w:keepLines/>
              <w:jc w:val="center"/>
              <w:rPr>
                <w:rFonts w:ascii="Arial" w:hAnsi="Arial" w:cs="Arial"/>
                <w:color w:val="000000"/>
                <w:lang w:val="en-GB"/>
              </w:rPr>
            </w:pPr>
            <w:r w:rsidRPr="00CD0E79">
              <w:rPr>
                <w:rFonts w:ascii="Arial" w:hAnsi="Arial" w:cs="Arial"/>
                <w:color w:val="000000"/>
                <w:lang w:val="en-GB"/>
              </w:rPr>
              <w:t>2008</w:t>
            </w:r>
          </w:p>
        </w:tc>
        <w:tc>
          <w:tcPr>
            <w:tcW w:w="1283" w:type="dxa"/>
            <w:shd w:val="clear" w:color="auto" w:fill="auto"/>
            <w:noWrap/>
            <w:vAlign w:val="center"/>
            <w:hideMark/>
          </w:tcPr>
          <w:p w14:paraId="5E71076A" w14:textId="77777777" w:rsidR="002576DD" w:rsidRPr="00CD0E79" w:rsidRDefault="002576DD" w:rsidP="00C2321B">
            <w:pPr>
              <w:keepNext/>
              <w:keepLines/>
              <w:jc w:val="right"/>
              <w:rPr>
                <w:rFonts w:ascii="Arial" w:hAnsi="Arial" w:cs="Arial"/>
                <w:color w:val="000000"/>
                <w:lang w:val="en-GB"/>
              </w:rPr>
            </w:pPr>
            <w:r w:rsidRPr="00CD0E79">
              <w:rPr>
                <w:rFonts w:ascii="Arial" w:hAnsi="Arial" w:cs="Arial"/>
                <w:color w:val="000000"/>
                <w:lang w:val="en-GB"/>
              </w:rPr>
              <w:t>75,926,096</w:t>
            </w:r>
          </w:p>
        </w:tc>
        <w:tc>
          <w:tcPr>
            <w:tcW w:w="883" w:type="dxa"/>
            <w:shd w:val="clear" w:color="auto" w:fill="auto"/>
            <w:noWrap/>
            <w:vAlign w:val="center"/>
            <w:hideMark/>
          </w:tcPr>
          <w:p w14:paraId="31365E6D" w14:textId="77777777" w:rsidR="002576DD" w:rsidRPr="00CD0E79" w:rsidRDefault="002576DD" w:rsidP="00C2321B">
            <w:pPr>
              <w:keepNext/>
              <w:keepLines/>
              <w:jc w:val="right"/>
              <w:rPr>
                <w:rFonts w:ascii="Arial" w:hAnsi="Arial" w:cs="Arial"/>
                <w:lang w:val="en-GB"/>
              </w:rPr>
            </w:pPr>
            <w:r w:rsidRPr="00CD0E79">
              <w:rPr>
                <w:rFonts w:ascii="Arial" w:hAnsi="Arial" w:cs="Arial"/>
                <w:color w:val="000000"/>
                <w:lang w:val="en-GB"/>
              </w:rPr>
              <w:t>0.05%</w:t>
            </w:r>
          </w:p>
        </w:tc>
      </w:tr>
      <w:tr w:rsidR="002576DD" w:rsidRPr="00CD0E79" w14:paraId="7B87DD94" w14:textId="77777777" w:rsidTr="00DB58D9">
        <w:trPr>
          <w:trHeight w:val="255"/>
          <w:tblHeader/>
          <w:jc w:val="center"/>
        </w:trPr>
        <w:tc>
          <w:tcPr>
            <w:tcW w:w="1175" w:type="dxa"/>
            <w:vAlign w:val="center"/>
          </w:tcPr>
          <w:p w14:paraId="313DAD14" w14:textId="77777777" w:rsidR="002576DD" w:rsidRPr="00CD0E79" w:rsidRDefault="002576DD" w:rsidP="00C2321B">
            <w:pPr>
              <w:keepNext/>
              <w:keepLines/>
              <w:jc w:val="center"/>
              <w:rPr>
                <w:rFonts w:ascii="Arial" w:hAnsi="Arial" w:cs="Arial"/>
                <w:color w:val="000000"/>
                <w:lang w:val="en-GB"/>
              </w:rPr>
            </w:pPr>
            <w:r w:rsidRPr="00CD0E79">
              <w:rPr>
                <w:rFonts w:ascii="Arial" w:hAnsi="Arial" w:cs="Arial"/>
                <w:color w:val="000000"/>
                <w:lang w:val="en-GB"/>
              </w:rPr>
              <w:t>2009</w:t>
            </w:r>
          </w:p>
        </w:tc>
        <w:tc>
          <w:tcPr>
            <w:tcW w:w="1283" w:type="dxa"/>
            <w:shd w:val="clear" w:color="auto" w:fill="auto"/>
            <w:noWrap/>
            <w:vAlign w:val="center"/>
            <w:hideMark/>
          </w:tcPr>
          <w:p w14:paraId="2625A6CB" w14:textId="77777777" w:rsidR="002576DD" w:rsidRPr="00CD0E79" w:rsidRDefault="002576DD" w:rsidP="00C2321B">
            <w:pPr>
              <w:keepNext/>
              <w:keepLines/>
              <w:jc w:val="right"/>
              <w:rPr>
                <w:rFonts w:ascii="Arial" w:hAnsi="Arial" w:cs="Arial"/>
                <w:color w:val="000000"/>
                <w:lang w:val="en-GB"/>
              </w:rPr>
            </w:pPr>
            <w:r w:rsidRPr="00CD0E79">
              <w:rPr>
                <w:rFonts w:ascii="Arial" w:hAnsi="Arial" w:cs="Arial"/>
                <w:color w:val="000000"/>
                <w:lang w:val="en-GB"/>
              </w:rPr>
              <w:t>76,627,816</w:t>
            </w:r>
          </w:p>
        </w:tc>
        <w:tc>
          <w:tcPr>
            <w:tcW w:w="883" w:type="dxa"/>
            <w:shd w:val="clear" w:color="auto" w:fill="auto"/>
            <w:noWrap/>
            <w:vAlign w:val="center"/>
            <w:hideMark/>
          </w:tcPr>
          <w:p w14:paraId="0D7C7B03" w14:textId="77777777" w:rsidR="002576DD" w:rsidRPr="00CD0E79" w:rsidRDefault="002576DD" w:rsidP="00C2321B">
            <w:pPr>
              <w:keepNext/>
              <w:keepLines/>
              <w:jc w:val="right"/>
              <w:rPr>
                <w:rFonts w:ascii="Arial" w:hAnsi="Arial" w:cs="Arial"/>
                <w:lang w:val="en-GB"/>
              </w:rPr>
            </w:pPr>
            <w:r w:rsidRPr="00CD0E79">
              <w:rPr>
                <w:rFonts w:ascii="Arial" w:hAnsi="Arial" w:cs="Arial"/>
                <w:color w:val="000000"/>
                <w:lang w:val="en-GB"/>
              </w:rPr>
              <w:t>0.92%</w:t>
            </w:r>
          </w:p>
        </w:tc>
      </w:tr>
      <w:tr w:rsidR="002576DD" w:rsidRPr="00CD0E79" w14:paraId="67476F73" w14:textId="77777777" w:rsidTr="00DB58D9">
        <w:trPr>
          <w:trHeight w:val="255"/>
          <w:tblHeader/>
          <w:jc w:val="center"/>
        </w:trPr>
        <w:tc>
          <w:tcPr>
            <w:tcW w:w="1175" w:type="dxa"/>
            <w:vAlign w:val="center"/>
          </w:tcPr>
          <w:p w14:paraId="264C7F83" w14:textId="77777777" w:rsidR="002576DD" w:rsidRPr="00CD0E79" w:rsidRDefault="002576DD" w:rsidP="00C2321B">
            <w:pPr>
              <w:keepNext/>
              <w:keepLines/>
              <w:jc w:val="center"/>
              <w:rPr>
                <w:rFonts w:ascii="Arial" w:hAnsi="Arial" w:cs="Arial"/>
                <w:color w:val="000000"/>
                <w:lang w:val="en-GB"/>
              </w:rPr>
            </w:pPr>
            <w:r w:rsidRPr="00CD0E79">
              <w:rPr>
                <w:rFonts w:ascii="Arial" w:hAnsi="Arial" w:cs="Arial"/>
                <w:color w:val="000000"/>
                <w:lang w:val="en-GB"/>
              </w:rPr>
              <w:t>2010</w:t>
            </w:r>
          </w:p>
        </w:tc>
        <w:tc>
          <w:tcPr>
            <w:tcW w:w="1283" w:type="dxa"/>
            <w:shd w:val="clear" w:color="auto" w:fill="auto"/>
            <w:noWrap/>
            <w:vAlign w:val="center"/>
            <w:hideMark/>
          </w:tcPr>
          <w:p w14:paraId="5FC48B19" w14:textId="77777777" w:rsidR="002576DD" w:rsidRPr="00CD0E79" w:rsidRDefault="002576DD" w:rsidP="00C2321B">
            <w:pPr>
              <w:keepNext/>
              <w:keepLines/>
              <w:jc w:val="right"/>
              <w:rPr>
                <w:rFonts w:ascii="Arial" w:hAnsi="Arial" w:cs="Arial"/>
                <w:color w:val="000000"/>
                <w:lang w:val="en-GB"/>
              </w:rPr>
            </w:pPr>
            <w:r w:rsidRPr="00CD0E79">
              <w:rPr>
                <w:rFonts w:ascii="Arial" w:hAnsi="Arial" w:cs="Arial"/>
                <w:color w:val="000000"/>
                <w:lang w:val="en-GB"/>
              </w:rPr>
              <w:t>76,731,527</w:t>
            </w:r>
          </w:p>
        </w:tc>
        <w:tc>
          <w:tcPr>
            <w:tcW w:w="883" w:type="dxa"/>
            <w:shd w:val="clear" w:color="auto" w:fill="auto"/>
            <w:noWrap/>
            <w:vAlign w:val="center"/>
            <w:hideMark/>
          </w:tcPr>
          <w:p w14:paraId="12191501" w14:textId="77777777" w:rsidR="002576DD" w:rsidRPr="00CD0E79" w:rsidRDefault="002576DD" w:rsidP="00C2321B">
            <w:pPr>
              <w:keepNext/>
              <w:keepLines/>
              <w:jc w:val="right"/>
              <w:rPr>
                <w:rFonts w:ascii="Arial" w:hAnsi="Arial" w:cs="Arial"/>
                <w:lang w:val="en-GB"/>
              </w:rPr>
            </w:pPr>
            <w:r w:rsidRPr="00CD0E79">
              <w:rPr>
                <w:rFonts w:ascii="Arial" w:hAnsi="Arial" w:cs="Arial"/>
                <w:color w:val="000000"/>
                <w:lang w:val="en-GB"/>
              </w:rPr>
              <w:t>0.14%</w:t>
            </w:r>
          </w:p>
        </w:tc>
      </w:tr>
      <w:tr w:rsidR="002576DD" w:rsidRPr="00CD0E79" w14:paraId="32FC3924" w14:textId="77777777" w:rsidTr="00DB58D9">
        <w:trPr>
          <w:trHeight w:val="255"/>
          <w:tblHeader/>
          <w:jc w:val="center"/>
        </w:trPr>
        <w:tc>
          <w:tcPr>
            <w:tcW w:w="1175" w:type="dxa"/>
            <w:vAlign w:val="center"/>
          </w:tcPr>
          <w:p w14:paraId="3A8B6F6F" w14:textId="77777777" w:rsidR="002576DD" w:rsidRPr="00CD0E79" w:rsidRDefault="002576DD" w:rsidP="00C2321B">
            <w:pPr>
              <w:keepNext/>
              <w:keepLines/>
              <w:jc w:val="center"/>
              <w:rPr>
                <w:rFonts w:ascii="Arial" w:hAnsi="Arial" w:cs="Arial"/>
                <w:color w:val="000000"/>
                <w:lang w:val="en-GB"/>
              </w:rPr>
            </w:pPr>
            <w:r w:rsidRPr="00CD0E79">
              <w:rPr>
                <w:rFonts w:ascii="Arial" w:hAnsi="Arial" w:cs="Arial"/>
                <w:color w:val="000000"/>
                <w:lang w:val="en-GB"/>
              </w:rPr>
              <w:t>2011</w:t>
            </w:r>
          </w:p>
        </w:tc>
        <w:tc>
          <w:tcPr>
            <w:tcW w:w="1283" w:type="dxa"/>
            <w:shd w:val="clear" w:color="auto" w:fill="auto"/>
            <w:noWrap/>
            <w:vAlign w:val="center"/>
            <w:hideMark/>
          </w:tcPr>
          <w:p w14:paraId="123EDB4E" w14:textId="77777777" w:rsidR="002576DD" w:rsidRPr="00CD0E79" w:rsidRDefault="002576DD" w:rsidP="00C2321B">
            <w:pPr>
              <w:keepNext/>
              <w:keepLines/>
              <w:jc w:val="right"/>
              <w:rPr>
                <w:rFonts w:ascii="Arial" w:hAnsi="Arial" w:cs="Arial"/>
                <w:color w:val="000000"/>
                <w:lang w:val="en-GB"/>
              </w:rPr>
            </w:pPr>
            <w:r w:rsidRPr="00CD0E79">
              <w:rPr>
                <w:rFonts w:ascii="Arial" w:hAnsi="Arial" w:cs="Arial"/>
                <w:color w:val="000000"/>
                <w:lang w:val="en-GB"/>
              </w:rPr>
              <w:t>77,771,092</w:t>
            </w:r>
          </w:p>
        </w:tc>
        <w:tc>
          <w:tcPr>
            <w:tcW w:w="883" w:type="dxa"/>
            <w:shd w:val="clear" w:color="auto" w:fill="auto"/>
            <w:noWrap/>
            <w:vAlign w:val="center"/>
            <w:hideMark/>
          </w:tcPr>
          <w:p w14:paraId="106FFAFB" w14:textId="77777777" w:rsidR="002576DD" w:rsidRPr="00CD0E79" w:rsidRDefault="002576DD" w:rsidP="00C2321B">
            <w:pPr>
              <w:keepNext/>
              <w:keepLines/>
              <w:jc w:val="right"/>
              <w:rPr>
                <w:rFonts w:ascii="Arial" w:hAnsi="Arial" w:cs="Arial"/>
                <w:lang w:val="en-GB"/>
              </w:rPr>
            </w:pPr>
            <w:r w:rsidRPr="00CD0E79">
              <w:rPr>
                <w:rFonts w:ascii="Arial" w:hAnsi="Arial" w:cs="Arial"/>
                <w:color w:val="000000"/>
                <w:lang w:val="en-GB"/>
              </w:rPr>
              <w:t>1.35%</w:t>
            </w:r>
          </w:p>
        </w:tc>
      </w:tr>
      <w:tr w:rsidR="002576DD" w:rsidRPr="00CD0E79" w14:paraId="783AFC5E" w14:textId="77777777" w:rsidTr="00DB58D9">
        <w:trPr>
          <w:trHeight w:val="255"/>
          <w:tblHeader/>
          <w:jc w:val="center"/>
        </w:trPr>
        <w:tc>
          <w:tcPr>
            <w:tcW w:w="1175" w:type="dxa"/>
            <w:vAlign w:val="center"/>
          </w:tcPr>
          <w:p w14:paraId="1128D846" w14:textId="77777777" w:rsidR="002576DD" w:rsidRPr="00CD0E79" w:rsidRDefault="002576DD" w:rsidP="00C2321B">
            <w:pPr>
              <w:keepNext/>
              <w:keepLines/>
              <w:jc w:val="center"/>
              <w:rPr>
                <w:rFonts w:ascii="Arial" w:hAnsi="Arial" w:cs="Arial"/>
                <w:color w:val="000000"/>
                <w:lang w:val="en-GB"/>
              </w:rPr>
            </w:pPr>
            <w:r w:rsidRPr="00CD0E79">
              <w:rPr>
                <w:rFonts w:ascii="Arial" w:hAnsi="Arial" w:cs="Arial"/>
                <w:color w:val="000000"/>
                <w:lang w:val="en-GB"/>
              </w:rPr>
              <w:t>2012</w:t>
            </w:r>
          </w:p>
        </w:tc>
        <w:tc>
          <w:tcPr>
            <w:tcW w:w="1283" w:type="dxa"/>
            <w:shd w:val="clear" w:color="auto" w:fill="auto"/>
            <w:noWrap/>
            <w:vAlign w:val="center"/>
            <w:hideMark/>
          </w:tcPr>
          <w:p w14:paraId="66FD9FC3" w14:textId="77777777" w:rsidR="002576DD" w:rsidRPr="00CD0E79" w:rsidRDefault="002576DD" w:rsidP="00C2321B">
            <w:pPr>
              <w:keepNext/>
              <w:keepLines/>
              <w:jc w:val="right"/>
              <w:rPr>
                <w:rFonts w:ascii="Arial" w:hAnsi="Arial" w:cs="Arial"/>
                <w:color w:val="000000"/>
                <w:lang w:val="en-GB"/>
              </w:rPr>
            </w:pPr>
            <w:r w:rsidRPr="00CD0E79">
              <w:rPr>
                <w:rFonts w:ascii="Arial" w:hAnsi="Arial" w:cs="Arial"/>
                <w:color w:val="000000"/>
                <w:lang w:val="en-GB"/>
              </w:rPr>
              <w:t>79,801,292</w:t>
            </w:r>
          </w:p>
        </w:tc>
        <w:tc>
          <w:tcPr>
            <w:tcW w:w="883" w:type="dxa"/>
            <w:shd w:val="clear" w:color="auto" w:fill="auto"/>
            <w:noWrap/>
            <w:vAlign w:val="center"/>
            <w:hideMark/>
          </w:tcPr>
          <w:p w14:paraId="2AE6EDBC" w14:textId="77777777" w:rsidR="002576DD" w:rsidRPr="00CD0E79" w:rsidRDefault="002576DD" w:rsidP="00C2321B">
            <w:pPr>
              <w:keepNext/>
              <w:keepLines/>
              <w:jc w:val="right"/>
              <w:rPr>
                <w:rFonts w:ascii="Arial" w:hAnsi="Arial" w:cs="Arial"/>
                <w:lang w:val="en-GB"/>
              </w:rPr>
            </w:pPr>
            <w:r w:rsidRPr="00CD0E79">
              <w:rPr>
                <w:rFonts w:ascii="Arial" w:hAnsi="Arial" w:cs="Arial"/>
                <w:color w:val="000000"/>
                <w:lang w:val="en-GB"/>
              </w:rPr>
              <w:t>2.61%</w:t>
            </w:r>
          </w:p>
        </w:tc>
      </w:tr>
      <w:tr w:rsidR="002576DD" w:rsidRPr="00CD0E79" w14:paraId="290647FE" w14:textId="77777777" w:rsidTr="00DB58D9">
        <w:trPr>
          <w:trHeight w:val="255"/>
          <w:tblHeader/>
          <w:jc w:val="center"/>
        </w:trPr>
        <w:tc>
          <w:tcPr>
            <w:tcW w:w="1175" w:type="dxa"/>
            <w:vAlign w:val="center"/>
          </w:tcPr>
          <w:p w14:paraId="09F08F66" w14:textId="77777777" w:rsidR="002576DD" w:rsidRPr="00CD0E79" w:rsidRDefault="002576DD" w:rsidP="00C2321B">
            <w:pPr>
              <w:keepNext/>
              <w:keepLines/>
              <w:jc w:val="center"/>
              <w:rPr>
                <w:rFonts w:ascii="Arial" w:hAnsi="Arial" w:cs="Arial"/>
                <w:color w:val="000000"/>
                <w:lang w:val="en-GB"/>
              </w:rPr>
            </w:pPr>
            <w:r w:rsidRPr="00CD0E79">
              <w:rPr>
                <w:rFonts w:ascii="Arial" w:hAnsi="Arial" w:cs="Arial"/>
                <w:color w:val="000000"/>
                <w:lang w:val="en-GB"/>
              </w:rPr>
              <w:t>2013</w:t>
            </w:r>
          </w:p>
        </w:tc>
        <w:tc>
          <w:tcPr>
            <w:tcW w:w="1283" w:type="dxa"/>
            <w:shd w:val="clear" w:color="auto" w:fill="auto"/>
            <w:noWrap/>
            <w:vAlign w:val="center"/>
            <w:hideMark/>
          </w:tcPr>
          <w:p w14:paraId="6CB9E93C" w14:textId="77777777" w:rsidR="002576DD" w:rsidRPr="00CD0E79" w:rsidRDefault="002576DD" w:rsidP="00C2321B">
            <w:pPr>
              <w:keepNext/>
              <w:keepLines/>
              <w:jc w:val="right"/>
              <w:rPr>
                <w:rFonts w:ascii="Arial" w:hAnsi="Arial" w:cs="Arial"/>
                <w:color w:val="000000"/>
                <w:lang w:val="en-GB"/>
              </w:rPr>
            </w:pPr>
            <w:r w:rsidRPr="00CD0E79">
              <w:rPr>
                <w:rFonts w:ascii="Arial" w:hAnsi="Arial" w:cs="Arial"/>
                <w:color w:val="000000"/>
                <w:lang w:val="en-GB"/>
              </w:rPr>
              <w:t>78,197,966</w:t>
            </w:r>
          </w:p>
        </w:tc>
        <w:tc>
          <w:tcPr>
            <w:tcW w:w="883" w:type="dxa"/>
            <w:shd w:val="clear" w:color="auto" w:fill="auto"/>
            <w:noWrap/>
            <w:vAlign w:val="center"/>
            <w:hideMark/>
          </w:tcPr>
          <w:p w14:paraId="333590F1" w14:textId="77777777" w:rsidR="002576DD" w:rsidRPr="00CD0E79" w:rsidRDefault="002576DD" w:rsidP="00C2321B">
            <w:pPr>
              <w:keepNext/>
              <w:keepLines/>
              <w:jc w:val="right"/>
              <w:rPr>
                <w:rFonts w:ascii="Arial" w:hAnsi="Arial" w:cs="Arial"/>
                <w:lang w:val="en-GB"/>
              </w:rPr>
            </w:pPr>
            <w:r w:rsidRPr="00CD0E79">
              <w:rPr>
                <w:rFonts w:ascii="Arial" w:hAnsi="Arial" w:cs="Arial"/>
                <w:color w:val="000000"/>
                <w:lang w:val="en-GB"/>
              </w:rPr>
              <w:t>−2.01%</w:t>
            </w:r>
          </w:p>
        </w:tc>
      </w:tr>
      <w:tr w:rsidR="002576DD" w:rsidRPr="00CD0E79" w14:paraId="58B76E29" w14:textId="77777777" w:rsidTr="00DB58D9">
        <w:trPr>
          <w:trHeight w:val="255"/>
          <w:tblHeader/>
          <w:jc w:val="center"/>
        </w:trPr>
        <w:tc>
          <w:tcPr>
            <w:tcW w:w="1175" w:type="dxa"/>
            <w:vAlign w:val="center"/>
          </w:tcPr>
          <w:p w14:paraId="710497F6" w14:textId="77777777" w:rsidR="002576DD" w:rsidRPr="00CD0E79" w:rsidRDefault="002576DD" w:rsidP="00C2321B">
            <w:pPr>
              <w:keepNext/>
              <w:keepLines/>
              <w:jc w:val="center"/>
              <w:rPr>
                <w:rFonts w:ascii="Arial" w:hAnsi="Arial" w:cs="Arial"/>
                <w:color w:val="000000"/>
                <w:lang w:val="en-GB"/>
              </w:rPr>
            </w:pPr>
            <w:r w:rsidRPr="00CD0E79">
              <w:rPr>
                <w:rFonts w:ascii="Arial" w:hAnsi="Arial" w:cs="Arial"/>
                <w:color w:val="000000"/>
                <w:lang w:val="en-GB"/>
              </w:rPr>
              <w:t>2014</w:t>
            </w:r>
          </w:p>
        </w:tc>
        <w:tc>
          <w:tcPr>
            <w:tcW w:w="1283" w:type="dxa"/>
            <w:shd w:val="clear" w:color="auto" w:fill="auto"/>
            <w:noWrap/>
            <w:vAlign w:val="center"/>
            <w:hideMark/>
          </w:tcPr>
          <w:p w14:paraId="5846BD83" w14:textId="77777777" w:rsidR="002576DD" w:rsidRPr="00CD0E79" w:rsidRDefault="002576DD" w:rsidP="00C2321B">
            <w:pPr>
              <w:keepNext/>
              <w:keepLines/>
              <w:jc w:val="right"/>
              <w:rPr>
                <w:rFonts w:ascii="Arial" w:hAnsi="Arial" w:cs="Arial"/>
                <w:color w:val="000000"/>
                <w:lang w:val="en-GB"/>
              </w:rPr>
            </w:pPr>
            <w:r w:rsidRPr="00CD0E79">
              <w:rPr>
                <w:rFonts w:ascii="Arial" w:hAnsi="Arial" w:cs="Arial"/>
                <w:color w:val="000000"/>
                <w:lang w:val="en-GB"/>
              </w:rPr>
              <w:t>78,259,854</w:t>
            </w:r>
          </w:p>
        </w:tc>
        <w:tc>
          <w:tcPr>
            <w:tcW w:w="883" w:type="dxa"/>
            <w:shd w:val="clear" w:color="auto" w:fill="auto"/>
            <w:noWrap/>
            <w:vAlign w:val="center"/>
            <w:hideMark/>
          </w:tcPr>
          <w:p w14:paraId="2CE14240" w14:textId="77777777" w:rsidR="002576DD" w:rsidRPr="00CD0E79" w:rsidRDefault="002576DD" w:rsidP="00C2321B">
            <w:pPr>
              <w:keepNext/>
              <w:keepLines/>
              <w:jc w:val="right"/>
              <w:rPr>
                <w:rFonts w:ascii="Arial" w:hAnsi="Arial" w:cs="Arial"/>
                <w:lang w:val="en-GB"/>
              </w:rPr>
            </w:pPr>
            <w:r w:rsidRPr="00CD0E79">
              <w:rPr>
                <w:rFonts w:ascii="Arial" w:hAnsi="Arial" w:cs="Arial"/>
                <w:color w:val="000000"/>
                <w:lang w:val="en-GB"/>
              </w:rPr>
              <w:t>0.08%</w:t>
            </w:r>
          </w:p>
        </w:tc>
      </w:tr>
      <w:tr w:rsidR="002576DD" w:rsidRPr="00CD0E79" w14:paraId="004B7B9C" w14:textId="77777777" w:rsidTr="00DB58D9">
        <w:trPr>
          <w:trHeight w:val="255"/>
          <w:tblHeader/>
          <w:jc w:val="center"/>
        </w:trPr>
        <w:tc>
          <w:tcPr>
            <w:tcW w:w="1175" w:type="dxa"/>
            <w:vAlign w:val="center"/>
          </w:tcPr>
          <w:p w14:paraId="1009FDBA" w14:textId="77777777" w:rsidR="002576DD" w:rsidRPr="00CD0E79" w:rsidRDefault="002576DD" w:rsidP="00C2321B">
            <w:pPr>
              <w:keepNext/>
              <w:keepLines/>
              <w:jc w:val="center"/>
              <w:rPr>
                <w:rFonts w:ascii="Arial" w:hAnsi="Arial" w:cs="Arial"/>
                <w:color w:val="000000"/>
                <w:lang w:val="en-GB"/>
              </w:rPr>
            </w:pPr>
            <w:r w:rsidRPr="00CD0E79">
              <w:rPr>
                <w:rFonts w:ascii="Arial" w:hAnsi="Arial" w:cs="Arial"/>
                <w:color w:val="000000"/>
                <w:lang w:val="en-GB"/>
              </w:rPr>
              <w:t>2015</w:t>
            </w:r>
          </w:p>
        </w:tc>
        <w:tc>
          <w:tcPr>
            <w:tcW w:w="1283" w:type="dxa"/>
            <w:shd w:val="clear" w:color="auto" w:fill="auto"/>
            <w:noWrap/>
            <w:vAlign w:val="center"/>
            <w:hideMark/>
          </w:tcPr>
          <w:p w14:paraId="6A579273" w14:textId="77777777" w:rsidR="002576DD" w:rsidRPr="00CD0E79" w:rsidRDefault="002576DD" w:rsidP="00C2321B">
            <w:pPr>
              <w:keepNext/>
              <w:keepLines/>
              <w:jc w:val="right"/>
              <w:rPr>
                <w:rFonts w:ascii="Arial" w:hAnsi="Arial" w:cs="Arial"/>
                <w:color w:val="000000"/>
                <w:lang w:val="en-GB"/>
              </w:rPr>
            </w:pPr>
            <w:r w:rsidRPr="00CD0E79">
              <w:rPr>
                <w:rFonts w:ascii="Arial" w:hAnsi="Arial" w:cs="Arial"/>
                <w:color w:val="000000"/>
                <w:lang w:val="en-GB"/>
              </w:rPr>
              <w:t>81,766,876</w:t>
            </w:r>
          </w:p>
        </w:tc>
        <w:tc>
          <w:tcPr>
            <w:tcW w:w="883" w:type="dxa"/>
            <w:shd w:val="clear" w:color="auto" w:fill="auto"/>
            <w:noWrap/>
            <w:vAlign w:val="center"/>
            <w:hideMark/>
          </w:tcPr>
          <w:p w14:paraId="3C9A235D" w14:textId="77777777" w:rsidR="002576DD" w:rsidRPr="00CD0E79" w:rsidRDefault="002576DD" w:rsidP="00C2321B">
            <w:pPr>
              <w:keepNext/>
              <w:keepLines/>
              <w:jc w:val="right"/>
              <w:rPr>
                <w:rFonts w:ascii="Arial" w:hAnsi="Arial" w:cs="Arial"/>
                <w:lang w:val="en-GB"/>
              </w:rPr>
            </w:pPr>
            <w:r w:rsidRPr="00CD0E79">
              <w:rPr>
                <w:rFonts w:ascii="Arial" w:hAnsi="Arial" w:cs="Arial"/>
                <w:color w:val="000000"/>
                <w:lang w:val="en-GB"/>
              </w:rPr>
              <w:t>4.48%</w:t>
            </w:r>
          </w:p>
        </w:tc>
      </w:tr>
      <w:tr w:rsidR="002576DD" w:rsidRPr="00CD0E79" w14:paraId="68C83AC4" w14:textId="77777777" w:rsidTr="00DB58D9">
        <w:trPr>
          <w:trHeight w:val="255"/>
          <w:tblHeader/>
          <w:jc w:val="center"/>
        </w:trPr>
        <w:tc>
          <w:tcPr>
            <w:tcW w:w="1175" w:type="dxa"/>
            <w:vAlign w:val="center"/>
          </w:tcPr>
          <w:p w14:paraId="6AD1B476" w14:textId="77777777" w:rsidR="002576DD" w:rsidRPr="00CD0E79" w:rsidRDefault="002576DD" w:rsidP="00C2321B">
            <w:pPr>
              <w:keepNext/>
              <w:keepLines/>
              <w:jc w:val="center"/>
              <w:rPr>
                <w:rFonts w:ascii="Arial" w:hAnsi="Arial" w:cs="Arial"/>
                <w:color w:val="000000"/>
                <w:lang w:val="en-GB"/>
              </w:rPr>
            </w:pPr>
            <w:r w:rsidRPr="00CD0E79">
              <w:rPr>
                <w:rFonts w:ascii="Arial" w:hAnsi="Arial" w:cs="Arial"/>
                <w:color w:val="000000"/>
                <w:lang w:val="en-GB"/>
              </w:rPr>
              <w:t>2016</w:t>
            </w:r>
          </w:p>
        </w:tc>
        <w:tc>
          <w:tcPr>
            <w:tcW w:w="1283" w:type="dxa"/>
            <w:shd w:val="clear" w:color="auto" w:fill="auto"/>
            <w:noWrap/>
            <w:vAlign w:val="center"/>
            <w:hideMark/>
          </w:tcPr>
          <w:p w14:paraId="0A04F3D4" w14:textId="77777777" w:rsidR="002576DD" w:rsidRPr="00CD0E79" w:rsidRDefault="002576DD" w:rsidP="00C2321B">
            <w:pPr>
              <w:keepNext/>
              <w:keepLines/>
              <w:jc w:val="right"/>
              <w:rPr>
                <w:rFonts w:ascii="Arial" w:hAnsi="Arial" w:cs="Arial"/>
                <w:color w:val="000000"/>
                <w:lang w:val="en-GB"/>
              </w:rPr>
            </w:pPr>
            <w:r w:rsidRPr="00CD0E79">
              <w:rPr>
                <w:rFonts w:ascii="Arial" w:hAnsi="Arial" w:cs="Arial"/>
                <w:color w:val="000000"/>
                <w:lang w:val="en-GB"/>
              </w:rPr>
              <w:t>84,704,919</w:t>
            </w:r>
          </w:p>
        </w:tc>
        <w:tc>
          <w:tcPr>
            <w:tcW w:w="883" w:type="dxa"/>
            <w:shd w:val="clear" w:color="auto" w:fill="auto"/>
            <w:noWrap/>
            <w:vAlign w:val="center"/>
            <w:hideMark/>
          </w:tcPr>
          <w:p w14:paraId="7B0ACF86" w14:textId="77777777" w:rsidR="002576DD" w:rsidRPr="00CD0E79" w:rsidRDefault="002576DD" w:rsidP="00C2321B">
            <w:pPr>
              <w:keepNext/>
              <w:keepLines/>
              <w:jc w:val="right"/>
              <w:rPr>
                <w:rFonts w:ascii="Arial" w:hAnsi="Arial" w:cs="Arial"/>
                <w:lang w:val="en-GB"/>
              </w:rPr>
            </w:pPr>
            <w:r w:rsidRPr="00CD0E79">
              <w:rPr>
                <w:rFonts w:ascii="Arial" w:hAnsi="Arial" w:cs="Arial"/>
                <w:color w:val="000000"/>
                <w:lang w:val="en-GB"/>
              </w:rPr>
              <w:t>3.59%</w:t>
            </w:r>
          </w:p>
        </w:tc>
      </w:tr>
    </w:tbl>
    <w:p w14:paraId="64837167" w14:textId="77777777" w:rsidR="002576DD" w:rsidRPr="00CD0E79" w:rsidRDefault="002576DD" w:rsidP="002576DD">
      <w:pPr>
        <w:pStyle w:val="Footnote"/>
        <w:keepNext/>
        <w:keepLines/>
        <w:rPr>
          <w:lang w:val="en-GB"/>
        </w:rPr>
      </w:pPr>
    </w:p>
    <w:p w14:paraId="21A27475" w14:textId="4C4A298E" w:rsidR="002576DD" w:rsidRPr="00CD0E79" w:rsidRDefault="002576DD" w:rsidP="002576DD">
      <w:pPr>
        <w:pStyle w:val="Footnote"/>
        <w:keepNext/>
        <w:keepLines/>
        <w:rPr>
          <w:lang w:val="en-GB"/>
        </w:rPr>
      </w:pPr>
      <w:r w:rsidRPr="00CD0E79">
        <w:rPr>
          <w:lang w:val="en-GB"/>
        </w:rPr>
        <w:t xml:space="preserve">Source: “Milk </w:t>
      </w:r>
      <w:r w:rsidR="00526A14" w:rsidRPr="00CD0E79">
        <w:rPr>
          <w:lang w:val="en-GB"/>
        </w:rPr>
        <w:t>V</w:t>
      </w:r>
      <w:r w:rsidRPr="00CD0E79">
        <w:rPr>
          <w:lang w:val="en-GB"/>
        </w:rPr>
        <w:t xml:space="preserve">olumes and </w:t>
      </w:r>
      <w:r w:rsidR="00526A14" w:rsidRPr="00CD0E79">
        <w:rPr>
          <w:lang w:val="en-GB"/>
        </w:rPr>
        <w:t>C</w:t>
      </w:r>
      <w:r w:rsidRPr="00CD0E79">
        <w:rPr>
          <w:lang w:val="en-GB"/>
        </w:rPr>
        <w:t xml:space="preserve">omponents,” </w:t>
      </w:r>
      <w:r w:rsidR="00526A14" w:rsidRPr="00CD0E79">
        <w:rPr>
          <w:lang w:val="en-GB"/>
        </w:rPr>
        <w:t xml:space="preserve">Canadian Dairy Information Centre, </w:t>
      </w:r>
      <w:r w:rsidRPr="00CD0E79">
        <w:rPr>
          <w:lang w:val="en-GB"/>
        </w:rPr>
        <w:t>Government of Canada, February, 23, 2018, accessed Oct 10, 2018, www.dairyinfo.gc.ca/index_e.php?s1=dff-fcil&amp;s2=msp-lpl&amp;s3=hmp-phl&amp;page=histprod.</w:t>
      </w:r>
    </w:p>
    <w:p w14:paraId="705A5F87" w14:textId="77777777" w:rsidR="002576DD" w:rsidRPr="00CD0E79" w:rsidRDefault="002576DD" w:rsidP="002576DD">
      <w:pPr>
        <w:keepNext/>
        <w:keepLines/>
        <w:rPr>
          <w:b/>
          <w:lang w:val="en-GB"/>
        </w:rPr>
      </w:pPr>
    </w:p>
    <w:p w14:paraId="560FB2A1" w14:textId="77777777" w:rsidR="002576DD" w:rsidRPr="00CD0E79" w:rsidRDefault="002576DD" w:rsidP="002576DD">
      <w:pPr>
        <w:keepNext/>
        <w:keepLines/>
        <w:rPr>
          <w:b/>
          <w:lang w:val="en-GB"/>
        </w:rPr>
      </w:pPr>
    </w:p>
    <w:p w14:paraId="3344BC9B" w14:textId="77777777" w:rsidR="002576DD" w:rsidRPr="00CD0E79" w:rsidRDefault="002576DD" w:rsidP="002576DD">
      <w:pPr>
        <w:pStyle w:val="ExhibitHeading"/>
        <w:rPr>
          <w:lang w:val="en-GB"/>
        </w:rPr>
      </w:pPr>
      <w:r w:rsidRPr="00CD0E79">
        <w:rPr>
          <w:lang w:val="en-GB"/>
        </w:rPr>
        <w:t xml:space="preserve">Exhibit 5: 2016 Canadian Exports of Dairy Products by Region </w:t>
      </w:r>
    </w:p>
    <w:p w14:paraId="6E08653B" w14:textId="77777777" w:rsidR="002576DD" w:rsidRPr="00CD0E79" w:rsidRDefault="002576DD" w:rsidP="002576DD">
      <w:pPr>
        <w:keepNext/>
        <w:keepLines/>
        <w:jc w:val="center"/>
        <w:rPr>
          <w:rFonts w:ascii="Arial" w:hAnsi="Arial" w:cs="Arial"/>
          <w:b/>
          <w:lang w:val="en-GB"/>
        </w:rPr>
      </w:pPr>
    </w:p>
    <w:tbl>
      <w:tblPr>
        <w:tblW w:w="7594" w:type="dxa"/>
        <w:jc w:val="center"/>
        <w:tblLook w:val="04A0" w:firstRow="1" w:lastRow="0" w:firstColumn="1" w:lastColumn="0" w:noHBand="0" w:noVBand="1"/>
        <w:tblCaption w:val="EXHIBIT 5"/>
        <w:tblDescription w:val="2016 CANADIAN EXPORTS OF DAIRY PRODUCTS BY REGION "/>
      </w:tblPr>
      <w:tblGrid>
        <w:gridCol w:w="3306"/>
        <w:gridCol w:w="2569"/>
        <w:gridCol w:w="1719"/>
      </w:tblGrid>
      <w:tr w:rsidR="002576DD" w:rsidRPr="00CD0E79" w14:paraId="5160DE59" w14:textId="77777777" w:rsidTr="002F13AB">
        <w:trPr>
          <w:trHeight w:val="300"/>
          <w:jc w:val="center"/>
        </w:trPr>
        <w:tc>
          <w:tcPr>
            <w:tcW w:w="33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45249" w14:textId="77777777" w:rsidR="002576DD" w:rsidRPr="00CD0E79" w:rsidRDefault="002576DD" w:rsidP="00C2321B">
            <w:pPr>
              <w:jc w:val="center"/>
              <w:rPr>
                <w:rFonts w:ascii="Arial" w:hAnsi="Arial" w:cs="Arial"/>
                <w:b/>
                <w:color w:val="000000"/>
                <w:lang w:val="en-GB"/>
              </w:rPr>
            </w:pPr>
            <w:bookmarkStart w:id="24" w:name="_GoBack"/>
            <w:r w:rsidRPr="00CD0E79">
              <w:rPr>
                <w:rFonts w:ascii="Arial" w:hAnsi="Arial" w:cs="Arial"/>
                <w:b/>
                <w:color w:val="000000"/>
                <w:lang w:val="en-GB"/>
              </w:rPr>
              <w:t>Countries</w:t>
            </w:r>
          </w:p>
        </w:tc>
        <w:tc>
          <w:tcPr>
            <w:tcW w:w="2569" w:type="dxa"/>
            <w:tcBorders>
              <w:top w:val="single" w:sz="4" w:space="0" w:color="auto"/>
              <w:left w:val="nil"/>
              <w:bottom w:val="single" w:sz="4" w:space="0" w:color="auto"/>
              <w:right w:val="single" w:sz="4" w:space="0" w:color="auto"/>
            </w:tcBorders>
            <w:shd w:val="clear" w:color="auto" w:fill="auto"/>
            <w:noWrap/>
            <w:vAlign w:val="bottom"/>
            <w:hideMark/>
          </w:tcPr>
          <w:p w14:paraId="13D59B68" w14:textId="77777777" w:rsidR="002576DD" w:rsidRPr="00CD0E79" w:rsidRDefault="002576DD" w:rsidP="00C2321B">
            <w:pPr>
              <w:jc w:val="center"/>
              <w:rPr>
                <w:rFonts w:ascii="Arial" w:hAnsi="Arial" w:cs="Arial"/>
                <w:b/>
                <w:color w:val="000000"/>
                <w:lang w:val="en-GB"/>
              </w:rPr>
            </w:pPr>
            <w:r w:rsidRPr="00CD0E79">
              <w:rPr>
                <w:rFonts w:ascii="Arial" w:hAnsi="Arial" w:cs="Arial"/>
                <w:b/>
                <w:color w:val="000000"/>
                <w:lang w:val="en-GB"/>
              </w:rPr>
              <w:t xml:space="preserve">Value </w:t>
            </w:r>
          </w:p>
          <w:p w14:paraId="04B79304" w14:textId="5429120A" w:rsidR="002576DD" w:rsidRPr="00CD0E79" w:rsidRDefault="002576DD" w:rsidP="00C2321B">
            <w:pPr>
              <w:jc w:val="center"/>
              <w:rPr>
                <w:rFonts w:ascii="Arial" w:hAnsi="Arial" w:cs="Arial"/>
                <w:b/>
                <w:color w:val="000000"/>
                <w:lang w:val="en-GB"/>
              </w:rPr>
            </w:pPr>
            <w:r w:rsidRPr="00CD0E79">
              <w:rPr>
                <w:rFonts w:ascii="Arial" w:hAnsi="Arial" w:cs="Arial"/>
                <w:b/>
                <w:color w:val="000000"/>
                <w:lang w:val="en-GB"/>
              </w:rPr>
              <w:t>(</w:t>
            </w:r>
            <w:r w:rsidR="00ED0B00">
              <w:rPr>
                <w:rFonts w:ascii="Arial" w:hAnsi="Arial" w:cs="Arial"/>
                <w:b/>
                <w:color w:val="000000"/>
                <w:lang w:val="en-GB"/>
              </w:rPr>
              <w:t>in CA$</w:t>
            </w:r>
            <w:r w:rsidRPr="00CD0E79">
              <w:rPr>
                <w:rFonts w:ascii="Arial" w:hAnsi="Arial" w:cs="Arial"/>
                <w:b/>
                <w:color w:val="000000"/>
                <w:lang w:val="en-GB"/>
              </w:rPr>
              <w:t>)</w:t>
            </w:r>
          </w:p>
        </w:tc>
        <w:tc>
          <w:tcPr>
            <w:tcW w:w="1719" w:type="dxa"/>
            <w:tcBorders>
              <w:top w:val="single" w:sz="4" w:space="0" w:color="auto"/>
              <w:left w:val="nil"/>
              <w:bottom w:val="single" w:sz="4" w:space="0" w:color="auto"/>
              <w:right w:val="single" w:sz="4" w:space="0" w:color="auto"/>
            </w:tcBorders>
            <w:shd w:val="clear" w:color="auto" w:fill="auto"/>
            <w:noWrap/>
            <w:vAlign w:val="bottom"/>
            <w:hideMark/>
          </w:tcPr>
          <w:p w14:paraId="118FB6B4" w14:textId="77777777" w:rsidR="002576DD" w:rsidRPr="00CD0E79" w:rsidRDefault="002576DD" w:rsidP="00C2321B">
            <w:pPr>
              <w:jc w:val="center"/>
              <w:rPr>
                <w:rFonts w:ascii="Arial" w:hAnsi="Arial" w:cs="Arial"/>
                <w:b/>
                <w:color w:val="000000"/>
                <w:lang w:val="en-GB"/>
              </w:rPr>
            </w:pPr>
            <w:r w:rsidRPr="00CD0E79">
              <w:rPr>
                <w:rFonts w:ascii="Arial" w:hAnsi="Arial" w:cs="Arial"/>
                <w:b/>
                <w:color w:val="000000"/>
                <w:lang w:val="en-GB"/>
              </w:rPr>
              <w:t>Percentage</w:t>
            </w:r>
          </w:p>
        </w:tc>
      </w:tr>
      <w:tr w:rsidR="002576DD" w:rsidRPr="00CD0E79" w14:paraId="5813FBE1" w14:textId="77777777" w:rsidTr="002F13AB">
        <w:trPr>
          <w:trHeight w:val="300"/>
          <w:jc w:val="center"/>
        </w:trPr>
        <w:tc>
          <w:tcPr>
            <w:tcW w:w="3306" w:type="dxa"/>
            <w:tcBorders>
              <w:top w:val="nil"/>
              <w:left w:val="single" w:sz="4" w:space="0" w:color="auto"/>
              <w:bottom w:val="single" w:sz="4" w:space="0" w:color="auto"/>
              <w:right w:val="single" w:sz="4" w:space="0" w:color="auto"/>
            </w:tcBorders>
            <w:shd w:val="clear" w:color="auto" w:fill="auto"/>
            <w:noWrap/>
            <w:hideMark/>
          </w:tcPr>
          <w:p w14:paraId="0C3ED6B3" w14:textId="77777777" w:rsidR="002576DD" w:rsidRPr="00CD0E79" w:rsidRDefault="002576DD" w:rsidP="00831E43">
            <w:pPr>
              <w:keepNext/>
              <w:keepLines/>
              <w:rPr>
                <w:rFonts w:ascii="Arial" w:hAnsi="Arial" w:cs="Arial"/>
                <w:color w:val="000000"/>
                <w:lang w:val="en-GB"/>
              </w:rPr>
            </w:pPr>
            <w:r w:rsidRPr="00CD0E79">
              <w:rPr>
                <w:rFonts w:ascii="Arial" w:hAnsi="Arial" w:cs="Arial"/>
                <w:color w:val="000000"/>
                <w:lang w:val="en-GB"/>
              </w:rPr>
              <w:t>North America</w:t>
            </w:r>
          </w:p>
        </w:tc>
        <w:tc>
          <w:tcPr>
            <w:tcW w:w="2569" w:type="dxa"/>
            <w:tcBorders>
              <w:top w:val="nil"/>
              <w:left w:val="nil"/>
              <w:bottom w:val="single" w:sz="4" w:space="0" w:color="auto"/>
              <w:right w:val="single" w:sz="4" w:space="0" w:color="auto"/>
            </w:tcBorders>
            <w:shd w:val="clear" w:color="auto" w:fill="auto"/>
            <w:noWrap/>
            <w:hideMark/>
          </w:tcPr>
          <w:p w14:paraId="61BF46C0" w14:textId="77777777" w:rsidR="002576DD" w:rsidRPr="00CD0E79" w:rsidRDefault="002576DD" w:rsidP="00831E43">
            <w:pPr>
              <w:keepNext/>
              <w:keepLines/>
              <w:tabs>
                <w:tab w:val="decimal" w:pos="1687"/>
              </w:tabs>
              <w:rPr>
                <w:rFonts w:ascii="Arial" w:hAnsi="Arial" w:cs="Arial"/>
                <w:color w:val="000000"/>
                <w:lang w:val="en-GB"/>
              </w:rPr>
            </w:pPr>
            <w:r w:rsidRPr="00CD0E79">
              <w:rPr>
                <w:rFonts w:ascii="Arial" w:hAnsi="Arial" w:cs="Arial"/>
                <w:color w:val="000000"/>
                <w:lang w:val="en-GB"/>
              </w:rPr>
              <w:t>121,648,585</w:t>
            </w:r>
          </w:p>
        </w:tc>
        <w:tc>
          <w:tcPr>
            <w:tcW w:w="1719" w:type="dxa"/>
            <w:tcBorders>
              <w:top w:val="nil"/>
              <w:left w:val="nil"/>
              <w:bottom w:val="single" w:sz="4" w:space="0" w:color="auto"/>
              <w:right w:val="single" w:sz="4" w:space="0" w:color="auto"/>
            </w:tcBorders>
            <w:shd w:val="clear" w:color="auto" w:fill="auto"/>
            <w:noWrap/>
            <w:vAlign w:val="bottom"/>
            <w:hideMark/>
          </w:tcPr>
          <w:p w14:paraId="020A16A9" w14:textId="77777777" w:rsidR="002576DD" w:rsidRPr="00CD0E79" w:rsidRDefault="002576DD" w:rsidP="00831E43">
            <w:pPr>
              <w:keepNext/>
              <w:keepLines/>
              <w:tabs>
                <w:tab w:val="decimal" w:pos="820"/>
              </w:tabs>
              <w:rPr>
                <w:rFonts w:ascii="Arial" w:hAnsi="Arial" w:cs="Arial"/>
                <w:color w:val="000000"/>
                <w:lang w:val="en-GB"/>
              </w:rPr>
            </w:pPr>
            <w:r w:rsidRPr="00CD0E79">
              <w:rPr>
                <w:rFonts w:ascii="Arial" w:hAnsi="Arial" w:cs="Arial"/>
                <w:color w:val="000000"/>
                <w:lang w:val="en-GB"/>
              </w:rPr>
              <w:t>51.70%</w:t>
            </w:r>
          </w:p>
        </w:tc>
      </w:tr>
      <w:tr w:rsidR="002576DD" w:rsidRPr="00CD0E79" w14:paraId="2D0E09E9" w14:textId="77777777" w:rsidTr="002F13AB">
        <w:trPr>
          <w:trHeight w:val="300"/>
          <w:jc w:val="center"/>
        </w:trPr>
        <w:tc>
          <w:tcPr>
            <w:tcW w:w="3306" w:type="dxa"/>
            <w:tcBorders>
              <w:top w:val="nil"/>
              <w:left w:val="single" w:sz="4" w:space="0" w:color="auto"/>
              <w:bottom w:val="single" w:sz="4" w:space="0" w:color="auto"/>
              <w:right w:val="single" w:sz="4" w:space="0" w:color="auto"/>
            </w:tcBorders>
            <w:shd w:val="clear" w:color="auto" w:fill="auto"/>
            <w:noWrap/>
            <w:hideMark/>
          </w:tcPr>
          <w:p w14:paraId="11B2C035" w14:textId="46A5E139" w:rsidR="002576DD" w:rsidRPr="00CD0E79" w:rsidRDefault="002576DD" w:rsidP="00831E43">
            <w:pPr>
              <w:keepNext/>
              <w:keepLines/>
              <w:rPr>
                <w:rFonts w:ascii="Arial" w:hAnsi="Arial" w:cs="Arial"/>
                <w:color w:val="000000"/>
                <w:lang w:val="en-GB"/>
              </w:rPr>
            </w:pPr>
            <w:r w:rsidRPr="00CD0E79">
              <w:rPr>
                <w:rFonts w:ascii="Arial" w:hAnsi="Arial" w:cs="Arial"/>
                <w:color w:val="000000"/>
                <w:lang w:val="en-GB"/>
              </w:rPr>
              <w:t xml:space="preserve">Central America </w:t>
            </w:r>
            <w:r w:rsidR="00ED0B00">
              <w:rPr>
                <w:rFonts w:ascii="Arial" w:hAnsi="Arial" w:cs="Arial"/>
                <w:color w:val="000000"/>
                <w:lang w:val="en-GB"/>
              </w:rPr>
              <w:t>and</w:t>
            </w:r>
            <w:r w:rsidRPr="00CD0E79">
              <w:rPr>
                <w:rFonts w:ascii="Arial" w:hAnsi="Arial" w:cs="Arial"/>
                <w:color w:val="000000"/>
                <w:lang w:val="en-GB"/>
              </w:rPr>
              <w:t xml:space="preserve"> West Indies</w:t>
            </w:r>
          </w:p>
        </w:tc>
        <w:tc>
          <w:tcPr>
            <w:tcW w:w="2569" w:type="dxa"/>
            <w:tcBorders>
              <w:top w:val="nil"/>
              <w:left w:val="nil"/>
              <w:bottom w:val="single" w:sz="4" w:space="0" w:color="auto"/>
              <w:right w:val="single" w:sz="4" w:space="0" w:color="auto"/>
            </w:tcBorders>
            <w:shd w:val="clear" w:color="auto" w:fill="auto"/>
            <w:noWrap/>
            <w:hideMark/>
          </w:tcPr>
          <w:p w14:paraId="11847717" w14:textId="77777777" w:rsidR="002576DD" w:rsidRPr="00CD0E79" w:rsidRDefault="002576DD" w:rsidP="00831E43">
            <w:pPr>
              <w:keepNext/>
              <w:keepLines/>
              <w:tabs>
                <w:tab w:val="decimal" w:pos="1687"/>
              </w:tabs>
              <w:rPr>
                <w:rFonts w:ascii="Arial" w:hAnsi="Arial" w:cs="Arial"/>
                <w:color w:val="000000"/>
                <w:lang w:val="en-GB"/>
              </w:rPr>
            </w:pPr>
            <w:r w:rsidRPr="00CD0E79">
              <w:rPr>
                <w:rFonts w:ascii="Arial" w:hAnsi="Arial" w:cs="Arial"/>
                <w:color w:val="000000"/>
                <w:lang w:val="en-GB"/>
              </w:rPr>
              <w:t>10,759,835</w:t>
            </w:r>
          </w:p>
        </w:tc>
        <w:tc>
          <w:tcPr>
            <w:tcW w:w="1719" w:type="dxa"/>
            <w:tcBorders>
              <w:top w:val="nil"/>
              <w:left w:val="nil"/>
              <w:bottom w:val="single" w:sz="4" w:space="0" w:color="auto"/>
              <w:right w:val="single" w:sz="4" w:space="0" w:color="auto"/>
            </w:tcBorders>
            <w:shd w:val="clear" w:color="auto" w:fill="auto"/>
            <w:noWrap/>
            <w:vAlign w:val="bottom"/>
            <w:hideMark/>
          </w:tcPr>
          <w:p w14:paraId="21D96BEC" w14:textId="77777777" w:rsidR="002576DD" w:rsidRPr="00CD0E79" w:rsidRDefault="002576DD" w:rsidP="00831E43">
            <w:pPr>
              <w:keepNext/>
              <w:keepLines/>
              <w:tabs>
                <w:tab w:val="decimal" w:pos="820"/>
              </w:tabs>
              <w:rPr>
                <w:rFonts w:ascii="Arial" w:hAnsi="Arial" w:cs="Arial"/>
                <w:color w:val="000000"/>
                <w:lang w:val="en-GB"/>
              </w:rPr>
            </w:pPr>
            <w:r w:rsidRPr="00CD0E79">
              <w:rPr>
                <w:rFonts w:ascii="Arial" w:hAnsi="Arial" w:cs="Arial"/>
                <w:color w:val="000000"/>
                <w:lang w:val="en-GB"/>
              </w:rPr>
              <w:t>4.57%</w:t>
            </w:r>
          </w:p>
        </w:tc>
      </w:tr>
      <w:tr w:rsidR="002576DD" w:rsidRPr="00CD0E79" w14:paraId="179BB45A" w14:textId="77777777" w:rsidTr="002F13AB">
        <w:trPr>
          <w:trHeight w:val="300"/>
          <w:jc w:val="center"/>
        </w:trPr>
        <w:tc>
          <w:tcPr>
            <w:tcW w:w="3306" w:type="dxa"/>
            <w:tcBorders>
              <w:top w:val="nil"/>
              <w:left w:val="single" w:sz="4" w:space="0" w:color="auto"/>
              <w:bottom w:val="single" w:sz="4" w:space="0" w:color="auto"/>
              <w:right w:val="single" w:sz="4" w:space="0" w:color="auto"/>
            </w:tcBorders>
            <w:shd w:val="clear" w:color="auto" w:fill="auto"/>
            <w:noWrap/>
            <w:hideMark/>
          </w:tcPr>
          <w:p w14:paraId="0E9F0CEF" w14:textId="77777777" w:rsidR="002576DD" w:rsidRPr="00CD0E79" w:rsidRDefault="002576DD" w:rsidP="00831E43">
            <w:pPr>
              <w:keepNext/>
              <w:keepLines/>
              <w:rPr>
                <w:rFonts w:ascii="Arial" w:hAnsi="Arial" w:cs="Arial"/>
                <w:color w:val="000000"/>
                <w:lang w:val="en-GB"/>
              </w:rPr>
            </w:pPr>
            <w:r w:rsidRPr="00CD0E79">
              <w:rPr>
                <w:rFonts w:ascii="Arial" w:hAnsi="Arial" w:cs="Arial"/>
                <w:color w:val="000000"/>
                <w:lang w:val="en-GB"/>
              </w:rPr>
              <w:t>South America</w:t>
            </w:r>
          </w:p>
        </w:tc>
        <w:tc>
          <w:tcPr>
            <w:tcW w:w="2569" w:type="dxa"/>
            <w:tcBorders>
              <w:top w:val="nil"/>
              <w:left w:val="nil"/>
              <w:bottom w:val="single" w:sz="4" w:space="0" w:color="auto"/>
              <w:right w:val="single" w:sz="4" w:space="0" w:color="auto"/>
            </w:tcBorders>
            <w:shd w:val="clear" w:color="auto" w:fill="auto"/>
            <w:noWrap/>
            <w:hideMark/>
          </w:tcPr>
          <w:p w14:paraId="06BFE5C6" w14:textId="77777777" w:rsidR="002576DD" w:rsidRPr="00CD0E79" w:rsidRDefault="002576DD" w:rsidP="00831E43">
            <w:pPr>
              <w:keepNext/>
              <w:keepLines/>
              <w:tabs>
                <w:tab w:val="decimal" w:pos="1687"/>
              </w:tabs>
              <w:rPr>
                <w:rFonts w:ascii="Arial" w:hAnsi="Arial" w:cs="Arial"/>
                <w:color w:val="000000"/>
                <w:lang w:val="en-GB"/>
              </w:rPr>
            </w:pPr>
            <w:r w:rsidRPr="00CD0E79">
              <w:rPr>
                <w:rFonts w:ascii="Arial" w:hAnsi="Arial" w:cs="Arial"/>
                <w:color w:val="000000"/>
                <w:lang w:val="en-GB"/>
              </w:rPr>
              <w:t>10,347,487</w:t>
            </w:r>
          </w:p>
        </w:tc>
        <w:tc>
          <w:tcPr>
            <w:tcW w:w="1719" w:type="dxa"/>
            <w:tcBorders>
              <w:top w:val="nil"/>
              <w:left w:val="nil"/>
              <w:bottom w:val="single" w:sz="4" w:space="0" w:color="auto"/>
              <w:right w:val="single" w:sz="4" w:space="0" w:color="auto"/>
            </w:tcBorders>
            <w:shd w:val="clear" w:color="auto" w:fill="auto"/>
            <w:noWrap/>
            <w:vAlign w:val="bottom"/>
            <w:hideMark/>
          </w:tcPr>
          <w:p w14:paraId="0ADE9235" w14:textId="77777777" w:rsidR="002576DD" w:rsidRPr="00CD0E79" w:rsidRDefault="002576DD" w:rsidP="00831E43">
            <w:pPr>
              <w:keepNext/>
              <w:keepLines/>
              <w:tabs>
                <w:tab w:val="decimal" w:pos="820"/>
              </w:tabs>
              <w:rPr>
                <w:rFonts w:ascii="Arial" w:hAnsi="Arial" w:cs="Arial"/>
                <w:color w:val="000000"/>
                <w:lang w:val="en-GB"/>
              </w:rPr>
            </w:pPr>
            <w:r w:rsidRPr="00CD0E79">
              <w:rPr>
                <w:rFonts w:ascii="Arial" w:hAnsi="Arial" w:cs="Arial"/>
                <w:color w:val="000000"/>
                <w:lang w:val="en-GB"/>
              </w:rPr>
              <w:t>4.40%</w:t>
            </w:r>
          </w:p>
        </w:tc>
      </w:tr>
      <w:tr w:rsidR="002576DD" w:rsidRPr="00CD0E79" w14:paraId="37BA4B0B" w14:textId="77777777" w:rsidTr="002F13AB">
        <w:trPr>
          <w:trHeight w:val="300"/>
          <w:jc w:val="center"/>
        </w:trPr>
        <w:tc>
          <w:tcPr>
            <w:tcW w:w="3306" w:type="dxa"/>
            <w:tcBorders>
              <w:top w:val="nil"/>
              <w:left w:val="single" w:sz="4" w:space="0" w:color="auto"/>
              <w:bottom w:val="single" w:sz="4" w:space="0" w:color="auto"/>
              <w:right w:val="single" w:sz="4" w:space="0" w:color="auto"/>
            </w:tcBorders>
            <w:shd w:val="clear" w:color="auto" w:fill="auto"/>
            <w:noWrap/>
            <w:hideMark/>
          </w:tcPr>
          <w:p w14:paraId="4B62A3E8" w14:textId="77777777" w:rsidR="002576DD" w:rsidRPr="00CD0E79" w:rsidRDefault="002576DD" w:rsidP="00831E43">
            <w:pPr>
              <w:keepNext/>
              <w:keepLines/>
              <w:rPr>
                <w:rFonts w:ascii="Arial" w:hAnsi="Arial" w:cs="Arial"/>
                <w:color w:val="000000"/>
                <w:lang w:val="en-GB"/>
              </w:rPr>
            </w:pPr>
            <w:r w:rsidRPr="00CD0E79">
              <w:rPr>
                <w:rFonts w:ascii="Arial" w:hAnsi="Arial" w:cs="Arial"/>
                <w:color w:val="000000"/>
                <w:lang w:val="en-GB"/>
              </w:rPr>
              <w:t>European Union</w:t>
            </w:r>
          </w:p>
        </w:tc>
        <w:tc>
          <w:tcPr>
            <w:tcW w:w="2569" w:type="dxa"/>
            <w:tcBorders>
              <w:top w:val="nil"/>
              <w:left w:val="nil"/>
              <w:bottom w:val="single" w:sz="4" w:space="0" w:color="auto"/>
              <w:right w:val="single" w:sz="4" w:space="0" w:color="auto"/>
            </w:tcBorders>
            <w:shd w:val="clear" w:color="auto" w:fill="auto"/>
            <w:noWrap/>
            <w:hideMark/>
          </w:tcPr>
          <w:p w14:paraId="2236D280" w14:textId="77777777" w:rsidR="002576DD" w:rsidRPr="00CD0E79" w:rsidRDefault="002576DD" w:rsidP="00831E43">
            <w:pPr>
              <w:keepNext/>
              <w:keepLines/>
              <w:tabs>
                <w:tab w:val="decimal" w:pos="1687"/>
              </w:tabs>
              <w:rPr>
                <w:rFonts w:ascii="Arial" w:hAnsi="Arial" w:cs="Arial"/>
                <w:color w:val="000000"/>
                <w:lang w:val="en-GB"/>
              </w:rPr>
            </w:pPr>
            <w:r w:rsidRPr="00CD0E79">
              <w:rPr>
                <w:rFonts w:ascii="Arial" w:hAnsi="Arial" w:cs="Arial"/>
                <w:color w:val="000000"/>
                <w:lang w:val="en-GB"/>
              </w:rPr>
              <w:t>2,723,820</w:t>
            </w:r>
          </w:p>
        </w:tc>
        <w:tc>
          <w:tcPr>
            <w:tcW w:w="1719" w:type="dxa"/>
            <w:tcBorders>
              <w:top w:val="nil"/>
              <w:left w:val="nil"/>
              <w:bottom w:val="single" w:sz="4" w:space="0" w:color="auto"/>
              <w:right w:val="single" w:sz="4" w:space="0" w:color="auto"/>
            </w:tcBorders>
            <w:shd w:val="clear" w:color="auto" w:fill="auto"/>
            <w:noWrap/>
            <w:vAlign w:val="bottom"/>
            <w:hideMark/>
          </w:tcPr>
          <w:p w14:paraId="2C363C76" w14:textId="77777777" w:rsidR="002576DD" w:rsidRPr="00CD0E79" w:rsidRDefault="002576DD" w:rsidP="00831E43">
            <w:pPr>
              <w:keepNext/>
              <w:keepLines/>
              <w:tabs>
                <w:tab w:val="decimal" w:pos="820"/>
              </w:tabs>
              <w:rPr>
                <w:rFonts w:ascii="Arial" w:hAnsi="Arial" w:cs="Arial"/>
                <w:color w:val="000000"/>
                <w:lang w:val="en-GB"/>
              </w:rPr>
            </w:pPr>
            <w:r w:rsidRPr="00CD0E79">
              <w:rPr>
                <w:rFonts w:ascii="Arial" w:hAnsi="Arial" w:cs="Arial"/>
                <w:color w:val="000000"/>
                <w:lang w:val="en-GB"/>
              </w:rPr>
              <w:t>1.16%</w:t>
            </w:r>
          </w:p>
        </w:tc>
      </w:tr>
      <w:tr w:rsidR="002576DD" w:rsidRPr="00CD0E79" w14:paraId="299BCE55" w14:textId="77777777" w:rsidTr="002F13AB">
        <w:trPr>
          <w:trHeight w:val="300"/>
          <w:jc w:val="center"/>
        </w:trPr>
        <w:tc>
          <w:tcPr>
            <w:tcW w:w="3306" w:type="dxa"/>
            <w:tcBorders>
              <w:top w:val="nil"/>
              <w:left w:val="single" w:sz="4" w:space="0" w:color="auto"/>
              <w:bottom w:val="single" w:sz="4" w:space="0" w:color="auto"/>
              <w:right w:val="single" w:sz="4" w:space="0" w:color="auto"/>
            </w:tcBorders>
            <w:shd w:val="clear" w:color="auto" w:fill="auto"/>
            <w:noWrap/>
            <w:hideMark/>
          </w:tcPr>
          <w:p w14:paraId="00DDA61D" w14:textId="77777777" w:rsidR="002576DD" w:rsidRPr="00CD0E79" w:rsidRDefault="002576DD" w:rsidP="00831E43">
            <w:pPr>
              <w:keepNext/>
              <w:keepLines/>
              <w:rPr>
                <w:rFonts w:ascii="Arial" w:hAnsi="Arial" w:cs="Arial"/>
                <w:color w:val="000000"/>
                <w:lang w:val="en-GB"/>
              </w:rPr>
            </w:pPr>
            <w:r w:rsidRPr="00CD0E79">
              <w:rPr>
                <w:rFonts w:ascii="Arial" w:hAnsi="Arial" w:cs="Arial"/>
                <w:color w:val="000000"/>
                <w:lang w:val="en-GB"/>
              </w:rPr>
              <w:t>Other Europe</w:t>
            </w:r>
          </w:p>
        </w:tc>
        <w:tc>
          <w:tcPr>
            <w:tcW w:w="2569" w:type="dxa"/>
            <w:tcBorders>
              <w:top w:val="nil"/>
              <w:left w:val="nil"/>
              <w:bottom w:val="single" w:sz="4" w:space="0" w:color="auto"/>
              <w:right w:val="single" w:sz="4" w:space="0" w:color="auto"/>
            </w:tcBorders>
            <w:shd w:val="clear" w:color="auto" w:fill="auto"/>
            <w:noWrap/>
            <w:hideMark/>
          </w:tcPr>
          <w:p w14:paraId="523A5417" w14:textId="77777777" w:rsidR="002576DD" w:rsidRPr="00CD0E79" w:rsidRDefault="002576DD" w:rsidP="00831E43">
            <w:pPr>
              <w:keepNext/>
              <w:keepLines/>
              <w:tabs>
                <w:tab w:val="decimal" w:pos="1687"/>
              </w:tabs>
              <w:rPr>
                <w:rFonts w:ascii="Arial" w:hAnsi="Arial" w:cs="Arial"/>
                <w:color w:val="000000"/>
                <w:lang w:val="en-GB"/>
              </w:rPr>
            </w:pPr>
            <w:r w:rsidRPr="00CD0E79">
              <w:rPr>
                <w:rFonts w:ascii="Arial" w:hAnsi="Arial" w:cs="Arial"/>
                <w:color w:val="000000"/>
                <w:lang w:val="en-GB"/>
              </w:rPr>
              <w:t>3,278</w:t>
            </w:r>
          </w:p>
        </w:tc>
        <w:tc>
          <w:tcPr>
            <w:tcW w:w="1719" w:type="dxa"/>
            <w:tcBorders>
              <w:top w:val="nil"/>
              <w:left w:val="nil"/>
              <w:bottom w:val="single" w:sz="4" w:space="0" w:color="auto"/>
              <w:right w:val="single" w:sz="4" w:space="0" w:color="auto"/>
            </w:tcBorders>
            <w:shd w:val="clear" w:color="auto" w:fill="auto"/>
            <w:noWrap/>
            <w:vAlign w:val="bottom"/>
            <w:hideMark/>
          </w:tcPr>
          <w:p w14:paraId="22B8E0FB" w14:textId="77777777" w:rsidR="002576DD" w:rsidRPr="00CD0E79" w:rsidRDefault="002576DD" w:rsidP="00831E43">
            <w:pPr>
              <w:keepNext/>
              <w:keepLines/>
              <w:tabs>
                <w:tab w:val="decimal" w:pos="820"/>
              </w:tabs>
              <w:rPr>
                <w:rFonts w:ascii="Arial" w:hAnsi="Arial" w:cs="Arial"/>
                <w:color w:val="000000"/>
                <w:lang w:val="en-GB"/>
              </w:rPr>
            </w:pPr>
            <w:r w:rsidRPr="00CD0E79">
              <w:rPr>
                <w:rFonts w:ascii="Arial" w:hAnsi="Arial" w:cs="Arial"/>
                <w:color w:val="000000"/>
                <w:lang w:val="en-GB"/>
              </w:rPr>
              <w:t>0.00%</w:t>
            </w:r>
          </w:p>
        </w:tc>
      </w:tr>
      <w:tr w:rsidR="002576DD" w:rsidRPr="00CD0E79" w14:paraId="3EF0ADCB" w14:textId="77777777" w:rsidTr="002F13AB">
        <w:trPr>
          <w:trHeight w:val="300"/>
          <w:jc w:val="center"/>
        </w:trPr>
        <w:tc>
          <w:tcPr>
            <w:tcW w:w="3306" w:type="dxa"/>
            <w:tcBorders>
              <w:top w:val="nil"/>
              <w:left w:val="single" w:sz="4" w:space="0" w:color="auto"/>
              <w:bottom w:val="single" w:sz="4" w:space="0" w:color="auto"/>
              <w:right w:val="single" w:sz="4" w:space="0" w:color="auto"/>
            </w:tcBorders>
            <w:shd w:val="clear" w:color="auto" w:fill="auto"/>
            <w:noWrap/>
            <w:hideMark/>
          </w:tcPr>
          <w:p w14:paraId="594761DA" w14:textId="77777777" w:rsidR="002576DD" w:rsidRPr="00CD0E79" w:rsidRDefault="002576DD" w:rsidP="00831E43">
            <w:pPr>
              <w:keepNext/>
              <w:keepLines/>
              <w:rPr>
                <w:rFonts w:ascii="Arial" w:hAnsi="Arial" w:cs="Arial"/>
                <w:color w:val="000000"/>
                <w:lang w:val="en-GB"/>
              </w:rPr>
            </w:pPr>
            <w:r w:rsidRPr="00CD0E79">
              <w:rPr>
                <w:rFonts w:ascii="Arial" w:hAnsi="Arial" w:cs="Arial"/>
                <w:color w:val="000000"/>
                <w:lang w:val="en-GB"/>
              </w:rPr>
              <w:t>Middle East</w:t>
            </w:r>
          </w:p>
        </w:tc>
        <w:tc>
          <w:tcPr>
            <w:tcW w:w="2569" w:type="dxa"/>
            <w:tcBorders>
              <w:top w:val="nil"/>
              <w:left w:val="nil"/>
              <w:bottom w:val="single" w:sz="4" w:space="0" w:color="auto"/>
              <w:right w:val="single" w:sz="4" w:space="0" w:color="auto"/>
            </w:tcBorders>
            <w:shd w:val="clear" w:color="auto" w:fill="auto"/>
            <w:noWrap/>
            <w:hideMark/>
          </w:tcPr>
          <w:p w14:paraId="2281D345" w14:textId="77777777" w:rsidR="002576DD" w:rsidRPr="00CD0E79" w:rsidRDefault="002576DD" w:rsidP="00831E43">
            <w:pPr>
              <w:keepNext/>
              <w:keepLines/>
              <w:tabs>
                <w:tab w:val="decimal" w:pos="1687"/>
              </w:tabs>
              <w:rPr>
                <w:rFonts w:ascii="Arial" w:hAnsi="Arial" w:cs="Arial"/>
                <w:color w:val="000000"/>
                <w:lang w:val="en-GB"/>
              </w:rPr>
            </w:pPr>
            <w:r w:rsidRPr="00CD0E79">
              <w:rPr>
                <w:rFonts w:ascii="Arial" w:hAnsi="Arial" w:cs="Arial"/>
                <w:color w:val="000000"/>
                <w:lang w:val="en-GB"/>
              </w:rPr>
              <w:t>15,724,626</w:t>
            </w:r>
          </w:p>
        </w:tc>
        <w:tc>
          <w:tcPr>
            <w:tcW w:w="1719" w:type="dxa"/>
            <w:tcBorders>
              <w:top w:val="nil"/>
              <w:left w:val="nil"/>
              <w:bottom w:val="single" w:sz="4" w:space="0" w:color="auto"/>
              <w:right w:val="single" w:sz="4" w:space="0" w:color="auto"/>
            </w:tcBorders>
            <w:shd w:val="clear" w:color="auto" w:fill="auto"/>
            <w:noWrap/>
            <w:vAlign w:val="bottom"/>
            <w:hideMark/>
          </w:tcPr>
          <w:p w14:paraId="6992C732" w14:textId="77777777" w:rsidR="002576DD" w:rsidRPr="00CD0E79" w:rsidRDefault="002576DD" w:rsidP="00831E43">
            <w:pPr>
              <w:keepNext/>
              <w:keepLines/>
              <w:tabs>
                <w:tab w:val="decimal" w:pos="820"/>
              </w:tabs>
              <w:rPr>
                <w:rFonts w:ascii="Arial" w:hAnsi="Arial" w:cs="Arial"/>
                <w:color w:val="000000"/>
                <w:lang w:val="en-GB"/>
              </w:rPr>
            </w:pPr>
            <w:r w:rsidRPr="00CD0E79">
              <w:rPr>
                <w:rFonts w:ascii="Arial" w:hAnsi="Arial" w:cs="Arial"/>
                <w:color w:val="000000"/>
                <w:lang w:val="en-GB"/>
              </w:rPr>
              <w:t>6.68%</w:t>
            </w:r>
          </w:p>
        </w:tc>
      </w:tr>
      <w:tr w:rsidR="002576DD" w:rsidRPr="00CD0E79" w14:paraId="0777EEA7" w14:textId="77777777" w:rsidTr="002F13AB">
        <w:trPr>
          <w:trHeight w:val="300"/>
          <w:jc w:val="center"/>
        </w:trPr>
        <w:tc>
          <w:tcPr>
            <w:tcW w:w="3306" w:type="dxa"/>
            <w:tcBorders>
              <w:top w:val="nil"/>
              <w:left w:val="single" w:sz="4" w:space="0" w:color="auto"/>
              <w:bottom w:val="single" w:sz="4" w:space="0" w:color="auto"/>
              <w:right w:val="single" w:sz="4" w:space="0" w:color="auto"/>
            </w:tcBorders>
            <w:shd w:val="clear" w:color="auto" w:fill="auto"/>
            <w:noWrap/>
            <w:hideMark/>
          </w:tcPr>
          <w:p w14:paraId="32481C6A" w14:textId="77777777" w:rsidR="002576DD" w:rsidRPr="00CD0E79" w:rsidRDefault="002576DD" w:rsidP="00831E43">
            <w:pPr>
              <w:keepNext/>
              <w:keepLines/>
              <w:rPr>
                <w:rFonts w:ascii="Arial" w:hAnsi="Arial" w:cs="Arial"/>
                <w:color w:val="000000"/>
                <w:lang w:val="en-GB"/>
              </w:rPr>
            </w:pPr>
            <w:r w:rsidRPr="00CD0E79">
              <w:rPr>
                <w:rFonts w:ascii="Arial" w:hAnsi="Arial" w:cs="Arial"/>
                <w:color w:val="000000"/>
                <w:lang w:val="en-GB"/>
              </w:rPr>
              <w:t>Africa</w:t>
            </w:r>
          </w:p>
        </w:tc>
        <w:tc>
          <w:tcPr>
            <w:tcW w:w="2569" w:type="dxa"/>
            <w:tcBorders>
              <w:top w:val="nil"/>
              <w:left w:val="nil"/>
              <w:bottom w:val="single" w:sz="4" w:space="0" w:color="auto"/>
              <w:right w:val="single" w:sz="4" w:space="0" w:color="auto"/>
            </w:tcBorders>
            <w:shd w:val="clear" w:color="auto" w:fill="auto"/>
            <w:noWrap/>
            <w:hideMark/>
          </w:tcPr>
          <w:p w14:paraId="1376D5EB" w14:textId="77777777" w:rsidR="002576DD" w:rsidRPr="00CD0E79" w:rsidRDefault="002576DD" w:rsidP="00831E43">
            <w:pPr>
              <w:keepNext/>
              <w:keepLines/>
              <w:tabs>
                <w:tab w:val="decimal" w:pos="1687"/>
              </w:tabs>
              <w:rPr>
                <w:rFonts w:ascii="Arial" w:hAnsi="Arial" w:cs="Arial"/>
                <w:color w:val="000000"/>
                <w:lang w:val="en-GB"/>
              </w:rPr>
            </w:pPr>
            <w:r w:rsidRPr="00CD0E79">
              <w:rPr>
                <w:rFonts w:ascii="Arial" w:hAnsi="Arial" w:cs="Arial"/>
                <w:color w:val="000000"/>
                <w:lang w:val="en-GB"/>
              </w:rPr>
              <w:t>28,225,941</w:t>
            </w:r>
          </w:p>
        </w:tc>
        <w:tc>
          <w:tcPr>
            <w:tcW w:w="1719" w:type="dxa"/>
            <w:tcBorders>
              <w:top w:val="nil"/>
              <w:left w:val="nil"/>
              <w:bottom w:val="single" w:sz="4" w:space="0" w:color="auto"/>
              <w:right w:val="single" w:sz="4" w:space="0" w:color="auto"/>
            </w:tcBorders>
            <w:shd w:val="clear" w:color="auto" w:fill="auto"/>
            <w:noWrap/>
            <w:vAlign w:val="bottom"/>
            <w:hideMark/>
          </w:tcPr>
          <w:p w14:paraId="50F94FD1" w14:textId="77777777" w:rsidR="002576DD" w:rsidRPr="00CD0E79" w:rsidRDefault="002576DD" w:rsidP="00831E43">
            <w:pPr>
              <w:keepNext/>
              <w:keepLines/>
              <w:tabs>
                <w:tab w:val="decimal" w:pos="820"/>
              </w:tabs>
              <w:rPr>
                <w:rFonts w:ascii="Arial" w:hAnsi="Arial" w:cs="Arial"/>
                <w:color w:val="000000"/>
                <w:lang w:val="en-GB"/>
              </w:rPr>
            </w:pPr>
            <w:r w:rsidRPr="00CD0E79">
              <w:rPr>
                <w:rFonts w:ascii="Arial" w:hAnsi="Arial" w:cs="Arial"/>
                <w:color w:val="000000"/>
                <w:lang w:val="en-GB"/>
              </w:rPr>
              <w:t>12.00%</w:t>
            </w:r>
          </w:p>
        </w:tc>
      </w:tr>
      <w:tr w:rsidR="002576DD" w:rsidRPr="00CD0E79" w14:paraId="0B8462F2" w14:textId="77777777" w:rsidTr="002F13AB">
        <w:trPr>
          <w:trHeight w:val="300"/>
          <w:jc w:val="center"/>
        </w:trPr>
        <w:tc>
          <w:tcPr>
            <w:tcW w:w="3306" w:type="dxa"/>
            <w:tcBorders>
              <w:top w:val="nil"/>
              <w:left w:val="single" w:sz="4" w:space="0" w:color="auto"/>
              <w:bottom w:val="single" w:sz="4" w:space="0" w:color="auto"/>
              <w:right w:val="single" w:sz="4" w:space="0" w:color="auto"/>
            </w:tcBorders>
            <w:shd w:val="clear" w:color="auto" w:fill="auto"/>
            <w:noWrap/>
            <w:hideMark/>
          </w:tcPr>
          <w:p w14:paraId="1F0B3B76" w14:textId="77777777" w:rsidR="002576DD" w:rsidRPr="00CD0E79" w:rsidRDefault="002576DD" w:rsidP="00831E43">
            <w:pPr>
              <w:keepNext/>
              <w:keepLines/>
              <w:rPr>
                <w:rFonts w:ascii="Arial" w:hAnsi="Arial" w:cs="Arial"/>
                <w:color w:val="000000"/>
                <w:lang w:val="en-GB"/>
              </w:rPr>
            </w:pPr>
            <w:r w:rsidRPr="00CD0E79">
              <w:rPr>
                <w:rFonts w:ascii="Arial" w:hAnsi="Arial" w:cs="Arial"/>
                <w:color w:val="000000"/>
                <w:lang w:val="en-GB"/>
              </w:rPr>
              <w:t>Asia</w:t>
            </w:r>
          </w:p>
        </w:tc>
        <w:tc>
          <w:tcPr>
            <w:tcW w:w="2569" w:type="dxa"/>
            <w:tcBorders>
              <w:top w:val="nil"/>
              <w:left w:val="nil"/>
              <w:bottom w:val="single" w:sz="4" w:space="0" w:color="auto"/>
              <w:right w:val="single" w:sz="4" w:space="0" w:color="auto"/>
            </w:tcBorders>
            <w:shd w:val="clear" w:color="auto" w:fill="auto"/>
            <w:noWrap/>
            <w:hideMark/>
          </w:tcPr>
          <w:p w14:paraId="0CF4D997" w14:textId="77777777" w:rsidR="002576DD" w:rsidRPr="00CD0E79" w:rsidRDefault="002576DD" w:rsidP="00831E43">
            <w:pPr>
              <w:keepNext/>
              <w:keepLines/>
              <w:tabs>
                <w:tab w:val="decimal" w:pos="1687"/>
              </w:tabs>
              <w:rPr>
                <w:rFonts w:ascii="Arial" w:hAnsi="Arial" w:cs="Arial"/>
                <w:color w:val="000000"/>
                <w:lang w:val="en-GB"/>
              </w:rPr>
            </w:pPr>
            <w:r w:rsidRPr="00CD0E79">
              <w:rPr>
                <w:rFonts w:ascii="Arial" w:hAnsi="Arial" w:cs="Arial"/>
                <w:color w:val="000000"/>
                <w:lang w:val="en-GB"/>
              </w:rPr>
              <w:t>41,778,597</w:t>
            </w:r>
          </w:p>
        </w:tc>
        <w:tc>
          <w:tcPr>
            <w:tcW w:w="1719" w:type="dxa"/>
            <w:tcBorders>
              <w:top w:val="nil"/>
              <w:left w:val="nil"/>
              <w:bottom w:val="single" w:sz="4" w:space="0" w:color="auto"/>
              <w:right w:val="single" w:sz="4" w:space="0" w:color="auto"/>
            </w:tcBorders>
            <w:shd w:val="clear" w:color="auto" w:fill="auto"/>
            <w:noWrap/>
            <w:vAlign w:val="bottom"/>
            <w:hideMark/>
          </w:tcPr>
          <w:p w14:paraId="284C206B" w14:textId="77777777" w:rsidR="002576DD" w:rsidRPr="00CD0E79" w:rsidRDefault="002576DD" w:rsidP="00831E43">
            <w:pPr>
              <w:keepNext/>
              <w:keepLines/>
              <w:tabs>
                <w:tab w:val="decimal" w:pos="820"/>
              </w:tabs>
              <w:rPr>
                <w:rFonts w:ascii="Arial" w:hAnsi="Arial" w:cs="Arial"/>
                <w:color w:val="000000"/>
                <w:lang w:val="en-GB"/>
              </w:rPr>
            </w:pPr>
            <w:r w:rsidRPr="00CD0E79">
              <w:rPr>
                <w:rFonts w:ascii="Arial" w:hAnsi="Arial" w:cs="Arial"/>
                <w:color w:val="000000"/>
                <w:lang w:val="en-GB"/>
              </w:rPr>
              <w:t>17.76%</w:t>
            </w:r>
          </w:p>
        </w:tc>
      </w:tr>
      <w:tr w:rsidR="002576DD" w:rsidRPr="00CD0E79" w14:paraId="1F786AB4" w14:textId="77777777" w:rsidTr="002F13AB">
        <w:trPr>
          <w:trHeight w:val="300"/>
          <w:jc w:val="center"/>
        </w:trPr>
        <w:tc>
          <w:tcPr>
            <w:tcW w:w="3306" w:type="dxa"/>
            <w:tcBorders>
              <w:top w:val="nil"/>
              <w:left w:val="single" w:sz="4" w:space="0" w:color="auto"/>
              <w:bottom w:val="single" w:sz="4" w:space="0" w:color="auto"/>
              <w:right w:val="single" w:sz="4" w:space="0" w:color="auto"/>
            </w:tcBorders>
            <w:shd w:val="clear" w:color="auto" w:fill="auto"/>
            <w:noWrap/>
            <w:hideMark/>
          </w:tcPr>
          <w:p w14:paraId="70D4889F" w14:textId="77777777" w:rsidR="002576DD" w:rsidRPr="00CD0E79" w:rsidRDefault="002576DD" w:rsidP="00831E43">
            <w:pPr>
              <w:keepNext/>
              <w:keepLines/>
              <w:rPr>
                <w:rFonts w:ascii="Arial" w:hAnsi="Arial" w:cs="Arial"/>
                <w:color w:val="000000"/>
                <w:lang w:val="en-GB"/>
              </w:rPr>
            </w:pPr>
            <w:r w:rsidRPr="00CD0E79">
              <w:rPr>
                <w:rFonts w:ascii="Arial" w:hAnsi="Arial" w:cs="Arial"/>
                <w:color w:val="000000"/>
                <w:lang w:val="en-GB"/>
              </w:rPr>
              <w:t>Oceania</w:t>
            </w:r>
          </w:p>
        </w:tc>
        <w:tc>
          <w:tcPr>
            <w:tcW w:w="2569" w:type="dxa"/>
            <w:tcBorders>
              <w:top w:val="nil"/>
              <w:left w:val="nil"/>
              <w:bottom w:val="single" w:sz="4" w:space="0" w:color="auto"/>
              <w:right w:val="single" w:sz="4" w:space="0" w:color="auto"/>
            </w:tcBorders>
            <w:shd w:val="clear" w:color="auto" w:fill="auto"/>
            <w:noWrap/>
            <w:hideMark/>
          </w:tcPr>
          <w:p w14:paraId="248A2A22" w14:textId="77777777" w:rsidR="002576DD" w:rsidRPr="00CD0E79" w:rsidRDefault="002576DD" w:rsidP="00831E43">
            <w:pPr>
              <w:keepNext/>
              <w:keepLines/>
              <w:tabs>
                <w:tab w:val="decimal" w:pos="1687"/>
              </w:tabs>
              <w:rPr>
                <w:rFonts w:ascii="Arial" w:hAnsi="Arial" w:cs="Arial"/>
                <w:color w:val="000000"/>
                <w:lang w:val="en-GB"/>
              </w:rPr>
            </w:pPr>
            <w:r w:rsidRPr="00CD0E79">
              <w:rPr>
                <w:rFonts w:ascii="Arial" w:hAnsi="Arial" w:cs="Arial"/>
                <w:color w:val="000000"/>
                <w:lang w:val="en-GB"/>
              </w:rPr>
              <w:t>4,063,657</w:t>
            </w:r>
          </w:p>
        </w:tc>
        <w:tc>
          <w:tcPr>
            <w:tcW w:w="1719" w:type="dxa"/>
            <w:tcBorders>
              <w:top w:val="nil"/>
              <w:left w:val="nil"/>
              <w:bottom w:val="single" w:sz="4" w:space="0" w:color="auto"/>
              <w:right w:val="single" w:sz="4" w:space="0" w:color="auto"/>
            </w:tcBorders>
            <w:shd w:val="clear" w:color="auto" w:fill="auto"/>
            <w:noWrap/>
            <w:vAlign w:val="bottom"/>
            <w:hideMark/>
          </w:tcPr>
          <w:p w14:paraId="637F2341" w14:textId="77777777" w:rsidR="002576DD" w:rsidRPr="00CD0E79" w:rsidRDefault="002576DD" w:rsidP="00831E43">
            <w:pPr>
              <w:keepNext/>
              <w:keepLines/>
              <w:tabs>
                <w:tab w:val="decimal" w:pos="820"/>
              </w:tabs>
              <w:rPr>
                <w:rFonts w:ascii="Arial" w:hAnsi="Arial" w:cs="Arial"/>
                <w:color w:val="000000"/>
                <w:lang w:val="en-GB"/>
              </w:rPr>
            </w:pPr>
            <w:r w:rsidRPr="00CD0E79">
              <w:rPr>
                <w:rFonts w:ascii="Arial" w:hAnsi="Arial" w:cs="Arial"/>
                <w:color w:val="000000"/>
                <w:lang w:val="en-GB"/>
              </w:rPr>
              <w:t>1.73%</w:t>
            </w:r>
          </w:p>
        </w:tc>
      </w:tr>
      <w:tr w:rsidR="002576DD" w:rsidRPr="00CD0E79" w14:paraId="647A3183" w14:textId="77777777" w:rsidTr="002F13AB">
        <w:trPr>
          <w:trHeight w:val="300"/>
          <w:jc w:val="center"/>
        </w:trPr>
        <w:tc>
          <w:tcPr>
            <w:tcW w:w="3306" w:type="dxa"/>
            <w:tcBorders>
              <w:top w:val="nil"/>
              <w:left w:val="single" w:sz="4" w:space="0" w:color="auto"/>
              <w:bottom w:val="single" w:sz="4" w:space="0" w:color="auto"/>
              <w:right w:val="single" w:sz="4" w:space="0" w:color="auto"/>
            </w:tcBorders>
            <w:shd w:val="clear" w:color="auto" w:fill="auto"/>
            <w:noWrap/>
            <w:hideMark/>
          </w:tcPr>
          <w:p w14:paraId="69A2390E" w14:textId="77777777" w:rsidR="002576DD" w:rsidRPr="00CD0E79" w:rsidRDefault="002576DD" w:rsidP="00831E43">
            <w:pPr>
              <w:keepNext/>
              <w:keepLines/>
              <w:rPr>
                <w:rFonts w:ascii="Arial" w:hAnsi="Arial" w:cs="Arial"/>
                <w:color w:val="000000"/>
                <w:lang w:val="en-GB"/>
              </w:rPr>
            </w:pPr>
            <w:r w:rsidRPr="00CD0E79">
              <w:rPr>
                <w:rFonts w:ascii="Arial" w:hAnsi="Arial" w:cs="Arial"/>
                <w:color w:val="000000"/>
                <w:lang w:val="en-GB"/>
              </w:rPr>
              <w:t>Total</w:t>
            </w:r>
          </w:p>
        </w:tc>
        <w:tc>
          <w:tcPr>
            <w:tcW w:w="2569" w:type="dxa"/>
            <w:tcBorders>
              <w:top w:val="nil"/>
              <w:left w:val="nil"/>
              <w:bottom w:val="single" w:sz="4" w:space="0" w:color="auto"/>
              <w:right w:val="single" w:sz="4" w:space="0" w:color="auto"/>
            </w:tcBorders>
            <w:shd w:val="clear" w:color="auto" w:fill="auto"/>
            <w:noWrap/>
            <w:hideMark/>
          </w:tcPr>
          <w:p w14:paraId="0F73BABC" w14:textId="77777777" w:rsidR="002576DD" w:rsidRPr="00CD0E79" w:rsidRDefault="002576DD" w:rsidP="00831E43">
            <w:pPr>
              <w:keepNext/>
              <w:keepLines/>
              <w:tabs>
                <w:tab w:val="decimal" w:pos="1687"/>
              </w:tabs>
              <w:rPr>
                <w:rFonts w:ascii="Arial" w:hAnsi="Arial" w:cs="Arial"/>
                <w:color w:val="000000"/>
                <w:lang w:val="en-GB"/>
              </w:rPr>
            </w:pPr>
            <w:r w:rsidRPr="00CD0E79">
              <w:rPr>
                <w:rFonts w:ascii="Arial" w:hAnsi="Arial" w:cs="Arial"/>
                <w:color w:val="000000"/>
                <w:lang w:val="en-GB"/>
              </w:rPr>
              <w:t>235,275,826</w:t>
            </w:r>
          </w:p>
        </w:tc>
        <w:tc>
          <w:tcPr>
            <w:tcW w:w="1719" w:type="dxa"/>
            <w:tcBorders>
              <w:top w:val="nil"/>
              <w:left w:val="nil"/>
              <w:bottom w:val="single" w:sz="4" w:space="0" w:color="auto"/>
              <w:right w:val="single" w:sz="4" w:space="0" w:color="auto"/>
            </w:tcBorders>
            <w:shd w:val="clear" w:color="auto" w:fill="auto"/>
            <w:noWrap/>
            <w:vAlign w:val="bottom"/>
            <w:hideMark/>
          </w:tcPr>
          <w:p w14:paraId="65CF804F" w14:textId="77777777" w:rsidR="002576DD" w:rsidRPr="00CD0E79" w:rsidRDefault="002576DD" w:rsidP="00C2321B">
            <w:pPr>
              <w:keepNext/>
              <w:keepLines/>
              <w:jc w:val="center"/>
              <w:rPr>
                <w:rFonts w:ascii="Arial" w:hAnsi="Arial" w:cs="Arial"/>
                <w:color w:val="000000"/>
                <w:lang w:val="en-GB"/>
              </w:rPr>
            </w:pPr>
          </w:p>
        </w:tc>
      </w:tr>
      <w:bookmarkEnd w:id="24"/>
    </w:tbl>
    <w:p w14:paraId="3ECA4E20" w14:textId="77777777" w:rsidR="002576DD" w:rsidRPr="00CD0E79" w:rsidRDefault="002576DD" w:rsidP="002576DD">
      <w:pPr>
        <w:pStyle w:val="Footnote"/>
        <w:keepNext/>
        <w:keepLines/>
        <w:jc w:val="center"/>
        <w:rPr>
          <w:lang w:val="en-GB"/>
        </w:rPr>
      </w:pPr>
    </w:p>
    <w:p w14:paraId="7223EBCD" w14:textId="6F0B1328" w:rsidR="002576DD" w:rsidRPr="00CD0E79" w:rsidRDefault="002576DD" w:rsidP="002576DD">
      <w:pPr>
        <w:pStyle w:val="Footnote"/>
        <w:keepNext/>
        <w:keepLines/>
        <w:rPr>
          <w:lang w:val="en-GB"/>
        </w:rPr>
      </w:pPr>
      <w:r w:rsidRPr="00CD0E79">
        <w:rPr>
          <w:lang w:val="en-GB"/>
        </w:rPr>
        <w:t xml:space="preserve">Source: “D033Y Canadian Imports / Exports of Dairy Products (Year),” </w:t>
      </w:r>
      <w:r w:rsidR="00486615" w:rsidRPr="00CD0E79">
        <w:rPr>
          <w:lang w:val="en-GB"/>
        </w:rPr>
        <w:t xml:space="preserve">Canadian Dairy Information Centre, Government of Canada, </w:t>
      </w:r>
      <w:r w:rsidRPr="00CD0E79">
        <w:rPr>
          <w:lang w:val="en-GB"/>
        </w:rPr>
        <w:t>accessed October 10, 2018, aimis-simia-cdic-ccil.agr.gc.ca/rp/index-eng.cfm?action=rR&amp;pdctc=&amp;r=166.</w:t>
      </w:r>
    </w:p>
    <w:p w14:paraId="279BCBF3" w14:textId="77777777" w:rsidR="002576DD" w:rsidRPr="00CD0E79" w:rsidRDefault="002576DD">
      <w:pPr>
        <w:spacing w:after="200" w:line="276" w:lineRule="auto"/>
        <w:rPr>
          <w:lang w:val="en-GB"/>
        </w:rPr>
      </w:pPr>
    </w:p>
    <w:p w14:paraId="1EEBE0CD" w14:textId="77777777" w:rsidR="002576DD" w:rsidRPr="00CD0E79" w:rsidRDefault="002576DD">
      <w:pPr>
        <w:spacing w:after="200" w:line="276" w:lineRule="auto"/>
        <w:rPr>
          <w:lang w:val="en-GB"/>
        </w:rPr>
      </w:pPr>
    </w:p>
    <w:p w14:paraId="5A1BE2CD" w14:textId="77777777" w:rsidR="002576DD" w:rsidRPr="00CD0E79" w:rsidRDefault="002576DD">
      <w:pPr>
        <w:spacing w:after="200" w:line="276" w:lineRule="auto"/>
        <w:rPr>
          <w:lang w:val="en-GB"/>
        </w:rPr>
      </w:pPr>
    </w:p>
    <w:p w14:paraId="7AD8B380" w14:textId="77777777" w:rsidR="002576DD" w:rsidRPr="00CD0E79" w:rsidRDefault="002576DD">
      <w:pPr>
        <w:spacing w:after="200" w:line="276" w:lineRule="auto"/>
        <w:rPr>
          <w:lang w:val="en-GB"/>
        </w:rPr>
      </w:pPr>
    </w:p>
    <w:p w14:paraId="666B3E51" w14:textId="77777777" w:rsidR="002576DD" w:rsidRPr="00CD0E79" w:rsidRDefault="002576DD">
      <w:pPr>
        <w:spacing w:after="200" w:line="276" w:lineRule="auto"/>
        <w:rPr>
          <w:lang w:val="en-GB"/>
        </w:rPr>
      </w:pPr>
    </w:p>
    <w:p w14:paraId="21975E98" w14:textId="246BE50A" w:rsidR="0071309E" w:rsidRPr="00CD0E79" w:rsidRDefault="0071309E">
      <w:pPr>
        <w:spacing w:after="200" w:line="276" w:lineRule="auto"/>
        <w:rPr>
          <w:sz w:val="22"/>
          <w:szCs w:val="22"/>
          <w:lang w:val="en-GB"/>
        </w:rPr>
      </w:pPr>
      <w:r w:rsidRPr="00CD0E79">
        <w:rPr>
          <w:lang w:val="en-GB"/>
        </w:rPr>
        <w:br w:type="page"/>
      </w:r>
    </w:p>
    <w:p w14:paraId="2E2A00B4" w14:textId="4714A172" w:rsidR="0071309E" w:rsidRPr="00CD0E79" w:rsidRDefault="0071309E" w:rsidP="0071309E">
      <w:pPr>
        <w:pStyle w:val="Casehead1"/>
        <w:rPr>
          <w:lang w:val="en-GB"/>
        </w:rPr>
      </w:pPr>
      <w:r w:rsidRPr="00CD0E79">
        <w:rPr>
          <w:lang w:val="en-GB"/>
        </w:rPr>
        <w:lastRenderedPageBreak/>
        <w:t>endnotes</w:t>
      </w:r>
    </w:p>
    <w:sectPr w:rsidR="0071309E" w:rsidRPr="00CD0E79" w:rsidSect="00751E0B">
      <w:headerReference w:type="default" r:id="rId10"/>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2BD5C" w14:textId="77777777" w:rsidR="002B6EE7" w:rsidRDefault="002B6EE7" w:rsidP="00D75295">
      <w:r>
        <w:separator/>
      </w:r>
    </w:p>
  </w:endnote>
  <w:endnote w:type="continuationSeparator" w:id="0">
    <w:p w14:paraId="09CA74E9" w14:textId="77777777" w:rsidR="002B6EE7" w:rsidRDefault="002B6EE7" w:rsidP="00D75295">
      <w:r>
        <w:continuationSeparator/>
      </w:r>
    </w:p>
  </w:endnote>
  <w:endnote w:id="1">
    <w:p w14:paraId="74BC0D3A" w14:textId="77777777" w:rsidR="002B6EE7" w:rsidRPr="003C7EBE" w:rsidRDefault="002B6EE7" w:rsidP="0071309E">
      <w:pPr>
        <w:pStyle w:val="Footnote"/>
        <w:rPr>
          <w:lang w:val="en-GB"/>
        </w:rPr>
      </w:pPr>
      <w:r w:rsidRPr="003C7EBE">
        <w:rPr>
          <w:rStyle w:val="EndnoteReference"/>
          <w:lang w:val="en-GB"/>
        </w:rPr>
        <w:endnoteRef/>
      </w:r>
      <w:r w:rsidRPr="003C7EBE">
        <w:rPr>
          <w:lang w:val="en-GB"/>
        </w:rPr>
        <w:t xml:space="preserve"> ¥ = CNY = Chinese yuan renminbi; US$1.00 = ¥6.94 on December 30, 2016.</w:t>
      </w:r>
    </w:p>
  </w:endnote>
  <w:endnote w:id="2">
    <w:p w14:paraId="5775B418" w14:textId="4F938A49" w:rsidR="002B6EE7" w:rsidRPr="003C7EBE" w:rsidRDefault="002B6EE7" w:rsidP="0071309E">
      <w:pPr>
        <w:pStyle w:val="Footnote"/>
        <w:rPr>
          <w:lang w:val="en-GB"/>
        </w:rPr>
      </w:pPr>
      <w:r w:rsidRPr="003C7EBE">
        <w:rPr>
          <w:rStyle w:val="EndnoteReference"/>
          <w:lang w:val="en-GB"/>
        </w:rPr>
        <w:endnoteRef/>
      </w:r>
      <w:r w:rsidRPr="003C7EBE">
        <w:rPr>
          <w:lang w:val="en-GB"/>
        </w:rPr>
        <w:t xml:space="preserve"> Monde Selection, one of the most famous product-quality evaluations, was held each year in Belgium.</w:t>
      </w:r>
    </w:p>
  </w:endnote>
  <w:endnote w:id="3">
    <w:p w14:paraId="2FA2940F" w14:textId="5F306D25" w:rsidR="002B6EE7" w:rsidRPr="003C7EBE" w:rsidRDefault="002B6EE7" w:rsidP="00E77492">
      <w:pPr>
        <w:pStyle w:val="Footnote"/>
        <w:rPr>
          <w:lang w:val="en-GB"/>
        </w:rPr>
      </w:pPr>
      <w:r w:rsidRPr="003C7EBE">
        <w:rPr>
          <w:rStyle w:val="EndnoteReference"/>
          <w:lang w:val="en-GB"/>
        </w:rPr>
        <w:endnoteRef/>
      </w:r>
      <w:r w:rsidRPr="003C7EBE">
        <w:rPr>
          <w:lang w:val="en-GB"/>
        </w:rPr>
        <w:t xml:space="preserve"> “How Feihe Diary Became a Multi-Billion Business,” [in Chinese], Kmind Strategic Consulting, accessed March 16, 2019, www.kmind.com.cn/media/289.html.</w:t>
      </w:r>
    </w:p>
  </w:endnote>
  <w:endnote w:id="4">
    <w:p w14:paraId="3F58B1FB" w14:textId="335C6374" w:rsidR="002B6EE7" w:rsidRPr="003C7EBE" w:rsidRDefault="002B6EE7" w:rsidP="0071309E">
      <w:pPr>
        <w:pStyle w:val="EndnoteText"/>
        <w:jc w:val="both"/>
        <w:rPr>
          <w:rFonts w:ascii="Arial" w:hAnsi="Arial" w:cs="Arial"/>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“Feihe Infant Formula: A Domestic Chinese Brand Beats the Foreign Brands,” [in Chinese], Kmind Strategic Consulting, accessed May 18, 2018, www.kmind.com.cn/cases/2.html.</w:t>
      </w:r>
    </w:p>
  </w:endnote>
  <w:endnote w:id="5">
    <w:p w14:paraId="61925D4E" w14:textId="16EACEE2" w:rsidR="002B6EE7" w:rsidRPr="003C7EBE" w:rsidRDefault="002B6EE7" w:rsidP="0071309E">
      <w:pPr>
        <w:pStyle w:val="EndnoteText"/>
        <w:jc w:val="both"/>
        <w:rPr>
          <w:rFonts w:ascii="Arial" w:hAnsi="Arial" w:cs="Arial"/>
          <w:b/>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Xiaojing Yang, “Feihe Has Established Its International Status as a National Brand,” [in Chinese], Zhongguo Shipinbao, July 14, 2017, accessed March 16, 2019, http://old.cnfood.cn/n/2017/0714/111064.html.</w:t>
      </w:r>
    </w:p>
  </w:endnote>
  <w:endnote w:id="6">
    <w:p w14:paraId="1C8CB338" w14:textId="2C03D879" w:rsidR="002B6EE7" w:rsidRPr="003C7EBE" w:rsidRDefault="002B6EE7" w:rsidP="0071309E">
      <w:pPr>
        <w:pStyle w:val="EndnoteText"/>
        <w:jc w:val="both"/>
        <w:rPr>
          <w:rFonts w:ascii="Arial" w:hAnsi="Arial" w:cs="Arial"/>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Shefali Sharma and Zhang Rou, </w:t>
      </w:r>
      <w:r w:rsidRPr="003C7EBE">
        <w:rPr>
          <w:rFonts w:ascii="Arial" w:hAnsi="Arial" w:cs="Arial"/>
          <w:i/>
          <w:sz w:val="17"/>
          <w:szCs w:val="17"/>
          <w:lang w:val="en-GB"/>
        </w:rPr>
        <w:t>China’s Dairy Dilemma: The Evolution and Future Trends of China’s Dairy Industry</w:t>
      </w:r>
      <w:r w:rsidRPr="003C7EBE">
        <w:rPr>
          <w:rFonts w:ascii="Arial" w:hAnsi="Arial" w:cs="Arial"/>
          <w:sz w:val="17"/>
          <w:szCs w:val="17"/>
          <w:lang w:val="en-GB"/>
        </w:rPr>
        <w:t>, Institute for Agriculture and Trade Policy, February 2014, accessed Dec 16, 2018, www.iatp.org/sites/default/files/2017-05/2017_05_03_DairyReport_f_web.pdf.</w:t>
      </w:r>
    </w:p>
  </w:endnote>
  <w:endnote w:id="7">
    <w:p w14:paraId="0CFC9963" w14:textId="25CD7873" w:rsidR="002B6EE7" w:rsidRPr="00723789" w:rsidRDefault="002B6EE7" w:rsidP="00723789">
      <w:pPr>
        <w:pStyle w:val="Footnote"/>
      </w:pPr>
      <w:r>
        <w:rPr>
          <w:rStyle w:val="EndnoteReference"/>
        </w:rPr>
        <w:endnoteRef/>
      </w:r>
      <w:r>
        <w:t xml:space="preserve"> Qingbo Yan, Bo Ju, Chengbiao Liang, Guangcan Zhou, "Food Safety Control: A Macro View from Sanlu Scandal" [In Chinese], </w:t>
      </w:r>
      <w:r>
        <w:rPr>
          <w:i/>
          <w:iCs/>
        </w:rPr>
        <w:t>Food Mate</w:t>
      </w:r>
      <w:r>
        <w:t xml:space="preserve">, Oct 6, 2010, accessed Apr 29, 2019, </w:t>
      </w:r>
      <w:r w:rsidRPr="00B83E5C">
        <w:t>http://m.foodmate.net/index.php?moduleid=37&amp;itemid=279</w:t>
      </w:r>
      <w:r>
        <w:t>.</w:t>
      </w:r>
    </w:p>
  </w:endnote>
  <w:endnote w:id="8">
    <w:p w14:paraId="5CC42629" w14:textId="6EF10669" w:rsidR="002B6EE7" w:rsidRPr="002F13AB" w:rsidRDefault="002B6EE7" w:rsidP="00763E20">
      <w:pPr>
        <w:pStyle w:val="Footnote"/>
        <w:rPr>
          <w:spacing w:val="-2"/>
          <w:lang w:val="en-GB"/>
        </w:rPr>
      </w:pPr>
      <w:r w:rsidRPr="002F13AB">
        <w:rPr>
          <w:rStyle w:val="EndnoteReference"/>
          <w:spacing w:val="-2"/>
          <w:lang w:val="en-GB"/>
        </w:rPr>
        <w:endnoteRef/>
      </w:r>
      <w:r w:rsidRPr="002F13AB">
        <w:rPr>
          <w:spacing w:val="-2"/>
          <w:lang w:val="en-GB"/>
        </w:rPr>
        <w:t xml:space="preserve"> “The Total Sales of China's Dairy Industry Reached 375.3 Billion Yuan Last Year, Accounting for 37% of the Total Imports of New Zealand's Dairy Products,” [in Chinese] </w:t>
      </w:r>
      <w:r w:rsidRPr="002F13AB">
        <w:rPr>
          <w:i/>
          <w:spacing w:val="-2"/>
          <w:lang w:val="en-GB"/>
        </w:rPr>
        <w:t>Chinese Times</w:t>
      </w:r>
      <w:r w:rsidRPr="002F13AB">
        <w:rPr>
          <w:spacing w:val="-2"/>
          <w:lang w:val="en-GB"/>
        </w:rPr>
        <w:t xml:space="preserve">, accessed April 5, 2019, </w:t>
      </w:r>
      <w:r w:rsidRPr="002F13AB">
        <w:rPr>
          <w:spacing w:val="-2"/>
          <w:lang w:val="en-GB" w:eastAsia="zh-CN"/>
        </w:rPr>
        <w:t>www.xuedunruye.com/htm/201811/25_3594.htm; “</w:t>
      </w:r>
      <w:r w:rsidRPr="002F13AB">
        <w:rPr>
          <w:spacing w:val="-2"/>
          <w:lang w:val="en-GB"/>
        </w:rPr>
        <w:t>China Imported 296,000 Tons of Infant Formula Milk Powder in 2017,” [in Chinese]</w:t>
      </w:r>
      <w:r w:rsidRPr="002F13AB">
        <w:rPr>
          <w:spacing w:val="-2"/>
          <w:lang w:val="en-GB" w:eastAsia="zh-CN"/>
        </w:rPr>
        <w:t xml:space="preserve"> </w:t>
      </w:r>
      <w:r w:rsidRPr="002F13AB">
        <w:rPr>
          <w:spacing w:val="-2"/>
          <w:lang w:val="en-GB"/>
        </w:rPr>
        <w:t xml:space="preserve">Sansheng Industry Research Center, accessed April 5, 2019, </w:t>
      </w:r>
      <w:r w:rsidRPr="002F13AB">
        <w:rPr>
          <w:spacing w:val="-2"/>
          <w:lang w:val="en-GB" w:eastAsia="zh-CN"/>
        </w:rPr>
        <w:t>www.china1baogao.com/data/20180420/2325487</w:t>
      </w:r>
      <w:r w:rsidRPr="00D30F34">
        <w:rPr>
          <w:spacing w:val="-2"/>
          <w:lang w:val="en-GB" w:eastAsia="zh-CN"/>
        </w:rPr>
        <w:t>.html</w:t>
      </w:r>
      <w:r w:rsidRPr="00D30F34">
        <w:rPr>
          <w:rStyle w:val="Hyperlink"/>
          <w:color w:val="auto"/>
          <w:spacing w:val="-2"/>
          <w:u w:val="none"/>
          <w:lang w:val="en-GB" w:eastAsia="zh-CN"/>
        </w:rPr>
        <w:t>.</w:t>
      </w:r>
    </w:p>
  </w:endnote>
  <w:endnote w:id="9">
    <w:p w14:paraId="6BF8E349" w14:textId="13FD58B7" w:rsidR="002B6EE7" w:rsidRPr="003C7EBE" w:rsidRDefault="002B6EE7" w:rsidP="0071309E">
      <w:pPr>
        <w:pStyle w:val="EndnoteText"/>
        <w:jc w:val="both"/>
        <w:rPr>
          <w:rFonts w:ascii="Arial" w:hAnsi="Arial" w:cs="Arial"/>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Ibid.</w:t>
      </w:r>
    </w:p>
  </w:endnote>
  <w:endnote w:id="10">
    <w:p w14:paraId="4634530B" w14:textId="765F9685" w:rsidR="002B6EE7" w:rsidRPr="003C7EBE" w:rsidRDefault="002B6EE7" w:rsidP="0071309E">
      <w:pPr>
        <w:pStyle w:val="EndnoteText"/>
        <w:jc w:val="both"/>
        <w:rPr>
          <w:rFonts w:ascii="Arial" w:hAnsi="Arial" w:cs="Arial"/>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Mei Shen</w:t>
      </w:r>
      <w:r w:rsidRPr="003C7EBE">
        <w:rPr>
          <w:rFonts w:ascii="Arial" w:eastAsia="SimSun" w:hAnsi="Arial" w:cs="Arial"/>
          <w:sz w:val="17"/>
          <w:szCs w:val="17"/>
          <w:lang w:val="en-GB"/>
        </w:rPr>
        <w:t>,</w:t>
      </w:r>
      <w:r w:rsidRPr="003C7EBE">
        <w:rPr>
          <w:rFonts w:ascii="Arial" w:hAnsi="Arial" w:cs="Arial"/>
          <w:sz w:val="17"/>
          <w:szCs w:val="17"/>
          <w:lang w:val="en-GB"/>
        </w:rPr>
        <w:t xml:space="preserve"> “The Competition Is So Fierce That the Cross-Border E-commerce Threatens the Traditional Marketing Channels in the Infant Formula Industry,” [in Chinese] </w:t>
      </w:r>
      <w:r w:rsidRPr="003C7EBE">
        <w:rPr>
          <w:rFonts w:ascii="Arial" w:hAnsi="Arial" w:cs="Arial"/>
          <w:i/>
          <w:sz w:val="17"/>
          <w:szCs w:val="17"/>
          <w:lang w:val="en-GB"/>
        </w:rPr>
        <w:t>Xinhua News Agency</w:t>
      </w:r>
      <w:r w:rsidRPr="003C7EBE">
        <w:rPr>
          <w:rFonts w:ascii="Arial" w:hAnsi="Arial" w:cs="Arial"/>
          <w:sz w:val="17"/>
          <w:szCs w:val="17"/>
          <w:lang w:val="en-GB"/>
        </w:rPr>
        <w:t>, January 7, 2016, accessed September 26, 2018, www.xinhuanet.com/food/2016-01/07/c_128605036.htm.</w:t>
      </w:r>
    </w:p>
  </w:endnote>
  <w:endnote w:id="11">
    <w:p w14:paraId="606299A5" w14:textId="2F008A1F" w:rsidR="002B6EE7" w:rsidRPr="003C7EBE" w:rsidRDefault="002B6EE7" w:rsidP="0071309E">
      <w:pPr>
        <w:pStyle w:val="EndnoteText"/>
        <w:jc w:val="both"/>
        <w:rPr>
          <w:rFonts w:ascii="Arial" w:hAnsi="Arial" w:cs="Arial"/>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Hui Chen, “‘Why </w:t>
      </w:r>
      <w:r>
        <w:rPr>
          <w:rFonts w:ascii="Arial" w:hAnsi="Arial" w:cs="Arial"/>
          <w:sz w:val="17"/>
          <w:szCs w:val="17"/>
          <w:lang w:val="en-GB"/>
        </w:rPr>
        <w:t>I</w:t>
      </w:r>
      <w:r w:rsidRPr="003C7EBE">
        <w:rPr>
          <w:rFonts w:ascii="Arial" w:hAnsi="Arial" w:cs="Arial"/>
          <w:sz w:val="17"/>
          <w:szCs w:val="17"/>
          <w:lang w:val="en-GB"/>
        </w:rPr>
        <w:t xml:space="preserve">s the OEM Infant Formula So Popular?,” [in Chinese] </w:t>
      </w:r>
      <w:r w:rsidRPr="003C7EBE">
        <w:rPr>
          <w:rFonts w:ascii="Arial" w:hAnsi="Arial" w:cs="Arial"/>
          <w:i/>
          <w:sz w:val="17"/>
          <w:szCs w:val="17"/>
          <w:lang w:val="en-GB"/>
        </w:rPr>
        <w:t>People’s Daily</w:t>
      </w:r>
      <w:r w:rsidRPr="003C7EBE">
        <w:rPr>
          <w:rFonts w:ascii="Arial" w:hAnsi="Arial" w:cs="Arial"/>
          <w:sz w:val="17"/>
          <w:szCs w:val="17"/>
          <w:lang w:val="en-GB"/>
        </w:rPr>
        <w:t>, May 24, 2013, accessed September 26, 2018, finance.people.com.cn/n/2013/0524/c1004-21600868.html.</w:t>
      </w:r>
    </w:p>
  </w:endnote>
  <w:endnote w:id="12">
    <w:p w14:paraId="41AD482D" w14:textId="2887A51E" w:rsidR="002B6EE7" w:rsidRPr="003C7EBE" w:rsidRDefault="002B6EE7" w:rsidP="0071309E">
      <w:pPr>
        <w:pStyle w:val="EndnoteText"/>
        <w:jc w:val="both"/>
        <w:rPr>
          <w:rFonts w:ascii="Arial" w:hAnsi="Arial" w:cs="Arial"/>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“The Forecast of the Chinese Infant Formula Industry Market of 2017,” [in Chinese] AskCi, May 18, 2017, accessed September 26, 2018, www.askci.com/news/dxf/20170518/15513098382.shtml.</w:t>
      </w:r>
    </w:p>
  </w:endnote>
  <w:endnote w:id="13">
    <w:p w14:paraId="2FB6BC24" w14:textId="4FFC9908" w:rsidR="002B6EE7" w:rsidRPr="003C7EBE" w:rsidRDefault="002B6EE7" w:rsidP="0071309E">
      <w:pPr>
        <w:pStyle w:val="Footnote"/>
        <w:rPr>
          <w:lang w:val="en-GB"/>
        </w:rPr>
      </w:pPr>
      <w:r w:rsidRPr="003C7EBE">
        <w:rPr>
          <w:rStyle w:val="EndnoteReference"/>
          <w:lang w:val="en-GB"/>
        </w:rPr>
        <w:endnoteRef/>
      </w:r>
      <w:r w:rsidRPr="003C7EBE">
        <w:rPr>
          <w:lang w:val="en-GB"/>
        </w:rPr>
        <w:t xml:space="preserve"> Xin Ma, “A New Challenge for the Domestic Infant Formula with the Benefits Brought by the New Registration Policy,” [in Chinese] </w:t>
      </w:r>
      <w:r w:rsidRPr="003C7EBE">
        <w:rPr>
          <w:i/>
          <w:lang w:val="en-GB"/>
        </w:rPr>
        <w:t>Beijing Business Today</w:t>
      </w:r>
      <w:r w:rsidRPr="003C7EBE">
        <w:rPr>
          <w:lang w:val="en-GB"/>
        </w:rPr>
        <w:t>, February 19, 2018, accessed September 26, 2018, finance.ce.cn/rolling/201802/09/t20180209_28129363.shtml.</w:t>
      </w:r>
    </w:p>
  </w:endnote>
  <w:endnote w:id="14">
    <w:p w14:paraId="105C8A19" w14:textId="6F572D32" w:rsidR="002B6EE7" w:rsidRPr="003C7EBE" w:rsidRDefault="002B6EE7" w:rsidP="0071309E">
      <w:pPr>
        <w:pStyle w:val="EndnoteText"/>
        <w:jc w:val="both"/>
        <w:rPr>
          <w:rFonts w:ascii="Arial" w:hAnsi="Arial" w:cs="Arial"/>
          <w:spacing w:val="-4"/>
          <w:sz w:val="17"/>
          <w:szCs w:val="17"/>
          <w:lang w:val="en-GB"/>
        </w:rPr>
      </w:pPr>
      <w:r w:rsidRPr="003C7EBE">
        <w:rPr>
          <w:rStyle w:val="EndnoteReference"/>
          <w:rFonts w:ascii="Arial" w:hAnsi="Arial" w:cs="Arial"/>
          <w:spacing w:val="-4"/>
          <w:sz w:val="17"/>
          <w:szCs w:val="17"/>
          <w:lang w:val="en-GB"/>
        </w:rPr>
        <w:endnoteRef/>
      </w:r>
      <w:r w:rsidRPr="003C7EBE">
        <w:rPr>
          <w:rFonts w:ascii="Arial" w:hAnsi="Arial" w:cs="Arial"/>
          <w:spacing w:val="-4"/>
          <w:sz w:val="17"/>
          <w:szCs w:val="17"/>
          <w:lang w:val="en-GB"/>
        </w:rPr>
        <w:t xml:space="preserve"> Fang Xi, “The Infant Formula Producers Have No Other Choices but to Change, and the Goat Milk Powder Might Be the Next Star Product,” [in Chinese] </w:t>
      </w:r>
      <w:r w:rsidRPr="003C7EBE">
        <w:rPr>
          <w:rFonts w:ascii="Arial" w:hAnsi="Arial" w:cs="Arial"/>
          <w:i/>
          <w:spacing w:val="-4"/>
          <w:sz w:val="17"/>
          <w:szCs w:val="17"/>
          <w:lang w:val="en-GB"/>
        </w:rPr>
        <w:t>Securities Daily</w:t>
      </w:r>
      <w:r w:rsidRPr="003C7EBE">
        <w:rPr>
          <w:rFonts w:ascii="Arial" w:hAnsi="Arial" w:cs="Arial"/>
          <w:spacing w:val="-4"/>
          <w:sz w:val="17"/>
          <w:szCs w:val="17"/>
          <w:lang w:val="en-GB"/>
        </w:rPr>
        <w:t>, December 27, 2016, accessed September 26, 2018, www.xinhuanet.com/food/2016-12/27/c_1120192668.htm.</w:t>
      </w:r>
    </w:p>
  </w:endnote>
  <w:endnote w:id="15">
    <w:p w14:paraId="492A8C77" w14:textId="4F27F1CB" w:rsidR="002B6EE7" w:rsidRPr="003C7EBE" w:rsidRDefault="002B6EE7" w:rsidP="0071309E">
      <w:pPr>
        <w:pStyle w:val="EndnoteText"/>
        <w:jc w:val="both"/>
        <w:rPr>
          <w:rFonts w:ascii="Arial" w:hAnsi="Arial" w:cs="Arial"/>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Qiong Chen, “The Goat Milk Powder Might Become One of the Most Promising Sectors,” [in Chinese] </w:t>
      </w:r>
      <w:r w:rsidRPr="003C7EBE">
        <w:rPr>
          <w:rFonts w:ascii="Arial" w:hAnsi="Arial" w:cs="Arial"/>
          <w:i/>
          <w:sz w:val="17"/>
          <w:szCs w:val="17"/>
          <w:lang w:val="en-GB"/>
        </w:rPr>
        <w:t>Beijing Chenbao</w:t>
      </w:r>
      <w:r w:rsidRPr="003C7EBE">
        <w:rPr>
          <w:rFonts w:ascii="Arial" w:hAnsi="Arial" w:cs="Arial"/>
          <w:sz w:val="17"/>
          <w:szCs w:val="17"/>
          <w:lang w:val="en-GB"/>
        </w:rPr>
        <w:t>, April 10, 2017, accessed September 26, 2018, www.xinhuanet.com/food/2017-04/10/c_1120777503.htm.</w:t>
      </w:r>
    </w:p>
  </w:endnote>
  <w:endnote w:id="16">
    <w:p w14:paraId="005B9198" w14:textId="6FA84BE1" w:rsidR="002B6EE7" w:rsidRPr="003C7EBE" w:rsidRDefault="002B6EE7" w:rsidP="0071309E">
      <w:pPr>
        <w:pStyle w:val="EndnoteText"/>
        <w:jc w:val="both"/>
        <w:rPr>
          <w:rFonts w:ascii="Arial" w:hAnsi="Arial" w:cs="Arial"/>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Kelu Hu, “</w:t>
      </w:r>
      <w:r w:rsidRPr="003C7EBE">
        <w:rPr>
          <w:rFonts w:ascii="Arial" w:eastAsia="SimSun" w:hAnsi="Arial" w:cs="Arial"/>
          <w:sz w:val="17"/>
          <w:szCs w:val="17"/>
          <w:lang w:val="en-GB"/>
        </w:rPr>
        <w:t xml:space="preserve">The Infant Formula Registration Policy Has Been Announced, and It Is Expected That Eighty Per Cent of the Formulas Will Be Driven Out from the Market,” [in Chinese] </w:t>
      </w:r>
      <w:r w:rsidRPr="003C7EBE">
        <w:rPr>
          <w:rFonts w:ascii="Arial" w:eastAsia="SimSun" w:hAnsi="Arial" w:cs="Arial"/>
          <w:i/>
          <w:sz w:val="17"/>
          <w:szCs w:val="17"/>
          <w:lang w:val="en-GB"/>
        </w:rPr>
        <w:t>Xinhua News Agency</w:t>
      </w:r>
      <w:r w:rsidRPr="003C7EBE">
        <w:rPr>
          <w:rFonts w:ascii="Arial" w:eastAsia="SimSun" w:hAnsi="Arial" w:cs="Arial"/>
          <w:sz w:val="17"/>
          <w:szCs w:val="17"/>
          <w:lang w:val="en-GB"/>
        </w:rPr>
        <w:t xml:space="preserve">, August 14, 2016, accessed December 17, 2018, </w:t>
      </w:r>
      <w:r w:rsidRPr="003C7EBE">
        <w:rPr>
          <w:rFonts w:ascii="Arial" w:hAnsi="Arial" w:cs="Arial"/>
          <w:sz w:val="17"/>
          <w:szCs w:val="17"/>
          <w:lang w:val="en-GB"/>
        </w:rPr>
        <w:t>www.xinhuanet.com/food/2016-08/14/c_129227860.htm.</w:t>
      </w:r>
    </w:p>
  </w:endnote>
  <w:endnote w:id="17">
    <w:p w14:paraId="53ED17F5" w14:textId="2346AFBD" w:rsidR="002B6EE7" w:rsidRPr="003C7EBE" w:rsidRDefault="002B6EE7" w:rsidP="0071309E">
      <w:pPr>
        <w:pStyle w:val="Footnote"/>
        <w:rPr>
          <w:lang w:val="en-GB"/>
        </w:rPr>
      </w:pPr>
      <w:r w:rsidRPr="003C7EBE">
        <w:rPr>
          <w:rStyle w:val="EndnoteReference"/>
          <w:lang w:val="en-GB"/>
        </w:rPr>
        <w:endnoteRef/>
      </w:r>
      <w:r w:rsidRPr="003C7EBE">
        <w:rPr>
          <w:lang w:val="en-GB"/>
        </w:rPr>
        <w:t xml:space="preserve"> Kungang Song, “The Dairy Industry Review in 2016 and Focus in 2017,” [in Chinese] </w:t>
      </w:r>
      <w:r w:rsidRPr="003C7EBE">
        <w:rPr>
          <w:i/>
          <w:lang w:val="en-GB"/>
        </w:rPr>
        <w:t>China Dairy Industry Newsletter</w:t>
      </w:r>
      <w:r w:rsidRPr="003C7EBE">
        <w:rPr>
          <w:lang w:val="en-GB"/>
        </w:rPr>
        <w:t>, September, 2017, accessed October 4, 2017, www.cdia.org.cn/down.php?name=uploads/pdf/1510292756.pdf.</w:t>
      </w:r>
    </w:p>
  </w:endnote>
  <w:endnote w:id="18">
    <w:p w14:paraId="78F5EB28" w14:textId="090D8610" w:rsidR="002B6EE7" w:rsidRPr="003C7EBE" w:rsidRDefault="002B6EE7">
      <w:pPr>
        <w:pStyle w:val="EndnoteText"/>
        <w:rPr>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HK$ = Hong Kong dollar; HK$1 = US$0.13 on June1, 2013.</w:t>
      </w:r>
    </w:p>
  </w:endnote>
  <w:endnote w:id="19">
    <w:p w14:paraId="2B305A1E" w14:textId="7AB7BA4A" w:rsidR="002B6EE7" w:rsidRPr="003C7EBE" w:rsidRDefault="002B6EE7">
      <w:pPr>
        <w:pStyle w:val="EndnoteText"/>
        <w:rPr>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NZ$ = New Zealand dollar; US$1 = NZ$1 = US$0.8 on July 1, 2012.</w:t>
      </w:r>
    </w:p>
  </w:endnote>
  <w:endnote w:id="20">
    <w:p w14:paraId="736252FA" w14:textId="6A032BC6" w:rsidR="002B6EE7" w:rsidRPr="003C7EBE" w:rsidRDefault="002B6EE7" w:rsidP="0071309E">
      <w:pPr>
        <w:pStyle w:val="Footnote"/>
        <w:rPr>
          <w:lang w:val="en-GB"/>
        </w:rPr>
      </w:pPr>
      <w:r w:rsidRPr="003C7EBE">
        <w:rPr>
          <w:rStyle w:val="EndnoteReference"/>
          <w:lang w:val="en-GB"/>
        </w:rPr>
        <w:endnoteRef/>
      </w:r>
      <w:r w:rsidRPr="003C7EBE">
        <w:rPr>
          <w:lang w:val="en-GB"/>
        </w:rPr>
        <w:t xml:space="preserve"> </w:t>
      </w:r>
      <w:bookmarkStart w:id="8" w:name="OLE_LINK38"/>
      <w:bookmarkStart w:id="9" w:name="OLE_LINK39"/>
      <w:r w:rsidRPr="003C7EBE">
        <w:rPr>
          <w:lang w:val="en-GB"/>
        </w:rPr>
        <w:t>Li Liu and Zhiwei Zhang, “</w:t>
      </w:r>
      <w:bookmarkStart w:id="10" w:name="OLE_LINK36"/>
      <w:bookmarkStart w:id="11" w:name="OLE_LINK37"/>
      <w:r w:rsidRPr="003C7EBE">
        <w:rPr>
          <w:lang w:val="en-GB"/>
        </w:rPr>
        <w:t>New Strategy for Investment of Dairy Enterprises: Behind the Phenomenon of Seawater and Flame</w:t>
      </w:r>
      <w:bookmarkEnd w:id="10"/>
      <w:bookmarkEnd w:id="11"/>
      <w:r w:rsidRPr="003C7EBE">
        <w:rPr>
          <w:lang w:val="en-GB"/>
        </w:rPr>
        <w:t xml:space="preserve">” [in Chinese] </w:t>
      </w:r>
      <w:r w:rsidRPr="003C7EBE">
        <w:rPr>
          <w:i/>
          <w:lang w:val="en-GB"/>
        </w:rPr>
        <w:t xml:space="preserve">Dairy and Human </w:t>
      </w:r>
      <w:r w:rsidRPr="003C7EBE">
        <w:rPr>
          <w:lang w:val="en-GB"/>
        </w:rPr>
        <w:t>1, (2016): 24–29.</w:t>
      </w:r>
      <w:bookmarkEnd w:id="8"/>
      <w:bookmarkEnd w:id="9"/>
    </w:p>
  </w:endnote>
  <w:endnote w:id="21">
    <w:p w14:paraId="5694409A" w14:textId="5B1E31D5" w:rsidR="002B6EE7" w:rsidRPr="003C7EBE" w:rsidRDefault="002B6EE7" w:rsidP="0071309E">
      <w:pPr>
        <w:pStyle w:val="Footnote"/>
        <w:rPr>
          <w:b/>
          <w:lang w:val="en-GB"/>
        </w:rPr>
      </w:pPr>
      <w:r w:rsidRPr="003C7EBE">
        <w:rPr>
          <w:rStyle w:val="EndnoteReference"/>
          <w:lang w:val="en-GB"/>
        </w:rPr>
        <w:endnoteRef/>
      </w:r>
      <w:r w:rsidRPr="003C7EBE">
        <w:rPr>
          <w:lang w:val="en-GB"/>
        </w:rPr>
        <w:t xml:space="preserve"> € = euro; €1.00 = US$1.13 on June 12, 2015.</w:t>
      </w:r>
    </w:p>
  </w:endnote>
  <w:endnote w:id="22">
    <w:p w14:paraId="540914AF" w14:textId="4771772C" w:rsidR="002B6EE7" w:rsidRPr="003C7EBE" w:rsidRDefault="002B6EE7" w:rsidP="0071309E">
      <w:pPr>
        <w:pStyle w:val="EndnoteText"/>
        <w:jc w:val="both"/>
        <w:rPr>
          <w:rFonts w:ascii="Arial" w:hAnsi="Arial" w:cs="Arial"/>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Liu and Zhang, op. cit., 25. </w:t>
      </w:r>
    </w:p>
  </w:endnote>
  <w:endnote w:id="23">
    <w:p w14:paraId="7B6B711C" w14:textId="0A791BD2" w:rsidR="002B6EE7" w:rsidRPr="003C7EBE" w:rsidRDefault="002B6EE7" w:rsidP="0071309E">
      <w:pPr>
        <w:pStyle w:val="Footnote"/>
        <w:rPr>
          <w:lang w:val="en-GB"/>
        </w:rPr>
      </w:pPr>
      <w:r w:rsidRPr="003C7EBE">
        <w:rPr>
          <w:rStyle w:val="EndnoteReference"/>
          <w:lang w:val="en-GB"/>
        </w:rPr>
        <w:endnoteRef/>
      </w:r>
      <w:r w:rsidRPr="003C7EBE">
        <w:rPr>
          <w:lang w:val="en-GB"/>
        </w:rPr>
        <w:t xml:space="preserve"> Ibid. </w:t>
      </w:r>
    </w:p>
  </w:endnote>
  <w:endnote w:id="24">
    <w:p w14:paraId="071351AD" w14:textId="22AD9003" w:rsidR="002B6EE7" w:rsidRPr="003C7EBE" w:rsidRDefault="002B6EE7" w:rsidP="0071309E">
      <w:pPr>
        <w:pStyle w:val="Footnote"/>
        <w:rPr>
          <w:spacing w:val="-4"/>
          <w:lang w:val="en-GB"/>
        </w:rPr>
      </w:pPr>
      <w:r w:rsidRPr="003C7EBE">
        <w:rPr>
          <w:rStyle w:val="EndnoteReference"/>
          <w:spacing w:val="-4"/>
          <w:lang w:val="en-GB"/>
        </w:rPr>
        <w:endnoteRef/>
      </w:r>
      <w:r w:rsidRPr="003C7EBE">
        <w:rPr>
          <w:spacing w:val="-4"/>
          <w:lang w:val="en-GB"/>
        </w:rPr>
        <w:t xml:space="preserve"> Dongjie Wang, Xiaoxia Dong, and Yuting Wang, “An Analysis of the Influences of the Cross-Border Mergers and Acquisitions on the Chinese Dairy Industry in the Globalization Era,” [in Chinese] </w:t>
      </w:r>
      <w:r w:rsidRPr="003C7EBE">
        <w:rPr>
          <w:i/>
          <w:spacing w:val="-4"/>
          <w:lang w:val="en-GB"/>
        </w:rPr>
        <w:t>Chinese Journal of Animal Science</w:t>
      </w:r>
      <w:r w:rsidRPr="003C7EBE">
        <w:rPr>
          <w:spacing w:val="-4"/>
          <w:lang w:val="en-GB"/>
        </w:rPr>
        <w:t xml:space="preserve"> 54, no. 4 (2018): 132–136.</w:t>
      </w:r>
    </w:p>
  </w:endnote>
  <w:endnote w:id="25">
    <w:p w14:paraId="0B311618" w14:textId="3348942F" w:rsidR="002B6EE7" w:rsidRPr="003C7EBE" w:rsidRDefault="002B6EE7" w:rsidP="0071309E">
      <w:pPr>
        <w:pStyle w:val="EndnoteText"/>
        <w:jc w:val="both"/>
        <w:rPr>
          <w:rFonts w:ascii="Arial" w:hAnsi="Arial" w:cs="Arial"/>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Guo Mengyi, “Synutra’s Investment in France Was Approved, but the Experts Claimed That Dairy Companies Should Be Cautious When Making Such Investments,” [in Chinese] </w:t>
      </w:r>
      <w:r w:rsidRPr="003C7EBE">
        <w:rPr>
          <w:rFonts w:ascii="Arial" w:hAnsi="Arial" w:cs="Arial"/>
          <w:i/>
          <w:sz w:val="17"/>
          <w:szCs w:val="17"/>
          <w:lang w:val="en-GB"/>
        </w:rPr>
        <w:t>National Business Daily</w:t>
      </w:r>
      <w:r w:rsidRPr="003C7EBE">
        <w:rPr>
          <w:rFonts w:ascii="Arial" w:hAnsi="Arial" w:cs="Arial"/>
          <w:sz w:val="17"/>
          <w:szCs w:val="17"/>
          <w:lang w:val="en-GB"/>
        </w:rPr>
        <w:t>, April 10, 2014, accessed Oct 10, 2018, www.nbd.com.cn/articles/2013-04-10/731009.html.</w:t>
      </w:r>
    </w:p>
  </w:endnote>
  <w:endnote w:id="26">
    <w:p w14:paraId="75294BB1" w14:textId="3C719C07" w:rsidR="002B6EE7" w:rsidRPr="003C7EBE" w:rsidRDefault="002B6EE7" w:rsidP="00F47D52">
      <w:pPr>
        <w:pStyle w:val="Footnote"/>
        <w:rPr>
          <w:lang w:val="en-GB"/>
        </w:rPr>
      </w:pPr>
      <w:r w:rsidRPr="003C7EBE">
        <w:rPr>
          <w:rStyle w:val="EndnoteReference"/>
          <w:lang w:val="en-GB"/>
        </w:rPr>
        <w:endnoteRef/>
      </w:r>
      <w:r w:rsidRPr="003C7EBE">
        <w:rPr>
          <w:lang w:val="en-GB"/>
        </w:rPr>
        <w:t xml:space="preserve"> Pierre-Henri Allain and Sybille de La Hamaide, “French Dairy Coop Sodiaal in Talks to Buy China’s Synutra Plant,” Thomson Reuters, August 29, 2018, accessed October 10, 2018, www.reuters.com/article/france-sodiaal-synutra/french-dairy-coop-sodiaal-in-talks-to-buy-chinas-synutra-plant-idUSL8N1VK2WP.</w:t>
      </w:r>
    </w:p>
  </w:endnote>
  <w:endnote w:id="27">
    <w:p w14:paraId="4C49AF40" w14:textId="6D7B9C7F" w:rsidR="002B6EE7" w:rsidRPr="003C7EBE" w:rsidRDefault="002B6EE7" w:rsidP="0071309E">
      <w:pPr>
        <w:pStyle w:val="Footnote"/>
        <w:rPr>
          <w:lang w:val="en-GB"/>
        </w:rPr>
      </w:pPr>
      <w:r w:rsidRPr="003C7EBE">
        <w:rPr>
          <w:rStyle w:val="EndnoteReference"/>
          <w:lang w:val="en-GB"/>
        </w:rPr>
        <w:endnoteRef/>
      </w:r>
      <w:r w:rsidRPr="003C7EBE">
        <w:rPr>
          <w:lang w:val="en-GB"/>
        </w:rPr>
        <w:t xml:space="preserve"> </w:t>
      </w:r>
      <w:r w:rsidRPr="003C7EBE">
        <w:rPr>
          <w:i/>
          <w:lang w:val="en-GB"/>
        </w:rPr>
        <w:t>Canadian Dairy Sector Overview</w:t>
      </w:r>
      <w:r w:rsidRPr="003C7EBE">
        <w:rPr>
          <w:lang w:val="en-GB"/>
        </w:rPr>
        <w:t xml:space="preserve">, Dairy Farmers of Canada, accessed September 4, 2017, www.dairyfarmers.ca/content/download/4898/46392/version/2/file/Dairy_Sector_Overview_2017.pdf. </w:t>
      </w:r>
    </w:p>
  </w:endnote>
  <w:endnote w:id="28">
    <w:p w14:paraId="72688645" w14:textId="0093059E" w:rsidR="002B6EE7" w:rsidRPr="003C7EBE" w:rsidRDefault="002B6EE7" w:rsidP="0071309E">
      <w:pPr>
        <w:pStyle w:val="Footnote"/>
        <w:rPr>
          <w:b/>
          <w:lang w:val="en-GB"/>
        </w:rPr>
      </w:pPr>
      <w:r w:rsidRPr="003C7EBE">
        <w:rPr>
          <w:rStyle w:val="EndnoteReference"/>
          <w:lang w:val="en-GB"/>
        </w:rPr>
        <w:endnoteRef/>
      </w:r>
      <w:r w:rsidRPr="003C7EBE">
        <w:rPr>
          <w:lang w:val="en-GB"/>
        </w:rPr>
        <w:t xml:space="preserve"> “The Industry: Quick Facts,” Canadian Dairy Commission, accessed April 5, 2019, www.cdc-ccl.gc.ca/CDC/index-eng.php?id=3796.</w:t>
      </w:r>
    </w:p>
  </w:endnote>
  <w:endnote w:id="29">
    <w:p w14:paraId="2324C260" w14:textId="163E1621" w:rsidR="002B6EE7" w:rsidRPr="003C7EBE" w:rsidRDefault="002B6EE7" w:rsidP="0071309E">
      <w:pPr>
        <w:pStyle w:val="Footnote"/>
        <w:rPr>
          <w:lang w:val="en-GB"/>
        </w:rPr>
      </w:pPr>
      <w:r w:rsidRPr="003C7EBE">
        <w:rPr>
          <w:rStyle w:val="EndnoteReference"/>
          <w:lang w:val="en-GB"/>
        </w:rPr>
        <w:endnoteRef/>
      </w:r>
      <w:r w:rsidRPr="003C7EBE">
        <w:rPr>
          <w:lang w:val="en-GB"/>
        </w:rPr>
        <w:t xml:space="preserve"> “Canada’s Dairy Industry at a Glance,” Canadian Dairy Information Centre, Government of Canada, September 13, 2017, accessed October 9, 2017, www.dairyinfo.gc.ca/index_e.php?s1=cdi-ilc&amp;s2=aag-ail. </w:t>
      </w:r>
    </w:p>
  </w:endnote>
  <w:endnote w:id="30">
    <w:p w14:paraId="5441A6AE" w14:textId="66E3B063" w:rsidR="002B6EE7" w:rsidRPr="003C7EBE" w:rsidRDefault="002B6EE7" w:rsidP="0071309E">
      <w:pPr>
        <w:pStyle w:val="EndnoteText"/>
        <w:jc w:val="both"/>
        <w:rPr>
          <w:rFonts w:ascii="Arial" w:hAnsi="Arial" w:cs="Arial"/>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“Dairy Products,” Canadian Food Inspection Agency, Government of Canada, June 25, 2018, accessed September 26, 2018, www.inspection.gc.ca/food/dairy-products/eng/1299789088163/1299794504365.</w:t>
      </w:r>
    </w:p>
  </w:endnote>
  <w:endnote w:id="31">
    <w:p w14:paraId="75A437D3" w14:textId="7856DFD5" w:rsidR="002B6EE7" w:rsidRPr="003C7EBE" w:rsidRDefault="002B6EE7" w:rsidP="0071309E">
      <w:pPr>
        <w:pStyle w:val="EndnoteText"/>
        <w:jc w:val="both"/>
        <w:rPr>
          <w:rFonts w:ascii="Arial" w:hAnsi="Arial" w:cs="Arial"/>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“About Us,” Agriculture and Agri-Food Canada, Government of Canada, March 5, 2018, accessed September 26, 2018, www.agr.gc.ca/eng/about-us/?id=1360699683758.</w:t>
      </w:r>
    </w:p>
  </w:endnote>
  <w:endnote w:id="32">
    <w:p w14:paraId="241340E8" w14:textId="7348D278" w:rsidR="002B6EE7" w:rsidRPr="003C7EBE" w:rsidRDefault="002B6EE7" w:rsidP="0034644A">
      <w:pPr>
        <w:pStyle w:val="Footnote"/>
        <w:rPr>
          <w:lang w:val="en-GB"/>
        </w:rPr>
      </w:pPr>
      <w:r w:rsidRPr="003C7EBE">
        <w:rPr>
          <w:rStyle w:val="EndnoteReference"/>
          <w:lang w:val="en-GB"/>
        </w:rPr>
        <w:endnoteRef/>
      </w:r>
      <w:r w:rsidRPr="003C7EBE">
        <w:rPr>
          <w:vertAlign w:val="superscript"/>
          <w:lang w:val="en-GB"/>
        </w:rPr>
        <w:t xml:space="preserve"> </w:t>
      </w:r>
      <w:r w:rsidRPr="003C7EBE">
        <w:rPr>
          <w:lang w:val="en-GB"/>
        </w:rPr>
        <w:t>“Canadian Quality Milk,” Dairy Farmers of Canada, September 9, 2015, accessed September, 2018, www.dairyfarmers.ca/what-we-do/programs/canadian-quality-milk.</w:t>
      </w:r>
    </w:p>
  </w:endnote>
  <w:endnote w:id="33">
    <w:p w14:paraId="3D3EB9DC" w14:textId="010875C3" w:rsidR="002B6EE7" w:rsidRPr="003C7EBE" w:rsidRDefault="002B6EE7" w:rsidP="0071309E">
      <w:pPr>
        <w:pStyle w:val="EndnoteText"/>
        <w:jc w:val="both"/>
        <w:rPr>
          <w:rFonts w:ascii="Arial" w:hAnsi="Arial" w:cs="Arial"/>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“Canada’s Dairy Industry at a Glance,” op. cit. </w:t>
      </w:r>
    </w:p>
  </w:endnote>
  <w:endnote w:id="34">
    <w:p w14:paraId="2A6CF202" w14:textId="0D9114E2" w:rsidR="002B6EE7" w:rsidRPr="003C7EBE" w:rsidRDefault="002B6EE7" w:rsidP="0071309E">
      <w:pPr>
        <w:pStyle w:val="EndnoteText"/>
        <w:jc w:val="both"/>
        <w:rPr>
          <w:rFonts w:ascii="Arial" w:hAnsi="Arial" w:cs="Arial"/>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“Milk, Total + (Total),” Food and Agriculture Organization of the United Nations, accessed September 26, 2018, www.fao.org/faostat/zh/?#search/milk.</w:t>
      </w:r>
    </w:p>
  </w:endnote>
  <w:endnote w:id="35">
    <w:p w14:paraId="308CFC56" w14:textId="61CF7DEA" w:rsidR="002B6EE7" w:rsidRPr="003C7EBE" w:rsidRDefault="002B6EE7" w:rsidP="0071309E">
      <w:pPr>
        <w:pStyle w:val="Footnote"/>
        <w:rPr>
          <w:lang w:val="en-GB"/>
        </w:rPr>
      </w:pPr>
      <w:r w:rsidRPr="003C7EBE">
        <w:rPr>
          <w:rStyle w:val="EndnoteReference"/>
          <w:lang w:val="en-GB"/>
        </w:rPr>
        <w:endnoteRef/>
      </w:r>
      <w:r w:rsidRPr="003C7EBE">
        <w:rPr>
          <w:lang w:val="en-GB"/>
        </w:rPr>
        <w:t xml:space="preserve"> </w:t>
      </w:r>
      <w:r>
        <w:rPr>
          <w:lang w:val="en-GB"/>
        </w:rPr>
        <w:t>“</w:t>
      </w:r>
      <w:r w:rsidRPr="003C7EBE">
        <w:rPr>
          <w:lang w:val="en-GB"/>
        </w:rPr>
        <w:t>Canada’s Dairy Industry at a Glance,</w:t>
      </w:r>
      <w:r>
        <w:rPr>
          <w:lang w:val="en-GB"/>
        </w:rPr>
        <w:t>”</w:t>
      </w:r>
      <w:r w:rsidRPr="003C7EBE">
        <w:rPr>
          <w:lang w:val="en-GB"/>
        </w:rPr>
        <w:t xml:space="preserve"> op. cit. </w:t>
      </w:r>
    </w:p>
  </w:endnote>
  <w:endnote w:id="36">
    <w:p w14:paraId="2BB93F44" w14:textId="42BF8C32" w:rsidR="002B6EE7" w:rsidRPr="003C7EBE" w:rsidRDefault="002B6EE7" w:rsidP="0071309E">
      <w:pPr>
        <w:pStyle w:val="Footnote"/>
        <w:rPr>
          <w:lang w:val="en-GB"/>
        </w:rPr>
      </w:pPr>
      <w:r w:rsidRPr="003C7EBE">
        <w:rPr>
          <w:rStyle w:val="EndnoteReference"/>
          <w:lang w:val="en-GB"/>
        </w:rPr>
        <w:endnoteRef/>
      </w:r>
      <w:r w:rsidRPr="003C7EBE">
        <w:rPr>
          <w:lang w:val="en-GB"/>
        </w:rPr>
        <w:t xml:space="preserve"> Dairy Farmers of Canada, </w:t>
      </w:r>
      <w:r w:rsidRPr="003C7EBE">
        <w:rPr>
          <w:i/>
          <w:lang w:val="en-GB"/>
        </w:rPr>
        <w:t>2015–2016 Dairy Sector Issues</w:t>
      </w:r>
      <w:r w:rsidRPr="003C7EBE">
        <w:rPr>
          <w:lang w:val="en-GB"/>
        </w:rPr>
        <w:t xml:space="preserve">, accessed June 25, 2018, www.dairyfarmers.ca/annualreport/wp-content/uploads/2016/01/2015-2016_Dairy_Sector_Issues.pdf. </w:t>
      </w:r>
    </w:p>
  </w:endnote>
  <w:endnote w:id="37">
    <w:p w14:paraId="7CBCED3D" w14:textId="1DBD9ABC" w:rsidR="002B6EE7" w:rsidRPr="003C7EBE" w:rsidRDefault="002B6EE7" w:rsidP="0071309E">
      <w:pPr>
        <w:pStyle w:val="Footnote"/>
        <w:rPr>
          <w:lang w:val="en-GB"/>
        </w:rPr>
      </w:pPr>
      <w:r w:rsidRPr="003C7EBE">
        <w:rPr>
          <w:rStyle w:val="EndnoteReference"/>
          <w:lang w:val="en-GB"/>
        </w:rPr>
        <w:endnoteRef/>
      </w:r>
      <w:r w:rsidRPr="003C7EBE">
        <w:rPr>
          <w:lang w:val="en-GB"/>
        </w:rPr>
        <w:t xml:space="preserve"> Ibid.</w:t>
      </w:r>
    </w:p>
  </w:endnote>
  <w:endnote w:id="38">
    <w:p w14:paraId="4F2C85F1" w14:textId="048978AB" w:rsidR="002B6EE7" w:rsidRPr="003C7EBE" w:rsidRDefault="002B6EE7" w:rsidP="0034644A">
      <w:pPr>
        <w:pStyle w:val="Footnote"/>
        <w:rPr>
          <w:b/>
          <w:lang w:val="en-GB"/>
        </w:rPr>
      </w:pPr>
      <w:r w:rsidRPr="003C7EBE">
        <w:rPr>
          <w:rStyle w:val="EndnoteReference"/>
          <w:lang w:val="en-GB"/>
        </w:rPr>
        <w:endnoteRef/>
      </w:r>
      <w:r w:rsidRPr="003C7EBE">
        <w:rPr>
          <w:lang w:val="en-GB"/>
        </w:rPr>
        <w:t xml:space="preserve"> “Supply Management,” Dairy Farmers of Canada, accessed September 26, 2018, www.dairyfarmers.ca/what-we-do/supply-management.</w:t>
      </w:r>
    </w:p>
  </w:endnote>
  <w:endnote w:id="39">
    <w:p w14:paraId="7A260698" w14:textId="49723833" w:rsidR="002B6EE7" w:rsidRPr="003C7EBE" w:rsidRDefault="002B6EE7" w:rsidP="0071309E">
      <w:pPr>
        <w:pStyle w:val="EndnoteText"/>
        <w:jc w:val="both"/>
        <w:rPr>
          <w:rFonts w:ascii="Arial" w:hAnsi="Arial" w:cs="Arial"/>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Katie Lobosco, “Why Canada’s Dairy Market </w:t>
      </w:r>
      <w:r>
        <w:rPr>
          <w:rFonts w:ascii="Arial" w:hAnsi="Arial" w:cs="Arial"/>
          <w:sz w:val="17"/>
          <w:szCs w:val="17"/>
          <w:lang w:val="en-GB"/>
        </w:rPr>
        <w:t>I</w:t>
      </w:r>
      <w:r w:rsidRPr="003C7EBE">
        <w:rPr>
          <w:rFonts w:ascii="Arial" w:hAnsi="Arial" w:cs="Arial"/>
          <w:sz w:val="17"/>
          <w:szCs w:val="17"/>
          <w:lang w:val="en-GB"/>
        </w:rPr>
        <w:t xml:space="preserve">s a Target in NAFTA Talks,” </w:t>
      </w:r>
      <w:r w:rsidRPr="003C7EBE">
        <w:rPr>
          <w:rFonts w:ascii="Arial" w:hAnsi="Arial" w:cs="Arial"/>
          <w:i/>
          <w:sz w:val="17"/>
          <w:szCs w:val="17"/>
          <w:lang w:val="en-GB"/>
        </w:rPr>
        <w:t>CNN</w:t>
      </w:r>
      <w:r w:rsidRPr="003C7EBE">
        <w:rPr>
          <w:rFonts w:ascii="Arial" w:hAnsi="Arial" w:cs="Arial"/>
          <w:sz w:val="17"/>
          <w:szCs w:val="17"/>
          <w:lang w:val="en-GB"/>
        </w:rPr>
        <w:t>, September 5, 2018, accessed September 26, 2018, www.cnn.com/2018/09/05/politics/nafta-canada-dairy-tariffs/index.html.</w:t>
      </w:r>
    </w:p>
  </w:endnote>
  <w:endnote w:id="40">
    <w:p w14:paraId="1FD7F653" w14:textId="05E08ED8" w:rsidR="002B6EE7" w:rsidRPr="003C7EBE" w:rsidRDefault="002B6EE7" w:rsidP="0071309E">
      <w:pPr>
        <w:pStyle w:val="EndnoteText"/>
        <w:jc w:val="both"/>
        <w:rPr>
          <w:rFonts w:ascii="Arial" w:hAnsi="Arial" w:cs="Arial"/>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Kelsey Johnson, “Dairy 101: The Canada–</w:t>
      </w:r>
      <w:r>
        <w:rPr>
          <w:rFonts w:ascii="Arial" w:hAnsi="Arial" w:cs="Arial"/>
          <w:sz w:val="17"/>
          <w:szCs w:val="17"/>
          <w:lang w:val="en-GB"/>
        </w:rPr>
        <w:t>US</w:t>
      </w:r>
      <w:r w:rsidRPr="003C7EBE">
        <w:rPr>
          <w:rFonts w:ascii="Arial" w:hAnsi="Arial" w:cs="Arial"/>
          <w:sz w:val="17"/>
          <w:szCs w:val="17"/>
          <w:lang w:val="en-GB"/>
        </w:rPr>
        <w:t xml:space="preserve"> Milk Spat Explained,” </w:t>
      </w:r>
      <w:r w:rsidRPr="003C7EBE">
        <w:rPr>
          <w:rFonts w:ascii="Arial" w:hAnsi="Arial" w:cs="Arial"/>
          <w:i/>
          <w:sz w:val="17"/>
          <w:szCs w:val="17"/>
          <w:lang w:val="en-GB"/>
        </w:rPr>
        <w:t>iPOLITICS</w:t>
      </w:r>
      <w:r w:rsidRPr="003C7EBE">
        <w:rPr>
          <w:rFonts w:ascii="Arial" w:hAnsi="Arial" w:cs="Arial"/>
          <w:sz w:val="17"/>
          <w:szCs w:val="17"/>
          <w:lang w:val="en-GB"/>
        </w:rPr>
        <w:t>, April 22, 2017, accessed September 26, 2018, ipolitics.ca/2017/04/22/dairy-101-the-canada-u-s-milk-spat-explained/.</w:t>
      </w:r>
    </w:p>
  </w:endnote>
  <w:endnote w:id="41">
    <w:p w14:paraId="3B11806E" w14:textId="16BC869C" w:rsidR="002B6EE7" w:rsidRPr="003C7EBE" w:rsidRDefault="002B6EE7" w:rsidP="0071309E">
      <w:pPr>
        <w:pStyle w:val="Footnote"/>
        <w:rPr>
          <w:lang w:val="en-GB"/>
        </w:rPr>
      </w:pPr>
      <w:r w:rsidRPr="003C7EBE">
        <w:rPr>
          <w:rStyle w:val="EndnoteReference"/>
          <w:lang w:val="en-GB"/>
        </w:rPr>
        <w:endnoteRef/>
      </w:r>
      <w:r w:rsidRPr="003C7EBE">
        <w:rPr>
          <w:lang w:val="en-GB"/>
        </w:rPr>
        <w:t xml:space="preserve"> Ven Venkatachalam, “Today Marks the Beginning of the End for the Canadian Dairy Consumer!,” The School of Public Policy (blog), University of Calgary, February 6, 2017, accessed October 16, 2017, </w:t>
      </w:r>
      <w:bookmarkStart w:id="14" w:name="OLE_LINK42"/>
      <w:bookmarkStart w:id="15" w:name="OLE_LINK43"/>
      <w:r w:rsidRPr="003C7EBE">
        <w:rPr>
          <w:lang w:val="en-GB"/>
        </w:rPr>
        <w:t>www.policyschool.ca/today-marks-beginning-end-Canadian-dairy-consumer/.</w:t>
      </w:r>
    </w:p>
    <w:bookmarkEnd w:id="14"/>
    <w:bookmarkEnd w:id="15"/>
  </w:endnote>
  <w:endnote w:id="42">
    <w:p w14:paraId="1AFF9309" w14:textId="5984D8B3" w:rsidR="002B6EE7" w:rsidRPr="003C7EBE" w:rsidRDefault="002B6EE7" w:rsidP="0071309E">
      <w:pPr>
        <w:pStyle w:val="Footnote"/>
        <w:rPr>
          <w:lang w:val="en-GB"/>
        </w:rPr>
      </w:pPr>
      <w:r w:rsidRPr="003C7EBE">
        <w:rPr>
          <w:rStyle w:val="EndnoteReference"/>
          <w:lang w:val="en-GB"/>
        </w:rPr>
        <w:endnoteRef/>
      </w:r>
      <w:r w:rsidRPr="003C7EBE">
        <w:rPr>
          <w:lang w:val="en-GB"/>
        </w:rPr>
        <w:t xml:space="preserve"> “The Industry,” Canadian Dairy Commission, accessed September 3, 2017, www.cdc-ccl.gc.ca/CDC/index-eng.php?id=3796.</w:t>
      </w:r>
    </w:p>
  </w:endnote>
  <w:endnote w:id="43">
    <w:p w14:paraId="59B88880" w14:textId="3DE2D4CB" w:rsidR="002B6EE7" w:rsidRPr="003C7EBE" w:rsidRDefault="002B6EE7" w:rsidP="0071309E">
      <w:pPr>
        <w:pStyle w:val="Footnote"/>
        <w:rPr>
          <w:lang w:val="en-GB"/>
        </w:rPr>
      </w:pPr>
      <w:r w:rsidRPr="003C7EBE">
        <w:rPr>
          <w:rStyle w:val="EndnoteReference"/>
          <w:lang w:val="en-GB"/>
        </w:rPr>
        <w:endnoteRef/>
      </w:r>
      <w:r w:rsidRPr="003C7EBE">
        <w:rPr>
          <w:lang w:val="en-GB"/>
        </w:rPr>
        <w:t xml:space="preserve"> Dairy Farmers Ontario, </w:t>
      </w:r>
      <w:r w:rsidRPr="003C7EBE">
        <w:rPr>
          <w:i/>
          <w:lang w:val="en-GB"/>
        </w:rPr>
        <w:t>2016 Annual Report</w:t>
      </w:r>
      <w:r w:rsidRPr="003C7EBE">
        <w:rPr>
          <w:lang w:val="en-GB"/>
        </w:rPr>
        <w:t>, accessed October 4, 2017, www.milk.org/corporate/pdf/Publications-AnnualReport.pdf.</w:t>
      </w:r>
    </w:p>
  </w:endnote>
  <w:endnote w:id="44">
    <w:p w14:paraId="4BB7D916" w14:textId="142C2688" w:rsidR="002B6EE7" w:rsidRPr="003C7EBE" w:rsidRDefault="002B6EE7" w:rsidP="0071309E">
      <w:pPr>
        <w:pStyle w:val="Footnote"/>
        <w:rPr>
          <w:b/>
          <w:spacing w:val="-4"/>
          <w:lang w:val="en-GB"/>
        </w:rPr>
      </w:pPr>
      <w:r w:rsidRPr="003C7EBE">
        <w:rPr>
          <w:rStyle w:val="EndnoteReference"/>
          <w:spacing w:val="-4"/>
          <w:lang w:val="en-GB"/>
        </w:rPr>
        <w:endnoteRef/>
      </w:r>
      <w:r w:rsidRPr="003C7EBE">
        <w:rPr>
          <w:spacing w:val="-4"/>
          <w:lang w:val="en-GB"/>
        </w:rPr>
        <w:t xml:space="preserve"> Frances Anderson, “Producers Told Their Fear of Expansion Was Unfounded; The Price Downturn That Followed Expansions in Earlier Years Was Not Likely to Repeat Itself,” </w:t>
      </w:r>
      <w:r w:rsidRPr="003C7EBE">
        <w:rPr>
          <w:i/>
          <w:spacing w:val="-4"/>
          <w:lang w:val="en-GB"/>
        </w:rPr>
        <w:t>Ontario Farmer</w:t>
      </w:r>
      <w:r w:rsidRPr="003C7EBE">
        <w:rPr>
          <w:spacing w:val="-4"/>
          <w:lang w:val="en-GB"/>
        </w:rPr>
        <w:t>, April 19, 2016, accessed October 9, 2017, mariposadairy.ca/wp-content/uploads/Producers-told-their-fear-of-expansion-is-unfounded-April-19-2016-Ontario-Farmer-magazine.docx.</w:t>
      </w:r>
    </w:p>
  </w:endnote>
  <w:endnote w:id="45">
    <w:p w14:paraId="5DCD048D" w14:textId="0EE7A9D7" w:rsidR="002B6EE7" w:rsidRPr="003C7EBE" w:rsidRDefault="002B6EE7" w:rsidP="0071309E">
      <w:pPr>
        <w:pStyle w:val="EndnoteText"/>
        <w:jc w:val="both"/>
        <w:rPr>
          <w:rFonts w:ascii="Arial" w:hAnsi="Arial" w:cs="Arial"/>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Xuewei Liu, “Feihe Beat Foreign Milk Powder in Ten Provinces,” [in Chinese] </w:t>
      </w:r>
      <w:r w:rsidRPr="003C7EBE">
        <w:rPr>
          <w:rFonts w:ascii="Arial" w:hAnsi="Arial" w:cs="Arial"/>
          <w:i/>
          <w:sz w:val="17"/>
          <w:szCs w:val="17"/>
          <w:lang w:val="en-GB"/>
        </w:rPr>
        <w:t>Business Review</w:t>
      </w:r>
      <w:r w:rsidRPr="003C7EBE">
        <w:rPr>
          <w:rFonts w:ascii="Arial" w:hAnsi="Arial" w:cs="Arial"/>
          <w:sz w:val="17"/>
          <w:szCs w:val="17"/>
          <w:lang w:val="en-GB"/>
        </w:rPr>
        <w:t>, December 7, 2016, accessed September 26, 2018, www.ebusinessreview.cn/articledetail-287396.html.</w:t>
      </w:r>
    </w:p>
  </w:endnote>
  <w:endnote w:id="46">
    <w:p w14:paraId="6397C5E9" w14:textId="2437596D" w:rsidR="002B6EE7" w:rsidRPr="003C7EBE" w:rsidRDefault="002B6EE7" w:rsidP="0071309E">
      <w:pPr>
        <w:pStyle w:val="EndnoteText"/>
        <w:jc w:val="both"/>
        <w:rPr>
          <w:rFonts w:ascii="Arial" w:hAnsi="Arial" w:cs="Arial"/>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Li Xing, “Feihe Is Applying to Be Listed in Hong Kong: It Is Another Wave of Domestic Chinese Dairy Companies to Enter the Hong Kong Stock Market,” [in Chinese] </w:t>
      </w:r>
      <w:r w:rsidRPr="003C7EBE">
        <w:rPr>
          <w:rFonts w:ascii="Arial" w:hAnsi="Arial" w:cs="Arial"/>
          <w:i/>
          <w:sz w:val="17"/>
          <w:szCs w:val="17"/>
          <w:lang w:val="en-GB"/>
        </w:rPr>
        <w:t>Zhitong Finance</w:t>
      </w:r>
      <w:r w:rsidRPr="003C7EBE">
        <w:rPr>
          <w:rFonts w:ascii="Arial" w:hAnsi="Arial" w:cs="Arial"/>
          <w:sz w:val="17"/>
          <w:szCs w:val="17"/>
          <w:lang w:val="en-GB"/>
        </w:rPr>
        <w:t>, May 19, 2017, accessed September 26, 2018, www.zhitongcaijing.com/content/detail/58165.html.</w:t>
      </w:r>
    </w:p>
  </w:endnote>
  <w:endnote w:id="47">
    <w:p w14:paraId="509070AF" w14:textId="00CBFCA7" w:rsidR="002B6EE7" w:rsidRPr="003C7EBE" w:rsidRDefault="002B6EE7" w:rsidP="0071309E">
      <w:pPr>
        <w:pStyle w:val="EndnoteText"/>
        <w:jc w:val="both"/>
        <w:rPr>
          <w:rFonts w:ascii="Arial" w:hAnsi="Arial" w:cs="Arial"/>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Huang Chunying, “Feihe Builds Its Factory in the </w:t>
      </w:r>
      <w:r>
        <w:rPr>
          <w:rFonts w:ascii="Arial" w:hAnsi="Arial" w:cs="Arial"/>
          <w:sz w:val="17"/>
          <w:szCs w:val="17"/>
          <w:lang w:val="en-GB"/>
        </w:rPr>
        <w:t>US</w:t>
      </w:r>
      <w:r w:rsidRPr="003C7EBE">
        <w:rPr>
          <w:rFonts w:ascii="Arial" w:hAnsi="Arial" w:cs="Arial"/>
          <w:sz w:val="17"/>
          <w:szCs w:val="17"/>
          <w:lang w:val="en-GB"/>
        </w:rPr>
        <w:t xml:space="preserve"> with the Ligao High-Tech Company,” [in Chinese] </w:t>
      </w:r>
      <w:r w:rsidRPr="003C7EBE">
        <w:rPr>
          <w:rFonts w:ascii="Arial" w:hAnsi="Arial" w:cs="Arial"/>
          <w:i/>
          <w:sz w:val="17"/>
          <w:szCs w:val="17"/>
          <w:lang w:val="en-GB"/>
        </w:rPr>
        <w:t>Heilongjiang Daily</w:t>
      </w:r>
      <w:r w:rsidRPr="003C7EBE">
        <w:rPr>
          <w:rFonts w:ascii="Arial" w:hAnsi="Arial" w:cs="Arial"/>
          <w:sz w:val="17"/>
          <w:szCs w:val="17"/>
          <w:lang w:val="en-GB"/>
        </w:rPr>
        <w:t>, November 18, 2015, accessed October 10, 2018, www.xinhuanet.com/local/2015-11/18/c_128439892.htm.</w:t>
      </w:r>
    </w:p>
  </w:endnote>
  <w:endnote w:id="48">
    <w:p w14:paraId="503FCFC7" w14:textId="4EB2DDB9" w:rsidR="002B6EE7" w:rsidRPr="003C7EBE" w:rsidRDefault="002B6EE7" w:rsidP="0071309E">
      <w:pPr>
        <w:pStyle w:val="EndnoteText"/>
        <w:jc w:val="both"/>
        <w:rPr>
          <w:rFonts w:ascii="Arial" w:hAnsi="Arial" w:cs="Arial"/>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“Joint Statement between Canada and the People’s Republic of China,” Office of the Prime Minister of Canada, news release, September 23, 2016, accessed October 10, 2018, pm.gc.ca/eng/news/2016/09/23/joint-statement-between-canada-and-peoples-republic-china.</w:t>
      </w:r>
    </w:p>
  </w:endnote>
  <w:endnote w:id="49">
    <w:p w14:paraId="3B12D5D7" w14:textId="3CC51E69" w:rsidR="002B6EE7" w:rsidRPr="003C7EBE" w:rsidRDefault="002B6EE7" w:rsidP="0071309E">
      <w:pPr>
        <w:pStyle w:val="EndnoteText"/>
        <w:jc w:val="both"/>
        <w:rPr>
          <w:rFonts w:ascii="Arial" w:hAnsi="Arial" w:cs="Arial"/>
          <w:spacing w:val="-4"/>
          <w:sz w:val="17"/>
          <w:szCs w:val="17"/>
          <w:lang w:val="en-GB"/>
        </w:rPr>
      </w:pPr>
      <w:r w:rsidRPr="003C7EBE">
        <w:rPr>
          <w:rStyle w:val="EndnoteReference"/>
          <w:rFonts w:ascii="Arial" w:hAnsi="Arial" w:cs="Arial"/>
          <w:spacing w:val="-4"/>
          <w:sz w:val="17"/>
          <w:szCs w:val="17"/>
          <w:lang w:val="en-GB"/>
        </w:rPr>
        <w:endnoteRef/>
      </w:r>
      <w:r w:rsidRPr="003C7EBE">
        <w:rPr>
          <w:rFonts w:ascii="Arial" w:hAnsi="Arial" w:cs="Arial"/>
          <w:spacing w:val="-4"/>
          <w:sz w:val="17"/>
          <w:szCs w:val="17"/>
          <w:lang w:val="en-GB"/>
        </w:rPr>
        <w:t xml:space="preserve"> Li Keqiang, “China–Canada Relations: A Time to Nurture Co-operation,” </w:t>
      </w:r>
      <w:r w:rsidRPr="003C7EBE">
        <w:rPr>
          <w:rFonts w:ascii="Arial" w:hAnsi="Arial" w:cs="Arial"/>
          <w:i/>
          <w:spacing w:val="-4"/>
          <w:sz w:val="17"/>
          <w:szCs w:val="17"/>
          <w:lang w:val="en-GB"/>
        </w:rPr>
        <w:t>Globe and Mail</w:t>
      </w:r>
      <w:r w:rsidRPr="003C7EBE">
        <w:rPr>
          <w:rFonts w:ascii="Arial" w:hAnsi="Arial" w:cs="Arial"/>
          <w:spacing w:val="-4"/>
          <w:sz w:val="17"/>
          <w:szCs w:val="17"/>
          <w:lang w:val="en-GB"/>
        </w:rPr>
        <w:t>, September 21, 2016, accessed October 10, 2018, www.theglobeandmail.com/opinion/china-canada-relations-a-time-to-nurture-co-operation/article31974303/.</w:t>
      </w:r>
    </w:p>
  </w:endnote>
  <w:endnote w:id="50">
    <w:p w14:paraId="5CA27D0F" w14:textId="151634D5" w:rsidR="002B6EE7" w:rsidRPr="003C7EBE" w:rsidRDefault="002B6EE7" w:rsidP="0071309E">
      <w:pPr>
        <w:pStyle w:val="EndnoteText"/>
        <w:jc w:val="both"/>
        <w:rPr>
          <w:rFonts w:ascii="Arial" w:hAnsi="Arial" w:cs="Arial"/>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Elliot Ferguson, “KEDCO Execs in China Meeting with Feihe, Other Companies,” </w:t>
      </w:r>
      <w:bookmarkStart w:id="18" w:name="OLE_LINK52"/>
      <w:bookmarkStart w:id="19" w:name="OLE_LINK53"/>
      <w:r w:rsidRPr="003C7EBE">
        <w:rPr>
          <w:rFonts w:ascii="Arial" w:hAnsi="Arial" w:cs="Arial"/>
          <w:i/>
          <w:sz w:val="17"/>
          <w:szCs w:val="17"/>
          <w:lang w:val="en-GB"/>
        </w:rPr>
        <w:t>Kingston Whig-Standard</w:t>
      </w:r>
      <w:bookmarkEnd w:id="18"/>
      <w:bookmarkEnd w:id="19"/>
      <w:r w:rsidRPr="003C7EBE">
        <w:rPr>
          <w:rFonts w:ascii="Arial" w:hAnsi="Arial" w:cs="Arial"/>
          <w:sz w:val="17"/>
          <w:szCs w:val="17"/>
          <w:lang w:val="en-GB"/>
        </w:rPr>
        <w:t>, July 17, 2017, accessed June 25, 2018, www.thewhig.com/2017/07/17/kedco-execs-on-business-mission-in-china.</w:t>
      </w:r>
    </w:p>
  </w:endnote>
  <w:endnote w:id="51">
    <w:p w14:paraId="60A48E20" w14:textId="7D2CAFC8" w:rsidR="002B6EE7" w:rsidRPr="003C7EBE" w:rsidRDefault="002B6EE7" w:rsidP="0071309E">
      <w:pPr>
        <w:pStyle w:val="Footnote"/>
        <w:rPr>
          <w:lang w:val="en-GB"/>
        </w:rPr>
      </w:pPr>
      <w:r w:rsidRPr="003C7EBE">
        <w:rPr>
          <w:rStyle w:val="EndnoteReference"/>
          <w:lang w:val="en-GB"/>
        </w:rPr>
        <w:endnoteRef/>
      </w:r>
      <w:r w:rsidRPr="003C7EBE">
        <w:rPr>
          <w:lang w:val="en-GB"/>
        </w:rPr>
        <w:t xml:space="preserve"> “Kingston Ranked Top City in North America by </w:t>
      </w:r>
      <w:r w:rsidRPr="003C7EBE">
        <w:rPr>
          <w:i/>
          <w:lang w:val="en-GB"/>
        </w:rPr>
        <w:t>Financial Times</w:t>
      </w:r>
      <w:r w:rsidRPr="003C7EBE">
        <w:rPr>
          <w:lang w:val="en-GB"/>
        </w:rPr>
        <w:t>,” Kingston Economic Development, news release, April 10, 2017, accessed October 20, 2017, business.kingstonCanada.com/en/News/index.aspx?newsId=87d1b575-9fef-4a53-9222-a2cbafb26e6b.</w:t>
      </w:r>
    </w:p>
  </w:endnote>
  <w:endnote w:id="52">
    <w:p w14:paraId="23ED4E20" w14:textId="366083B1" w:rsidR="002B6EE7" w:rsidRPr="003C7EBE" w:rsidRDefault="002B6EE7" w:rsidP="00D30F34">
      <w:pPr>
        <w:pStyle w:val="EndnoteText"/>
        <w:jc w:val="both"/>
        <w:rPr>
          <w:rFonts w:ascii="Arial" w:hAnsi="Arial" w:cs="Arial"/>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“Demographics,” Kingston Economic Development, June 12, 2017, accessed June 25, 2018, business.kingstoncanada.com/en/statistics/demographics.asp.</w:t>
      </w:r>
    </w:p>
  </w:endnote>
  <w:endnote w:id="53">
    <w:p w14:paraId="61DAD5B3" w14:textId="00127246" w:rsidR="002B6EE7" w:rsidRPr="003C7EBE" w:rsidRDefault="002B6EE7" w:rsidP="00D30F34">
      <w:pPr>
        <w:pStyle w:val="EndnoteText"/>
        <w:jc w:val="both"/>
        <w:rPr>
          <w:rFonts w:ascii="Arial" w:hAnsi="Arial" w:cs="Arial"/>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“Business Parks,” Kingston Economic Development, accessed October 10, 2018, business.kingstoncanada.com/en/why-kingston/businessparks.asp.</w:t>
      </w:r>
    </w:p>
  </w:endnote>
  <w:endnote w:id="54">
    <w:p w14:paraId="23451716" w14:textId="420A4889" w:rsidR="002B6EE7" w:rsidRPr="003C7EBE" w:rsidRDefault="002B6EE7" w:rsidP="00D30F34">
      <w:pPr>
        <w:pStyle w:val="EndnoteText"/>
        <w:jc w:val="both"/>
        <w:rPr>
          <w:rFonts w:ascii="Arial" w:hAnsi="Arial" w:cs="Arial"/>
          <w:sz w:val="17"/>
          <w:szCs w:val="17"/>
          <w:lang w:val="en-GB"/>
        </w:rPr>
      </w:pPr>
      <w:r w:rsidRPr="003C7EBE">
        <w:rPr>
          <w:rStyle w:val="EndnoteReference"/>
          <w:rFonts w:ascii="Arial" w:hAnsi="Arial" w:cs="Arial"/>
          <w:sz w:val="17"/>
          <w:szCs w:val="17"/>
          <w:lang w:val="en-GB"/>
        </w:rPr>
        <w:endnoteRef/>
      </w:r>
      <w:r w:rsidRPr="003C7EBE">
        <w:rPr>
          <w:rFonts w:ascii="Arial" w:hAnsi="Arial" w:cs="Arial"/>
          <w:sz w:val="17"/>
          <w:szCs w:val="17"/>
          <w:lang w:val="en-GB"/>
        </w:rPr>
        <w:t xml:space="preserve"> Kingston Economic Development, </w:t>
      </w:r>
      <w:r w:rsidRPr="003C7EBE">
        <w:rPr>
          <w:rFonts w:ascii="Arial" w:hAnsi="Arial" w:cs="Arial"/>
          <w:i/>
          <w:sz w:val="17"/>
          <w:szCs w:val="17"/>
          <w:lang w:val="en-GB"/>
        </w:rPr>
        <w:t xml:space="preserve">Kingston ECDEV Strategic Plan 2015–2020, </w:t>
      </w:r>
      <w:r w:rsidRPr="003C7EBE">
        <w:rPr>
          <w:rFonts w:ascii="Arial" w:hAnsi="Arial" w:cs="Arial"/>
          <w:sz w:val="17"/>
          <w:szCs w:val="17"/>
          <w:lang w:val="en-GB"/>
        </w:rPr>
        <w:t>accessed October 10, 2018, business.kingstoncanada.com/en/about-us/strategicplan.asp.</w:t>
      </w:r>
    </w:p>
  </w:endnote>
  <w:endnote w:id="55">
    <w:p w14:paraId="2C935F6A" w14:textId="40B23F40" w:rsidR="002B6EE7" w:rsidRPr="003C7EBE" w:rsidRDefault="002B6EE7" w:rsidP="00D30F34">
      <w:pPr>
        <w:pStyle w:val="Footnote"/>
        <w:rPr>
          <w:lang w:val="en-GB"/>
        </w:rPr>
      </w:pPr>
      <w:r w:rsidRPr="003C7EBE">
        <w:rPr>
          <w:rStyle w:val="EndnoteReference"/>
          <w:lang w:val="en-GB"/>
        </w:rPr>
        <w:endnoteRef/>
      </w:r>
      <w:r w:rsidRPr="003C7EBE">
        <w:rPr>
          <w:lang w:val="en-GB"/>
        </w:rPr>
        <w:t xml:space="preserve"> “Corporate Overview,” Kingston Economic Development, accessed October 20, 2017, business.kingstonCanada.com/en/about-us/corporateoverview.asp?_mid_=32910 b.</w:t>
      </w:r>
    </w:p>
  </w:endnote>
  <w:endnote w:id="56">
    <w:p w14:paraId="2F8FE63A" w14:textId="77777777" w:rsidR="002B6EE7" w:rsidRDefault="002B6EE7" w:rsidP="00D30F34">
      <w:pPr>
        <w:pStyle w:val="Footnote"/>
        <w:rPr>
          <w:lang w:val="en-GB"/>
        </w:rPr>
      </w:pPr>
      <w:r w:rsidRPr="003C7EBE">
        <w:rPr>
          <w:rStyle w:val="EndnoteReference"/>
          <w:lang w:val="en-GB"/>
        </w:rPr>
        <w:endnoteRef/>
      </w:r>
      <w:r w:rsidRPr="003C7EBE">
        <w:rPr>
          <w:lang w:val="en-GB"/>
        </w:rPr>
        <w:t xml:space="preserve"> “</w:t>
      </w:r>
      <w:bookmarkStart w:id="22" w:name="OLE_LINK48"/>
      <w:bookmarkStart w:id="23" w:name="OLE_LINK49"/>
      <w:r w:rsidRPr="003C7EBE">
        <w:rPr>
          <w:lang w:val="en-GB"/>
        </w:rPr>
        <w:t xml:space="preserve">Investment Support,” Kingston Economic Development, </w:t>
      </w:r>
      <w:bookmarkEnd w:id="22"/>
      <w:bookmarkEnd w:id="23"/>
      <w:r w:rsidRPr="003C7EBE">
        <w:rPr>
          <w:lang w:val="en-GB"/>
        </w:rPr>
        <w:t>accessed March 16, 2019, 67.225.211.98/</w:t>
      </w:r>
    </w:p>
    <w:p w14:paraId="7FECFF2A" w14:textId="3E80111E" w:rsidR="002B6EE7" w:rsidRPr="003C7EBE" w:rsidRDefault="002B6EE7" w:rsidP="00D30F34">
      <w:pPr>
        <w:pStyle w:val="Footnote"/>
        <w:rPr>
          <w:b/>
          <w:lang w:val="en-GB"/>
        </w:rPr>
      </w:pPr>
      <w:r w:rsidRPr="003C7EBE">
        <w:rPr>
          <w:lang w:val="en-GB"/>
        </w:rPr>
        <w:t xml:space="preserve">EDTools/communityProfilePDF.inc.php?communityProfileTabs[0]=Incentives&amp;prcdcsd=35521.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B0055" w14:textId="77777777" w:rsidR="002B6EE7" w:rsidRDefault="002B6EE7" w:rsidP="00D75295">
      <w:r>
        <w:separator/>
      </w:r>
    </w:p>
  </w:footnote>
  <w:footnote w:type="continuationSeparator" w:id="0">
    <w:p w14:paraId="0B3796D3" w14:textId="77777777" w:rsidR="002B6EE7" w:rsidRDefault="002B6EE7"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3139B27" w:rsidR="002B6EE7" w:rsidRPr="00C92CC4" w:rsidRDefault="002B6EE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13</w:t>
    </w:r>
    <w:r>
      <w:rPr>
        <w:rFonts w:ascii="Arial" w:hAnsi="Arial"/>
        <w:b/>
      </w:rPr>
      <w:fldChar w:fldCharType="end"/>
    </w:r>
    <w:r>
      <w:rPr>
        <w:rFonts w:ascii="Arial" w:hAnsi="Arial"/>
        <w:b/>
      </w:rPr>
      <w:tab/>
      <w:t>9B19M032</w:t>
    </w:r>
  </w:p>
  <w:p w14:paraId="2B53C0A0" w14:textId="77777777" w:rsidR="002B6EE7" w:rsidRDefault="002B6EE7" w:rsidP="00D13667">
    <w:pPr>
      <w:pStyle w:val="Header"/>
      <w:tabs>
        <w:tab w:val="clear" w:pos="4680"/>
      </w:tabs>
      <w:rPr>
        <w:sz w:val="18"/>
        <w:szCs w:val="18"/>
      </w:rPr>
    </w:pPr>
  </w:p>
  <w:p w14:paraId="47119730" w14:textId="77777777" w:rsidR="002B6EE7" w:rsidRPr="00C92CC4" w:rsidRDefault="002B6EE7"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76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7263F"/>
    <w:rsid w:val="0008102D"/>
    <w:rsid w:val="00086B26"/>
    <w:rsid w:val="00094C0E"/>
    <w:rsid w:val="000A146D"/>
    <w:rsid w:val="000B3A33"/>
    <w:rsid w:val="000D2A2F"/>
    <w:rsid w:val="000D7091"/>
    <w:rsid w:val="000E4AAF"/>
    <w:rsid w:val="000F0C22"/>
    <w:rsid w:val="000F6B09"/>
    <w:rsid w:val="000F6FDC"/>
    <w:rsid w:val="00101F45"/>
    <w:rsid w:val="00104567"/>
    <w:rsid w:val="00104916"/>
    <w:rsid w:val="00104AA7"/>
    <w:rsid w:val="0012732D"/>
    <w:rsid w:val="00143F25"/>
    <w:rsid w:val="00152682"/>
    <w:rsid w:val="00154FC9"/>
    <w:rsid w:val="00172C14"/>
    <w:rsid w:val="00176E91"/>
    <w:rsid w:val="00180A0C"/>
    <w:rsid w:val="0019241A"/>
    <w:rsid w:val="00192A18"/>
    <w:rsid w:val="001A22D1"/>
    <w:rsid w:val="001A3ED6"/>
    <w:rsid w:val="001A752D"/>
    <w:rsid w:val="001A757E"/>
    <w:rsid w:val="001B5032"/>
    <w:rsid w:val="001C7777"/>
    <w:rsid w:val="001D344B"/>
    <w:rsid w:val="001D7947"/>
    <w:rsid w:val="001E364F"/>
    <w:rsid w:val="001F1C69"/>
    <w:rsid w:val="001F4222"/>
    <w:rsid w:val="00203AA1"/>
    <w:rsid w:val="00205E99"/>
    <w:rsid w:val="00213E98"/>
    <w:rsid w:val="00230150"/>
    <w:rsid w:val="0023081A"/>
    <w:rsid w:val="00233111"/>
    <w:rsid w:val="002476D2"/>
    <w:rsid w:val="002576DD"/>
    <w:rsid w:val="00265FA8"/>
    <w:rsid w:val="00282365"/>
    <w:rsid w:val="00295498"/>
    <w:rsid w:val="002B0BE3"/>
    <w:rsid w:val="002B65C1"/>
    <w:rsid w:val="002B6EE7"/>
    <w:rsid w:val="002C4E29"/>
    <w:rsid w:val="002C6902"/>
    <w:rsid w:val="002F13AB"/>
    <w:rsid w:val="002F460C"/>
    <w:rsid w:val="002F48D6"/>
    <w:rsid w:val="00316E22"/>
    <w:rsid w:val="00317391"/>
    <w:rsid w:val="00326216"/>
    <w:rsid w:val="00336580"/>
    <w:rsid w:val="0034022F"/>
    <w:rsid w:val="0034644A"/>
    <w:rsid w:val="003516E2"/>
    <w:rsid w:val="00354899"/>
    <w:rsid w:val="00355FD6"/>
    <w:rsid w:val="00364402"/>
    <w:rsid w:val="00364A5C"/>
    <w:rsid w:val="00373FB1"/>
    <w:rsid w:val="003761DE"/>
    <w:rsid w:val="00396C76"/>
    <w:rsid w:val="003A0EA6"/>
    <w:rsid w:val="003B30D8"/>
    <w:rsid w:val="003B7EF2"/>
    <w:rsid w:val="003C3FA4"/>
    <w:rsid w:val="003C7EBE"/>
    <w:rsid w:val="003D0BA1"/>
    <w:rsid w:val="003F2B0C"/>
    <w:rsid w:val="003F7905"/>
    <w:rsid w:val="00400A0B"/>
    <w:rsid w:val="004105B2"/>
    <w:rsid w:val="0041145A"/>
    <w:rsid w:val="00412900"/>
    <w:rsid w:val="00413253"/>
    <w:rsid w:val="00422080"/>
    <w:rsid w:val="004221E4"/>
    <w:rsid w:val="004273F8"/>
    <w:rsid w:val="00432E28"/>
    <w:rsid w:val="004355A3"/>
    <w:rsid w:val="00446546"/>
    <w:rsid w:val="00452769"/>
    <w:rsid w:val="00454FA7"/>
    <w:rsid w:val="00465348"/>
    <w:rsid w:val="00465EC6"/>
    <w:rsid w:val="004732F7"/>
    <w:rsid w:val="00486390"/>
    <w:rsid w:val="00486615"/>
    <w:rsid w:val="00491027"/>
    <w:rsid w:val="004979A5"/>
    <w:rsid w:val="004A25E0"/>
    <w:rsid w:val="004B1CCB"/>
    <w:rsid w:val="004B6083"/>
    <w:rsid w:val="004B632F"/>
    <w:rsid w:val="004C6F6B"/>
    <w:rsid w:val="004D3FB1"/>
    <w:rsid w:val="004D6F21"/>
    <w:rsid w:val="004D73A5"/>
    <w:rsid w:val="00506EA5"/>
    <w:rsid w:val="00510613"/>
    <w:rsid w:val="005142CF"/>
    <w:rsid w:val="005160F1"/>
    <w:rsid w:val="00524F2F"/>
    <w:rsid w:val="00526A14"/>
    <w:rsid w:val="00527E5C"/>
    <w:rsid w:val="00532CF5"/>
    <w:rsid w:val="0053337C"/>
    <w:rsid w:val="00535F49"/>
    <w:rsid w:val="005528CB"/>
    <w:rsid w:val="00557FD7"/>
    <w:rsid w:val="00566771"/>
    <w:rsid w:val="0057660D"/>
    <w:rsid w:val="00581E2E"/>
    <w:rsid w:val="00584A06"/>
    <w:rsid w:val="00584F15"/>
    <w:rsid w:val="0059514B"/>
    <w:rsid w:val="005A1B0F"/>
    <w:rsid w:val="005B4CE6"/>
    <w:rsid w:val="005B5EFE"/>
    <w:rsid w:val="006163F7"/>
    <w:rsid w:val="00627C63"/>
    <w:rsid w:val="0063350B"/>
    <w:rsid w:val="006363DA"/>
    <w:rsid w:val="00640E98"/>
    <w:rsid w:val="00652606"/>
    <w:rsid w:val="00692BAB"/>
    <w:rsid w:val="006946EE"/>
    <w:rsid w:val="0069491E"/>
    <w:rsid w:val="006A58A9"/>
    <w:rsid w:val="006A606D"/>
    <w:rsid w:val="006C0371"/>
    <w:rsid w:val="006C08B6"/>
    <w:rsid w:val="006C0B1A"/>
    <w:rsid w:val="006C6065"/>
    <w:rsid w:val="006C7217"/>
    <w:rsid w:val="006C7F9F"/>
    <w:rsid w:val="006D0A56"/>
    <w:rsid w:val="006E2F6D"/>
    <w:rsid w:val="006E58F6"/>
    <w:rsid w:val="006E77E1"/>
    <w:rsid w:val="006F131D"/>
    <w:rsid w:val="00711642"/>
    <w:rsid w:val="0071309E"/>
    <w:rsid w:val="00723789"/>
    <w:rsid w:val="007507C6"/>
    <w:rsid w:val="00751E0B"/>
    <w:rsid w:val="00752BCD"/>
    <w:rsid w:val="007573E0"/>
    <w:rsid w:val="00763E20"/>
    <w:rsid w:val="007641B6"/>
    <w:rsid w:val="00766DA1"/>
    <w:rsid w:val="00773FE6"/>
    <w:rsid w:val="00780D94"/>
    <w:rsid w:val="007866A6"/>
    <w:rsid w:val="00795472"/>
    <w:rsid w:val="007A130D"/>
    <w:rsid w:val="007B050E"/>
    <w:rsid w:val="007D1A2D"/>
    <w:rsid w:val="007D32E6"/>
    <w:rsid w:val="007D4102"/>
    <w:rsid w:val="007E54A7"/>
    <w:rsid w:val="007F43B7"/>
    <w:rsid w:val="00821FFC"/>
    <w:rsid w:val="008271CA"/>
    <w:rsid w:val="00831E43"/>
    <w:rsid w:val="008467D5"/>
    <w:rsid w:val="00866DCF"/>
    <w:rsid w:val="0088429C"/>
    <w:rsid w:val="0088632C"/>
    <w:rsid w:val="008A4DC4"/>
    <w:rsid w:val="008B438C"/>
    <w:rsid w:val="008B78E4"/>
    <w:rsid w:val="008C47FD"/>
    <w:rsid w:val="008D06CA"/>
    <w:rsid w:val="008D3A46"/>
    <w:rsid w:val="008F2385"/>
    <w:rsid w:val="00905852"/>
    <w:rsid w:val="009067A4"/>
    <w:rsid w:val="00906D42"/>
    <w:rsid w:val="0091581C"/>
    <w:rsid w:val="00923790"/>
    <w:rsid w:val="00930885"/>
    <w:rsid w:val="00933D68"/>
    <w:rsid w:val="009340DB"/>
    <w:rsid w:val="0094618C"/>
    <w:rsid w:val="0095684B"/>
    <w:rsid w:val="00972498"/>
    <w:rsid w:val="0097469B"/>
    <w:rsid w:val="0097481F"/>
    <w:rsid w:val="00974CC6"/>
    <w:rsid w:val="00976AD4"/>
    <w:rsid w:val="009811A4"/>
    <w:rsid w:val="00986EBA"/>
    <w:rsid w:val="00995547"/>
    <w:rsid w:val="009A312F"/>
    <w:rsid w:val="009A5348"/>
    <w:rsid w:val="009B0AB7"/>
    <w:rsid w:val="009C76D5"/>
    <w:rsid w:val="009D6E5E"/>
    <w:rsid w:val="009F7AA4"/>
    <w:rsid w:val="00A02A68"/>
    <w:rsid w:val="00A10AD7"/>
    <w:rsid w:val="00A10EAA"/>
    <w:rsid w:val="00A12887"/>
    <w:rsid w:val="00A23769"/>
    <w:rsid w:val="00A451D7"/>
    <w:rsid w:val="00A559DB"/>
    <w:rsid w:val="00A569EA"/>
    <w:rsid w:val="00A676A0"/>
    <w:rsid w:val="00AB0C30"/>
    <w:rsid w:val="00AD4EAB"/>
    <w:rsid w:val="00AF35FC"/>
    <w:rsid w:val="00AF5556"/>
    <w:rsid w:val="00B03639"/>
    <w:rsid w:val="00B0652A"/>
    <w:rsid w:val="00B25CD1"/>
    <w:rsid w:val="00B40937"/>
    <w:rsid w:val="00B42345"/>
    <w:rsid w:val="00B423EF"/>
    <w:rsid w:val="00B453DE"/>
    <w:rsid w:val="00B62497"/>
    <w:rsid w:val="00B72597"/>
    <w:rsid w:val="00B83E5C"/>
    <w:rsid w:val="00B87DC0"/>
    <w:rsid w:val="00B901F9"/>
    <w:rsid w:val="00BB13CE"/>
    <w:rsid w:val="00BC4D98"/>
    <w:rsid w:val="00BC7655"/>
    <w:rsid w:val="00BD6EFB"/>
    <w:rsid w:val="00BE3DF5"/>
    <w:rsid w:val="00BF5EAB"/>
    <w:rsid w:val="00C02410"/>
    <w:rsid w:val="00C1584D"/>
    <w:rsid w:val="00C15BE2"/>
    <w:rsid w:val="00C2321B"/>
    <w:rsid w:val="00C3447F"/>
    <w:rsid w:val="00C44714"/>
    <w:rsid w:val="00C61D14"/>
    <w:rsid w:val="00C63818"/>
    <w:rsid w:val="00C67102"/>
    <w:rsid w:val="00C81491"/>
    <w:rsid w:val="00C81676"/>
    <w:rsid w:val="00C85C5D"/>
    <w:rsid w:val="00C920D5"/>
    <w:rsid w:val="00C92CC4"/>
    <w:rsid w:val="00CA0AFB"/>
    <w:rsid w:val="00CA2CE1"/>
    <w:rsid w:val="00CA3976"/>
    <w:rsid w:val="00CA50E3"/>
    <w:rsid w:val="00CA757B"/>
    <w:rsid w:val="00CC1787"/>
    <w:rsid w:val="00CC182C"/>
    <w:rsid w:val="00CD0824"/>
    <w:rsid w:val="00CD0E79"/>
    <w:rsid w:val="00CD2908"/>
    <w:rsid w:val="00D03A82"/>
    <w:rsid w:val="00D13667"/>
    <w:rsid w:val="00D15344"/>
    <w:rsid w:val="00D23F57"/>
    <w:rsid w:val="00D30F34"/>
    <w:rsid w:val="00D31BEC"/>
    <w:rsid w:val="00D3796F"/>
    <w:rsid w:val="00D63150"/>
    <w:rsid w:val="00D636BA"/>
    <w:rsid w:val="00D64A32"/>
    <w:rsid w:val="00D64EFC"/>
    <w:rsid w:val="00D6569D"/>
    <w:rsid w:val="00D75295"/>
    <w:rsid w:val="00D76CE9"/>
    <w:rsid w:val="00D97F12"/>
    <w:rsid w:val="00DA015F"/>
    <w:rsid w:val="00DA6095"/>
    <w:rsid w:val="00DB0496"/>
    <w:rsid w:val="00DB134C"/>
    <w:rsid w:val="00DB42E7"/>
    <w:rsid w:val="00DB58D9"/>
    <w:rsid w:val="00DC09D8"/>
    <w:rsid w:val="00DE01A6"/>
    <w:rsid w:val="00DE628B"/>
    <w:rsid w:val="00DE7A98"/>
    <w:rsid w:val="00DF06B0"/>
    <w:rsid w:val="00DF32C2"/>
    <w:rsid w:val="00E1117F"/>
    <w:rsid w:val="00E13230"/>
    <w:rsid w:val="00E24854"/>
    <w:rsid w:val="00E335E6"/>
    <w:rsid w:val="00E471A7"/>
    <w:rsid w:val="00E635CF"/>
    <w:rsid w:val="00E64675"/>
    <w:rsid w:val="00E679EF"/>
    <w:rsid w:val="00E77492"/>
    <w:rsid w:val="00EB1E3B"/>
    <w:rsid w:val="00EC2597"/>
    <w:rsid w:val="00EC6E0A"/>
    <w:rsid w:val="00ED0B00"/>
    <w:rsid w:val="00ED0C8C"/>
    <w:rsid w:val="00ED4E18"/>
    <w:rsid w:val="00ED7922"/>
    <w:rsid w:val="00EE02C4"/>
    <w:rsid w:val="00EE1F37"/>
    <w:rsid w:val="00EE622E"/>
    <w:rsid w:val="00F0159C"/>
    <w:rsid w:val="00F0163A"/>
    <w:rsid w:val="00F105B7"/>
    <w:rsid w:val="00F13220"/>
    <w:rsid w:val="00F17A21"/>
    <w:rsid w:val="00F3172F"/>
    <w:rsid w:val="00F37B27"/>
    <w:rsid w:val="00F46556"/>
    <w:rsid w:val="00F47D52"/>
    <w:rsid w:val="00F50E91"/>
    <w:rsid w:val="00F55F53"/>
    <w:rsid w:val="00F56799"/>
    <w:rsid w:val="00F57D29"/>
    <w:rsid w:val="00F60786"/>
    <w:rsid w:val="00F72EA1"/>
    <w:rsid w:val="00F91BC7"/>
    <w:rsid w:val="00F96201"/>
    <w:rsid w:val="00FA1BBC"/>
    <w:rsid w:val="00FB6D53"/>
    <w:rsid w:val="00FD0B18"/>
    <w:rsid w:val="00FD2FAD"/>
    <w:rsid w:val="00FE4704"/>
    <w:rsid w:val="00FE4F6D"/>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14:docId w14:val="779AA937"/>
  <w15:docId w15:val="{6A84C110-419E-4FFE-AB02-27E9FD47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101F45"/>
    <w:rPr>
      <w:color w:val="605E5C"/>
      <w:shd w:val="clear" w:color="auto" w:fill="E1DFDD"/>
    </w:rPr>
  </w:style>
  <w:style w:type="character" w:customStyle="1" w:styleId="UnresolvedMention2">
    <w:name w:val="Unresolved Mention2"/>
    <w:basedOn w:val="DefaultParagraphFont"/>
    <w:uiPriority w:val="99"/>
    <w:semiHidden/>
    <w:unhideWhenUsed/>
    <w:rsid w:val="00B25CD1"/>
    <w:rPr>
      <w:color w:val="605E5C"/>
      <w:shd w:val="clear" w:color="auto" w:fill="E1DFDD"/>
    </w:rPr>
  </w:style>
  <w:style w:type="character" w:customStyle="1" w:styleId="UnresolvedMention3">
    <w:name w:val="Unresolved Mention3"/>
    <w:basedOn w:val="DefaultParagraphFont"/>
    <w:uiPriority w:val="99"/>
    <w:semiHidden/>
    <w:unhideWhenUsed/>
    <w:rsid w:val="0097469B"/>
    <w:rPr>
      <w:color w:val="605E5C"/>
      <w:shd w:val="clear" w:color="auto" w:fill="E1DFDD"/>
    </w:rPr>
  </w:style>
  <w:style w:type="table" w:customStyle="1" w:styleId="TableGrid1">
    <w:name w:val="Table Grid1"/>
    <w:basedOn w:val="TableNormal"/>
    <w:next w:val="TableGrid"/>
    <w:uiPriority w:val="59"/>
    <w:rsid w:val="00072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851326">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526B8-FE68-47F2-8EA6-030DBA87D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5292</Words>
  <Characters>30167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McCutcheon, Amber</cp:lastModifiedBy>
  <cp:revision>3</cp:revision>
  <cp:lastPrinted>2019-02-22T21:57:00Z</cp:lastPrinted>
  <dcterms:created xsi:type="dcterms:W3CDTF">2021-03-31T16:21:00Z</dcterms:created>
  <dcterms:modified xsi:type="dcterms:W3CDTF">2021-03-31T16:43:00Z</dcterms:modified>
</cp:coreProperties>
</file>