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DA6013" w:rsidRPr="00A71B1D" w14:paraId="7C48F0C3" w14:textId="77777777" w:rsidTr="00DC4D5B">
        <w:trPr>
          <w:jc w:val="center"/>
        </w:trPr>
        <w:tc>
          <w:tcPr>
            <w:tcW w:w="4755" w:type="dxa"/>
          </w:tcPr>
          <w:p w14:paraId="74CECF50" w14:textId="77777777" w:rsidR="00DA6013" w:rsidRPr="00A71B1D" w:rsidRDefault="00DA6013" w:rsidP="00DC4D5B">
            <w:pPr>
              <w:tabs>
                <w:tab w:val="left" w:pos="-1440"/>
                <w:tab w:val="left" w:pos="-720"/>
                <w:tab w:val="left" w:pos="1"/>
              </w:tabs>
              <w:jc w:val="both"/>
              <w:rPr>
                <w:rFonts w:ascii="Arial" w:hAnsi="Arial"/>
                <w:b/>
                <w:sz w:val="24"/>
              </w:rPr>
            </w:pPr>
            <w:bookmarkStart w:id="0" w:name="_Hlk85698315"/>
            <w:r w:rsidRPr="00A71B1D">
              <w:rPr>
                <w:rFonts w:ascii="Arial" w:hAnsi="Arial"/>
                <w:b/>
                <w:noProof/>
                <w:sz w:val="24"/>
                <w:lang w:val="en-GB" w:eastAsia="en-GB"/>
              </w:rPr>
              <w:drawing>
                <wp:anchor distT="0" distB="0" distL="114300" distR="114300" simplePos="0" relativeHeight="251659264" behindDoc="0" locked="0" layoutInCell="1" allowOverlap="1" wp14:anchorId="7B869258" wp14:editId="74A92BEF">
                  <wp:simplePos x="0" y="0"/>
                  <wp:positionH relativeFrom="column">
                    <wp:posOffset>-25400</wp:posOffset>
                  </wp:positionH>
                  <wp:positionV relativeFrom="paragraph">
                    <wp:posOffset>0</wp:posOffset>
                  </wp:positionV>
                  <wp:extent cx="2613660" cy="551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anchor>
              </w:drawing>
            </w:r>
          </w:p>
        </w:tc>
        <w:tc>
          <w:tcPr>
            <w:tcW w:w="4591" w:type="dxa"/>
          </w:tcPr>
          <w:p w14:paraId="3CF41EA8" w14:textId="77777777" w:rsidR="00DA6013" w:rsidRPr="00A71B1D" w:rsidRDefault="00DA6013" w:rsidP="00DC4D5B">
            <w:pPr>
              <w:tabs>
                <w:tab w:val="left" w:pos="-1440"/>
                <w:tab w:val="left" w:pos="-720"/>
                <w:tab w:val="left" w:pos="1"/>
              </w:tabs>
              <w:jc w:val="right"/>
              <w:rPr>
                <w:rFonts w:ascii="Arial" w:hAnsi="Arial"/>
                <w:b/>
                <w:sz w:val="24"/>
              </w:rPr>
            </w:pPr>
            <w:r>
              <w:rPr>
                <w:noProof/>
              </w:rPr>
              <w:drawing>
                <wp:inline distT="0" distB="0" distL="0" distR="0" wp14:anchorId="1907544E" wp14:editId="4939FE24">
                  <wp:extent cx="1733550" cy="649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85" cy="666095"/>
                          </a:xfrm>
                          <a:prstGeom prst="rect">
                            <a:avLst/>
                          </a:prstGeom>
                          <a:noFill/>
                          <a:ln>
                            <a:noFill/>
                          </a:ln>
                        </pic:spPr>
                      </pic:pic>
                    </a:graphicData>
                  </a:graphic>
                </wp:inline>
              </w:drawing>
            </w:r>
          </w:p>
        </w:tc>
      </w:tr>
    </w:tbl>
    <w:p w14:paraId="154971F6" w14:textId="77777777" w:rsidR="00DA6013" w:rsidRPr="00A5652A" w:rsidRDefault="00DA6013" w:rsidP="00DA6013">
      <w:pPr>
        <w:pBdr>
          <w:bottom w:val="single" w:sz="18" w:space="0" w:color="auto"/>
        </w:pBdr>
        <w:tabs>
          <w:tab w:val="left" w:pos="-1440"/>
          <w:tab w:val="left" w:pos="-720"/>
          <w:tab w:val="left" w:pos="1"/>
        </w:tabs>
        <w:jc w:val="both"/>
        <w:rPr>
          <w:rFonts w:ascii="Arial" w:hAnsi="Arial"/>
          <w:b/>
          <w:sz w:val="4"/>
          <w:szCs w:val="4"/>
        </w:rPr>
      </w:pPr>
    </w:p>
    <w:p w14:paraId="3DA5AD6E" w14:textId="63BC8B8F" w:rsidR="00DA6013" w:rsidRDefault="00DA6013" w:rsidP="00DA6013">
      <w:pPr>
        <w:pStyle w:val="ProductNumber"/>
      </w:pPr>
      <w:r w:rsidRPr="004A4811">
        <w:t>9B19M03</w:t>
      </w:r>
      <w:r w:rsidR="002009EE">
        <w:t>5</w:t>
      </w:r>
      <w:bookmarkStart w:id="1" w:name="_GoBack"/>
      <w:bookmarkEnd w:id="1"/>
    </w:p>
    <w:p w14:paraId="17FB1E3E" w14:textId="77777777" w:rsidR="00DA6013" w:rsidRDefault="00DA6013" w:rsidP="00DA6013">
      <w:pPr>
        <w:jc w:val="right"/>
        <w:rPr>
          <w:rFonts w:ascii="Arial" w:hAnsi="Arial"/>
          <w:b/>
        </w:rPr>
      </w:pPr>
    </w:p>
    <w:p w14:paraId="17C3FCBA" w14:textId="77777777" w:rsidR="00DA6013" w:rsidRPr="001901C0" w:rsidRDefault="00DA6013" w:rsidP="00DA6013">
      <w:pPr>
        <w:jc w:val="right"/>
        <w:rPr>
          <w:rFonts w:ascii="Arial" w:hAnsi="Arial"/>
          <w:b/>
        </w:rPr>
      </w:pPr>
    </w:p>
    <w:p w14:paraId="54C33AFE" w14:textId="77777777" w:rsidR="00DA6013" w:rsidRPr="00240B69" w:rsidRDefault="00DA6013" w:rsidP="00DA6013">
      <w:pPr>
        <w:pStyle w:val="CaseTitle"/>
        <w:spacing w:after="0" w:line="240" w:lineRule="auto"/>
        <w:rPr>
          <w:sz w:val="20"/>
          <w:szCs w:val="20"/>
          <w:lang w:val="en-GB"/>
        </w:rPr>
      </w:pPr>
      <w:r w:rsidRPr="00240B69">
        <w:rPr>
          <w:lang w:val="en-GB"/>
        </w:rPr>
        <w:t>GENERAL ELECTRIC AND SUEZ: dEAL or no deal?</w:t>
      </w:r>
      <w:r w:rsidRPr="00240B69">
        <w:rPr>
          <w:vertAlign w:val="superscript"/>
          <w:lang w:val="en-GB"/>
        </w:rPr>
        <w:endnoteReference w:id="1"/>
      </w:r>
    </w:p>
    <w:p w14:paraId="60BB10CA" w14:textId="77777777" w:rsidR="00DA6013" w:rsidRDefault="00DA6013" w:rsidP="00DA6013">
      <w:pPr>
        <w:pStyle w:val="CaseTitle"/>
        <w:spacing w:after="0" w:line="240" w:lineRule="auto"/>
        <w:rPr>
          <w:sz w:val="20"/>
          <w:szCs w:val="20"/>
        </w:rPr>
      </w:pPr>
    </w:p>
    <w:p w14:paraId="03801284" w14:textId="77777777" w:rsidR="00DA6013" w:rsidRPr="00013360" w:rsidRDefault="00DA6013" w:rsidP="00DA6013">
      <w:pPr>
        <w:pStyle w:val="CaseTitle"/>
        <w:spacing w:after="0" w:line="240" w:lineRule="auto"/>
        <w:rPr>
          <w:sz w:val="20"/>
          <w:szCs w:val="20"/>
        </w:rPr>
      </w:pPr>
    </w:p>
    <w:p w14:paraId="63531277" w14:textId="77777777" w:rsidR="00DA6013" w:rsidRPr="00287D6F" w:rsidRDefault="00DA6013" w:rsidP="00DA6013">
      <w:pPr>
        <w:pStyle w:val="StyleCopyrightStatementAfter0ptBottomSinglesolidline1"/>
        <w:rPr>
          <w:lang w:val="en-GB"/>
        </w:rPr>
      </w:pPr>
      <w:r w:rsidRPr="005B4812">
        <w:t xml:space="preserve">Bertrand </w:t>
      </w:r>
      <w:proofErr w:type="spellStart"/>
      <w:r w:rsidRPr="005B4812">
        <w:t>Guillotin</w:t>
      </w:r>
      <w:proofErr w:type="spellEnd"/>
      <w:r w:rsidRPr="005B4812">
        <w:t xml:space="preserve"> </w:t>
      </w:r>
      <w:r w:rsidRPr="00287D6F">
        <w:rPr>
          <w:lang w:val="en-GB"/>
        </w:rPr>
        <w:t>wrote this case solely to provide material for class discussion. The author do</w:t>
      </w:r>
      <w:r>
        <w:rPr>
          <w:lang w:val="en-GB"/>
        </w:rPr>
        <w:t>es</w:t>
      </w:r>
      <w:r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04F84822" w14:textId="77777777" w:rsidR="00DA6013" w:rsidRDefault="00DA6013" w:rsidP="00DA6013">
      <w:pPr>
        <w:pStyle w:val="StyleCopyrightStatementAfter0ptBottomSinglesolidline1"/>
        <w:rPr>
          <w:lang w:val="en-GB"/>
        </w:rPr>
      </w:pPr>
    </w:p>
    <w:p w14:paraId="43F3FF37" w14:textId="77777777" w:rsidR="00DA6013" w:rsidRPr="00A323B0" w:rsidRDefault="00DA6013" w:rsidP="00DA6013">
      <w:pPr>
        <w:pStyle w:val="StyleStyleCopyrightStatementAfter0ptBottomSinglesolid"/>
        <w:rPr>
          <w:rFonts w:cs="Arial"/>
          <w:szCs w:val="16"/>
        </w:rPr>
      </w:pPr>
      <w:bookmarkStart w:id="2" w:name="_Hlk85703772"/>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bookmarkEnd w:id="2"/>
    <w:p w14:paraId="0292CA09" w14:textId="77777777" w:rsidR="00DA6013" w:rsidRPr="00A323B0" w:rsidRDefault="00DA6013" w:rsidP="00DA6013">
      <w:pPr>
        <w:pStyle w:val="StyleStyleCopyrightStatementAfter0ptBottomSinglesolid"/>
        <w:rPr>
          <w:rFonts w:cs="Arial"/>
          <w:szCs w:val="16"/>
        </w:rPr>
      </w:pPr>
    </w:p>
    <w:p w14:paraId="545D61B5" w14:textId="77777777" w:rsidR="00DA6013" w:rsidRPr="00C02410" w:rsidRDefault="00DA6013" w:rsidP="00DA6013">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Pr>
          <w:rFonts w:cs="Arial"/>
          <w:iCs w:val="0"/>
          <w:color w:val="auto"/>
          <w:szCs w:val="16"/>
        </w:rPr>
        <w:t>21-10-21</w:t>
      </w:r>
    </w:p>
    <w:p w14:paraId="1D7A3D91" w14:textId="77777777" w:rsidR="00DA6013" w:rsidRPr="00DA6013" w:rsidRDefault="00DA6013" w:rsidP="00DA6013">
      <w:pPr>
        <w:pStyle w:val="StyleCopyrightStatementAfter0ptBottomSinglesolidline1"/>
        <w:rPr>
          <w:rFonts w:ascii="Times New Roman" w:hAnsi="Times New Roman"/>
          <w:i w:val="0"/>
          <w:sz w:val="14"/>
          <w:szCs w:val="16"/>
        </w:rPr>
      </w:pPr>
    </w:p>
    <w:bookmarkEnd w:id="0"/>
    <w:p w14:paraId="3B17BCA8" w14:textId="30982D5E" w:rsidR="008B42DE" w:rsidRPr="00DA6013" w:rsidRDefault="008B42DE" w:rsidP="00DA6013">
      <w:pPr>
        <w:pStyle w:val="Casehead1"/>
        <w:rPr>
          <w:rFonts w:ascii="Times New Roman" w:hAnsi="Times New Roman" w:cs="Times New Roman"/>
          <w:b w:val="0"/>
          <w:sz w:val="14"/>
          <w:szCs w:val="16"/>
        </w:rPr>
      </w:pPr>
    </w:p>
    <w:p w14:paraId="4B5EEC50" w14:textId="3390C462" w:rsidR="008B42DE" w:rsidRPr="00240B69" w:rsidRDefault="008B42DE" w:rsidP="0041568F">
      <w:pPr>
        <w:pStyle w:val="BodyTextMain"/>
        <w:rPr>
          <w:spacing w:val="-2"/>
          <w:kern w:val="22"/>
          <w:lang w:val="en-GB"/>
        </w:rPr>
      </w:pPr>
      <w:r w:rsidRPr="00240B69">
        <w:rPr>
          <w:spacing w:val="-2"/>
          <w:kern w:val="22"/>
          <w:lang w:val="en-GB"/>
        </w:rPr>
        <w:t xml:space="preserve">On March 1, 2017, Jean-Louis </w:t>
      </w:r>
      <w:proofErr w:type="spellStart"/>
      <w:r w:rsidRPr="00240B69">
        <w:rPr>
          <w:spacing w:val="-2"/>
          <w:kern w:val="22"/>
          <w:lang w:val="en-GB"/>
        </w:rPr>
        <w:t>Chaussade</w:t>
      </w:r>
      <w:proofErr w:type="spellEnd"/>
      <w:r w:rsidRPr="00240B69">
        <w:rPr>
          <w:spacing w:val="-2"/>
          <w:kern w:val="22"/>
          <w:lang w:val="en-GB"/>
        </w:rPr>
        <w:t xml:space="preserve">, chief executive officer (CEO) of Suez SA (Suez), a French utility company that primarily operated in water and waste management, had been discussing the possible billion-dollar acquisition of </w:t>
      </w:r>
      <w:bookmarkStart w:id="3" w:name="_Hlk4938647"/>
      <w:r w:rsidRPr="00240B69">
        <w:rPr>
          <w:spacing w:val="-2"/>
          <w:kern w:val="22"/>
          <w:lang w:val="en-GB"/>
        </w:rPr>
        <w:t>General Electric Water &amp; Process Technologies</w:t>
      </w:r>
      <w:bookmarkEnd w:id="3"/>
      <w:r w:rsidRPr="00240B69">
        <w:rPr>
          <w:spacing w:val="-2"/>
          <w:kern w:val="22"/>
          <w:lang w:val="en-GB"/>
        </w:rPr>
        <w:t xml:space="preserve"> (GE Water) with J</w:t>
      </w:r>
      <w:bookmarkStart w:id="4" w:name="_Hlk4938607"/>
      <w:r w:rsidRPr="00240B69">
        <w:rPr>
          <w:spacing w:val="-2"/>
          <w:kern w:val="22"/>
          <w:lang w:val="en-GB"/>
        </w:rPr>
        <w:t>effrey R. Immelt</w:t>
      </w:r>
      <w:bookmarkEnd w:id="4"/>
      <w:r w:rsidRPr="00240B69">
        <w:rPr>
          <w:spacing w:val="-2"/>
          <w:kern w:val="22"/>
          <w:lang w:val="en-GB"/>
        </w:rPr>
        <w:t>, CEO of General Electric Company (GE), since late February.</w:t>
      </w:r>
      <w:r w:rsidRPr="00240B69">
        <w:rPr>
          <w:spacing w:val="-2"/>
          <w:kern w:val="22"/>
          <w:vertAlign w:val="superscript"/>
          <w:lang w:val="en-GB"/>
        </w:rPr>
        <w:endnoteReference w:id="2"/>
      </w:r>
      <w:r w:rsidRPr="00240B69">
        <w:rPr>
          <w:spacing w:val="-2"/>
          <w:kern w:val="22"/>
          <w:lang w:val="en-GB"/>
        </w:rPr>
        <w:t xml:space="preserve"> The dilemma for </w:t>
      </w:r>
      <w:proofErr w:type="spellStart"/>
      <w:r w:rsidRPr="00240B69">
        <w:rPr>
          <w:spacing w:val="-2"/>
          <w:kern w:val="22"/>
          <w:lang w:val="en-GB"/>
        </w:rPr>
        <w:t>Chaussade</w:t>
      </w:r>
      <w:proofErr w:type="spellEnd"/>
      <w:r w:rsidRPr="00240B69">
        <w:rPr>
          <w:spacing w:val="-2"/>
          <w:kern w:val="22"/>
          <w:lang w:val="en-GB"/>
        </w:rPr>
        <w:t xml:space="preserve"> was to quickly assess the risks and opportunities of that acquisition amid a shifting and unprecedented business environment.</w:t>
      </w:r>
    </w:p>
    <w:p w14:paraId="139C8C50" w14:textId="77777777" w:rsidR="008B42DE" w:rsidRPr="00DA6013" w:rsidRDefault="008B42DE" w:rsidP="0041568F">
      <w:pPr>
        <w:pStyle w:val="BodyTextMain"/>
        <w:rPr>
          <w:sz w:val="14"/>
          <w:szCs w:val="16"/>
          <w:lang w:val="en-GB"/>
        </w:rPr>
      </w:pPr>
    </w:p>
    <w:p w14:paraId="77BF84F8" w14:textId="4749270A" w:rsidR="008B42DE" w:rsidRPr="00240B69" w:rsidRDefault="008B42DE" w:rsidP="0041568F">
      <w:pPr>
        <w:pStyle w:val="BodyTextMain"/>
        <w:rPr>
          <w:lang w:val="en-GB"/>
        </w:rPr>
      </w:pPr>
      <w:r w:rsidRPr="00240B69">
        <w:rPr>
          <w:lang w:val="en-GB"/>
        </w:rPr>
        <w:t>During their negotiations, there had been many drastic changes, including the January 2017 inauguration of a US president with no political experience and an agenda that indicated he was not in favour of international co-operation—e.g., through his America First foreign policy, the exit of the United States from the Trans-Pacific Partnership (TPP), and a promise to pull out of the Paris Agreement, a historic climate change deal between 200 nations.</w:t>
      </w:r>
      <w:r w:rsidRPr="00240B69">
        <w:rPr>
          <w:vertAlign w:val="superscript"/>
          <w:lang w:val="en-GB"/>
        </w:rPr>
        <w:endnoteReference w:id="3"/>
      </w:r>
      <w:r w:rsidRPr="00240B69">
        <w:rPr>
          <w:lang w:val="en-GB"/>
        </w:rPr>
        <w:t xml:space="preserve"> Uncertainty had become the new normal, and business was a lot more complex than expected; CEOs were on edge, fearing any negative presidential tweet that would thrust them “into the news cycle with no warning.”</w:t>
      </w:r>
      <w:r w:rsidRPr="00240B69">
        <w:rPr>
          <w:vertAlign w:val="superscript"/>
          <w:lang w:val="en-GB"/>
        </w:rPr>
        <w:endnoteReference w:id="4"/>
      </w:r>
      <w:r w:rsidRPr="00240B69">
        <w:rPr>
          <w:lang w:val="en-GB"/>
        </w:rPr>
        <w:t xml:space="preserve"> From a corporate perspective, while Suez had been experiencing a very tough macroeconomic environment in Europe, its international division was growing, for example, at a double-digit rate in Asia and at 6.3 per cent in North America.</w:t>
      </w:r>
      <w:r w:rsidRPr="00240B69">
        <w:rPr>
          <w:vertAlign w:val="superscript"/>
          <w:lang w:val="en-GB"/>
        </w:rPr>
        <w:endnoteReference w:id="5"/>
      </w:r>
      <w:r w:rsidRPr="00240B69">
        <w:rPr>
          <w:lang w:val="en-GB"/>
        </w:rPr>
        <w:t xml:space="preserve"> </w:t>
      </w:r>
    </w:p>
    <w:p w14:paraId="2A965B5A" w14:textId="77777777" w:rsidR="008B42DE" w:rsidRPr="00DA6013" w:rsidRDefault="008B42DE" w:rsidP="0041568F">
      <w:pPr>
        <w:pStyle w:val="BodyTextMain"/>
        <w:rPr>
          <w:sz w:val="14"/>
          <w:szCs w:val="16"/>
          <w:lang w:val="en-GB"/>
        </w:rPr>
      </w:pPr>
    </w:p>
    <w:p w14:paraId="095D08DF" w14:textId="7E3FEA25" w:rsidR="008B42DE" w:rsidRPr="00240B69" w:rsidRDefault="008B42DE" w:rsidP="0041568F">
      <w:pPr>
        <w:pStyle w:val="BodyTextMain"/>
        <w:rPr>
          <w:lang w:val="en-GB"/>
        </w:rPr>
      </w:pPr>
      <w:r w:rsidRPr="00240B69">
        <w:rPr>
          <w:lang w:val="en-GB"/>
        </w:rPr>
        <w:t>Should the CEO of Suez buy GE Water, finishing his career on top with the acquisition of a strategic asset in a world where urbanization and drinking water were so vital?</w:t>
      </w:r>
      <w:r w:rsidRPr="00240B69">
        <w:rPr>
          <w:vertAlign w:val="superscript"/>
          <w:lang w:val="en-GB"/>
        </w:rPr>
        <w:endnoteReference w:id="6"/>
      </w:r>
      <w:r w:rsidRPr="00240B69">
        <w:rPr>
          <w:lang w:val="en-GB"/>
        </w:rPr>
        <w:t xml:space="preserve"> Or should he kill this risky deal? How could he, the CEO of a French utility company much smaller than GE, extract good terms from Immelt, who was known as a powerful and seasoned dealmaker? Would the French and American executives get along, or would their cultural differences be irreconcilable? In a new global context rife with uncertainty, volatility, and protectionism,</w:t>
      </w:r>
      <w:r w:rsidRPr="00240B69">
        <w:rPr>
          <w:vertAlign w:val="superscript"/>
          <w:lang w:val="en-GB"/>
        </w:rPr>
        <w:endnoteReference w:id="7"/>
      </w:r>
      <w:r w:rsidRPr="00240B69">
        <w:rPr>
          <w:lang w:val="en-GB"/>
        </w:rPr>
        <w:t xml:space="preserve"> it was also fair to wonder whether the White House would block such a strategic deal between France and the United States. Meanwhile, </w:t>
      </w:r>
      <w:proofErr w:type="spellStart"/>
      <w:r w:rsidRPr="00240B69">
        <w:rPr>
          <w:lang w:val="en-GB"/>
        </w:rPr>
        <w:t>Chaussade</w:t>
      </w:r>
      <w:proofErr w:type="spellEnd"/>
      <w:r w:rsidRPr="00240B69">
        <w:rPr>
          <w:lang w:val="en-GB"/>
        </w:rPr>
        <w:t xml:space="preserve"> knew that Suez’s stock was trading at around 14 euros on that day—a 25 per cent decline from its high of 18.73 euros on May 8, 2015, and the euro–US dollar exchange rate had also decreased from a high of 1.11 to a low of 1.06 for that period.</w:t>
      </w:r>
      <w:r w:rsidRPr="00240B69">
        <w:rPr>
          <w:vertAlign w:val="superscript"/>
          <w:lang w:val="en-GB"/>
        </w:rPr>
        <w:endnoteReference w:id="8"/>
      </w:r>
      <w:r w:rsidRPr="00240B69">
        <w:rPr>
          <w:lang w:val="en-GB"/>
        </w:rPr>
        <w:t xml:space="preserve"> If this twofold trend were to continue, a deal in US dollars would cost him even more euros or more stocks. Regardless, it was decision time: deal or no deal? </w:t>
      </w:r>
    </w:p>
    <w:p w14:paraId="512A0058" w14:textId="5C00A657" w:rsidR="008B42DE" w:rsidRPr="00DA6013" w:rsidRDefault="008B42DE" w:rsidP="00761929">
      <w:pPr>
        <w:pStyle w:val="BodyTextMain"/>
        <w:rPr>
          <w:sz w:val="14"/>
          <w:szCs w:val="16"/>
          <w:lang w:val="en-GB"/>
        </w:rPr>
      </w:pPr>
    </w:p>
    <w:p w14:paraId="707DC132" w14:textId="77777777" w:rsidR="008B42DE" w:rsidRPr="00DA6013" w:rsidRDefault="008B42DE" w:rsidP="00761929">
      <w:pPr>
        <w:pStyle w:val="BodyTextMain"/>
        <w:rPr>
          <w:sz w:val="14"/>
          <w:szCs w:val="16"/>
          <w:lang w:val="en-GB"/>
        </w:rPr>
      </w:pPr>
    </w:p>
    <w:p w14:paraId="0C5302FD" w14:textId="77777777" w:rsidR="008B42DE" w:rsidRPr="00240B69" w:rsidRDefault="008B42DE" w:rsidP="00761929">
      <w:pPr>
        <w:pStyle w:val="Casehead1"/>
        <w:rPr>
          <w:lang w:val="en-GB"/>
        </w:rPr>
      </w:pPr>
      <w:r w:rsidRPr="00240B69">
        <w:rPr>
          <w:lang w:val="en-GB"/>
        </w:rPr>
        <w:t>BACKGROUND ON SUEZ AND ITS CEO</w:t>
      </w:r>
    </w:p>
    <w:p w14:paraId="67A6536A" w14:textId="77777777" w:rsidR="008B42DE" w:rsidRPr="00DA6013" w:rsidRDefault="008B42DE" w:rsidP="00761929">
      <w:pPr>
        <w:pStyle w:val="BodyTextMain"/>
        <w:rPr>
          <w:i/>
          <w:iCs/>
          <w:color w:val="000000"/>
          <w:sz w:val="14"/>
          <w:szCs w:val="16"/>
          <w:lang w:val="en-GB"/>
        </w:rPr>
      </w:pPr>
    </w:p>
    <w:p w14:paraId="72DAE97D" w14:textId="4C829BF6" w:rsidR="008B42DE" w:rsidRPr="00240B69" w:rsidRDefault="008B42DE" w:rsidP="00761929">
      <w:pPr>
        <w:pStyle w:val="BodyTextMain"/>
        <w:rPr>
          <w:lang w:val="en-GB"/>
        </w:rPr>
      </w:pPr>
      <w:r w:rsidRPr="00240B69">
        <w:rPr>
          <w:lang w:val="en-GB"/>
        </w:rPr>
        <w:t xml:space="preserve">Suez SA, a primarily French water and waste management utility company, was established in 1997 as the result of a merger between the Compagnie de Suez and Lyonnaise des </w:t>
      </w:r>
      <w:proofErr w:type="spellStart"/>
      <w:r w:rsidRPr="00240B69">
        <w:rPr>
          <w:lang w:val="en-GB"/>
        </w:rPr>
        <w:t>Eaux</w:t>
      </w:r>
      <w:proofErr w:type="spellEnd"/>
      <w:r w:rsidRPr="00240B69">
        <w:rPr>
          <w:lang w:val="en-GB"/>
        </w:rPr>
        <w:t xml:space="preserve">. Its roots could be traced to the </w:t>
      </w:r>
      <w:r w:rsidRPr="00240B69">
        <w:rPr>
          <w:lang w:val="en-GB"/>
        </w:rPr>
        <w:lastRenderedPageBreak/>
        <w:t>19th century and the construction of the Suez Canal in Egypt. Throughout its long and prestigious history, the company had helped support the rapid development of cities through the building of water and sanitation networks during the industrial revolution, ensuring that clean sources of water were provided to homes in the period of rapid urbanization.</w:t>
      </w:r>
      <w:r w:rsidRPr="00240B69">
        <w:rPr>
          <w:vertAlign w:val="superscript"/>
          <w:lang w:val="en-GB"/>
        </w:rPr>
        <w:endnoteReference w:id="9"/>
      </w:r>
      <w:r w:rsidRPr="00240B69">
        <w:rPr>
          <w:lang w:val="en-GB"/>
        </w:rPr>
        <w:t xml:space="preserve"> </w:t>
      </w:r>
    </w:p>
    <w:p w14:paraId="23699719" w14:textId="77777777" w:rsidR="008B42DE" w:rsidRPr="00240B69" w:rsidRDefault="008B42DE" w:rsidP="0041568F">
      <w:pPr>
        <w:pStyle w:val="BodyTextMain"/>
        <w:rPr>
          <w:sz w:val="18"/>
          <w:szCs w:val="18"/>
          <w:lang w:val="en-GB"/>
        </w:rPr>
      </w:pPr>
    </w:p>
    <w:p w14:paraId="533C5466" w14:textId="2FF688E0" w:rsidR="008B42DE" w:rsidRPr="00DA6013" w:rsidRDefault="008B42DE" w:rsidP="0041568F">
      <w:pPr>
        <w:pStyle w:val="BodyTextMain"/>
        <w:rPr>
          <w:spacing w:val="-2"/>
          <w:lang w:val="en-GB"/>
        </w:rPr>
      </w:pPr>
      <w:r w:rsidRPr="00DA6013">
        <w:rPr>
          <w:spacing w:val="-2"/>
          <w:lang w:val="en-GB"/>
        </w:rPr>
        <w:t>Since the 1950s, Suez had constantly been investing in the research and development of new technologies that improved water drinkability and waste management.</w:t>
      </w:r>
      <w:r w:rsidRPr="00DA6013">
        <w:rPr>
          <w:spacing w:val="-2"/>
          <w:vertAlign w:val="superscript"/>
          <w:lang w:val="en-GB"/>
        </w:rPr>
        <w:endnoteReference w:id="10"/>
      </w:r>
      <w:r w:rsidRPr="00DA6013">
        <w:rPr>
          <w:spacing w:val="-2"/>
          <w:lang w:val="en-GB"/>
        </w:rPr>
        <w:t xml:space="preserve"> Recently, Suez had been committed to becoming the leader in sustainable resource management by transforming its activities to focus on a circular economy and smart solutions, opening up to new markets by supporting environmental transitions across the globe and developing integrated solutions for the industry.</w:t>
      </w:r>
      <w:r w:rsidRPr="00DA6013">
        <w:rPr>
          <w:spacing w:val="-2"/>
          <w:vertAlign w:val="superscript"/>
          <w:lang w:val="en-GB"/>
        </w:rPr>
        <w:endnoteReference w:id="11"/>
      </w:r>
      <w:r w:rsidRPr="00DA6013">
        <w:rPr>
          <w:spacing w:val="-2"/>
          <w:vertAlign w:val="superscript"/>
          <w:lang w:val="en-GB"/>
        </w:rPr>
        <w:t xml:space="preserve"> </w:t>
      </w:r>
      <w:r w:rsidRPr="00DA6013">
        <w:rPr>
          <w:spacing w:val="-2"/>
          <w:lang w:val="en-GB"/>
        </w:rPr>
        <w:t xml:space="preserve">Its corporate culture could be characterized as generally conservative and </w:t>
      </w:r>
      <w:bookmarkStart w:id="5" w:name="_Hlk4743471"/>
      <w:r w:rsidRPr="00DA6013">
        <w:rPr>
          <w:spacing w:val="-2"/>
          <w:lang w:val="en-GB"/>
        </w:rPr>
        <w:t>risk-averse</w:t>
      </w:r>
      <w:bookmarkEnd w:id="5"/>
      <w:r w:rsidRPr="00DA6013">
        <w:rPr>
          <w:spacing w:val="-2"/>
          <w:lang w:val="en-GB"/>
        </w:rPr>
        <w:t>; due to the strategic nature of its business (i.e., reliable access to clean water), which fostered urbanization and economic growth, Suez dealt with governments in a highly regulated sector.</w:t>
      </w:r>
      <w:r w:rsidRPr="00DA6013">
        <w:rPr>
          <w:spacing w:val="-2"/>
          <w:vertAlign w:val="superscript"/>
          <w:lang w:val="en-GB"/>
        </w:rPr>
        <w:endnoteReference w:id="12"/>
      </w:r>
    </w:p>
    <w:p w14:paraId="4C7EADC9" w14:textId="77777777" w:rsidR="008B42DE" w:rsidRPr="00240B69" w:rsidRDefault="008B42DE" w:rsidP="0041568F">
      <w:pPr>
        <w:pStyle w:val="BodyTextMain"/>
        <w:rPr>
          <w:sz w:val="18"/>
          <w:szCs w:val="18"/>
          <w:lang w:val="en-GB"/>
        </w:rPr>
      </w:pPr>
    </w:p>
    <w:p w14:paraId="1FA7ACA9" w14:textId="77777777" w:rsidR="008B42DE" w:rsidRPr="00240B69" w:rsidRDefault="008B42DE" w:rsidP="0041568F">
      <w:pPr>
        <w:pStyle w:val="BodyTextMain"/>
        <w:rPr>
          <w:sz w:val="18"/>
          <w:szCs w:val="18"/>
          <w:lang w:val="en-GB"/>
        </w:rPr>
      </w:pPr>
    </w:p>
    <w:p w14:paraId="32DDE4F7" w14:textId="77777777" w:rsidR="008B42DE" w:rsidRPr="00240B69" w:rsidRDefault="008B42DE" w:rsidP="0041568F">
      <w:pPr>
        <w:pStyle w:val="Casehead2"/>
        <w:rPr>
          <w:lang w:val="en-GB"/>
        </w:rPr>
      </w:pPr>
      <w:r w:rsidRPr="00240B69">
        <w:rPr>
          <w:lang w:val="en-GB"/>
        </w:rPr>
        <w:t xml:space="preserve">Key Business Categories </w:t>
      </w:r>
    </w:p>
    <w:p w14:paraId="7E97A4CF" w14:textId="77777777" w:rsidR="008B42DE" w:rsidRPr="00240B69" w:rsidRDefault="008B42DE" w:rsidP="0041568F">
      <w:pPr>
        <w:pStyle w:val="BodyTextMain"/>
        <w:rPr>
          <w:sz w:val="18"/>
          <w:szCs w:val="18"/>
          <w:lang w:val="en-GB"/>
        </w:rPr>
      </w:pPr>
    </w:p>
    <w:p w14:paraId="05A5B59F" w14:textId="1FEDBADD" w:rsidR="008B42DE" w:rsidRPr="00240B69" w:rsidRDefault="008B42DE" w:rsidP="0041568F">
      <w:pPr>
        <w:pStyle w:val="BodyTextMain"/>
        <w:rPr>
          <w:b/>
          <w:lang w:val="en-GB"/>
        </w:rPr>
      </w:pPr>
      <w:r w:rsidRPr="00240B69">
        <w:rPr>
          <w:lang w:val="en-GB"/>
        </w:rPr>
        <w:t>With all of its lines of business, Suez had worked with both municipal and state governments and organizations around the world to reach the goals of governments and organizations. Although the company had operations around the world, 32 per cent of its 2016 revenue was generated by France and another 34 per cent by the rest of Europe.</w:t>
      </w:r>
      <w:r w:rsidRPr="00240B69">
        <w:rPr>
          <w:vertAlign w:val="superscript"/>
          <w:lang w:val="en-GB"/>
        </w:rPr>
        <w:endnoteReference w:id="13"/>
      </w:r>
      <w:r w:rsidRPr="00240B69">
        <w:rPr>
          <w:lang w:val="en-GB"/>
        </w:rPr>
        <w:t xml:space="preserve"> The company had three key divisions: Water Europe, Resource &amp; Recovery, and International. More specifically, Water Europe included solutions that optimized and protected water resources while adhering to regulations, and Resource &amp; Recovery focused on developing solutions and services that turned waste into resources.</w:t>
      </w:r>
      <w:r w:rsidRPr="00240B69">
        <w:rPr>
          <w:vertAlign w:val="superscript"/>
          <w:lang w:val="en-GB"/>
        </w:rPr>
        <w:endnoteReference w:id="14"/>
      </w:r>
      <w:r w:rsidRPr="00240B69">
        <w:rPr>
          <w:b/>
          <w:lang w:val="en-GB"/>
        </w:rPr>
        <w:t xml:space="preserve"> </w:t>
      </w:r>
    </w:p>
    <w:p w14:paraId="413538BA" w14:textId="77777777" w:rsidR="008B42DE" w:rsidRPr="00240B69" w:rsidRDefault="008B42DE" w:rsidP="00CF5CD3">
      <w:pPr>
        <w:pStyle w:val="BodyTextMain"/>
        <w:rPr>
          <w:sz w:val="18"/>
          <w:szCs w:val="18"/>
          <w:lang w:val="en-GB"/>
        </w:rPr>
      </w:pPr>
    </w:p>
    <w:p w14:paraId="1A9A9C1A" w14:textId="77777777" w:rsidR="008B42DE" w:rsidRPr="00240B69" w:rsidRDefault="008B42DE" w:rsidP="00CF5CD3">
      <w:pPr>
        <w:pStyle w:val="BodyTextMain"/>
        <w:rPr>
          <w:sz w:val="18"/>
          <w:szCs w:val="18"/>
          <w:lang w:val="en-GB"/>
        </w:rPr>
      </w:pPr>
    </w:p>
    <w:p w14:paraId="31CE189B" w14:textId="77777777" w:rsidR="008B42DE" w:rsidRPr="00240B69" w:rsidRDefault="008B42DE" w:rsidP="0041568F">
      <w:pPr>
        <w:pStyle w:val="Casehead2"/>
        <w:rPr>
          <w:lang w:val="en-GB"/>
        </w:rPr>
      </w:pPr>
      <w:r w:rsidRPr="00240B69">
        <w:rPr>
          <w:lang w:val="en-GB"/>
        </w:rPr>
        <w:t>Suez’s Financial Position</w:t>
      </w:r>
    </w:p>
    <w:p w14:paraId="38635183" w14:textId="77777777" w:rsidR="008B42DE" w:rsidRPr="00240B69" w:rsidRDefault="008B42DE" w:rsidP="00651C26">
      <w:pPr>
        <w:pStyle w:val="BodyTextMain"/>
        <w:rPr>
          <w:sz w:val="18"/>
          <w:szCs w:val="18"/>
          <w:lang w:val="en-GB"/>
        </w:rPr>
      </w:pPr>
    </w:p>
    <w:p w14:paraId="4A92AE67" w14:textId="52EE77AC" w:rsidR="008B42DE" w:rsidRPr="00240B69" w:rsidRDefault="008B42DE" w:rsidP="0041568F">
      <w:pPr>
        <w:pStyle w:val="BodyTextMain"/>
        <w:rPr>
          <w:lang w:val="en-GB"/>
        </w:rPr>
      </w:pPr>
      <w:r w:rsidRPr="00240B69">
        <w:rPr>
          <w:lang w:val="en-GB"/>
        </w:rPr>
        <w:t>Between 2015 and 2017, the French and European macroeconomic environments remained lacklustre, with growth slow at around 1 to 2 per cent and structurally high unemployment—especially in the 2016 post-Brexit era.</w:t>
      </w:r>
      <w:r w:rsidRPr="00240B69">
        <w:rPr>
          <w:vertAlign w:val="superscript"/>
          <w:lang w:val="en-GB"/>
        </w:rPr>
        <w:endnoteReference w:id="15"/>
      </w:r>
      <w:r w:rsidRPr="00240B69">
        <w:rPr>
          <w:lang w:val="en-GB"/>
        </w:rPr>
        <w:t xml:space="preserve"> Such an environment would make it very difficult for Suez to raise the price of its services to European clients, either individual or institutional, in order to boost revenue and profits. On the other hand, the US economy was recovering much faster from the 2008–2010 global financial crisis and growing at close to 3 per cent per year in 2016.</w:t>
      </w:r>
      <w:r w:rsidRPr="00240B69">
        <w:rPr>
          <w:vertAlign w:val="superscript"/>
          <w:lang w:val="en-GB"/>
        </w:rPr>
        <w:endnoteReference w:id="16"/>
      </w:r>
      <w:r w:rsidRPr="00240B69">
        <w:rPr>
          <w:lang w:val="en-GB"/>
        </w:rPr>
        <w:t xml:space="preserve"> In early 2017, the newly inaugurated US president was also promising economic growth at 4 per cent through tax cuts and deregulation.</w:t>
      </w:r>
      <w:r w:rsidRPr="00240B69">
        <w:rPr>
          <w:vertAlign w:val="superscript"/>
          <w:lang w:val="en-GB"/>
        </w:rPr>
        <w:endnoteReference w:id="17"/>
      </w:r>
    </w:p>
    <w:p w14:paraId="4BF163CD" w14:textId="0F858E90" w:rsidR="008B42DE" w:rsidRPr="00240B69" w:rsidRDefault="008B42DE" w:rsidP="0041568F">
      <w:pPr>
        <w:pStyle w:val="BodyTextMain"/>
        <w:rPr>
          <w:sz w:val="18"/>
          <w:szCs w:val="18"/>
          <w:lang w:val="en-GB"/>
        </w:rPr>
      </w:pPr>
    </w:p>
    <w:p w14:paraId="783972D1" w14:textId="26238F98" w:rsidR="008B42DE" w:rsidRPr="00240B69" w:rsidRDefault="008B42DE" w:rsidP="0041568F">
      <w:pPr>
        <w:pStyle w:val="BodyTextMain"/>
        <w:rPr>
          <w:spacing w:val="-4"/>
          <w:kern w:val="22"/>
          <w:lang w:val="en-GB"/>
        </w:rPr>
      </w:pPr>
      <w:r w:rsidRPr="00240B69">
        <w:rPr>
          <w:spacing w:val="-4"/>
          <w:kern w:val="22"/>
          <w:lang w:val="en-GB"/>
        </w:rPr>
        <w:t>In terms of financial performance, Suez’s 2016 revenue was €15 billion (US$15.9 billion), growing organically (internally) at 1.1 per cent. Earnings before interest and taxes equalled €1.2 billion ($1.27 billion).</w:t>
      </w:r>
      <w:r w:rsidRPr="00240B69">
        <w:rPr>
          <w:spacing w:val="-4"/>
          <w:kern w:val="22"/>
          <w:vertAlign w:val="superscript"/>
          <w:lang w:val="en-GB"/>
        </w:rPr>
        <w:endnoteReference w:id="18"/>
      </w:r>
      <w:r w:rsidRPr="00240B69">
        <w:rPr>
          <w:spacing w:val="-4"/>
          <w:kern w:val="22"/>
          <w:lang w:val="en-GB"/>
        </w:rPr>
        <w:t xml:space="preserve"> </w:t>
      </w:r>
    </w:p>
    <w:p w14:paraId="553ACDAE" w14:textId="77777777" w:rsidR="008B42DE" w:rsidRPr="00240B69" w:rsidRDefault="008B42DE" w:rsidP="0041568F">
      <w:pPr>
        <w:pStyle w:val="BodyTextMain"/>
        <w:rPr>
          <w:sz w:val="18"/>
          <w:szCs w:val="18"/>
          <w:lang w:val="en-GB"/>
        </w:rPr>
      </w:pPr>
    </w:p>
    <w:p w14:paraId="4EF6AE1E" w14:textId="3D4881C7" w:rsidR="008B42DE" w:rsidRPr="00240B69" w:rsidRDefault="008B42DE" w:rsidP="0041568F">
      <w:pPr>
        <w:pStyle w:val="BodyTextMain"/>
        <w:rPr>
          <w:lang w:val="en-GB"/>
        </w:rPr>
      </w:pPr>
      <w:r w:rsidRPr="00240B69">
        <w:rPr>
          <w:lang w:val="en-GB"/>
        </w:rPr>
        <w:t xml:space="preserve">Its 2017 outlook </w:t>
      </w:r>
      <w:proofErr w:type="gramStart"/>
      <w:r w:rsidRPr="00240B69">
        <w:rPr>
          <w:lang w:val="en-GB"/>
        </w:rPr>
        <w:t>of  “</w:t>
      </w:r>
      <w:proofErr w:type="gramEnd"/>
      <w:r w:rsidRPr="00240B69">
        <w:rPr>
          <w:lang w:val="en-GB"/>
        </w:rPr>
        <w:t>slight organic growth in revenue and Earnings Before Interest and Taxes and free cash flow: around 1 billion euros (USD 1.1 billion)”</w:t>
      </w:r>
      <w:r w:rsidRPr="00240B69">
        <w:rPr>
          <w:rStyle w:val="EndnoteReference"/>
          <w:lang w:val="en-GB"/>
        </w:rPr>
        <w:endnoteReference w:id="19"/>
      </w:r>
      <w:r w:rsidRPr="00240B69">
        <w:rPr>
          <w:lang w:val="en-GB"/>
        </w:rPr>
        <w:t xml:space="preserve"> seemed to indicate that Suez had to grow inorganically (by acquisition) if it wished to increase such an anaemic growth rate—provided that any opportunity to be considered would outweigh the risks. In regard to its global footprint, in 2016, Suez was mostly focused in Europe, which was 66 per cent of its total revenue (see Exhibit 1).</w:t>
      </w:r>
      <w:r w:rsidRPr="00240B69">
        <w:rPr>
          <w:vertAlign w:val="superscript"/>
          <w:lang w:val="en-GB"/>
        </w:rPr>
        <w:endnoteReference w:id="20"/>
      </w:r>
      <w:r w:rsidRPr="00240B69">
        <w:rPr>
          <w:lang w:val="en-GB"/>
        </w:rPr>
        <w:t xml:space="preserve"> </w:t>
      </w:r>
    </w:p>
    <w:p w14:paraId="068E9647" w14:textId="77777777" w:rsidR="008B42DE" w:rsidRPr="00240B69" w:rsidRDefault="008B42DE" w:rsidP="00240B69">
      <w:pPr>
        <w:pStyle w:val="BodyTextMain"/>
        <w:rPr>
          <w:sz w:val="18"/>
          <w:szCs w:val="18"/>
        </w:rPr>
      </w:pPr>
    </w:p>
    <w:p w14:paraId="318C331A" w14:textId="77777777" w:rsidR="008B42DE" w:rsidRPr="00240B69" w:rsidRDefault="008B42DE" w:rsidP="00240B69">
      <w:pPr>
        <w:pStyle w:val="BodyTextMain"/>
        <w:rPr>
          <w:sz w:val="18"/>
          <w:szCs w:val="18"/>
        </w:rPr>
      </w:pPr>
    </w:p>
    <w:p w14:paraId="72A2463A" w14:textId="77777777" w:rsidR="008B42DE" w:rsidRPr="00240B69" w:rsidRDefault="008B42DE" w:rsidP="00240B69">
      <w:pPr>
        <w:pStyle w:val="Casehead2"/>
        <w:rPr>
          <w:lang w:val="en-GB"/>
        </w:rPr>
      </w:pPr>
      <w:r w:rsidRPr="00240B69">
        <w:rPr>
          <w:lang w:val="en-GB"/>
        </w:rPr>
        <w:t xml:space="preserve">Jean-Louis </w:t>
      </w:r>
      <w:proofErr w:type="spellStart"/>
      <w:r w:rsidRPr="00240B69">
        <w:rPr>
          <w:lang w:val="en-GB"/>
        </w:rPr>
        <w:t>Chaussade</w:t>
      </w:r>
      <w:proofErr w:type="spellEnd"/>
    </w:p>
    <w:p w14:paraId="20A323D9" w14:textId="77777777" w:rsidR="008B42DE" w:rsidRPr="00240B69" w:rsidRDefault="008B42DE" w:rsidP="00240B69">
      <w:pPr>
        <w:pStyle w:val="BodyTextMain"/>
        <w:rPr>
          <w:sz w:val="18"/>
          <w:szCs w:val="18"/>
          <w:lang w:val="en-GB"/>
        </w:rPr>
      </w:pPr>
    </w:p>
    <w:p w14:paraId="5504FCD4" w14:textId="62A78017" w:rsidR="008B42DE" w:rsidRPr="00240B69" w:rsidRDefault="008B42DE" w:rsidP="00240B69">
      <w:pPr>
        <w:pStyle w:val="BodyTextMain"/>
        <w:rPr>
          <w:spacing w:val="-4"/>
          <w:kern w:val="22"/>
          <w:lang w:val="en-GB"/>
        </w:rPr>
      </w:pPr>
      <w:r w:rsidRPr="00240B69">
        <w:rPr>
          <w:spacing w:val="-4"/>
          <w:kern w:val="22"/>
          <w:lang w:val="en-GB"/>
        </w:rPr>
        <w:t xml:space="preserve">Since 2008, </w:t>
      </w:r>
      <w:proofErr w:type="spellStart"/>
      <w:r w:rsidRPr="00240B69">
        <w:rPr>
          <w:spacing w:val="-4"/>
          <w:kern w:val="22"/>
          <w:lang w:val="en-GB"/>
        </w:rPr>
        <w:t>Chaussade</w:t>
      </w:r>
      <w:proofErr w:type="spellEnd"/>
      <w:r w:rsidRPr="00240B69">
        <w:rPr>
          <w:spacing w:val="-4"/>
          <w:kern w:val="22"/>
          <w:lang w:val="en-GB"/>
        </w:rPr>
        <w:t xml:space="preserve"> had been the CEO of Suez. Mostly unknown in the United States, </w:t>
      </w:r>
      <w:proofErr w:type="spellStart"/>
      <w:r w:rsidRPr="00240B69">
        <w:rPr>
          <w:spacing w:val="-4"/>
          <w:kern w:val="22"/>
          <w:lang w:val="en-GB"/>
        </w:rPr>
        <w:t>Chaussade</w:t>
      </w:r>
      <w:proofErr w:type="spellEnd"/>
      <w:r w:rsidRPr="00240B69">
        <w:rPr>
          <w:spacing w:val="-4"/>
          <w:kern w:val="22"/>
          <w:lang w:val="en-GB"/>
        </w:rPr>
        <w:t>, a product of the French elite system, had an engineering degree</w:t>
      </w:r>
      <w:r w:rsidR="00904CBE" w:rsidRPr="00240B69">
        <w:rPr>
          <w:spacing w:val="-4"/>
          <w:kern w:val="22"/>
          <w:lang w:val="en-GB"/>
        </w:rPr>
        <w:t xml:space="preserve"> from </w:t>
      </w:r>
      <w:r w:rsidR="00902712" w:rsidRPr="00240B69">
        <w:rPr>
          <w:spacing w:val="-4"/>
          <w:kern w:val="22"/>
          <w:lang w:val="en-GB"/>
        </w:rPr>
        <w:t xml:space="preserve">the </w:t>
      </w:r>
      <w:r w:rsidR="00517E0B" w:rsidRPr="00240B69">
        <w:rPr>
          <w:spacing w:val="-4"/>
          <w:kern w:val="22"/>
          <w:lang w:val="en-GB"/>
        </w:rPr>
        <w:t xml:space="preserve">Ecole </w:t>
      </w:r>
      <w:proofErr w:type="spellStart"/>
      <w:r w:rsidR="00517E0B" w:rsidRPr="00240B69">
        <w:rPr>
          <w:spacing w:val="-4"/>
          <w:kern w:val="22"/>
          <w:lang w:val="en-GB"/>
        </w:rPr>
        <w:t>Spéciale</w:t>
      </w:r>
      <w:proofErr w:type="spellEnd"/>
      <w:r w:rsidR="00517E0B" w:rsidRPr="00240B69">
        <w:rPr>
          <w:spacing w:val="-4"/>
          <w:kern w:val="22"/>
          <w:lang w:val="en-GB"/>
        </w:rPr>
        <w:t xml:space="preserve"> des Travaux Publics</w:t>
      </w:r>
      <w:r w:rsidR="00902712" w:rsidRPr="00240B69">
        <w:rPr>
          <w:spacing w:val="-4"/>
          <w:kern w:val="22"/>
          <w:lang w:val="en-GB"/>
        </w:rPr>
        <w:t xml:space="preserve"> (</w:t>
      </w:r>
      <w:r w:rsidR="00517E0B" w:rsidRPr="00240B69">
        <w:rPr>
          <w:spacing w:val="-4"/>
          <w:kern w:val="22"/>
          <w:lang w:val="en-GB"/>
        </w:rPr>
        <w:t>1976)</w:t>
      </w:r>
      <w:r w:rsidR="00904CBE" w:rsidRPr="00240B69">
        <w:rPr>
          <w:spacing w:val="-4"/>
          <w:kern w:val="22"/>
          <w:lang w:val="en-GB"/>
        </w:rPr>
        <w:t>,</w:t>
      </w:r>
      <w:r w:rsidRPr="00240B69">
        <w:rPr>
          <w:spacing w:val="-4"/>
          <w:kern w:val="22"/>
          <w:lang w:val="en-GB"/>
        </w:rPr>
        <w:t xml:space="preserve"> </w:t>
      </w:r>
      <w:r w:rsidR="00904CBE" w:rsidRPr="00240B69">
        <w:rPr>
          <w:spacing w:val="-4"/>
          <w:kern w:val="22"/>
          <w:lang w:val="en-GB"/>
        </w:rPr>
        <w:t xml:space="preserve">a </w:t>
      </w:r>
      <w:r w:rsidR="0003259D" w:rsidRPr="00240B69">
        <w:rPr>
          <w:spacing w:val="-4"/>
          <w:kern w:val="22"/>
          <w:lang w:val="en-GB"/>
        </w:rPr>
        <w:t>m</w:t>
      </w:r>
      <w:r w:rsidR="00517E0B" w:rsidRPr="00240B69">
        <w:rPr>
          <w:spacing w:val="-4"/>
          <w:kern w:val="22"/>
          <w:lang w:val="en-GB"/>
        </w:rPr>
        <w:t xml:space="preserve">aster’s degree in Economics from Sorbonne University (1976), and a </w:t>
      </w:r>
      <w:r w:rsidR="0003259D" w:rsidRPr="00240B69">
        <w:rPr>
          <w:spacing w:val="-4"/>
          <w:kern w:val="22"/>
          <w:lang w:val="en-GB"/>
        </w:rPr>
        <w:t>d</w:t>
      </w:r>
      <w:r w:rsidR="00517E0B" w:rsidRPr="00240B69">
        <w:rPr>
          <w:spacing w:val="-4"/>
          <w:kern w:val="22"/>
          <w:lang w:val="en-GB"/>
        </w:rPr>
        <w:t>iploma from the Paris</w:t>
      </w:r>
      <w:r w:rsidR="00902712" w:rsidRPr="00240B69">
        <w:rPr>
          <w:spacing w:val="-4"/>
          <w:kern w:val="22"/>
          <w:lang w:val="en-GB"/>
        </w:rPr>
        <w:t xml:space="preserve"> Institute of Political Studies</w:t>
      </w:r>
      <w:r w:rsidR="00517E0B" w:rsidRPr="00240B69">
        <w:rPr>
          <w:spacing w:val="-4"/>
          <w:kern w:val="22"/>
          <w:lang w:val="en-GB"/>
        </w:rPr>
        <w:t xml:space="preserve"> (1980)</w:t>
      </w:r>
      <w:r w:rsidR="0003259D" w:rsidRPr="00240B69">
        <w:rPr>
          <w:spacing w:val="-4"/>
          <w:kern w:val="22"/>
          <w:lang w:val="en-GB"/>
        </w:rPr>
        <w:t>.</w:t>
      </w:r>
      <w:r w:rsidRPr="00240B69">
        <w:rPr>
          <w:spacing w:val="-4"/>
          <w:kern w:val="22"/>
          <w:lang w:val="en-GB"/>
        </w:rPr>
        <w:t xml:space="preserve"> </w:t>
      </w:r>
      <w:r w:rsidR="00904CBE" w:rsidRPr="00240B69">
        <w:rPr>
          <w:spacing w:val="-4"/>
          <w:kern w:val="22"/>
          <w:lang w:val="en-GB"/>
        </w:rPr>
        <w:t>He</w:t>
      </w:r>
      <w:r w:rsidRPr="00240B69">
        <w:rPr>
          <w:spacing w:val="-4"/>
          <w:kern w:val="22"/>
          <w:lang w:val="en-GB"/>
        </w:rPr>
        <w:t xml:space="preserve"> had gone through Harvard Business School’s advanced management program in 1988</w:t>
      </w:r>
      <w:r w:rsidR="00904CBE" w:rsidRPr="00240B69">
        <w:rPr>
          <w:spacing w:val="-4"/>
          <w:kern w:val="22"/>
          <w:lang w:val="en-GB"/>
        </w:rPr>
        <w:t xml:space="preserve"> and</w:t>
      </w:r>
      <w:r w:rsidRPr="00240B69">
        <w:rPr>
          <w:spacing w:val="-4"/>
          <w:kern w:val="22"/>
          <w:lang w:val="en-GB"/>
        </w:rPr>
        <w:t xml:space="preserve"> started his international career in Bilbao, Spain, in 1989, when he was CEO of </w:t>
      </w:r>
      <w:proofErr w:type="spellStart"/>
      <w:r w:rsidRPr="00240B69">
        <w:rPr>
          <w:spacing w:val="-4"/>
          <w:kern w:val="22"/>
          <w:lang w:val="en-GB"/>
        </w:rPr>
        <w:t>Degrémont</w:t>
      </w:r>
      <w:proofErr w:type="spellEnd"/>
      <w:r w:rsidRPr="00240B69">
        <w:rPr>
          <w:spacing w:val="-4"/>
          <w:kern w:val="22"/>
          <w:lang w:val="en-GB"/>
        </w:rPr>
        <w:t>.</w:t>
      </w:r>
      <w:r w:rsidRPr="00240B69">
        <w:rPr>
          <w:spacing w:val="-4"/>
          <w:kern w:val="22"/>
          <w:vertAlign w:val="superscript"/>
          <w:lang w:val="en-GB"/>
        </w:rPr>
        <w:endnoteReference w:id="21"/>
      </w:r>
      <w:r w:rsidRPr="00240B69">
        <w:rPr>
          <w:spacing w:val="-4"/>
          <w:kern w:val="22"/>
          <w:lang w:val="en-GB"/>
        </w:rPr>
        <w:t xml:space="preserve"> </w:t>
      </w:r>
    </w:p>
    <w:p w14:paraId="566D1A54" w14:textId="7C699473" w:rsidR="008B42DE" w:rsidRPr="00240B69" w:rsidRDefault="008B42DE" w:rsidP="00CF5CD3">
      <w:pPr>
        <w:pStyle w:val="BodyTextMain"/>
        <w:rPr>
          <w:lang w:val="en-GB"/>
        </w:rPr>
      </w:pPr>
      <w:r w:rsidRPr="00240B69">
        <w:rPr>
          <w:lang w:val="en-GB"/>
        </w:rPr>
        <w:lastRenderedPageBreak/>
        <w:t xml:space="preserve">Due to French laws on term limits and retirement age, </w:t>
      </w:r>
      <w:proofErr w:type="spellStart"/>
      <w:r w:rsidRPr="00240B69">
        <w:rPr>
          <w:lang w:val="en-GB"/>
        </w:rPr>
        <w:t>Chaussade’s</w:t>
      </w:r>
      <w:proofErr w:type="spellEnd"/>
      <w:r w:rsidRPr="00240B69">
        <w:rPr>
          <w:lang w:val="en-GB"/>
        </w:rPr>
        <w:t xml:space="preserve"> tenure as CEO of Suez had to end in May 2019.</w:t>
      </w:r>
      <w:r w:rsidRPr="00240B69">
        <w:rPr>
          <w:vertAlign w:val="superscript"/>
          <w:lang w:val="en-GB"/>
        </w:rPr>
        <w:endnoteReference w:id="22"/>
      </w:r>
      <w:r w:rsidRPr="00240B69">
        <w:rPr>
          <w:lang w:val="en-GB"/>
        </w:rPr>
        <w:t xml:space="preserve"> After more than ten years at the helm of Suez, and having survived the 2008–2010 global financial crisis, he could be proud of his tenure and keep a close eye on the financial standing of his company. His Harvard experience gave him a de facto alumnus-to-alumnus connection with GE’s CEO.</w:t>
      </w:r>
      <w:r w:rsidRPr="00240B69">
        <w:rPr>
          <w:vertAlign w:val="superscript"/>
          <w:lang w:val="en-GB"/>
        </w:rPr>
        <w:endnoteReference w:id="23"/>
      </w:r>
    </w:p>
    <w:p w14:paraId="3297DAB7" w14:textId="77777777" w:rsidR="008B42DE" w:rsidRPr="00240B69" w:rsidRDefault="008B42DE" w:rsidP="0041568F">
      <w:pPr>
        <w:pStyle w:val="BodyTextMain"/>
        <w:rPr>
          <w:sz w:val="18"/>
          <w:szCs w:val="18"/>
          <w:lang w:val="en-GB"/>
        </w:rPr>
      </w:pPr>
    </w:p>
    <w:p w14:paraId="1198FCAB" w14:textId="77777777" w:rsidR="008B42DE" w:rsidRPr="00240B69" w:rsidRDefault="008B42DE" w:rsidP="0041568F">
      <w:pPr>
        <w:pStyle w:val="BodyTextMain"/>
        <w:rPr>
          <w:sz w:val="18"/>
          <w:szCs w:val="18"/>
          <w:lang w:val="en-GB"/>
        </w:rPr>
      </w:pPr>
    </w:p>
    <w:p w14:paraId="06AE5BED" w14:textId="77777777" w:rsidR="008B42DE" w:rsidRPr="00240B69" w:rsidRDefault="008B42DE" w:rsidP="0041568F">
      <w:pPr>
        <w:pStyle w:val="Casehead1"/>
        <w:rPr>
          <w:lang w:val="en-GB"/>
        </w:rPr>
      </w:pPr>
      <w:r w:rsidRPr="00240B69">
        <w:rPr>
          <w:lang w:val="en-GB"/>
        </w:rPr>
        <w:t>GE Water AND CEO JEFF Immelt</w:t>
      </w:r>
    </w:p>
    <w:p w14:paraId="6A094479" w14:textId="77777777" w:rsidR="008B42DE" w:rsidRPr="00240B69" w:rsidRDefault="008B42DE" w:rsidP="0041568F">
      <w:pPr>
        <w:pStyle w:val="BodyTextMain"/>
        <w:rPr>
          <w:sz w:val="18"/>
          <w:szCs w:val="18"/>
          <w:lang w:val="en-GB"/>
        </w:rPr>
      </w:pPr>
    </w:p>
    <w:p w14:paraId="0094CAB3" w14:textId="3039882D" w:rsidR="008B42DE" w:rsidRPr="00240B69" w:rsidRDefault="008B42DE" w:rsidP="0041568F">
      <w:pPr>
        <w:pStyle w:val="BodyTextMain"/>
        <w:rPr>
          <w:lang w:val="en-GB"/>
        </w:rPr>
      </w:pPr>
      <w:r w:rsidRPr="00240B69">
        <w:rPr>
          <w:lang w:val="en-GB"/>
        </w:rPr>
        <w:t>In 2016, GE, an industrial conglomerate founded in 1892, operating in 130 countries and focused on manufacturing and services, had revenue of $113.2 billion (almost 10 times more than Suez), which was growing at 4 per cent, and a margin of 11.4 per cent. The company operated several business divisions, such as GE Healthcare and GE Power, which included GE Water.</w:t>
      </w:r>
      <w:r w:rsidRPr="00240B69">
        <w:rPr>
          <w:vertAlign w:val="superscript"/>
          <w:lang w:val="en-GB"/>
        </w:rPr>
        <w:endnoteReference w:id="24"/>
      </w:r>
    </w:p>
    <w:p w14:paraId="3521EAC3" w14:textId="77777777" w:rsidR="008B42DE" w:rsidRPr="00240B69" w:rsidRDefault="008B42DE" w:rsidP="0041568F">
      <w:pPr>
        <w:pStyle w:val="BodyTextMain"/>
        <w:rPr>
          <w:sz w:val="18"/>
          <w:szCs w:val="18"/>
          <w:lang w:val="en-GB"/>
        </w:rPr>
      </w:pPr>
    </w:p>
    <w:p w14:paraId="6730E85A" w14:textId="2A29E224" w:rsidR="008B42DE" w:rsidRPr="00240B69" w:rsidRDefault="008B42DE" w:rsidP="0041568F">
      <w:pPr>
        <w:pStyle w:val="BodyTextMain"/>
        <w:rPr>
          <w:spacing w:val="-4"/>
          <w:kern w:val="22"/>
          <w:lang w:val="en-GB"/>
        </w:rPr>
      </w:pPr>
      <w:r w:rsidRPr="00240B69">
        <w:rPr>
          <w:spacing w:val="-4"/>
          <w:kern w:val="22"/>
          <w:lang w:val="en-GB"/>
        </w:rPr>
        <w:t>GE Water, a $2 billion company headquartered in Pennsylvania, employed approximately 7,500 people worldwide.</w:t>
      </w:r>
      <w:r w:rsidRPr="00240B69">
        <w:rPr>
          <w:spacing w:val="-4"/>
          <w:kern w:val="22"/>
          <w:vertAlign w:val="superscript"/>
          <w:lang w:val="en-GB"/>
        </w:rPr>
        <w:endnoteReference w:id="25"/>
      </w:r>
      <w:r w:rsidRPr="00240B69">
        <w:rPr>
          <w:spacing w:val="-4"/>
          <w:kern w:val="22"/>
          <w:lang w:val="en-GB"/>
        </w:rPr>
        <w:t xml:space="preserve"> GE Water focused on water technology solutions and had vast knowledge related to water management. As one of six units within the GE Power division, it operated 45 global manufacturing sites and had been investing in many product launches, as well as targeting reuse opportunities.</w:t>
      </w:r>
      <w:r w:rsidRPr="00240B69">
        <w:rPr>
          <w:spacing w:val="-4"/>
          <w:kern w:val="22"/>
          <w:vertAlign w:val="superscript"/>
          <w:lang w:val="en-GB"/>
        </w:rPr>
        <w:endnoteReference w:id="26"/>
      </w:r>
      <w:r w:rsidRPr="00240B69">
        <w:rPr>
          <w:spacing w:val="-4"/>
          <w:kern w:val="22"/>
          <w:lang w:val="en-GB"/>
        </w:rPr>
        <w:t xml:space="preserve"> </w:t>
      </w:r>
    </w:p>
    <w:p w14:paraId="71380EFB" w14:textId="77777777" w:rsidR="008B42DE" w:rsidRPr="00240B69" w:rsidRDefault="008B42DE" w:rsidP="0041568F">
      <w:pPr>
        <w:pStyle w:val="BodyTextMain"/>
        <w:rPr>
          <w:sz w:val="18"/>
          <w:szCs w:val="18"/>
          <w:lang w:val="en-GB"/>
        </w:rPr>
      </w:pPr>
    </w:p>
    <w:p w14:paraId="5A4EAECB" w14:textId="23D556F9" w:rsidR="008B42DE" w:rsidRPr="00240B69" w:rsidRDefault="008B42DE" w:rsidP="0041568F">
      <w:pPr>
        <w:pStyle w:val="BodyTextMain"/>
        <w:rPr>
          <w:spacing w:val="-2"/>
          <w:kern w:val="22"/>
          <w:lang w:val="en-GB"/>
        </w:rPr>
      </w:pPr>
      <w:r w:rsidRPr="00240B69">
        <w:rPr>
          <w:spacing w:val="-2"/>
          <w:kern w:val="22"/>
          <w:lang w:val="en-GB"/>
        </w:rPr>
        <w:t xml:space="preserve">GE Water was involved in </w:t>
      </w:r>
      <w:bookmarkStart w:id="6" w:name="_Hlk4750342"/>
      <w:r w:rsidRPr="00240B69">
        <w:rPr>
          <w:spacing w:val="-2"/>
          <w:kern w:val="22"/>
          <w:lang w:val="en-GB"/>
        </w:rPr>
        <w:t>desalination</w:t>
      </w:r>
      <w:bookmarkEnd w:id="6"/>
      <w:r w:rsidRPr="00240B69">
        <w:rPr>
          <w:spacing w:val="-2"/>
          <w:kern w:val="22"/>
          <w:lang w:val="en-GB"/>
        </w:rPr>
        <w:t>, recycling, reclaiming, waste treatment, and many other water management activities. According to Ralph Exton, GE Water’s chief marketing officer, GE Water’s assets included chemicals, equipment supply, and water production assets. “Water &amp; Process Technologies had technology in operation at hundreds of desalination plants globally,” said Exton, adding that it also had more than 30 build-own-operate contracts on sea water desalination plants in the Caribbean.</w:t>
      </w:r>
      <w:r w:rsidRPr="00240B69">
        <w:rPr>
          <w:spacing w:val="-2"/>
          <w:kern w:val="22"/>
          <w:vertAlign w:val="superscript"/>
          <w:lang w:val="en-GB"/>
        </w:rPr>
        <w:endnoteReference w:id="27"/>
      </w:r>
    </w:p>
    <w:p w14:paraId="48C97AE7" w14:textId="77777777" w:rsidR="008B42DE" w:rsidRPr="00240B69" w:rsidRDefault="008B42DE" w:rsidP="0041568F">
      <w:pPr>
        <w:pStyle w:val="BodyTextMain"/>
        <w:rPr>
          <w:spacing w:val="-2"/>
          <w:kern w:val="22"/>
          <w:sz w:val="18"/>
          <w:szCs w:val="18"/>
          <w:lang w:val="en-GB"/>
        </w:rPr>
      </w:pPr>
    </w:p>
    <w:p w14:paraId="17948ED8" w14:textId="02EF92B9" w:rsidR="008B42DE" w:rsidRPr="00240B69" w:rsidRDefault="008B42DE" w:rsidP="0041568F">
      <w:pPr>
        <w:pStyle w:val="BodyTextMain"/>
        <w:rPr>
          <w:spacing w:val="-2"/>
          <w:kern w:val="22"/>
          <w:lang w:val="en-GB"/>
        </w:rPr>
      </w:pPr>
      <w:r w:rsidRPr="00240B69">
        <w:rPr>
          <w:spacing w:val="-2"/>
          <w:kern w:val="22"/>
          <w:lang w:val="en-GB"/>
        </w:rPr>
        <w:t xml:space="preserve">As valuable as these assets may have been, the strategic fit between them and the rest of GE had been questioned within the conglomerate. In November 2016, GE announced that it was looking to sell GE Water in its entirety within the next six months. Exton had also made it clear that GE Water might be an appealing prospect to a number of desalination operators, a buyer from the Far East, or a private equity firm such as Advent International (which was in discussion to sign a deal to buy US water treatment company </w:t>
      </w:r>
      <w:proofErr w:type="spellStart"/>
      <w:r w:rsidRPr="00240B69">
        <w:rPr>
          <w:spacing w:val="-2"/>
          <w:kern w:val="22"/>
          <w:lang w:val="en-GB"/>
        </w:rPr>
        <w:t>Culligan</w:t>
      </w:r>
      <w:proofErr w:type="spellEnd"/>
      <w:r w:rsidRPr="00240B69">
        <w:rPr>
          <w:spacing w:val="-2"/>
          <w:kern w:val="22"/>
          <w:lang w:val="en-GB"/>
        </w:rPr>
        <w:t xml:space="preserve"> International), XPV Capital Corporation, </w:t>
      </w:r>
      <w:proofErr w:type="spellStart"/>
      <w:r w:rsidRPr="00240B69">
        <w:rPr>
          <w:spacing w:val="-2"/>
          <w:kern w:val="22"/>
          <w:lang w:val="en-GB"/>
        </w:rPr>
        <w:t>Apax</w:t>
      </w:r>
      <w:proofErr w:type="spellEnd"/>
      <w:r w:rsidRPr="00240B69">
        <w:rPr>
          <w:spacing w:val="-2"/>
          <w:kern w:val="22"/>
          <w:lang w:val="en-GB"/>
        </w:rPr>
        <w:t xml:space="preserve"> Partners LLP, or even </w:t>
      </w:r>
      <w:proofErr w:type="spellStart"/>
      <w:r w:rsidRPr="00240B69">
        <w:rPr>
          <w:spacing w:val="-2"/>
          <w:kern w:val="22"/>
          <w:lang w:val="en-GB"/>
        </w:rPr>
        <w:t>Castik</w:t>
      </w:r>
      <w:proofErr w:type="spellEnd"/>
      <w:r w:rsidRPr="00240B69">
        <w:rPr>
          <w:spacing w:val="-2"/>
          <w:kern w:val="22"/>
          <w:lang w:val="en-GB"/>
        </w:rPr>
        <w:t xml:space="preserve"> Capital Partners GmbH (which bought water cooler company </w:t>
      </w:r>
      <w:proofErr w:type="spellStart"/>
      <w:r w:rsidRPr="00240B69">
        <w:rPr>
          <w:spacing w:val="-2"/>
          <w:kern w:val="22"/>
          <w:lang w:val="en-GB"/>
        </w:rPr>
        <w:t>Waterlogic</w:t>
      </w:r>
      <w:proofErr w:type="spellEnd"/>
      <w:r w:rsidRPr="00240B69">
        <w:rPr>
          <w:spacing w:val="-2"/>
          <w:kern w:val="22"/>
          <w:lang w:val="en-GB"/>
        </w:rPr>
        <w:t xml:space="preserve"> in 2015).</w:t>
      </w:r>
      <w:r w:rsidRPr="00240B69">
        <w:rPr>
          <w:spacing w:val="-2"/>
          <w:kern w:val="22"/>
          <w:vertAlign w:val="superscript"/>
          <w:lang w:val="en-GB"/>
        </w:rPr>
        <w:endnoteReference w:id="28"/>
      </w:r>
    </w:p>
    <w:p w14:paraId="747CBE97" w14:textId="77777777" w:rsidR="008B42DE" w:rsidRPr="00240B69" w:rsidRDefault="008B42DE" w:rsidP="0041568F">
      <w:pPr>
        <w:pStyle w:val="BodyTextMain"/>
        <w:rPr>
          <w:spacing w:val="-2"/>
          <w:kern w:val="22"/>
          <w:sz w:val="18"/>
          <w:szCs w:val="18"/>
          <w:lang w:val="en-GB"/>
        </w:rPr>
      </w:pPr>
    </w:p>
    <w:p w14:paraId="3938B9EE" w14:textId="33F276D0" w:rsidR="008B42DE" w:rsidRPr="00240B69" w:rsidRDefault="008B42DE" w:rsidP="0041568F">
      <w:pPr>
        <w:pStyle w:val="BodyTextMain"/>
        <w:rPr>
          <w:lang w:val="en-GB"/>
        </w:rPr>
      </w:pPr>
      <w:r w:rsidRPr="00240B69">
        <w:rPr>
          <w:lang w:val="en-GB"/>
        </w:rPr>
        <w:t xml:space="preserve">At the end of 2016, GE Water represented approximately 1.5 to 2.0 per cent of GE’s total revenue and was investing in digital solutions and application development capabilities (e.g., </w:t>
      </w:r>
      <w:proofErr w:type="spellStart"/>
      <w:r w:rsidRPr="00240B69">
        <w:rPr>
          <w:lang w:val="en-GB"/>
        </w:rPr>
        <w:t>WaterSmart</w:t>
      </w:r>
      <w:proofErr w:type="spellEnd"/>
      <w:r w:rsidRPr="00240B69">
        <w:rPr>
          <w:lang w:val="en-GB"/>
        </w:rPr>
        <w:t xml:space="preserve"> Software and Smart Earth Technologies). In short, GE Water was forging ahead to be attractive to any serious buyer and was marketing its assets and innovations to position the company favourably for the future while leveraging its history as an industry leader.</w:t>
      </w:r>
      <w:r w:rsidRPr="00240B69">
        <w:rPr>
          <w:vertAlign w:val="superscript"/>
          <w:lang w:val="en-GB"/>
        </w:rPr>
        <w:endnoteReference w:id="29"/>
      </w:r>
    </w:p>
    <w:p w14:paraId="0EA3B2B7" w14:textId="77777777" w:rsidR="008B42DE" w:rsidRPr="00240B69" w:rsidRDefault="008B42DE" w:rsidP="0041568F">
      <w:pPr>
        <w:pStyle w:val="BodyTextMain"/>
        <w:rPr>
          <w:sz w:val="18"/>
          <w:szCs w:val="18"/>
          <w:lang w:val="en-GB"/>
        </w:rPr>
      </w:pPr>
    </w:p>
    <w:p w14:paraId="5041A18C" w14:textId="72BCA9EA" w:rsidR="008B42DE" w:rsidRPr="00240B69" w:rsidRDefault="008B42DE" w:rsidP="0041568F">
      <w:pPr>
        <w:pStyle w:val="BodyTextMain"/>
        <w:rPr>
          <w:lang w:val="en-GB"/>
        </w:rPr>
      </w:pPr>
      <w:r w:rsidRPr="00240B69">
        <w:rPr>
          <w:lang w:val="en-GB"/>
        </w:rPr>
        <w:t>In 2014, the company was named “Water Company of the Year” for developing innovative products for advanced water treatment.</w:t>
      </w:r>
      <w:r w:rsidRPr="00240B69">
        <w:rPr>
          <w:vertAlign w:val="superscript"/>
          <w:lang w:val="en-GB"/>
        </w:rPr>
        <w:endnoteReference w:id="30"/>
      </w:r>
      <w:r w:rsidRPr="00240B69">
        <w:rPr>
          <w:lang w:val="en-GB"/>
        </w:rPr>
        <w:t xml:space="preserve"> This achievement was an example of the driven GE culture that Immelt, GE’s CEO, epitomized.</w:t>
      </w:r>
    </w:p>
    <w:p w14:paraId="390BCFF4" w14:textId="77777777" w:rsidR="008B42DE" w:rsidRPr="00240B69" w:rsidRDefault="008B42DE" w:rsidP="0041568F">
      <w:pPr>
        <w:pStyle w:val="BodyTextMain"/>
        <w:rPr>
          <w:sz w:val="18"/>
          <w:szCs w:val="18"/>
          <w:lang w:val="en-GB"/>
        </w:rPr>
      </w:pPr>
    </w:p>
    <w:p w14:paraId="00DF59A5" w14:textId="593700E7" w:rsidR="008B42DE" w:rsidRDefault="008B42DE" w:rsidP="0041568F">
      <w:pPr>
        <w:pStyle w:val="BodyTextMain"/>
        <w:rPr>
          <w:lang w:val="en-GB"/>
        </w:rPr>
      </w:pPr>
      <w:r w:rsidRPr="00240B69">
        <w:rPr>
          <w:lang w:val="en-GB"/>
        </w:rPr>
        <w:t>Immelt, a Harvard-educated executive, was the hand-picked successor of Jack Welch, who had led the company for 20 years.</w:t>
      </w:r>
      <w:r w:rsidRPr="00240B69">
        <w:rPr>
          <w:vertAlign w:val="superscript"/>
          <w:lang w:val="en-GB"/>
        </w:rPr>
        <w:endnoteReference w:id="31"/>
      </w:r>
      <w:r w:rsidRPr="00240B69">
        <w:rPr>
          <w:lang w:val="en-GB"/>
        </w:rPr>
        <w:t xml:space="preserve"> Whereas Immelt did not benefit from the same stellar reputation as his predecessor, since taking the helm as chairman and CEO of GE in 2001, he had had the support of his board of directors to close many strategic deals amid two US recessions and during a 25 per cent decline in GE’s stock price.</w:t>
      </w:r>
      <w:r w:rsidRPr="00240B69">
        <w:rPr>
          <w:vertAlign w:val="superscript"/>
          <w:lang w:val="en-GB"/>
        </w:rPr>
        <w:endnoteReference w:id="32"/>
      </w:r>
      <w:r w:rsidRPr="00240B69">
        <w:rPr>
          <w:lang w:val="en-GB"/>
        </w:rPr>
        <w:t xml:space="preserve"> In 2011, he also became the chairman of the prestigious President’s Council on Jobs and Competitiveness, created by President Obama.</w:t>
      </w:r>
      <w:r w:rsidRPr="00240B69">
        <w:rPr>
          <w:vertAlign w:val="superscript"/>
          <w:lang w:val="en-GB"/>
        </w:rPr>
        <w:endnoteReference w:id="33"/>
      </w:r>
      <w:r w:rsidRPr="00240B69">
        <w:rPr>
          <w:lang w:val="en-GB"/>
        </w:rPr>
        <w:t xml:space="preserve"> </w:t>
      </w:r>
    </w:p>
    <w:p w14:paraId="0C401E77" w14:textId="77777777" w:rsidR="0083578D" w:rsidRPr="00240B69" w:rsidRDefault="0083578D" w:rsidP="0041568F">
      <w:pPr>
        <w:pStyle w:val="BodyTextMain"/>
        <w:rPr>
          <w:lang w:val="en-GB"/>
        </w:rPr>
      </w:pPr>
    </w:p>
    <w:p w14:paraId="137EC3FE" w14:textId="429C1D96" w:rsidR="008B42DE" w:rsidRPr="00240B69" w:rsidRDefault="008B42DE" w:rsidP="0041568F">
      <w:pPr>
        <w:pStyle w:val="BodyTextMain"/>
        <w:rPr>
          <w:lang w:val="en-GB"/>
        </w:rPr>
      </w:pPr>
      <w:r w:rsidRPr="00240B69">
        <w:rPr>
          <w:lang w:val="en-GB"/>
        </w:rPr>
        <w:t xml:space="preserve">Within ten years, Immelt had had to manage in the tumultuous environment of economic recessions (the post-9/11 recession of 2001–2002 and the 2008–2010 global financial crisis), digitization, and growing </w:t>
      </w:r>
      <w:r w:rsidRPr="00240B69">
        <w:rPr>
          <w:lang w:val="en-GB"/>
        </w:rPr>
        <w:lastRenderedPageBreak/>
        <w:t>uncertainty (the 2016 Brexit vote and the rise of protectionism around the world). He knew that he had to transform the GE culture. To that end, his approach had departed from the old “promote-from-within policies,” and he had welcomed outsiders into executive circles, pushing for a more global workforce to manage GE’s business around the world, instead of relying on US expatriates.</w:t>
      </w:r>
      <w:r w:rsidRPr="00240B69">
        <w:rPr>
          <w:vertAlign w:val="superscript"/>
          <w:lang w:val="en-GB"/>
        </w:rPr>
        <w:endnoteReference w:id="34"/>
      </w:r>
      <w:r w:rsidRPr="00240B69">
        <w:rPr>
          <w:lang w:val="en-GB"/>
        </w:rPr>
        <w:t xml:space="preserve"> </w:t>
      </w:r>
    </w:p>
    <w:p w14:paraId="40FC167E" w14:textId="77777777" w:rsidR="008B42DE" w:rsidRPr="00240B69" w:rsidRDefault="008B42DE" w:rsidP="0041568F">
      <w:pPr>
        <w:pStyle w:val="BodyTextMain"/>
        <w:rPr>
          <w:sz w:val="18"/>
          <w:szCs w:val="18"/>
          <w:lang w:val="en-GB"/>
        </w:rPr>
      </w:pPr>
    </w:p>
    <w:p w14:paraId="0131B1D5" w14:textId="6542BFBC" w:rsidR="008B42DE" w:rsidRPr="00240B69" w:rsidRDefault="008B42DE" w:rsidP="0041568F">
      <w:pPr>
        <w:pStyle w:val="BodyTextMain"/>
        <w:rPr>
          <w:spacing w:val="-2"/>
          <w:kern w:val="22"/>
          <w:lang w:val="en-GB"/>
        </w:rPr>
      </w:pPr>
      <w:r w:rsidRPr="00240B69">
        <w:rPr>
          <w:spacing w:val="-2"/>
          <w:kern w:val="22"/>
          <w:lang w:val="en-GB"/>
        </w:rPr>
        <w:t>Whereas his predecessor had personally evaluated the performance of top executives annually, Immelt formed the Commercial Council and expected business leaders to submit at least three “Imagination Breakthroughs” per year, which would be reviewed by Immelt and the council. The right ideas—those that would generate additional growth of at least $100 million—could get billions of dollars in funding. Pushing the boundaries and going beyond the six-sigma mantra established by Welch, which measured defects and mistakes to remove them from processes, Immelt was allowing people to fail when taking big risks. He was focused on the long term and had big ideas, investing in GE’s global research facilities (e.g., in Bangalore, India; Shanghai, China; and Munich, Germany) and overhauling the outdated centre in Niskayuna, New York.</w:t>
      </w:r>
      <w:r w:rsidRPr="00240B69">
        <w:rPr>
          <w:spacing w:val="-2"/>
          <w:kern w:val="22"/>
          <w:vertAlign w:val="superscript"/>
          <w:lang w:val="en-GB"/>
        </w:rPr>
        <w:endnoteReference w:id="35"/>
      </w:r>
    </w:p>
    <w:p w14:paraId="6A7FED17" w14:textId="77777777" w:rsidR="008B42DE" w:rsidRPr="00240B69" w:rsidRDefault="008B42DE" w:rsidP="0041568F">
      <w:pPr>
        <w:pStyle w:val="BodyTextMain"/>
        <w:rPr>
          <w:sz w:val="18"/>
          <w:szCs w:val="18"/>
          <w:lang w:val="en-GB"/>
        </w:rPr>
      </w:pPr>
    </w:p>
    <w:p w14:paraId="21F7A59C" w14:textId="77777777" w:rsidR="008B42DE" w:rsidRPr="00240B69" w:rsidRDefault="008B42DE" w:rsidP="0041568F">
      <w:pPr>
        <w:pStyle w:val="BodyTextMain"/>
        <w:rPr>
          <w:sz w:val="18"/>
          <w:szCs w:val="18"/>
          <w:lang w:val="en-GB"/>
        </w:rPr>
      </w:pPr>
    </w:p>
    <w:p w14:paraId="48B77019" w14:textId="77777777" w:rsidR="008B42DE" w:rsidRPr="00240B69" w:rsidRDefault="008B42DE" w:rsidP="0041568F">
      <w:pPr>
        <w:pStyle w:val="Casehead1"/>
        <w:rPr>
          <w:lang w:val="en-GB"/>
        </w:rPr>
      </w:pPr>
      <w:r w:rsidRPr="00240B69">
        <w:rPr>
          <w:lang w:val="en-GB"/>
        </w:rPr>
        <w:t>The Strategic Rationale for the Deal</w:t>
      </w:r>
    </w:p>
    <w:p w14:paraId="40544985" w14:textId="77777777" w:rsidR="008B42DE" w:rsidRPr="00240B69" w:rsidRDefault="008B42DE" w:rsidP="0041568F">
      <w:pPr>
        <w:pStyle w:val="BodyTextMain"/>
        <w:rPr>
          <w:sz w:val="18"/>
          <w:szCs w:val="18"/>
          <w:lang w:val="en-GB"/>
        </w:rPr>
      </w:pPr>
    </w:p>
    <w:p w14:paraId="7C95565E" w14:textId="57DB6BB2" w:rsidR="008B42DE" w:rsidRPr="00240B69" w:rsidRDefault="008B42DE" w:rsidP="0041568F">
      <w:pPr>
        <w:pStyle w:val="BodyTextMain"/>
        <w:rPr>
          <w:spacing w:val="-2"/>
          <w:kern w:val="22"/>
          <w:lang w:val="en-GB"/>
        </w:rPr>
      </w:pPr>
      <w:r w:rsidRPr="00240B69">
        <w:rPr>
          <w:spacing w:val="-2"/>
          <w:kern w:val="22"/>
          <w:lang w:val="en-GB"/>
        </w:rPr>
        <w:t>Water was understood as a basic need, and a reliable supply of drinkable water was a vital and crucial element of our modern society. It facilitated urbanization and economic growth, especially in a world where 50 per cent of the population lived in cities (3.7 billion people).</w:t>
      </w:r>
      <w:r w:rsidRPr="00240B69">
        <w:rPr>
          <w:spacing w:val="-2"/>
          <w:kern w:val="22"/>
          <w:vertAlign w:val="superscript"/>
          <w:lang w:val="en-GB"/>
        </w:rPr>
        <w:t xml:space="preserve"> </w:t>
      </w:r>
      <w:r w:rsidRPr="00240B69">
        <w:rPr>
          <w:spacing w:val="-2"/>
          <w:kern w:val="22"/>
          <w:lang w:val="en-GB"/>
        </w:rPr>
        <w:t>With a population of more than 300 million (almost five times that of France), the United States represented a very sizeable market for Suez, whose US presence was minimal. This geographic synergy was also accompanied by operational synergies: GE Water was more diversified and had desalination and digital capabilities that could be deployed by Suez, which had focused on drinkable water and waste management. Moreover, both companies were more than 100 years old and had withstood the test of time, with GE enjoying a global brand equity and some worldwide prestige. A possible deal with GE Water could entail many advantages, but also some daunting obstacles, for Suez.</w:t>
      </w:r>
      <w:r w:rsidRPr="00240B69">
        <w:rPr>
          <w:spacing w:val="-2"/>
          <w:kern w:val="22"/>
          <w:vertAlign w:val="superscript"/>
          <w:lang w:val="en-GB"/>
        </w:rPr>
        <w:endnoteReference w:id="36"/>
      </w:r>
    </w:p>
    <w:p w14:paraId="081F594D" w14:textId="77777777" w:rsidR="008B42DE" w:rsidRPr="00240B69" w:rsidRDefault="008B42DE" w:rsidP="0041568F">
      <w:pPr>
        <w:pStyle w:val="BodyTextMain"/>
        <w:rPr>
          <w:sz w:val="18"/>
          <w:szCs w:val="18"/>
          <w:lang w:val="en-GB"/>
        </w:rPr>
      </w:pPr>
    </w:p>
    <w:p w14:paraId="0BDB30ED" w14:textId="77777777" w:rsidR="008B42DE" w:rsidRPr="00240B69" w:rsidRDefault="008B42DE" w:rsidP="0041568F">
      <w:pPr>
        <w:pStyle w:val="BodyTextMain"/>
        <w:rPr>
          <w:sz w:val="18"/>
          <w:szCs w:val="18"/>
          <w:lang w:val="en-GB"/>
        </w:rPr>
      </w:pPr>
    </w:p>
    <w:p w14:paraId="35B189E8" w14:textId="77777777" w:rsidR="008B42DE" w:rsidRPr="00240B69" w:rsidRDefault="008B42DE" w:rsidP="0041568F">
      <w:pPr>
        <w:pStyle w:val="Casehead2"/>
        <w:rPr>
          <w:lang w:val="en-GB"/>
        </w:rPr>
      </w:pPr>
      <w:r w:rsidRPr="00240B69">
        <w:rPr>
          <w:lang w:val="en-GB"/>
        </w:rPr>
        <w:t>Advantages for Suez</w:t>
      </w:r>
    </w:p>
    <w:p w14:paraId="70D5DD86" w14:textId="77777777" w:rsidR="008B42DE" w:rsidRPr="00240B69" w:rsidRDefault="008B42DE" w:rsidP="0041568F">
      <w:pPr>
        <w:pStyle w:val="BodyTextMain"/>
        <w:rPr>
          <w:sz w:val="18"/>
          <w:szCs w:val="18"/>
          <w:lang w:val="en-GB"/>
        </w:rPr>
      </w:pPr>
    </w:p>
    <w:p w14:paraId="77046630" w14:textId="417E96A7" w:rsidR="008B42DE" w:rsidRPr="00240B69" w:rsidRDefault="008B42DE" w:rsidP="0041568F">
      <w:pPr>
        <w:pStyle w:val="BodyTextMain"/>
        <w:rPr>
          <w:lang w:val="en-GB"/>
        </w:rPr>
      </w:pPr>
      <w:r w:rsidRPr="00240B69">
        <w:rPr>
          <w:lang w:val="en-GB"/>
        </w:rPr>
        <w:t>The possible billion-dollar acquisition of GE Water by Suez would be a game changer with few redundancies. Suez would truly become a global leader in the industrial water services market by strengthening its global footprint and very modest North American presence, which represented only 7.</w:t>
      </w:r>
      <w:r w:rsidR="00305468">
        <w:rPr>
          <w:lang w:val="en-GB"/>
        </w:rPr>
        <w:t>9</w:t>
      </w:r>
      <w:r w:rsidRPr="00240B69">
        <w:rPr>
          <w:lang w:val="en-GB"/>
        </w:rPr>
        <w:t> per cent of its 2016 revenue (see Exhibit 1), and adding innovative capabilities.</w:t>
      </w:r>
      <w:r w:rsidRPr="00240B69">
        <w:rPr>
          <w:vertAlign w:val="superscript"/>
          <w:lang w:val="en-GB"/>
        </w:rPr>
        <w:endnoteReference w:id="37"/>
      </w:r>
    </w:p>
    <w:p w14:paraId="57A0636D" w14:textId="77777777" w:rsidR="008B42DE" w:rsidRPr="00240B69" w:rsidRDefault="008B42DE" w:rsidP="0041568F">
      <w:pPr>
        <w:pStyle w:val="BodyTextMain"/>
        <w:rPr>
          <w:sz w:val="18"/>
          <w:szCs w:val="18"/>
          <w:lang w:val="en-GB"/>
        </w:rPr>
      </w:pPr>
    </w:p>
    <w:p w14:paraId="7ED148A1" w14:textId="5B9BE315" w:rsidR="008B42DE" w:rsidRPr="00240B69" w:rsidRDefault="008B42DE" w:rsidP="0041568F">
      <w:pPr>
        <w:pStyle w:val="BodyTextMain"/>
        <w:rPr>
          <w:lang w:val="en-GB"/>
        </w:rPr>
      </w:pPr>
      <w:r w:rsidRPr="00240B69">
        <w:rPr>
          <w:lang w:val="en-GB"/>
        </w:rPr>
        <w:t>In early 2017, 66 per cent of Suez’s 2016 revenue came from Europe (see Exhibit 1), and the company was anchored in the European Union (EU) markets and the corresponding macroeconomic environment, which was typically growing more slowly than those in North America. A greater North American presence could also mean greater revenue and profits in US dollars. This could be a currency exchange advantage if the US dollar continued to strengthen against the euro, as it had been doing since May 2015.</w:t>
      </w:r>
      <w:r w:rsidRPr="00240B69">
        <w:rPr>
          <w:vertAlign w:val="superscript"/>
          <w:lang w:val="en-GB"/>
        </w:rPr>
        <w:endnoteReference w:id="38"/>
      </w:r>
    </w:p>
    <w:p w14:paraId="3F132F47" w14:textId="77777777" w:rsidR="008B42DE" w:rsidRPr="00240B69" w:rsidRDefault="008B42DE" w:rsidP="0041568F">
      <w:pPr>
        <w:pStyle w:val="BodyTextMain"/>
        <w:rPr>
          <w:sz w:val="18"/>
          <w:szCs w:val="18"/>
          <w:lang w:val="en-GB"/>
        </w:rPr>
      </w:pPr>
    </w:p>
    <w:p w14:paraId="3DDC38CE" w14:textId="00D9E734" w:rsidR="008B42DE" w:rsidRDefault="008B42DE" w:rsidP="0041568F">
      <w:pPr>
        <w:pStyle w:val="BodyTextMain"/>
        <w:rPr>
          <w:spacing w:val="-2"/>
          <w:kern w:val="22"/>
          <w:lang w:val="en-GB"/>
        </w:rPr>
      </w:pPr>
      <w:r w:rsidRPr="00240B69">
        <w:rPr>
          <w:spacing w:val="-2"/>
          <w:kern w:val="22"/>
          <w:lang w:val="en-GB"/>
        </w:rPr>
        <w:t>Last but not least, while negotiations with a giant like GE may have been intimidating for the CEO of a company that made a fraction of the conglomerate’s revenue</w:t>
      </w:r>
      <w:r w:rsidR="00140B89" w:rsidRPr="00240B69">
        <w:rPr>
          <w:spacing w:val="-2"/>
          <w:kern w:val="22"/>
          <w:lang w:val="en-GB"/>
        </w:rPr>
        <w:t>,</w:t>
      </w:r>
      <w:r w:rsidRPr="00240B69">
        <w:rPr>
          <w:spacing w:val="-2"/>
          <w:kern w:val="22"/>
          <w:lang w:val="en-GB"/>
        </w:rPr>
        <w:t xml:space="preserve"> and </w:t>
      </w:r>
      <w:proofErr w:type="spellStart"/>
      <w:r w:rsidRPr="00240B69">
        <w:rPr>
          <w:spacing w:val="-2"/>
          <w:kern w:val="22"/>
          <w:lang w:val="en-GB"/>
        </w:rPr>
        <w:t>Chaussade’s</w:t>
      </w:r>
      <w:proofErr w:type="spellEnd"/>
      <w:r w:rsidRPr="00240B69">
        <w:rPr>
          <w:spacing w:val="-2"/>
          <w:kern w:val="22"/>
          <w:lang w:val="en-GB"/>
        </w:rPr>
        <w:t xml:space="preserve"> international mergers and acquisitions experience may have been limited in comparison to Immelt’s, he did have such experience—e.g., the acquisition of a majority equity stake in </w:t>
      </w:r>
      <w:proofErr w:type="spellStart"/>
      <w:r w:rsidRPr="00240B69">
        <w:rPr>
          <w:spacing w:val="-2"/>
          <w:kern w:val="22"/>
          <w:lang w:val="en-GB"/>
        </w:rPr>
        <w:t>Driplex</w:t>
      </w:r>
      <w:proofErr w:type="spellEnd"/>
      <w:r w:rsidRPr="00240B69">
        <w:rPr>
          <w:spacing w:val="-2"/>
          <w:kern w:val="22"/>
          <w:lang w:val="en-GB"/>
        </w:rPr>
        <w:t xml:space="preserve">, India, and the $87 million acquisition of </w:t>
      </w:r>
      <w:proofErr w:type="spellStart"/>
      <w:r w:rsidRPr="00240B69">
        <w:rPr>
          <w:spacing w:val="-2"/>
          <w:kern w:val="22"/>
          <w:lang w:val="en-GB"/>
        </w:rPr>
        <w:t>Perthwaste</w:t>
      </w:r>
      <w:proofErr w:type="spellEnd"/>
      <w:r w:rsidRPr="00240B69">
        <w:rPr>
          <w:spacing w:val="-2"/>
          <w:kern w:val="22"/>
          <w:lang w:val="en-GB"/>
        </w:rPr>
        <w:t>, Australia, in 2016.</w:t>
      </w:r>
      <w:r w:rsidRPr="00240B69">
        <w:rPr>
          <w:spacing w:val="-2"/>
          <w:kern w:val="22"/>
          <w:vertAlign w:val="superscript"/>
          <w:lang w:val="en-GB"/>
        </w:rPr>
        <w:endnoteReference w:id="39"/>
      </w:r>
      <w:r w:rsidRPr="00240B69">
        <w:rPr>
          <w:spacing w:val="-2"/>
          <w:kern w:val="22"/>
          <w:lang w:val="en-GB"/>
        </w:rPr>
        <w:t xml:space="preserve"> In short, a possible GE Water acquisition could enable Suez to balance its financial future between two powerful continents, escaping its dependency on the EU in a post-Brexit environment with a limited growth forecast. On the other hand, these advantages could hide some potential obstacles that he would need to carefully consider before making an educated decision under great uncertainty.</w:t>
      </w:r>
      <w:r w:rsidRPr="00240B69">
        <w:rPr>
          <w:spacing w:val="-2"/>
          <w:kern w:val="22"/>
          <w:vertAlign w:val="superscript"/>
          <w:lang w:val="en-GB"/>
        </w:rPr>
        <w:endnoteReference w:id="40"/>
      </w:r>
    </w:p>
    <w:p w14:paraId="12DD7DD8" w14:textId="77777777" w:rsidR="0083578D" w:rsidRDefault="0083578D" w:rsidP="0041568F">
      <w:pPr>
        <w:pStyle w:val="BodyTextMain"/>
        <w:rPr>
          <w:spacing w:val="-2"/>
          <w:kern w:val="22"/>
          <w:lang w:val="en-GB"/>
        </w:rPr>
      </w:pPr>
    </w:p>
    <w:p w14:paraId="56318D4D" w14:textId="77777777" w:rsidR="0083578D" w:rsidRPr="00240B69" w:rsidRDefault="0083578D" w:rsidP="0041568F">
      <w:pPr>
        <w:pStyle w:val="BodyTextMain"/>
        <w:rPr>
          <w:spacing w:val="-2"/>
          <w:kern w:val="22"/>
          <w:lang w:val="en-GB"/>
        </w:rPr>
      </w:pPr>
    </w:p>
    <w:p w14:paraId="447C1B77" w14:textId="77777777" w:rsidR="008B42DE" w:rsidRPr="00240B69" w:rsidRDefault="008B42DE" w:rsidP="0041568F">
      <w:pPr>
        <w:pStyle w:val="Casehead2"/>
        <w:rPr>
          <w:lang w:val="en-GB"/>
        </w:rPr>
      </w:pPr>
      <w:r w:rsidRPr="00240B69">
        <w:rPr>
          <w:lang w:val="en-GB"/>
        </w:rPr>
        <w:lastRenderedPageBreak/>
        <w:t>Obstacles for Suez</w:t>
      </w:r>
    </w:p>
    <w:p w14:paraId="7B1173B6" w14:textId="77777777" w:rsidR="008B42DE" w:rsidRPr="00240B69" w:rsidRDefault="008B42DE" w:rsidP="00417830">
      <w:pPr>
        <w:pStyle w:val="BodyTextMain"/>
        <w:rPr>
          <w:lang w:val="en-GB"/>
        </w:rPr>
      </w:pPr>
    </w:p>
    <w:p w14:paraId="68367BE5" w14:textId="29828442" w:rsidR="008B42DE" w:rsidRPr="00240B69" w:rsidRDefault="008B42DE" w:rsidP="0041568F">
      <w:pPr>
        <w:pStyle w:val="BodyTextMain"/>
        <w:rPr>
          <w:lang w:val="en-GB"/>
        </w:rPr>
      </w:pPr>
      <w:r w:rsidRPr="00240B69">
        <w:rPr>
          <w:lang w:val="en-GB"/>
        </w:rPr>
        <w:t xml:space="preserve">First and foremost, the cost of the acquisition would be in billions of US dollars. GE Water was valued at approximately $2.5 billion—an amount large enough to scare away Suez’s main competitor, Veolia </w:t>
      </w:r>
      <w:proofErr w:type="spellStart"/>
      <w:r w:rsidRPr="00240B69">
        <w:rPr>
          <w:lang w:val="en-GB"/>
        </w:rPr>
        <w:t>Environnement</w:t>
      </w:r>
      <w:proofErr w:type="spellEnd"/>
      <w:r w:rsidRPr="00240B69">
        <w:rPr>
          <w:lang w:val="en-GB"/>
        </w:rPr>
        <w:t xml:space="preserve"> SA, during the bidding process.</w:t>
      </w:r>
      <w:r w:rsidRPr="00240B69">
        <w:rPr>
          <w:vertAlign w:val="superscript"/>
          <w:lang w:val="en-GB"/>
        </w:rPr>
        <w:endnoteReference w:id="41"/>
      </w:r>
      <w:r w:rsidRPr="00240B69">
        <w:rPr>
          <w:lang w:val="en-GB"/>
        </w:rPr>
        <w:t xml:space="preserve"> Due to Suez’s debt load (see Exhibit 1), a deal with GE would require external financing and a clear ability to repay a US-dollar loan, plus interest. This was especially concerning amid a downward trend for the euro against the US dollar, assuming an all-cash deal. If the deal were to include stocks, </w:t>
      </w:r>
      <w:proofErr w:type="spellStart"/>
      <w:r w:rsidRPr="00240B69">
        <w:rPr>
          <w:lang w:val="en-GB"/>
        </w:rPr>
        <w:t>Chaussade</w:t>
      </w:r>
      <w:proofErr w:type="spellEnd"/>
      <w:r w:rsidRPr="00240B69">
        <w:rPr>
          <w:lang w:val="en-GB"/>
        </w:rPr>
        <w:t xml:space="preserve"> would face the challenge associated with the 25 per cent decline of his company’s stock in less than two years, compared with an upward trend of the US stock market (13 per cent), using the S&amp;P 500 index as a benchmark.</w:t>
      </w:r>
      <w:r w:rsidRPr="00240B69" w:rsidDel="00EB2E2F">
        <w:rPr>
          <w:vertAlign w:val="superscript"/>
          <w:lang w:val="en-GB"/>
        </w:rPr>
        <w:t xml:space="preserve"> </w:t>
      </w:r>
      <w:r w:rsidRPr="00240B69">
        <w:rPr>
          <w:rStyle w:val="EndnoteReference"/>
          <w:lang w:val="en-GB"/>
        </w:rPr>
        <w:endnoteReference w:id="42"/>
      </w:r>
      <w:r w:rsidRPr="00240B69">
        <w:rPr>
          <w:lang w:val="en-GB"/>
        </w:rPr>
        <w:t xml:space="preserve"> Moreover, water and waste management were heavily regulated by different government agencies. A new US government would increase uncertainty and could lead to more or fewer regulations. In addition, a </w:t>
      </w:r>
      <w:bookmarkStart w:id="7" w:name="_Hlk4754326"/>
      <w:r w:rsidRPr="00240B69">
        <w:rPr>
          <w:lang w:val="en-GB"/>
        </w:rPr>
        <w:t>transatlantic</w:t>
      </w:r>
      <w:bookmarkEnd w:id="7"/>
      <w:r w:rsidRPr="00240B69">
        <w:rPr>
          <w:lang w:val="en-GB"/>
        </w:rPr>
        <w:t xml:space="preserve"> acquisition would be fraught with cultural differences and possible misunderstandings, including tensions between the French and the Americans during negotiations and implementation. </w:t>
      </w:r>
      <w:proofErr w:type="spellStart"/>
      <w:r w:rsidRPr="00240B69">
        <w:rPr>
          <w:lang w:val="en-GB"/>
        </w:rPr>
        <w:t>Chaussade</w:t>
      </w:r>
      <w:proofErr w:type="spellEnd"/>
      <w:r w:rsidRPr="00240B69">
        <w:rPr>
          <w:lang w:val="en-GB"/>
        </w:rPr>
        <w:t xml:space="preserve"> would clearly be negotiating from a position of weakness from the perspective of both the companies themselves and the perspective of the key negotiators—whose cultures entailed more differences than similarities.</w:t>
      </w:r>
      <w:r w:rsidRPr="00240B69">
        <w:rPr>
          <w:vertAlign w:val="superscript"/>
          <w:lang w:val="en-GB"/>
        </w:rPr>
        <w:endnoteReference w:id="43"/>
      </w:r>
    </w:p>
    <w:p w14:paraId="0D3BEDF7" w14:textId="77777777" w:rsidR="008B42DE" w:rsidRPr="00240B69" w:rsidRDefault="008B42DE" w:rsidP="00417830">
      <w:pPr>
        <w:pStyle w:val="BodyTextMain"/>
        <w:rPr>
          <w:lang w:val="en-GB"/>
        </w:rPr>
      </w:pPr>
    </w:p>
    <w:p w14:paraId="679105AD" w14:textId="77777777" w:rsidR="008B42DE" w:rsidRPr="00240B69" w:rsidRDefault="008B42DE" w:rsidP="00417830">
      <w:pPr>
        <w:pStyle w:val="BodyTextMain"/>
        <w:rPr>
          <w:lang w:val="en-GB"/>
        </w:rPr>
      </w:pPr>
    </w:p>
    <w:p w14:paraId="4F24D42D" w14:textId="77777777" w:rsidR="008B42DE" w:rsidRPr="00240B69" w:rsidRDefault="008B42DE" w:rsidP="0041568F">
      <w:pPr>
        <w:pStyle w:val="Casehead1"/>
        <w:rPr>
          <w:lang w:val="en-GB"/>
        </w:rPr>
      </w:pPr>
      <w:r w:rsidRPr="00240B69">
        <w:rPr>
          <w:lang w:val="en-GB"/>
        </w:rPr>
        <w:t>Cultural Differences</w:t>
      </w:r>
    </w:p>
    <w:p w14:paraId="52ECAC12" w14:textId="77777777" w:rsidR="008B42DE" w:rsidRPr="00240B69" w:rsidRDefault="008B42DE" w:rsidP="00417830">
      <w:pPr>
        <w:pStyle w:val="BodyTextMain"/>
        <w:rPr>
          <w:lang w:val="en-GB"/>
        </w:rPr>
      </w:pPr>
    </w:p>
    <w:p w14:paraId="5C9213B1" w14:textId="67502FC1" w:rsidR="008B42DE" w:rsidRPr="00240B69" w:rsidRDefault="008B42DE" w:rsidP="0041568F">
      <w:pPr>
        <w:pStyle w:val="BodyTextMain"/>
        <w:rPr>
          <w:spacing w:val="-4"/>
          <w:kern w:val="22"/>
          <w:lang w:val="en-GB"/>
        </w:rPr>
      </w:pPr>
      <w:r w:rsidRPr="00240B69">
        <w:rPr>
          <w:spacing w:val="-4"/>
          <w:kern w:val="22"/>
          <w:lang w:val="en-GB"/>
        </w:rPr>
        <w:t xml:space="preserve">Several challenges and opportunities pertaining to cultural differences awaited </w:t>
      </w:r>
      <w:proofErr w:type="spellStart"/>
      <w:r w:rsidRPr="00240B69">
        <w:rPr>
          <w:spacing w:val="-4"/>
          <w:kern w:val="22"/>
          <w:lang w:val="en-GB"/>
        </w:rPr>
        <w:t>Chaussade</w:t>
      </w:r>
      <w:proofErr w:type="spellEnd"/>
      <w:r w:rsidRPr="00240B69">
        <w:rPr>
          <w:spacing w:val="-4"/>
          <w:kern w:val="22"/>
          <w:lang w:val="en-GB"/>
        </w:rPr>
        <w:t xml:space="preserve"> as he negotiated with Immelt and pondered the possible impact of the acquisition on GE Water’s largely American workforce. Hofstede Insight’s Country Comparison tool (see Exhibits 2 and 3) indicated that a high degree of individualism was inherent in US culture (with a score of 91), whereas the French were more collectivist (with a score of 71). On the other hand, a low uncertainty avoidance score (46) indicated that US culture was more flexible about new ideas, less rigid, and more comfortable with uncertainty and ambiguity than the French (86). For </w:t>
      </w:r>
      <w:proofErr w:type="spellStart"/>
      <w:r w:rsidRPr="00240B69">
        <w:rPr>
          <w:spacing w:val="-4"/>
          <w:kern w:val="22"/>
          <w:lang w:val="en-GB"/>
        </w:rPr>
        <w:t>Chaussade</w:t>
      </w:r>
      <w:proofErr w:type="spellEnd"/>
      <w:r w:rsidRPr="00240B69">
        <w:rPr>
          <w:spacing w:val="-4"/>
          <w:kern w:val="22"/>
          <w:lang w:val="en-GB"/>
        </w:rPr>
        <w:t>, a critical question was whether the largely American company could transition smoothly and overcome any cultural differences to produce further innovations and deliver revenue and profits for Suez. In 2017, Suez, headquartered in the centre of Paris, with close ties to the French government, was still a truly French company, with a board and committees that included only a few European directors and no Americans.</w:t>
      </w:r>
      <w:r w:rsidRPr="00240B69">
        <w:rPr>
          <w:spacing w:val="-4"/>
          <w:kern w:val="22"/>
          <w:vertAlign w:val="superscript"/>
          <w:lang w:val="en-GB"/>
        </w:rPr>
        <w:endnoteReference w:id="44"/>
      </w:r>
      <w:r w:rsidRPr="00240B69">
        <w:rPr>
          <w:spacing w:val="-4"/>
          <w:kern w:val="22"/>
          <w:lang w:val="en-GB"/>
        </w:rPr>
        <w:t xml:space="preserve"> In early 2017, the overall political climate in both countries also contributed to the complexity of the negotiations.</w:t>
      </w:r>
      <w:r w:rsidRPr="00240B69">
        <w:rPr>
          <w:spacing w:val="-4"/>
          <w:kern w:val="22"/>
          <w:vertAlign w:val="superscript"/>
          <w:lang w:val="en-GB"/>
        </w:rPr>
        <w:endnoteReference w:id="45"/>
      </w:r>
    </w:p>
    <w:p w14:paraId="6B0A4F61" w14:textId="77777777" w:rsidR="008B42DE" w:rsidRPr="00240B69" w:rsidRDefault="008B42DE" w:rsidP="00417830">
      <w:pPr>
        <w:pStyle w:val="BodyTextMain"/>
        <w:rPr>
          <w:lang w:val="en-GB"/>
        </w:rPr>
      </w:pPr>
    </w:p>
    <w:p w14:paraId="59779A04" w14:textId="77777777" w:rsidR="008B42DE" w:rsidRPr="00240B69" w:rsidRDefault="008B42DE" w:rsidP="00417830">
      <w:pPr>
        <w:pStyle w:val="BodyTextMain"/>
        <w:rPr>
          <w:lang w:val="en-GB"/>
        </w:rPr>
      </w:pPr>
    </w:p>
    <w:p w14:paraId="05943387" w14:textId="77777777" w:rsidR="008B42DE" w:rsidRPr="00240B69" w:rsidRDefault="008B42DE" w:rsidP="00651C26">
      <w:pPr>
        <w:pStyle w:val="Casehead1"/>
        <w:keepNext/>
        <w:rPr>
          <w:lang w:val="en-GB"/>
        </w:rPr>
      </w:pPr>
      <w:r w:rsidRPr="00240B69">
        <w:rPr>
          <w:lang w:val="en-GB"/>
        </w:rPr>
        <w:t>The Political Climate</w:t>
      </w:r>
    </w:p>
    <w:p w14:paraId="21897C1D" w14:textId="77777777" w:rsidR="008B42DE" w:rsidRPr="00240B69" w:rsidRDefault="008B42DE" w:rsidP="00417830">
      <w:pPr>
        <w:pStyle w:val="BodyTextMain"/>
        <w:rPr>
          <w:lang w:val="en-GB"/>
        </w:rPr>
      </w:pPr>
    </w:p>
    <w:p w14:paraId="326B359C" w14:textId="77777777" w:rsidR="008B42DE" w:rsidRPr="00240B69" w:rsidRDefault="008B42DE" w:rsidP="00651C26">
      <w:pPr>
        <w:pStyle w:val="Casehead2"/>
        <w:keepNext/>
        <w:rPr>
          <w:lang w:val="en-GB"/>
        </w:rPr>
      </w:pPr>
      <w:r w:rsidRPr="00240B69">
        <w:rPr>
          <w:lang w:val="en-GB"/>
        </w:rPr>
        <w:t>France</w:t>
      </w:r>
    </w:p>
    <w:p w14:paraId="79CB4CFF" w14:textId="77777777" w:rsidR="008B42DE" w:rsidRPr="00240B69" w:rsidRDefault="008B42DE" w:rsidP="00417830">
      <w:pPr>
        <w:pStyle w:val="BodyTextMain"/>
        <w:rPr>
          <w:lang w:val="en-GB"/>
        </w:rPr>
      </w:pPr>
    </w:p>
    <w:p w14:paraId="55F469AD" w14:textId="267D14AB" w:rsidR="008B42DE" w:rsidRPr="00240B69" w:rsidRDefault="008B42DE" w:rsidP="00651C26">
      <w:pPr>
        <w:pStyle w:val="BodyTextMain"/>
        <w:keepNext/>
        <w:rPr>
          <w:lang w:val="en-GB"/>
        </w:rPr>
      </w:pPr>
      <w:r w:rsidRPr="00240B69">
        <w:rPr>
          <w:lang w:val="en-GB"/>
        </w:rPr>
        <w:t xml:space="preserve">Mired in a scandal concerning the misuse of public funds by the front-running candidate, François </w:t>
      </w:r>
      <w:proofErr w:type="spellStart"/>
      <w:r w:rsidRPr="00240B69">
        <w:rPr>
          <w:lang w:val="en-GB"/>
        </w:rPr>
        <w:t>Fillon</w:t>
      </w:r>
      <w:proofErr w:type="spellEnd"/>
      <w:r w:rsidRPr="00240B69">
        <w:rPr>
          <w:lang w:val="en-GB"/>
        </w:rPr>
        <w:t>,</w:t>
      </w:r>
      <w:r w:rsidRPr="00240B69">
        <w:rPr>
          <w:vertAlign w:val="superscript"/>
          <w:lang w:val="en-GB"/>
        </w:rPr>
        <w:endnoteReference w:id="46"/>
      </w:r>
      <w:r w:rsidRPr="00240B69">
        <w:rPr>
          <w:lang w:val="en-GB"/>
        </w:rPr>
        <w:t xml:space="preserve"> the French presidential campaign took a new twist when a 38-year-old, independent political outsider by the name of Emmanuel Macron announced that he would “make France daring again.”</w:t>
      </w:r>
      <w:r w:rsidRPr="00240B69">
        <w:rPr>
          <w:vertAlign w:val="superscript"/>
          <w:lang w:val="en-GB"/>
        </w:rPr>
        <w:endnoteReference w:id="47"/>
      </w:r>
      <w:r w:rsidRPr="00240B69">
        <w:rPr>
          <w:lang w:val="en-GB"/>
        </w:rPr>
        <w:t xml:space="preserve"> Uncertainty was becoming the </w:t>
      </w:r>
      <w:r w:rsidRPr="00240B69">
        <w:rPr>
          <w:i/>
          <w:lang w:val="en-GB"/>
        </w:rPr>
        <w:t>plat du jour</w:t>
      </w:r>
      <w:r w:rsidRPr="00240B69">
        <w:rPr>
          <w:lang w:val="en-GB"/>
        </w:rPr>
        <w:t xml:space="preserve"> </w:t>
      </w:r>
      <w:r w:rsidR="00305468">
        <w:rPr>
          <w:lang w:val="en-GB"/>
        </w:rPr>
        <w:t xml:space="preserve">(dish of the day) </w:t>
      </w:r>
      <w:r w:rsidRPr="00240B69">
        <w:rPr>
          <w:lang w:val="en-GB"/>
        </w:rPr>
        <w:t xml:space="preserve">for political news enthusiasts and strategists. However, for CEOs like </w:t>
      </w:r>
      <w:proofErr w:type="spellStart"/>
      <w:r w:rsidRPr="00240B69">
        <w:rPr>
          <w:lang w:val="en-GB"/>
        </w:rPr>
        <w:t>Chaussade</w:t>
      </w:r>
      <w:proofErr w:type="spellEnd"/>
      <w:r w:rsidRPr="00240B69">
        <w:rPr>
          <w:lang w:val="en-GB"/>
        </w:rPr>
        <w:t>, this new uncertainty was not only unprecedented in modern history but also associated with increased political risk and possible social unrest (e.g., strikes) that could further damage the slow economic recovery in France and Europe.</w:t>
      </w:r>
      <w:r w:rsidRPr="00240B69">
        <w:rPr>
          <w:vertAlign w:val="superscript"/>
          <w:lang w:val="en-GB"/>
        </w:rPr>
        <w:endnoteReference w:id="48"/>
      </w:r>
      <w:r w:rsidRPr="00240B69">
        <w:rPr>
          <w:lang w:val="en-GB"/>
        </w:rPr>
        <w:t xml:space="preserve"> Adding complexity to this uncertainty, the relationship between France and the United States was becoming tense: French President Hollande criticized Trump,</w:t>
      </w:r>
      <w:r w:rsidRPr="00240B69">
        <w:rPr>
          <w:vertAlign w:val="superscript"/>
          <w:lang w:val="en-GB"/>
        </w:rPr>
        <w:endnoteReference w:id="49"/>
      </w:r>
      <w:r w:rsidRPr="00240B69">
        <w:rPr>
          <w:lang w:val="en-GB"/>
        </w:rPr>
        <w:t xml:space="preserve"> and Macron, the presidential hopeful, characterized the United States as a destabilizing force in the world with Trump as president, deeming Trump’s first acts as “serious and worrying.”</w:t>
      </w:r>
      <w:r w:rsidRPr="00240B69">
        <w:rPr>
          <w:vertAlign w:val="superscript"/>
          <w:lang w:val="en-GB"/>
        </w:rPr>
        <w:endnoteReference w:id="50"/>
      </w:r>
    </w:p>
    <w:p w14:paraId="1C87010B" w14:textId="77777777" w:rsidR="008B42DE" w:rsidRPr="00240B69" w:rsidRDefault="008B42DE" w:rsidP="00417830">
      <w:pPr>
        <w:pStyle w:val="BodyTextMain"/>
        <w:rPr>
          <w:lang w:val="en-GB"/>
        </w:rPr>
      </w:pPr>
    </w:p>
    <w:p w14:paraId="0755DC6F" w14:textId="77777777" w:rsidR="008B42DE" w:rsidRPr="00240B69" w:rsidRDefault="008B42DE" w:rsidP="00417830">
      <w:pPr>
        <w:pStyle w:val="BodyTextMain"/>
        <w:rPr>
          <w:lang w:val="en-GB"/>
        </w:rPr>
      </w:pPr>
    </w:p>
    <w:p w14:paraId="023FCBC1" w14:textId="4F468C59" w:rsidR="008B42DE" w:rsidRPr="00240B69" w:rsidRDefault="008B42DE" w:rsidP="00417830">
      <w:pPr>
        <w:pStyle w:val="Casehead2"/>
        <w:keepNext/>
        <w:rPr>
          <w:lang w:val="en-GB"/>
        </w:rPr>
      </w:pPr>
      <w:r w:rsidRPr="00240B69">
        <w:rPr>
          <w:lang w:val="en-GB"/>
        </w:rPr>
        <w:lastRenderedPageBreak/>
        <w:t>The United States</w:t>
      </w:r>
    </w:p>
    <w:p w14:paraId="03F6434D" w14:textId="77777777" w:rsidR="008B42DE" w:rsidRPr="00240B69" w:rsidRDefault="008B42DE" w:rsidP="00417830">
      <w:pPr>
        <w:pStyle w:val="BodyTextMain"/>
        <w:keepNext/>
        <w:rPr>
          <w:sz w:val="18"/>
          <w:szCs w:val="18"/>
          <w:lang w:val="en-GB"/>
        </w:rPr>
      </w:pPr>
    </w:p>
    <w:p w14:paraId="64786CE6" w14:textId="06D020B6" w:rsidR="008B42DE" w:rsidRPr="00240B69" w:rsidRDefault="008B42DE" w:rsidP="0041568F">
      <w:pPr>
        <w:pStyle w:val="BodyTextMain"/>
        <w:rPr>
          <w:lang w:val="en-GB"/>
        </w:rPr>
      </w:pPr>
      <w:r w:rsidRPr="00240B69">
        <w:rPr>
          <w:lang w:val="en-GB"/>
        </w:rPr>
        <w:t xml:space="preserve">As mentioned previously, the United States had elected a new president in November 2016. By the end of February 2017, the aftermath of the drastic policy changes announced by President Trump made it clear that more uncertainty was to be reckoned with. Indeed, in a matter of weeks, the United States exited the TPP, which had required years of negotiations, announced a protectionist agenda in regard to global trade (i.e., the America First foreign policy), and promised to pull out of the Paris Agreement, which had been signed by 200 nations. </w:t>
      </w:r>
    </w:p>
    <w:p w14:paraId="393FD099" w14:textId="77777777" w:rsidR="008B42DE" w:rsidRPr="00240B69" w:rsidRDefault="008B42DE" w:rsidP="0041568F">
      <w:pPr>
        <w:pStyle w:val="BodyTextMain"/>
        <w:rPr>
          <w:lang w:val="en-GB"/>
        </w:rPr>
      </w:pPr>
    </w:p>
    <w:p w14:paraId="7AF69FD3" w14:textId="6018AA5D" w:rsidR="008B42DE" w:rsidRPr="00240B69" w:rsidRDefault="008B42DE" w:rsidP="0041568F">
      <w:pPr>
        <w:pStyle w:val="BodyTextMain"/>
        <w:rPr>
          <w:b/>
          <w:lang w:val="en-GB"/>
        </w:rPr>
      </w:pPr>
      <w:r w:rsidRPr="00240B69">
        <w:rPr>
          <w:lang w:val="en-GB"/>
        </w:rPr>
        <w:t>The implications of these drastic changes were numerous for the United States and the world, as the US economy represented approximately a quarter of the global economy.</w:t>
      </w:r>
      <w:r w:rsidRPr="00240B69">
        <w:rPr>
          <w:vertAlign w:val="superscript"/>
          <w:lang w:val="en-GB"/>
        </w:rPr>
        <w:endnoteReference w:id="51"/>
      </w:r>
      <w:r w:rsidRPr="00240B69">
        <w:rPr>
          <w:lang w:val="en-GB"/>
        </w:rPr>
        <w:t xml:space="preserve"> For </w:t>
      </w:r>
      <w:proofErr w:type="spellStart"/>
      <w:r w:rsidRPr="00240B69">
        <w:rPr>
          <w:lang w:val="en-GB"/>
        </w:rPr>
        <w:t>Chaussade</w:t>
      </w:r>
      <w:proofErr w:type="spellEnd"/>
      <w:r w:rsidRPr="00240B69">
        <w:rPr>
          <w:lang w:val="en-GB"/>
        </w:rPr>
        <w:t xml:space="preserve">, was this the chance of a lifetime for him to </w:t>
      </w:r>
      <w:r w:rsidR="00904CBE" w:rsidRPr="00240B69">
        <w:rPr>
          <w:lang w:val="en-GB"/>
        </w:rPr>
        <w:t>connect</w:t>
      </w:r>
      <w:r w:rsidRPr="00240B69">
        <w:rPr>
          <w:lang w:val="en-GB"/>
        </w:rPr>
        <w:t xml:space="preserve"> Suez with the “land of opportunities,” or was it a set of red flags? </w:t>
      </w:r>
    </w:p>
    <w:p w14:paraId="1980A490" w14:textId="77777777" w:rsidR="008B42DE" w:rsidRPr="00240B69" w:rsidRDefault="008B42DE" w:rsidP="0013506C">
      <w:pPr>
        <w:pStyle w:val="BodyTextMain"/>
        <w:rPr>
          <w:sz w:val="18"/>
          <w:szCs w:val="18"/>
          <w:lang w:val="en-GB"/>
        </w:rPr>
      </w:pPr>
    </w:p>
    <w:p w14:paraId="7735D5A4" w14:textId="77777777" w:rsidR="008B42DE" w:rsidRPr="00240B69" w:rsidRDefault="008B42DE" w:rsidP="0041568F">
      <w:pPr>
        <w:pStyle w:val="BodyTextMain"/>
        <w:rPr>
          <w:sz w:val="18"/>
          <w:szCs w:val="18"/>
          <w:lang w:val="en-GB"/>
        </w:rPr>
      </w:pPr>
    </w:p>
    <w:p w14:paraId="5A445BA6" w14:textId="77777777" w:rsidR="008B42DE" w:rsidRPr="00240B69" w:rsidRDefault="008B42DE" w:rsidP="0041568F">
      <w:pPr>
        <w:pStyle w:val="Casehead1"/>
        <w:rPr>
          <w:lang w:val="en-GB"/>
        </w:rPr>
      </w:pPr>
      <w:r w:rsidRPr="00240B69">
        <w:rPr>
          <w:lang w:val="en-GB"/>
        </w:rPr>
        <w:t>Financial Considerations</w:t>
      </w:r>
    </w:p>
    <w:p w14:paraId="0B7CD4C3" w14:textId="77777777" w:rsidR="008B42DE" w:rsidRPr="00240B69" w:rsidRDefault="008B42DE" w:rsidP="004A725B">
      <w:pPr>
        <w:pStyle w:val="BodyTextMain"/>
        <w:rPr>
          <w:sz w:val="18"/>
          <w:szCs w:val="18"/>
          <w:lang w:val="en-GB"/>
        </w:rPr>
      </w:pPr>
    </w:p>
    <w:p w14:paraId="4EFAEE11" w14:textId="08952BFF" w:rsidR="008B42DE" w:rsidRPr="00240B69" w:rsidRDefault="008B42DE" w:rsidP="0041568F">
      <w:pPr>
        <w:pStyle w:val="BodyTextMain"/>
        <w:rPr>
          <w:lang w:val="en-GB"/>
        </w:rPr>
      </w:pPr>
      <w:r w:rsidRPr="00240B69">
        <w:rPr>
          <w:lang w:val="en-GB"/>
        </w:rPr>
        <w:t xml:space="preserve">For Suez, the main financial consideration was that, even in a low-interest rate environment (3–5 per cent over 30 years), the principal amount plus the interest (compounded annually) always had to be repaid. Suez would need a billion-dollar (USD) loan from </w:t>
      </w:r>
      <w:proofErr w:type="spellStart"/>
      <w:r w:rsidRPr="00240B69">
        <w:rPr>
          <w:lang w:val="en-GB"/>
        </w:rPr>
        <w:t>Caisse</w:t>
      </w:r>
      <w:proofErr w:type="spellEnd"/>
      <w:r w:rsidRPr="00240B69">
        <w:rPr>
          <w:lang w:val="en-GB"/>
        </w:rPr>
        <w:t xml:space="preserve"> de </w:t>
      </w:r>
      <w:proofErr w:type="spellStart"/>
      <w:r w:rsidRPr="00240B69">
        <w:rPr>
          <w:lang w:val="en-GB"/>
        </w:rPr>
        <w:t>dépôt</w:t>
      </w:r>
      <w:proofErr w:type="spellEnd"/>
      <w:r w:rsidRPr="00240B69">
        <w:rPr>
          <w:lang w:val="en-GB"/>
        </w:rPr>
        <w:t xml:space="preserve"> et placement du Québec to complete the deal. If the macroeconomic environment were to deteriorate further in Europe, the United States, or both, such a large loan, estimated between $2 billion to $3 billion,</w:t>
      </w:r>
      <w:r w:rsidRPr="00240B69">
        <w:rPr>
          <w:vertAlign w:val="superscript"/>
          <w:lang w:val="en-GB"/>
        </w:rPr>
        <w:endnoteReference w:id="52"/>
      </w:r>
      <w:r w:rsidRPr="00240B69">
        <w:rPr>
          <w:lang w:val="en-GB"/>
        </w:rPr>
        <w:t xml:space="preserve"> would put an additional and significant burden on Suez—especially if it used euros to repay it, given a decreasing euro against the US dollar. However, with the US economy performing well and promises of deregulation and corporate tax cuts made by President Trump,</w:t>
      </w:r>
      <w:r w:rsidRPr="00240B69">
        <w:rPr>
          <w:vertAlign w:val="superscript"/>
          <w:lang w:val="en-GB"/>
        </w:rPr>
        <w:endnoteReference w:id="53"/>
      </w:r>
      <w:r w:rsidRPr="00240B69">
        <w:rPr>
          <w:lang w:val="en-GB"/>
        </w:rPr>
        <w:t xml:space="preserve"> the deal could translate into greater profits for Suez. Would these benefits outweigh the costs? </w:t>
      </w:r>
    </w:p>
    <w:p w14:paraId="08B6037D" w14:textId="77777777" w:rsidR="008B42DE" w:rsidRPr="00240B69" w:rsidRDefault="008B42DE" w:rsidP="0041568F">
      <w:pPr>
        <w:pStyle w:val="BodyTextMain"/>
        <w:rPr>
          <w:sz w:val="18"/>
          <w:szCs w:val="18"/>
          <w:lang w:val="en-GB"/>
        </w:rPr>
      </w:pPr>
    </w:p>
    <w:p w14:paraId="0B8BE8FB" w14:textId="6EA57F3B" w:rsidR="008B42DE" w:rsidRPr="00240B69" w:rsidRDefault="008B42DE" w:rsidP="0041568F">
      <w:pPr>
        <w:pStyle w:val="BodyTextMain"/>
        <w:rPr>
          <w:lang w:val="en-GB"/>
        </w:rPr>
      </w:pPr>
      <w:r w:rsidRPr="00240B69">
        <w:rPr>
          <w:lang w:val="en-GB"/>
        </w:rPr>
        <w:t>The macroeconomic environment of the United States was not only different than that of Europe but also changing rapidly.</w:t>
      </w:r>
      <w:r w:rsidRPr="00240B69">
        <w:rPr>
          <w:vertAlign w:val="superscript"/>
          <w:lang w:val="en-GB"/>
        </w:rPr>
        <w:endnoteReference w:id="54"/>
      </w:r>
    </w:p>
    <w:p w14:paraId="1175A0C1" w14:textId="77777777" w:rsidR="008B42DE" w:rsidRPr="00240B69" w:rsidRDefault="008B42DE" w:rsidP="0041568F">
      <w:pPr>
        <w:pStyle w:val="BodyTextMain"/>
        <w:rPr>
          <w:sz w:val="18"/>
          <w:szCs w:val="18"/>
          <w:lang w:val="en-GB"/>
        </w:rPr>
      </w:pPr>
    </w:p>
    <w:p w14:paraId="442B58AF" w14:textId="77777777" w:rsidR="008B42DE" w:rsidRPr="00240B69" w:rsidRDefault="008B42DE" w:rsidP="0041568F">
      <w:pPr>
        <w:pStyle w:val="BodyTextMain"/>
        <w:rPr>
          <w:sz w:val="18"/>
          <w:szCs w:val="18"/>
          <w:lang w:val="en-GB"/>
        </w:rPr>
      </w:pPr>
    </w:p>
    <w:p w14:paraId="68A4CF19" w14:textId="77777777" w:rsidR="008B42DE" w:rsidRPr="00240B69" w:rsidRDefault="008B42DE" w:rsidP="0041568F">
      <w:pPr>
        <w:pStyle w:val="Casehead1"/>
        <w:rPr>
          <w:lang w:val="en-GB"/>
        </w:rPr>
      </w:pPr>
      <w:r w:rsidRPr="00240B69">
        <w:rPr>
          <w:lang w:val="en-GB"/>
        </w:rPr>
        <w:t>The Timing</w:t>
      </w:r>
    </w:p>
    <w:p w14:paraId="15A9DAC2" w14:textId="77777777" w:rsidR="008B42DE" w:rsidRPr="00240B69" w:rsidRDefault="008B42DE" w:rsidP="004A725B">
      <w:pPr>
        <w:pStyle w:val="BodyTextMain"/>
        <w:rPr>
          <w:sz w:val="18"/>
          <w:szCs w:val="18"/>
          <w:lang w:val="en-GB"/>
        </w:rPr>
      </w:pPr>
    </w:p>
    <w:p w14:paraId="303A14CD" w14:textId="5BA714B9" w:rsidR="008B42DE" w:rsidRPr="00240B69" w:rsidRDefault="008B42DE" w:rsidP="0041568F">
      <w:pPr>
        <w:pStyle w:val="BodyTextMain"/>
        <w:rPr>
          <w:lang w:val="en-GB"/>
        </w:rPr>
      </w:pPr>
      <w:r w:rsidRPr="00240B69">
        <w:rPr>
          <w:lang w:val="en-GB"/>
        </w:rPr>
        <w:t xml:space="preserve">On March 1, 2017, Immelt had been the chairman and CEO of GE for more than 15 years and had been through many billion-dollar deals. On the other hand, </w:t>
      </w:r>
      <w:proofErr w:type="spellStart"/>
      <w:r w:rsidRPr="00240B69">
        <w:rPr>
          <w:lang w:val="en-GB"/>
        </w:rPr>
        <w:t>Chaussade</w:t>
      </w:r>
      <w:proofErr w:type="spellEnd"/>
      <w:r w:rsidRPr="00240B69">
        <w:rPr>
          <w:lang w:val="en-GB"/>
        </w:rPr>
        <w:t xml:space="preserve"> had limited experience in that area and would finish his term in 2019.</w:t>
      </w:r>
      <w:r w:rsidRPr="00240B69">
        <w:rPr>
          <w:vertAlign w:val="superscript"/>
          <w:lang w:val="en-GB"/>
        </w:rPr>
        <w:endnoteReference w:id="55"/>
      </w:r>
    </w:p>
    <w:p w14:paraId="513E4614" w14:textId="77777777" w:rsidR="008B42DE" w:rsidRPr="00240B69" w:rsidRDefault="008B42DE" w:rsidP="0041568F">
      <w:pPr>
        <w:pStyle w:val="BodyTextMain"/>
        <w:rPr>
          <w:sz w:val="18"/>
          <w:szCs w:val="18"/>
          <w:lang w:val="en-GB"/>
        </w:rPr>
      </w:pPr>
    </w:p>
    <w:p w14:paraId="3F3CCB86" w14:textId="7EDAFE46" w:rsidR="008B42DE" w:rsidRPr="00240B69" w:rsidRDefault="008B42DE" w:rsidP="0041568F">
      <w:pPr>
        <w:pStyle w:val="BodyTextMain"/>
        <w:rPr>
          <w:lang w:val="en-GB"/>
        </w:rPr>
      </w:pPr>
      <w:r w:rsidRPr="00240B69">
        <w:rPr>
          <w:lang w:val="en-GB"/>
        </w:rPr>
        <w:t xml:space="preserve">Each expected a lot from the other and the promised business-friendly policies of the Trump administration. However, both Immelt and </w:t>
      </w:r>
      <w:proofErr w:type="spellStart"/>
      <w:r w:rsidRPr="00240B69">
        <w:rPr>
          <w:lang w:val="en-GB"/>
        </w:rPr>
        <w:t>Chaussade</w:t>
      </w:r>
      <w:proofErr w:type="spellEnd"/>
      <w:r w:rsidRPr="00240B69">
        <w:rPr>
          <w:lang w:val="en-GB"/>
        </w:rPr>
        <w:t xml:space="preserve"> were increasingly concerned about both the rising tensions pertaining to global trade and the increased risks associated with Trump’s punitive tweets targeting CEOs whose agendas were not aligned with his.</w:t>
      </w:r>
      <w:r w:rsidRPr="00240B69">
        <w:rPr>
          <w:vertAlign w:val="superscript"/>
          <w:lang w:val="en-GB"/>
        </w:rPr>
        <w:endnoteReference w:id="56"/>
      </w:r>
      <w:r w:rsidRPr="00240B69">
        <w:rPr>
          <w:lang w:val="en-GB"/>
        </w:rPr>
        <w:t xml:space="preserve"> In other words, if water supply and access to drinkable water were of strategic value for urbanization and economic growth, would the US president block this transatlantic billion-dollar deal? Or was he too busy explaining his recent policy shifts and trying to get some quick wins on other fronts? </w:t>
      </w:r>
    </w:p>
    <w:p w14:paraId="4DF6124E" w14:textId="77777777" w:rsidR="008B42DE" w:rsidRPr="00240B69" w:rsidRDefault="008B42DE" w:rsidP="0041568F">
      <w:pPr>
        <w:pStyle w:val="BodyTextMain"/>
        <w:rPr>
          <w:sz w:val="18"/>
          <w:szCs w:val="18"/>
          <w:lang w:val="en-GB"/>
        </w:rPr>
      </w:pPr>
    </w:p>
    <w:p w14:paraId="448AF0DC" w14:textId="3259B758" w:rsidR="008B42DE" w:rsidRPr="00240B69" w:rsidRDefault="008B42DE" w:rsidP="00CF5CD3">
      <w:pPr>
        <w:pStyle w:val="BodyTextMain"/>
        <w:rPr>
          <w:lang w:val="en-GB"/>
        </w:rPr>
      </w:pPr>
      <w:r w:rsidRPr="00240B69">
        <w:rPr>
          <w:lang w:val="en-GB"/>
        </w:rPr>
        <w:t xml:space="preserve">Time was of the essence, and </w:t>
      </w:r>
      <w:proofErr w:type="spellStart"/>
      <w:r w:rsidRPr="00240B69">
        <w:rPr>
          <w:lang w:val="en-GB"/>
        </w:rPr>
        <w:t>Chaussade</w:t>
      </w:r>
      <w:proofErr w:type="spellEnd"/>
      <w:r w:rsidRPr="00240B69">
        <w:rPr>
          <w:lang w:val="en-GB"/>
        </w:rPr>
        <w:t xml:space="preserve"> was short of it. Acquiring GE Water was a very complex opportunity and a possible game changer for both Suez and </w:t>
      </w:r>
      <w:proofErr w:type="spellStart"/>
      <w:r w:rsidRPr="00240B69">
        <w:rPr>
          <w:lang w:val="en-GB"/>
        </w:rPr>
        <w:t>Chaussade</w:t>
      </w:r>
      <w:proofErr w:type="spellEnd"/>
      <w:r w:rsidRPr="00240B69">
        <w:rPr>
          <w:lang w:val="en-GB"/>
        </w:rPr>
        <w:t xml:space="preserve">. If the deal went through, it would clearly be a unique chance for him to end his career on a very high note and for Suez to finally be taken seriously with a solid North American presence. On the other hand, it could also lead to an unprecedented financial disaster for Suez and destroy both </w:t>
      </w:r>
      <w:proofErr w:type="spellStart"/>
      <w:r w:rsidRPr="00240B69">
        <w:rPr>
          <w:lang w:val="en-GB"/>
        </w:rPr>
        <w:t>Chaussade’s</w:t>
      </w:r>
      <w:proofErr w:type="spellEnd"/>
      <w:r w:rsidRPr="00240B69">
        <w:rPr>
          <w:lang w:val="en-GB"/>
        </w:rPr>
        <w:t xml:space="preserve"> reputation and his stellar career. </w:t>
      </w:r>
      <w:r w:rsidRPr="00240B69">
        <w:rPr>
          <w:lang w:val="en-GB"/>
        </w:rPr>
        <w:br w:type="page"/>
      </w:r>
    </w:p>
    <w:p w14:paraId="1723EDCA" w14:textId="1E82CAE0" w:rsidR="008B42DE" w:rsidRPr="00240B69" w:rsidRDefault="008B42DE" w:rsidP="00AD1ABE">
      <w:pPr>
        <w:pStyle w:val="ExhibitHeading"/>
        <w:rPr>
          <w:lang w:val="en-GB"/>
        </w:rPr>
      </w:pPr>
      <w:r w:rsidRPr="00240B69">
        <w:rPr>
          <w:lang w:val="en-GB"/>
        </w:rPr>
        <w:lastRenderedPageBreak/>
        <w:t>Exhibit 1: Financial Data for Suez SA (2016 Annual Results, as of March 1, 2017)</w:t>
      </w:r>
    </w:p>
    <w:p w14:paraId="56E4DC32" w14:textId="77777777" w:rsidR="008B42DE" w:rsidRPr="00240B69" w:rsidRDefault="008B42DE" w:rsidP="00AD1ABE">
      <w:pPr>
        <w:pStyle w:val="ExhibitText"/>
        <w:rPr>
          <w:lang w:val="en-GB"/>
        </w:rPr>
      </w:pPr>
    </w:p>
    <w:p w14:paraId="5FFE68A0" w14:textId="77777777" w:rsidR="008B42DE" w:rsidRPr="00240B69" w:rsidRDefault="008B42DE" w:rsidP="00AD1ABE">
      <w:pPr>
        <w:pStyle w:val="Casehead2"/>
        <w:rPr>
          <w:lang w:val="en-GB"/>
        </w:rPr>
      </w:pPr>
      <w:r w:rsidRPr="00240B69">
        <w:rPr>
          <w:lang w:val="en-GB"/>
        </w:rPr>
        <w:t>Revenue Highlights</w:t>
      </w:r>
    </w:p>
    <w:p w14:paraId="3E00AACD" w14:textId="77777777" w:rsidR="008B42DE" w:rsidRPr="00240B69" w:rsidRDefault="008B42DE" w:rsidP="00AD1ABE">
      <w:pPr>
        <w:pStyle w:val="ExhibitText"/>
        <w:rPr>
          <w:b/>
          <w:lang w:val="en-GB"/>
        </w:rPr>
      </w:pPr>
    </w:p>
    <w:p w14:paraId="3AA54ACC" w14:textId="1AADA667" w:rsidR="008B42DE" w:rsidRPr="00240B69" w:rsidRDefault="008B42DE" w:rsidP="00AD1ABE">
      <w:pPr>
        <w:pStyle w:val="ExhibitText"/>
        <w:numPr>
          <w:ilvl w:val="0"/>
          <w:numId w:val="15"/>
        </w:numPr>
        <w:rPr>
          <w:rFonts w:eastAsia="Calibri"/>
          <w:lang w:val="en-GB"/>
        </w:rPr>
      </w:pPr>
      <w:r w:rsidRPr="00240B69">
        <w:rPr>
          <w:rFonts w:eastAsia="Calibri"/>
          <w:lang w:val="en-GB"/>
        </w:rPr>
        <w:t xml:space="preserve">FY 2016 revenue: €15.3 billion </w:t>
      </w:r>
    </w:p>
    <w:p w14:paraId="72334328" w14:textId="77777777" w:rsidR="008B42DE" w:rsidRPr="00240B69" w:rsidRDefault="008B42DE" w:rsidP="00AD1ABE">
      <w:pPr>
        <w:pStyle w:val="ExhibitText"/>
        <w:numPr>
          <w:ilvl w:val="0"/>
          <w:numId w:val="15"/>
        </w:numPr>
        <w:rPr>
          <w:rFonts w:eastAsia="Calibri"/>
          <w:lang w:val="en-GB"/>
        </w:rPr>
      </w:pPr>
      <w:r w:rsidRPr="00240B69">
        <w:rPr>
          <w:rFonts w:eastAsia="Calibri"/>
          <w:lang w:val="en-GB"/>
        </w:rPr>
        <w:t>FY 2016/2015 revenue growth: 1.2 per cent, driven by international (4.7 per cent)</w:t>
      </w:r>
    </w:p>
    <w:p w14:paraId="33A44793" w14:textId="77777777" w:rsidR="008B42DE" w:rsidRPr="00240B69" w:rsidRDefault="008B42DE" w:rsidP="00AD1ABE">
      <w:pPr>
        <w:pStyle w:val="ExhibitText"/>
        <w:numPr>
          <w:ilvl w:val="0"/>
          <w:numId w:val="15"/>
        </w:numPr>
        <w:rPr>
          <w:rFonts w:eastAsia="Calibri"/>
          <w:lang w:val="en-GB"/>
        </w:rPr>
      </w:pPr>
      <w:r w:rsidRPr="00240B69">
        <w:rPr>
          <w:rFonts w:eastAsia="Calibri"/>
          <w:lang w:val="en-GB"/>
        </w:rPr>
        <w:t>Revenue growth was mostly organic (1.1 per cent)</w:t>
      </w:r>
    </w:p>
    <w:p w14:paraId="405A9790" w14:textId="77777777" w:rsidR="008B42DE" w:rsidRPr="00240B69" w:rsidRDefault="008B42DE" w:rsidP="00AD1ABE">
      <w:pPr>
        <w:pStyle w:val="ExhibitText"/>
        <w:numPr>
          <w:ilvl w:val="0"/>
          <w:numId w:val="15"/>
        </w:numPr>
        <w:rPr>
          <w:rFonts w:eastAsia="Calibri"/>
          <w:lang w:val="en-GB"/>
        </w:rPr>
      </w:pPr>
      <w:r w:rsidRPr="00240B69">
        <w:rPr>
          <w:rFonts w:eastAsia="Calibri"/>
          <w:lang w:val="en-GB"/>
        </w:rPr>
        <w:t>International:</w:t>
      </w:r>
    </w:p>
    <w:p w14:paraId="6E753BE3" w14:textId="77777777" w:rsidR="008B42DE" w:rsidRPr="00240B69" w:rsidRDefault="008B42DE" w:rsidP="00AD1ABE">
      <w:pPr>
        <w:pStyle w:val="ExhibitText"/>
        <w:numPr>
          <w:ilvl w:val="1"/>
          <w:numId w:val="15"/>
        </w:numPr>
        <w:ind w:left="720"/>
        <w:rPr>
          <w:rFonts w:eastAsia="Calibri"/>
          <w:lang w:val="en-GB"/>
        </w:rPr>
      </w:pPr>
      <w:r w:rsidRPr="00240B69">
        <w:rPr>
          <w:rFonts w:eastAsia="Calibri"/>
          <w:lang w:val="en-GB"/>
        </w:rPr>
        <w:t>Solid momentum in main regions</w:t>
      </w:r>
    </w:p>
    <w:p w14:paraId="228765BC" w14:textId="77777777" w:rsidR="008B42DE" w:rsidRPr="00240B69" w:rsidRDefault="008B42DE" w:rsidP="00AD1ABE">
      <w:pPr>
        <w:pStyle w:val="ExhibitText"/>
        <w:numPr>
          <w:ilvl w:val="1"/>
          <w:numId w:val="15"/>
        </w:numPr>
        <w:ind w:left="720"/>
        <w:rPr>
          <w:rFonts w:eastAsia="Calibri"/>
          <w:lang w:val="en-GB"/>
        </w:rPr>
      </w:pPr>
      <w:r w:rsidRPr="00240B69">
        <w:rPr>
          <w:rFonts w:eastAsia="Calibri"/>
          <w:lang w:val="en-GB"/>
        </w:rPr>
        <w:t xml:space="preserve">FY 2016 revenue: €4.2 billion </w:t>
      </w:r>
    </w:p>
    <w:p w14:paraId="3F5690EC" w14:textId="77777777" w:rsidR="008B42DE" w:rsidRPr="00240B69" w:rsidRDefault="008B42DE" w:rsidP="00AD1ABE">
      <w:pPr>
        <w:pStyle w:val="ExhibitText"/>
        <w:numPr>
          <w:ilvl w:val="1"/>
          <w:numId w:val="15"/>
        </w:numPr>
        <w:ind w:left="720"/>
        <w:rPr>
          <w:rFonts w:eastAsia="Calibri"/>
          <w:lang w:val="en-GB"/>
        </w:rPr>
      </w:pPr>
      <w:r w:rsidRPr="00240B69">
        <w:rPr>
          <w:rFonts w:eastAsia="Calibri"/>
          <w:lang w:val="en-GB"/>
        </w:rPr>
        <w:t>Strong activity in Asia: New contracts and 17 per cent growth in waste volumes in Hong Kong</w:t>
      </w:r>
    </w:p>
    <w:p w14:paraId="77028D57" w14:textId="77777777" w:rsidR="008B42DE" w:rsidRPr="00240B69" w:rsidRDefault="008B42DE" w:rsidP="00AD1ABE">
      <w:pPr>
        <w:pStyle w:val="ExhibitText"/>
        <w:numPr>
          <w:ilvl w:val="1"/>
          <w:numId w:val="15"/>
        </w:numPr>
        <w:ind w:left="720"/>
        <w:rPr>
          <w:rFonts w:eastAsia="Calibri"/>
          <w:lang w:val="en-GB"/>
        </w:rPr>
      </w:pPr>
      <w:r w:rsidRPr="00240B69">
        <w:rPr>
          <w:rFonts w:eastAsia="Calibri"/>
          <w:lang w:val="en-GB"/>
        </w:rPr>
        <w:t xml:space="preserve">Waste volumes up 7.5 per cent in Australia (contribution of </w:t>
      </w:r>
      <w:proofErr w:type="spellStart"/>
      <w:r w:rsidRPr="00240B69">
        <w:rPr>
          <w:rFonts w:eastAsia="Calibri"/>
          <w:lang w:val="en-GB"/>
        </w:rPr>
        <w:t>Perthwaste</w:t>
      </w:r>
      <w:proofErr w:type="spellEnd"/>
      <w:r w:rsidRPr="00240B69">
        <w:rPr>
          <w:rFonts w:eastAsia="Calibri"/>
          <w:lang w:val="en-GB"/>
        </w:rPr>
        <w:t>)</w:t>
      </w:r>
    </w:p>
    <w:p w14:paraId="37F53A1E" w14:textId="77777777" w:rsidR="008B42DE" w:rsidRPr="00240B69" w:rsidRDefault="008B42DE" w:rsidP="00AD1ABE">
      <w:pPr>
        <w:pStyle w:val="ExhibitText"/>
        <w:numPr>
          <w:ilvl w:val="1"/>
          <w:numId w:val="15"/>
        </w:numPr>
        <w:ind w:left="720"/>
        <w:rPr>
          <w:rFonts w:eastAsia="Calibri"/>
          <w:lang w:val="en-GB"/>
        </w:rPr>
      </w:pPr>
      <w:r w:rsidRPr="00240B69">
        <w:rPr>
          <w:rFonts w:eastAsia="Calibri"/>
          <w:lang w:val="en-GB"/>
        </w:rPr>
        <w:t>Very dynamic growth in Africa, the Middle East, and India (construction activity)</w:t>
      </w:r>
    </w:p>
    <w:p w14:paraId="55C35FF2" w14:textId="77777777" w:rsidR="008B42DE" w:rsidRPr="00240B69" w:rsidRDefault="008B42DE" w:rsidP="00AD1ABE">
      <w:pPr>
        <w:pStyle w:val="ExhibitText"/>
        <w:rPr>
          <w:rFonts w:eastAsia="Calibri"/>
          <w:lang w:val="en-GB"/>
        </w:rPr>
      </w:pPr>
    </w:p>
    <w:p w14:paraId="4344B8F4" w14:textId="77777777" w:rsidR="008B42DE" w:rsidRPr="00240B69" w:rsidRDefault="008B42DE" w:rsidP="00AD1ABE">
      <w:pPr>
        <w:pStyle w:val="ExhibitText"/>
        <w:rPr>
          <w:rFonts w:eastAsia="Calibri"/>
          <w:lang w:val="en-GB"/>
        </w:rPr>
      </w:pPr>
    </w:p>
    <w:p w14:paraId="3E785403" w14:textId="34B280CF" w:rsidR="008B42DE" w:rsidRPr="00240B69" w:rsidRDefault="008B42DE" w:rsidP="00AD1ABE">
      <w:pPr>
        <w:pStyle w:val="Casehead2"/>
        <w:rPr>
          <w:lang w:val="en-GB"/>
        </w:rPr>
      </w:pPr>
      <w:r w:rsidRPr="00240B69">
        <w:rPr>
          <w:lang w:val="en-GB"/>
        </w:rPr>
        <w:t>Revenue by Division</w:t>
      </w:r>
      <w:r w:rsidR="00305468">
        <w:rPr>
          <w:lang w:val="en-GB"/>
        </w:rPr>
        <w:t xml:space="preserve"> (in EUR millions)</w:t>
      </w:r>
    </w:p>
    <w:p w14:paraId="293BDC18" w14:textId="77777777" w:rsidR="008B42DE" w:rsidRPr="00240B69" w:rsidRDefault="008B42DE" w:rsidP="00AD1ABE">
      <w:pPr>
        <w:pStyle w:val="ExhibitText"/>
        <w:rPr>
          <w:lang w:val="en-GB"/>
        </w:rPr>
      </w:pPr>
    </w:p>
    <w:tbl>
      <w:tblPr>
        <w:tblStyle w:val="TableGrid1"/>
        <w:tblW w:w="9265" w:type="dxa"/>
        <w:jc w:val="center"/>
        <w:tblLook w:val="04A0" w:firstRow="1" w:lastRow="0" w:firstColumn="1" w:lastColumn="0" w:noHBand="0" w:noVBand="1"/>
      </w:tblPr>
      <w:tblGrid>
        <w:gridCol w:w="3235"/>
        <w:gridCol w:w="990"/>
        <w:gridCol w:w="1080"/>
        <w:gridCol w:w="990"/>
        <w:gridCol w:w="1350"/>
        <w:gridCol w:w="1620"/>
      </w:tblGrid>
      <w:tr w:rsidR="008B42DE" w:rsidRPr="00240B69" w14:paraId="03B31737" w14:textId="77777777" w:rsidTr="00417830">
        <w:trPr>
          <w:jc w:val="center"/>
        </w:trPr>
        <w:tc>
          <w:tcPr>
            <w:tcW w:w="3235" w:type="dxa"/>
            <w:vAlign w:val="center"/>
          </w:tcPr>
          <w:p w14:paraId="787758DC" w14:textId="7FC7B7A7" w:rsidR="008B42DE" w:rsidRPr="00240B69" w:rsidRDefault="008B42DE" w:rsidP="00801239">
            <w:pPr>
              <w:pStyle w:val="ExhibitText"/>
              <w:jc w:val="left"/>
              <w:rPr>
                <w:b/>
                <w:lang w:val="en-GB"/>
              </w:rPr>
            </w:pPr>
          </w:p>
        </w:tc>
        <w:tc>
          <w:tcPr>
            <w:tcW w:w="990" w:type="dxa"/>
            <w:vAlign w:val="center"/>
          </w:tcPr>
          <w:p w14:paraId="1598EF74" w14:textId="77777777" w:rsidR="008B42DE" w:rsidRPr="00240B69" w:rsidRDefault="008B42DE" w:rsidP="00801239">
            <w:pPr>
              <w:pStyle w:val="ExhibitText"/>
              <w:jc w:val="center"/>
              <w:rPr>
                <w:b/>
                <w:lang w:val="en-GB"/>
              </w:rPr>
            </w:pPr>
            <w:r w:rsidRPr="00240B69">
              <w:rPr>
                <w:b/>
                <w:lang w:val="en-GB"/>
              </w:rPr>
              <w:t>FY 2015</w:t>
            </w:r>
          </w:p>
        </w:tc>
        <w:tc>
          <w:tcPr>
            <w:tcW w:w="1080" w:type="dxa"/>
            <w:vAlign w:val="center"/>
          </w:tcPr>
          <w:p w14:paraId="2726EE9D" w14:textId="77777777" w:rsidR="008B42DE" w:rsidRPr="00240B69" w:rsidRDefault="008B42DE" w:rsidP="00801239">
            <w:pPr>
              <w:pStyle w:val="ExhibitText"/>
              <w:jc w:val="center"/>
              <w:rPr>
                <w:b/>
                <w:lang w:val="en-GB"/>
              </w:rPr>
            </w:pPr>
            <w:r w:rsidRPr="00240B69">
              <w:rPr>
                <w:b/>
                <w:lang w:val="en-GB"/>
              </w:rPr>
              <w:t>FY 2016</w:t>
            </w:r>
          </w:p>
        </w:tc>
        <w:tc>
          <w:tcPr>
            <w:tcW w:w="990" w:type="dxa"/>
            <w:vAlign w:val="center"/>
          </w:tcPr>
          <w:p w14:paraId="1B9CBCBA" w14:textId="77777777" w:rsidR="008B42DE" w:rsidRPr="00240B69" w:rsidRDefault="008B42DE" w:rsidP="00801239">
            <w:pPr>
              <w:pStyle w:val="ExhibitText"/>
              <w:jc w:val="center"/>
              <w:rPr>
                <w:b/>
                <w:lang w:val="en-GB"/>
              </w:rPr>
            </w:pPr>
            <w:r w:rsidRPr="00240B69">
              <w:rPr>
                <w:b/>
                <w:lang w:val="en-GB"/>
              </w:rPr>
              <w:t>% Total</w:t>
            </w:r>
          </w:p>
        </w:tc>
        <w:tc>
          <w:tcPr>
            <w:tcW w:w="1350" w:type="dxa"/>
            <w:vAlign w:val="center"/>
          </w:tcPr>
          <w:p w14:paraId="6700EE2E" w14:textId="77777777" w:rsidR="008B42DE" w:rsidRPr="00240B69" w:rsidRDefault="008B42DE" w:rsidP="00801239">
            <w:pPr>
              <w:pStyle w:val="ExhibitText"/>
              <w:jc w:val="center"/>
              <w:rPr>
                <w:b/>
                <w:lang w:val="en-GB"/>
              </w:rPr>
            </w:pPr>
            <w:r w:rsidRPr="00240B69">
              <w:rPr>
                <w:b/>
                <w:lang w:val="en-GB"/>
              </w:rPr>
              <w:t>16/15 Δ (%)</w:t>
            </w:r>
          </w:p>
        </w:tc>
        <w:tc>
          <w:tcPr>
            <w:tcW w:w="1620" w:type="dxa"/>
            <w:vAlign w:val="center"/>
          </w:tcPr>
          <w:p w14:paraId="29BE46E9" w14:textId="77777777" w:rsidR="008B42DE" w:rsidRPr="00240B69" w:rsidRDefault="008B42DE" w:rsidP="00801239">
            <w:pPr>
              <w:pStyle w:val="ExhibitText"/>
              <w:jc w:val="center"/>
              <w:rPr>
                <w:b/>
                <w:lang w:val="en-GB"/>
              </w:rPr>
            </w:pPr>
            <w:r w:rsidRPr="00240B69">
              <w:rPr>
                <w:b/>
                <w:lang w:val="en-GB"/>
              </w:rPr>
              <w:t>Organic Δ (%)</w:t>
            </w:r>
          </w:p>
        </w:tc>
      </w:tr>
      <w:tr w:rsidR="008B42DE" w:rsidRPr="00240B69" w14:paraId="53F3754F" w14:textId="77777777" w:rsidTr="00417830">
        <w:trPr>
          <w:jc w:val="center"/>
        </w:trPr>
        <w:tc>
          <w:tcPr>
            <w:tcW w:w="3235" w:type="dxa"/>
            <w:vAlign w:val="center"/>
          </w:tcPr>
          <w:p w14:paraId="088E3FCC" w14:textId="77777777" w:rsidR="008B42DE" w:rsidRPr="00240B69" w:rsidRDefault="008B42DE" w:rsidP="00801239">
            <w:pPr>
              <w:pStyle w:val="ExhibitText"/>
              <w:jc w:val="left"/>
              <w:rPr>
                <w:b/>
                <w:lang w:val="en-GB"/>
              </w:rPr>
            </w:pPr>
            <w:r w:rsidRPr="00240B69">
              <w:rPr>
                <w:b/>
                <w:lang w:val="en-GB"/>
              </w:rPr>
              <w:t>WATER EUROPE</w:t>
            </w:r>
          </w:p>
        </w:tc>
        <w:tc>
          <w:tcPr>
            <w:tcW w:w="990" w:type="dxa"/>
            <w:vAlign w:val="center"/>
          </w:tcPr>
          <w:p w14:paraId="54322C08" w14:textId="77777777" w:rsidR="008B42DE" w:rsidRPr="00240B69" w:rsidRDefault="008B42DE" w:rsidP="00801239">
            <w:pPr>
              <w:pStyle w:val="ExhibitText"/>
              <w:jc w:val="right"/>
              <w:rPr>
                <w:lang w:val="en-GB"/>
              </w:rPr>
            </w:pPr>
            <w:r w:rsidRPr="00240B69">
              <w:rPr>
                <w:lang w:val="en-GB"/>
              </w:rPr>
              <w:t>4,677</w:t>
            </w:r>
          </w:p>
        </w:tc>
        <w:tc>
          <w:tcPr>
            <w:tcW w:w="1080" w:type="dxa"/>
            <w:vAlign w:val="center"/>
          </w:tcPr>
          <w:p w14:paraId="23D00E38" w14:textId="77777777" w:rsidR="008B42DE" w:rsidRPr="00240B69" w:rsidRDefault="008B42DE" w:rsidP="00801239">
            <w:pPr>
              <w:pStyle w:val="ExhibitText"/>
              <w:jc w:val="right"/>
              <w:rPr>
                <w:lang w:val="en-GB"/>
              </w:rPr>
            </w:pPr>
            <w:r w:rsidRPr="00240B69">
              <w:rPr>
                <w:lang w:val="en-GB"/>
              </w:rPr>
              <w:t>4,703</w:t>
            </w:r>
          </w:p>
        </w:tc>
        <w:tc>
          <w:tcPr>
            <w:tcW w:w="990" w:type="dxa"/>
            <w:vAlign w:val="center"/>
          </w:tcPr>
          <w:p w14:paraId="7FBE2F9D" w14:textId="77777777" w:rsidR="008B42DE" w:rsidRPr="00240B69" w:rsidRDefault="008B42DE" w:rsidP="00801239">
            <w:pPr>
              <w:pStyle w:val="ExhibitText"/>
              <w:jc w:val="right"/>
              <w:rPr>
                <w:lang w:val="en-GB"/>
              </w:rPr>
            </w:pPr>
            <w:r w:rsidRPr="00240B69">
              <w:rPr>
                <w:lang w:val="en-GB"/>
              </w:rPr>
              <w:t>30.7</w:t>
            </w:r>
          </w:p>
        </w:tc>
        <w:tc>
          <w:tcPr>
            <w:tcW w:w="1350" w:type="dxa"/>
            <w:vAlign w:val="center"/>
          </w:tcPr>
          <w:p w14:paraId="3E359FDC" w14:textId="77777777" w:rsidR="008B42DE" w:rsidRPr="00240B69" w:rsidRDefault="008B42DE" w:rsidP="00801239">
            <w:pPr>
              <w:pStyle w:val="ExhibitText"/>
              <w:jc w:val="right"/>
              <w:rPr>
                <w:lang w:val="en-GB"/>
              </w:rPr>
            </w:pPr>
            <w:r w:rsidRPr="00240B69">
              <w:rPr>
                <w:lang w:val="en-GB"/>
              </w:rPr>
              <w:t>+0.5</w:t>
            </w:r>
          </w:p>
        </w:tc>
        <w:tc>
          <w:tcPr>
            <w:tcW w:w="1620" w:type="dxa"/>
            <w:vAlign w:val="center"/>
          </w:tcPr>
          <w:p w14:paraId="2A427E49" w14:textId="77777777" w:rsidR="008B42DE" w:rsidRPr="00240B69" w:rsidRDefault="008B42DE" w:rsidP="00801239">
            <w:pPr>
              <w:pStyle w:val="ExhibitText"/>
              <w:jc w:val="right"/>
              <w:rPr>
                <w:lang w:val="en-GB"/>
              </w:rPr>
            </w:pPr>
            <w:r w:rsidRPr="00240B69">
              <w:rPr>
                <w:lang w:val="en-GB"/>
              </w:rPr>
              <w:t>−1.3</w:t>
            </w:r>
          </w:p>
        </w:tc>
      </w:tr>
      <w:tr w:rsidR="008B42DE" w:rsidRPr="00240B69" w14:paraId="775C8FB6" w14:textId="77777777" w:rsidTr="00417830">
        <w:trPr>
          <w:jc w:val="center"/>
        </w:trPr>
        <w:tc>
          <w:tcPr>
            <w:tcW w:w="3235" w:type="dxa"/>
            <w:vAlign w:val="center"/>
          </w:tcPr>
          <w:p w14:paraId="3DE839C8" w14:textId="77777777" w:rsidR="008B42DE" w:rsidRPr="00240B69" w:rsidRDefault="008B42DE" w:rsidP="00801239">
            <w:pPr>
              <w:pStyle w:val="ExhibitText"/>
              <w:jc w:val="left"/>
              <w:rPr>
                <w:lang w:val="en-GB"/>
              </w:rPr>
            </w:pPr>
            <w:r w:rsidRPr="00240B69">
              <w:rPr>
                <w:lang w:val="en-GB"/>
              </w:rPr>
              <w:t>France, Italy, and Central Europe</w:t>
            </w:r>
          </w:p>
        </w:tc>
        <w:tc>
          <w:tcPr>
            <w:tcW w:w="990" w:type="dxa"/>
            <w:vAlign w:val="center"/>
          </w:tcPr>
          <w:p w14:paraId="10FD7E95" w14:textId="77777777" w:rsidR="008B42DE" w:rsidRPr="00240B69" w:rsidRDefault="008B42DE" w:rsidP="00801239">
            <w:pPr>
              <w:pStyle w:val="ExhibitText"/>
              <w:jc w:val="right"/>
              <w:rPr>
                <w:lang w:val="en-GB"/>
              </w:rPr>
            </w:pPr>
            <w:r w:rsidRPr="00240B69">
              <w:rPr>
                <w:lang w:val="en-GB"/>
              </w:rPr>
              <w:t>2,260</w:t>
            </w:r>
          </w:p>
        </w:tc>
        <w:tc>
          <w:tcPr>
            <w:tcW w:w="1080" w:type="dxa"/>
            <w:vAlign w:val="center"/>
          </w:tcPr>
          <w:p w14:paraId="67EDD432" w14:textId="77777777" w:rsidR="008B42DE" w:rsidRPr="00240B69" w:rsidRDefault="008B42DE" w:rsidP="00801239">
            <w:pPr>
              <w:pStyle w:val="ExhibitText"/>
              <w:jc w:val="right"/>
              <w:rPr>
                <w:lang w:val="en-GB"/>
              </w:rPr>
            </w:pPr>
            <w:r w:rsidRPr="00240B69">
              <w:rPr>
                <w:lang w:val="en-GB"/>
              </w:rPr>
              <w:t>2,216</w:t>
            </w:r>
          </w:p>
        </w:tc>
        <w:tc>
          <w:tcPr>
            <w:tcW w:w="990" w:type="dxa"/>
            <w:vAlign w:val="center"/>
          </w:tcPr>
          <w:p w14:paraId="29F2799A" w14:textId="77777777" w:rsidR="008B42DE" w:rsidRPr="00240B69" w:rsidRDefault="008B42DE" w:rsidP="00801239">
            <w:pPr>
              <w:pStyle w:val="ExhibitText"/>
              <w:jc w:val="right"/>
              <w:rPr>
                <w:lang w:val="en-GB"/>
              </w:rPr>
            </w:pPr>
            <w:r w:rsidRPr="00240B69">
              <w:rPr>
                <w:lang w:val="en-GB"/>
              </w:rPr>
              <w:t>14.5</w:t>
            </w:r>
          </w:p>
        </w:tc>
        <w:tc>
          <w:tcPr>
            <w:tcW w:w="1350" w:type="dxa"/>
            <w:vAlign w:val="center"/>
          </w:tcPr>
          <w:p w14:paraId="562FD0F3" w14:textId="77777777" w:rsidR="008B42DE" w:rsidRPr="00240B69" w:rsidRDefault="008B42DE" w:rsidP="00801239">
            <w:pPr>
              <w:pStyle w:val="ExhibitText"/>
              <w:jc w:val="right"/>
              <w:rPr>
                <w:lang w:val="en-GB"/>
              </w:rPr>
            </w:pPr>
            <w:r w:rsidRPr="00240B69">
              <w:rPr>
                <w:lang w:val="en-GB"/>
              </w:rPr>
              <w:t>−2.0</w:t>
            </w:r>
          </w:p>
        </w:tc>
        <w:tc>
          <w:tcPr>
            <w:tcW w:w="1620" w:type="dxa"/>
            <w:vAlign w:val="center"/>
          </w:tcPr>
          <w:p w14:paraId="036FE97A" w14:textId="77777777" w:rsidR="008B42DE" w:rsidRPr="00240B69" w:rsidRDefault="008B42DE" w:rsidP="00801239">
            <w:pPr>
              <w:pStyle w:val="ExhibitText"/>
              <w:jc w:val="right"/>
              <w:rPr>
                <w:lang w:val="en-GB"/>
              </w:rPr>
            </w:pPr>
            <w:r w:rsidRPr="00240B69">
              <w:rPr>
                <w:lang w:val="en-GB"/>
              </w:rPr>
              <w:t>−5.0</w:t>
            </w:r>
          </w:p>
        </w:tc>
      </w:tr>
      <w:tr w:rsidR="008B42DE" w:rsidRPr="00240B69" w14:paraId="02FED57D" w14:textId="77777777" w:rsidTr="00417830">
        <w:trPr>
          <w:jc w:val="center"/>
        </w:trPr>
        <w:tc>
          <w:tcPr>
            <w:tcW w:w="3235" w:type="dxa"/>
            <w:vAlign w:val="center"/>
          </w:tcPr>
          <w:p w14:paraId="35022145" w14:textId="77777777" w:rsidR="008B42DE" w:rsidRPr="00240B69" w:rsidRDefault="008B42DE" w:rsidP="00801239">
            <w:pPr>
              <w:pStyle w:val="ExhibitText"/>
              <w:jc w:val="left"/>
              <w:rPr>
                <w:lang w:val="en-GB"/>
              </w:rPr>
            </w:pPr>
            <w:r w:rsidRPr="00240B69">
              <w:rPr>
                <w:lang w:val="en-GB"/>
              </w:rPr>
              <w:t>Spain and Chile</w:t>
            </w:r>
          </w:p>
        </w:tc>
        <w:tc>
          <w:tcPr>
            <w:tcW w:w="990" w:type="dxa"/>
            <w:vAlign w:val="center"/>
          </w:tcPr>
          <w:p w14:paraId="2DC31A20" w14:textId="77777777" w:rsidR="008B42DE" w:rsidRPr="00240B69" w:rsidRDefault="008B42DE" w:rsidP="00801239">
            <w:pPr>
              <w:pStyle w:val="ExhibitText"/>
              <w:jc w:val="right"/>
              <w:rPr>
                <w:lang w:val="en-GB"/>
              </w:rPr>
            </w:pPr>
            <w:r w:rsidRPr="00240B69">
              <w:rPr>
                <w:lang w:val="en-GB"/>
              </w:rPr>
              <w:t>2,417</w:t>
            </w:r>
          </w:p>
        </w:tc>
        <w:tc>
          <w:tcPr>
            <w:tcW w:w="1080" w:type="dxa"/>
            <w:vAlign w:val="center"/>
          </w:tcPr>
          <w:p w14:paraId="30CE1119" w14:textId="77777777" w:rsidR="008B42DE" w:rsidRPr="00240B69" w:rsidRDefault="008B42DE" w:rsidP="00801239">
            <w:pPr>
              <w:pStyle w:val="ExhibitText"/>
              <w:jc w:val="right"/>
              <w:rPr>
                <w:lang w:val="en-GB"/>
              </w:rPr>
            </w:pPr>
            <w:r w:rsidRPr="00240B69">
              <w:rPr>
                <w:lang w:val="en-GB"/>
              </w:rPr>
              <w:t>2,487</w:t>
            </w:r>
          </w:p>
        </w:tc>
        <w:tc>
          <w:tcPr>
            <w:tcW w:w="990" w:type="dxa"/>
            <w:vAlign w:val="center"/>
          </w:tcPr>
          <w:p w14:paraId="6C72ACE5" w14:textId="77777777" w:rsidR="008B42DE" w:rsidRPr="00240B69" w:rsidRDefault="008B42DE" w:rsidP="00801239">
            <w:pPr>
              <w:pStyle w:val="ExhibitText"/>
              <w:jc w:val="right"/>
              <w:rPr>
                <w:lang w:val="en-GB"/>
              </w:rPr>
            </w:pPr>
            <w:r w:rsidRPr="00240B69">
              <w:rPr>
                <w:lang w:val="en-GB"/>
              </w:rPr>
              <w:t>16.2</w:t>
            </w:r>
          </w:p>
        </w:tc>
        <w:tc>
          <w:tcPr>
            <w:tcW w:w="1350" w:type="dxa"/>
            <w:vAlign w:val="center"/>
          </w:tcPr>
          <w:p w14:paraId="065FAB9B" w14:textId="77777777" w:rsidR="008B42DE" w:rsidRPr="00240B69" w:rsidRDefault="008B42DE" w:rsidP="00801239">
            <w:pPr>
              <w:pStyle w:val="ExhibitText"/>
              <w:jc w:val="right"/>
              <w:rPr>
                <w:lang w:val="en-GB"/>
              </w:rPr>
            </w:pPr>
            <w:r w:rsidRPr="00240B69">
              <w:rPr>
                <w:lang w:val="en-GB"/>
              </w:rPr>
              <w:t>+2.9</w:t>
            </w:r>
          </w:p>
        </w:tc>
        <w:tc>
          <w:tcPr>
            <w:tcW w:w="1620" w:type="dxa"/>
            <w:vAlign w:val="center"/>
          </w:tcPr>
          <w:p w14:paraId="1F4707B1" w14:textId="77777777" w:rsidR="008B42DE" w:rsidRPr="00240B69" w:rsidRDefault="008B42DE" w:rsidP="00801239">
            <w:pPr>
              <w:pStyle w:val="ExhibitText"/>
              <w:jc w:val="right"/>
              <w:rPr>
                <w:lang w:val="en-GB"/>
              </w:rPr>
            </w:pPr>
            <w:r w:rsidRPr="00240B69">
              <w:rPr>
                <w:lang w:val="en-GB"/>
              </w:rPr>
              <w:t>+2.1</w:t>
            </w:r>
          </w:p>
        </w:tc>
      </w:tr>
      <w:tr w:rsidR="008B42DE" w:rsidRPr="00240B69" w14:paraId="7C8E60A4" w14:textId="77777777" w:rsidTr="00417830">
        <w:trPr>
          <w:jc w:val="center"/>
        </w:trPr>
        <w:tc>
          <w:tcPr>
            <w:tcW w:w="3235" w:type="dxa"/>
            <w:vAlign w:val="center"/>
          </w:tcPr>
          <w:p w14:paraId="0550DB21" w14:textId="493F07DF" w:rsidR="008B42DE" w:rsidRPr="00240B69" w:rsidRDefault="008B42DE" w:rsidP="00801239">
            <w:pPr>
              <w:pStyle w:val="ExhibitText"/>
              <w:jc w:val="left"/>
              <w:rPr>
                <w:b/>
                <w:lang w:val="en-GB"/>
              </w:rPr>
            </w:pPr>
            <w:r w:rsidRPr="00240B69">
              <w:rPr>
                <w:b/>
                <w:lang w:val="en-GB"/>
              </w:rPr>
              <w:t xml:space="preserve">RECYCLING &amp; RECOVERY </w:t>
            </w:r>
          </w:p>
        </w:tc>
        <w:tc>
          <w:tcPr>
            <w:tcW w:w="990" w:type="dxa"/>
            <w:vAlign w:val="center"/>
          </w:tcPr>
          <w:p w14:paraId="09F335BE" w14:textId="77777777" w:rsidR="008B42DE" w:rsidRPr="00240B69" w:rsidRDefault="008B42DE" w:rsidP="00801239">
            <w:pPr>
              <w:pStyle w:val="ExhibitText"/>
              <w:jc w:val="right"/>
              <w:rPr>
                <w:lang w:val="en-GB"/>
              </w:rPr>
            </w:pPr>
            <w:r w:rsidRPr="00240B69">
              <w:rPr>
                <w:lang w:val="en-GB"/>
              </w:rPr>
              <w:t>6,357</w:t>
            </w:r>
          </w:p>
        </w:tc>
        <w:tc>
          <w:tcPr>
            <w:tcW w:w="1080" w:type="dxa"/>
            <w:vAlign w:val="center"/>
          </w:tcPr>
          <w:p w14:paraId="52617FB2" w14:textId="77777777" w:rsidR="008B42DE" w:rsidRPr="00240B69" w:rsidRDefault="008B42DE" w:rsidP="00801239">
            <w:pPr>
              <w:pStyle w:val="ExhibitText"/>
              <w:jc w:val="right"/>
              <w:rPr>
                <w:lang w:val="en-GB"/>
              </w:rPr>
            </w:pPr>
            <w:r w:rsidRPr="00240B69">
              <w:rPr>
                <w:lang w:val="en-GB"/>
              </w:rPr>
              <w:t>6,302</w:t>
            </w:r>
          </w:p>
        </w:tc>
        <w:tc>
          <w:tcPr>
            <w:tcW w:w="990" w:type="dxa"/>
            <w:vAlign w:val="center"/>
          </w:tcPr>
          <w:p w14:paraId="016CBDC4" w14:textId="77777777" w:rsidR="008B42DE" w:rsidRPr="00240B69" w:rsidRDefault="008B42DE" w:rsidP="00801239">
            <w:pPr>
              <w:pStyle w:val="ExhibitText"/>
              <w:jc w:val="right"/>
              <w:rPr>
                <w:lang w:val="en-GB"/>
              </w:rPr>
            </w:pPr>
            <w:r w:rsidRPr="00240B69">
              <w:rPr>
                <w:lang w:val="en-GB"/>
              </w:rPr>
              <w:t>41.1</w:t>
            </w:r>
          </w:p>
        </w:tc>
        <w:tc>
          <w:tcPr>
            <w:tcW w:w="1350" w:type="dxa"/>
            <w:vAlign w:val="center"/>
          </w:tcPr>
          <w:p w14:paraId="43B8BC94" w14:textId="77777777" w:rsidR="008B42DE" w:rsidRPr="00240B69" w:rsidRDefault="008B42DE" w:rsidP="00801239">
            <w:pPr>
              <w:pStyle w:val="ExhibitText"/>
              <w:jc w:val="right"/>
              <w:rPr>
                <w:lang w:val="en-GB"/>
              </w:rPr>
            </w:pPr>
            <w:r w:rsidRPr="00240B69">
              <w:rPr>
                <w:lang w:val="en-GB"/>
              </w:rPr>
              <w:t>−0.9</w:t>
            </w:r>
          </w:p>
        </w:tc>
        <w:tc>
          <w:tcPr>
            <w:tcW w:w="1620" w:type="dxa"/>
            <w:vAlign w:val="center"/>
          </w:tcPr>
          <w:p w14:paraId="21275256" w14:textId="77777777" w:rsidR="008B42DE" w:rsidRPr="00240B69" w:rsidRDefault="008B42DE" w:rsidP="00801239">
            <w:pPr>
              <w:pStyle w:val="ExhibitText"/>
              <w:jc w:val="right"/>
              <w:rPr>
                <w:lang w:val="en-GB"/>
              </w:rPr>
            </w:pPr>
            <w:r w:rsidRPr="00240B69">
              <w:rPr>
                <w:lang w:val="en-GB"/>
              </w:rPr>
              <w:t>+0.6</w:t>
            </w:r>
          </w:p>
        </w:tc>
      </w:tr>
      <w:tr w:rsidR="008B42DE" w:rsidRPr="00240B69" w14:paraId="596E51DA" w14:textId="77777777" w:rsidTr="00417830">
        <w:trPr>
          <w:jc w:val="center"/>
        </w:trPr>
        <w:tc>
          <w:tcPr>
            <w:tcW w:w="3235" w:type="dxa"/>
            <w:vAlign w:val="center"/>
          </w:tcPr>
          <w:p w14:paraId="7D1E64A4" w14:textId="77777777" w:rsidR="008B42DE" w:rsidRPr="00240B69" w:rsidRDefault="008B42DE" w:rsidP="00801239">
            <w:pPr>
              <w:pStyle w:val="ExhibitText"/>
              <w:jc w:val="left"/>
              <w:rPr>
                <w:lang w:val="en-GB"/>
              </w:rPr>
            </w:pPr>
            <w:r w:rsidRPr="00240B69">
              <w:rPr>
                <w:lang w:val="en-GB"/>
              </w:rPr>
              <w:t>France</w:t>
            </w:r>
          </w:p>
        </w:tc>
        <w:tc>
          <w:tcPr>
            <w:tcW w:w="990" w:type="dxa"/>
            <w:vAlign w:val="center"/>
          </w:tcPr>
          <w:p w14:paraId="1207EB88" w14:textId="77777777" w:rsidR="008B42DE" w:rsidRPr="00240B69" w:rsidRDefault="008B42DE" w:rsidP="00801239">
            <w:pPr>
              <w:pStyle w:val="ExhibitText"/>
              <w:jc w:val="right"/>
              <w:rPr>
                <w:lang w:val="en-GB"/>
              </w:rPr>
            </w:pPr>
            <w:r w:rsidRPr="00240B69">
              <w:rPr>
                <w:lang w:val="en-GB"/>
              </w:rPr>
              <w:t>3,341</w:t>
            </w:r>
          </w:p>
        </w:tc>
        <w:tc>
          <w:tcPr>
            <w:tcW w:w="1080" w:type="dxa"/>
            <w:vAlign w:val="center"/>
          </w:tcPr>
          <w:p w14:paraId="54E36EF0" w14:textId="77777777" w:rsidR="008B42DE" w:rsidRPr="00240B69" w:rsidRDefault="008B42DE" w:rsidP="00801239">
            <w:pPr>
              <w:pStyle w:val="ExhibitText"/>
              <w:jc w:val="right"/>
              <w:rPr>
                <w:lang w:val="en-GB"/>
              </w:rPr>
            </w:pPr>
            <w:r w:rsidRPr="00240B69">
              <w:rPr>
                <w:lang w:val="en-GB"/>
              </w:rPr>
              <w:t>3,319</w:t>
            </w:r>
          </w:p>
        </w:tc>
        <w:tc>
          <w:tcPr>
            <w:tcW w:w="990" w:type="dxa"/>
            <w:vAlign w:val="center"/>
          </w:tcPr>
          <w:p w14:paraId="3423BF4F" w14:textId="77777777" w:rsidR="008B42DE" w:rsidRPr="00240B69" w:rsidRDefault="008B42DE" w:rsidP="00801239">
            <w:pPr>
              <w:pStyle w:val="ExhibitText"/>
              <w:jc w:val="right"/>
              <w:rPr>
                <w:lang w:val="en-GB"/>
              </w:rPr>
            </w:pPr>
            <w:r w:rsidRPr="00240B69">
              <w:rPr>
                <w:lang w:val="en-GB"/>
              </w:rPr>
              <w:t>21.7</w:t>
            </w:r>
          </w:p>
        </w:tc>
        <w:tc>
          <w:tcPr>
            <w:tcW w:w="1350" w:type="dxa"/>
            <w:vAlign w:val="center"/>
          </w:tcPr>
          <w:p w14:paraId="5A6F1689" w14:textId="77777777" w:rsidR="008B42DE" w:rsidRPr="00240B69" w:rsidRDefault="008B42DE" w:rsidP="00801239">
            <w:pPr>
              <w:pStyle w:val="ExhibitText"/>
              <w:jc w:val="right"/>
              <w:rPr>
                <w:lang w:val="en-GB"/>
              </w:rPr>
            </w:pPr>
            <w:r w:rsidRPr="00240B69">
              <w:rPr>
                <w:lang w:val="en-GB"/>
              </w:rPr>
              <w:t>−0.7</w:t>
            </w:r>
          </w:p>
        </w:tc>
        <w:tc>
          <w:tcPr>
            <w:tcW w:w="1620" w:type="dxa"/>
            <w:vAlign w:val="center"/>
          </w:tcPr>
          <w:p w14:paraId="72C061A1" w14:textId="77777777" w:rsidR="008B42DE" w:rsidRPr="00240B69" w:rsidRDefault="008B42DE" w:rsidP="00801239">
            <w:pPr>
              <w:pStyle w:val="ExhibitText"/>
              <w:jc w:val="right"/>
              <w:rPr>
                <w:lang w:val="en-GB"/>
              </w:rPr>
            </w:pPr>
            <w:r w:rsidRPr="00240B69">
              <w:rPr>
                <w:lang w:val="en-GB"/>
              </w:rPr>
              <w:t>−1.7</w:t>
            </w:r>
          </w:p>
        </w:tc>
      </w:tr>
      <w:tr w:rsidR="008B42DE" w:rsidRPr="00240B69" w14:paraId="17CF823B" w14:textId="77777777" w:rsidTr="00417830">
        <w:trPr>
          <w:jc w:val="center"/>
        </w:trPr>
        <w:tc>
          <w:tcPr>
            <w:tcW w:w="3235" w:type="dxa"/>
            <w:vAlign w:val="center"/>
          </w:tcPr>
          <w:p w14:paraId="7846F57A" w14:textId="77777777" w:rsidR="008B42DE" w:rsidRPr="00240B69" w:rsidRDefault="008B42DE" w:rsidP="00801239">
            <w:pPr>
              <w:pStyle w:val="ExhibitText"/>
              <w:jc w:val="left"/>
              <w:rPr>
                <w:lang w:val="en-GB"/>
              </w:rPr>
            </w:pPr>
            <w:r w:rsidRPr="00240B69">
              <w:rPr>
                <w:lang w:val="en-GB"/>
              </w:rPr>
              <w:t>United Kingdom/Scandinavia</w:t>
            </w:r>
          </w:p>
        </w:tc>
        <w:tc>
          <w:tcPr>
            <w:tcW w:w="990" w:type="dxa"/>
            <w:vAlign w:val="center"/>
          </w:tcPr>
          <w:p w14:paraId="55444EFE" w14:textId="77777777" w:rsidR="008B42DE" w:rsidRPr="00240B69" w:rsidRDefault="008B42DE" w:rsidP="00801239">
            <w:pPr>
              <w:pStyle w:val="ExhibitText"/>
              <w:jc w:val="right"/>
              <w:rPr>
                <w:lang w:val="en-GB"/>
              </w:rPr>
            </w:pPr>
            <w:r w:rsidRPr="00240B69">
              <w:rPr>
                <w:lang w:val="en-GB"/>
              </w:rPr>
              <w:t>1,375</w:t>
            </w:r>
          </w:p>
        </w:tc>
        <w:tc>
          <w:tcPr>
            <w:tcW w:w="1080" w:type="dxa"/>
            <w:vAlign w:val="center"/>
          </w:tcPr>
          <w:p w14:paraId="389741E9" w14:textId="77777777" w:rsidR="008B42DE" w:rsidRPr="00240B69" w:rsidRDefault="008B42DE" w:rsidP="00801239">
            <w:pPr>
              <w:pStyle w:val="ExhibitText"/>
              <w:jc w:val="right"/>
              <w:rPr>
                <w:lang w:val="en-GB"/>
              </w:rPr>
            </w:pPr>
            <w:r w:rsidRPr="00240B69">
              <w:rPr>
                <w:lang w:val="en-GB"/>
              </w:rPr>
              <w:t>1,314</w:t>
            </w:r>
          </w:p>
        </w:tc>
        <w:tc>
          <w:tcPr>
            <w:tcW w:w="990" w:type="dxa"/>
            <w:vAlign w:val="center"/>
          </w:tcPr>
          <w:p w14:paraId="1DC8671B" w14:textId="77777777" w:rsidR="008B42DE" w:rsidRPr="00240B69" w:rsidRDefault="008B42DE" w:rsidP="00801239">
            <w:pPr>
              <w:pStyle w:val="ExhibitText"/>
              <w:jc w:val="right"/>
              <w:rPr>
                <w:lang w:val="en-GB"/>
              </w:rPr>
            </w:pPr>
            <w:r w:rsidRPr="00240B69">
              <w:rPr>
                <w:lang w:val="en-GB"/>
              </w:rPr>
              <w:t>8.6</w:t>
            </w:r>
          </w:p>
        </w:tc>
        <w:tc>
          <w:tcPr>
            <w:tcW w:w="1350" w:type="dxa"/>
            <w:vAlign w:val="center"/>
          </w:tcPr>
          <w:p w14:paraId="2C283A05" w14:textId="77777777" w:rsidR="008B42DE" w:rsidRPr="00240B69" w:rsidRDefault="008B42DE" w:rsidP="00801239">
            <w:pPr>
              <w:pStyle w:val="ExhibitText"/>
              <w:jc w:val="right"/>
              <w:rPr>
                <w:lang w:val="en-GB"/>
              </w:rPr>
            </w:pPr>
            <w:r w:rsidRPr="00240B69">
              <w:rPr>
                <w:lang w:val="en-GB"/>
              </w:rPr>
              <w:t>−4.4</w:t>
            </w:r>
          </w:p>
        </w:tc>
        <w:tc>
          <w:tcPr>
            <w:tcW w:w="1620" w:type="dxa"/>
            <w:vAlign w:val="center"/>
          </w:tcPr>
          <w:p w14:paraId="1E46A909" w14:textId="77777777" w:rsidR="008B42DE" w:rsidRPr="00240B69" w:rsidRDefault="008B42DE" w:rsidP="00801239">
            <w:pPr>
              <w:pStyle w:val="ExhibitText"/>
              <w:jc w:val="right"/>
              <w:rPr>
                <w:lang w:val="en-GB"/>
              </w:rPr>
            </w:pPr>
            <w:r w:rsidRPr="00240B69">
              <w:rPr>
                <w:lang w:val="en-GB"/>
              </w:rPr>
              <w:t>+4.6</w:t>
            </w:r>
          </w:p>
        </w:tc>
      </w:tr>
      <w:tr w:rsidR="008B42DE" w:rsidRPr="00240B69" w14:paraId="4A070E28" w14:textId="77777777" w:rsidTr="00417830">
        <w:trPr>
          <w:jc w:val="center"/>
        </w:trPr>
        <w:tc>
          <w:tcPr>
            <w:tcW w:w="3235" w:type="dxa"/>
            <w:vAlign w:val="center"/>
          </w:tcPr>
          <w:p w14:paraId="0EC3E19C" w14:textId="77777777" w:rsidR="008B42DE" w:rsidRPr="00240B69" w:rsidRDefault="008B42DE" w:rsidP="00801239">
            <w:pPr>
              <w:pStyle w:val="ExhibitText"/>
              <w:jc w:val="left"/>
              <w:rPr>
                <w:lang w:val="en-GB"/>
              </w:rPr>
            </w:pPr>
            <w:r w:rsidRPr="00240B69">
              <w:rPr>
                <w:lang w:val="en-GB"/>
              </w:rPr>
              <w:t>Benelux/Germany</w:t>
            </w:r>
          </w:p>
        </w:tc>
        <w:tc>
          <w:tcPr>
            <w:tcW w:w="990" w:type="dxa"/>
            <w:vAlign w:val="center"/>
          </w:tcPr>
          <w:p w14:paraId="0BB2DECA" w14:textId="77777777" w:rsidR="008B42DE" w:rsidRPr="00240B69" w:rsidRDefault="008B42DE" w:rsidP="00801239">
            <w:pPr>
              <w:pStyle w:val="ExhibitText"/>
              <w:jc w:val="right"/>
              <w:rPr>
                <w:lang w:val="en-GB"/>
              </w:rPr>
            </w:pPr>
            <w:r w:rsidRPr="00240B69">
              <w:rPr>
                <w:lang w:val="en-GB"/>
              </w:rPr>
              <w:t>1,447</w:t>
            </w:r>
          </w:p>
        </w:tc>
        <w:tc>
          <w:tcPr>
            <w:tcW w:w="1080" w:type="dxa"/>
            <w:vAlign w:val="center"/>
          </w:tcPr>
          <w:p w14:paraId="681998F0" w14:textId="77777777" w:rsidR="008B42DE" w:rsidRPr="00240B69" w:rsidRDefault="008B42DE" w:rsidP="00801239">
            <w:pPr>
              <w:pStyle w:val="ExhibitText"/>
              <w:jc w:val="right"/>
              <w:rPr>
                <w:lang w:val="en-GB"/>
              </w:rPr>
            </w:pPr>
            <w:r w:rsidRPr="00240B69">
              <w:rPr>
                <w:lang w:val="en-GB"/>
              </w:rPr>
              <w:t>1,470</w:t>
            </w:r>
          </w:p>
        </w:tc>
        <w:tc>
          <w:tcPr>
            <w:tcW w:w="990" w:type="dxa"/>
            <w:vAlign w:val="center"/>
          </w:tcPr>
          <w:p w14:paraId="390D19D0" w14:textId="77777777" w:rsidR="008B42DE" w:rsidRPr="00240B69" w:rsidRDefault="008B42DE" w:rsidP="00801239">
            <w:pPr>
              <w:pStyle w:val="ExhibitText"/>
              <w:jc w:val="right"/>
              <w:rPr>
                <w:lang w:val="en-GB"/>
              </w:rPr>
            </w:pPr>
            <w:r w:rsidRPr="00240B69">
              <w:rPr>
                <w:lang w:val="en-GB"/>
              </w:rPr>
              <w:t>9.6</w:t>
            </w:r>
          </w:p>
        </w:tc>
        <w:tc>
          <w:tcPr>
            <w:tcW w:w="1350" w:type="dxa"/>
            <w:vAlign w:val="center"/>
          </w:tcPr>
          <w:p w14:paraId="46A4063F" w14:textId="77777777" w:rsidR="008B42DE" w:rsidRPr="00240B69" w:rsidRDefault="008B42DE" w:rsidP="00801239">
            <w:pPr>
              <w:pStyle w:val="ExhibitText"/>
              <w:jc w:val="right"/>
              <w:rPr>
                <w:lang w:val="en-GB"/>
              </w:rPr>
            </w:pPr>
            <w:r w:rsidRPr="00240B69">
              <w:rPr>
                <w:lang w:val="en-GB"/>
              </w:rPr>
              <w:t>+1.6</w:t>
            </w:r>
          </w:p>
        </w:tc>
        <w:tc>
          <w:tcPr>
            <w:tcW w:w="1620" w:type="dxa"/>
            <w:vAlign w:val="center"/>
          </w:tcPr>
          <w:p w14:paraId="1D9075E2" w14:textId="77777777" w:rsidR="008B42DE" w:rsidRPr="00240B69" w:rsidRDefault="008B42DE" w:rsidP="00801239">
            <w:pPr>
              <w:pStyle w:val="ExhibitText"/>
              <w:jc w:val="right"/>
              <w:rPr>
                <w:lang w:val="en-GB"/>
              </w:rPr>
            </w:pPr>
            <w:r w:rsidRPr="00240B69">
              <w:rPr>
                <w:lang w:val="en-GB"/>
              </w:rPr>
              <w:t>+1.7</w:t>
            </w:r>
          </w:p>
        </w:tc>
      </w:tr>
      <w:tr w:rsidR="008B42DE" w:rsidRPr="00240B69" w14:paraId="4CA38515" w14:textId="77777777" w:rsidTr="00417830">
        <w:trPr>
          <w:jc w:val="center"/>
        </w:trPr>
        <w:tc>
          <w:tcPr>
            <w:tcW w:w="3235" w:type="dxa"/>
            <w:vAlign w:val="center"/>
          </w:tcPr>
          <w:p w14:paraId="0BB6F112" w14:textId="77777777" w:rsidR="008B42DE" w:rsidRPr="00240B69" w:rsidRDefault="008B42DE" w:rsidP="00801239">
            <w:pPr>
              <w:pStyle w:val="ExhibitText"/>
              <w:jc w:val="left"/>
              <w:rPr>
                <w:lang w:val="en-GB"/>
              </w:rPr>
            </w:pPr>
            <w:r w:rsidRPr="00240B69">
              <w:rPr>
                <w:lang w:val="en-GB"/>
              </w:rPr>
              <w:t>Central Europe</w:t>
            </w:r>
            <w:r w:rsidRPr="00240B69" w:rsidDel="00F92B26">
              <w:rPr>
                <w:lang w:val="en-GB"/>
              </w:rPr>
              <w:t xml:space="preserve"> </w:t>
            </w:r>
          </w:p>
        </w:tc>
        <w:tc>
          <w:tcPr>
            <w:tcW w:w="990" w:type="dxa"/>
            <w:vAlign w:val="center"/>
          </w:tcPr>
          <w:p w14:paraId="044AFF88" w14:textId="77777777" w:rsidR="008B42DE" w:rsidRPr="00240B69" w:rsidRDefault="008B42DE" w:rsidP="00801239">
            <w:pPr>
              <w:pStyle w:val="ExhibitText"/>
              <w:jc w:val="right"/>
              <w:rPr>
                <w:lang w:val="en-GB"/>
              </w:rPr>
            </w:pPr>
            <w:r w:rsidRPr="00240B69">
              <w:rPr>
                <w:lang w:val="en-GB"/>
              </w:rPr>
              <w:t>194</w:t>
            </w:r>
          </w:p>
        </w:tc>
        <w:tc>
          <w:tcPr>
            <w:tcW w:w="1080" w:type="dxa"/>
            <w:vAlign w:val="center"/>
          </w:tcPr>
          <w:p w14:paraId="4C39BC87" w14:textId="77777777" w:rsidR="008B42DE" w:rsidRPr="00240B69" w:rsidRDefault="008B42DE" w:rsidP="00801239">
            <w:pPr>
              <w:pStyle w:val="ExhibitText"/>
              <w:jc w:val="right"/>
              <w:rPr>
                <w:lang w:val="en-GB"/>
              </w:rPr>
            </w:pPr>
            <w:r w:rsidRPr="00240B69">
              <w:rPr>
                <w:lang w:val="en-GB"/>
              </w:rPr>
              <w:t>198</w:t>
            </w:r>
          </w:p>
        </w:tc>
        <w:tc>
          <w:tcPr>
            <w:tcW w:w="990" w:type="dxa"/>
            <w:vAlign w:val="center"/>
          </w:tcPr>
          <w:p w14:paraId="5E0262C1" w14:textId="77777777" w:rsidR="008B42DE" w:rsidRPr="00240B69" w:rsidRDefault="008B42DE" w:rsidP="00801239">
            <w:pPr>
              <w:pStyle w:val="ExhibitText"/>
              <w:jc w:val="right"/>
              <w:rPr>
                <w:lang w:val="en-GB"/>
              </w:rPr>
            </w:pPr>
            <w:r w:rsidRPr="00240B69">
              <w:rPr>
                <w:lang w:val="en-GB"/>
              </w:rPr>
              <w:t>1.3</w:t>
            </w:r>
          </w:p>
        </w:tc>
        <w:tc>
          <w:tcPr>
            <w:tcW w:w="1350" w:type="dxa"/>
            <w:vAlign w:val="center"/>
          </w:tcPr>
          <w:p w14:paraId="1C936C8B" w14:textId="77777777" w:rsidR="008B42DE" w:rsidRPr="00240B69" w:rsidRDefault="008B42DE" w:rsidP="00801239">
            <w:pPr>
              <w:pStyle w:val="ExhibitText"/>
              <w:jc w:val="right"/>
              <w:rPr>
                <w:lang w:val="en-GB"/>
              </w:rPr>
            </w:pPr>
            <w:r w:rsidRPr="00240B69">
              <w:rPr>
                <w:lang w:val="en-GB"/>
              </w:rPr>
              <w:t>+1.9</w:t>
            </w:r>
          </w:p>
        </w:tc>
        <w:tc>
          <w:tcPr>
            <w:tcW w:w="1620" w:type="dxa"/>
            <w:vAlign w:val="center"/>
          </w:tcPr>
          <w:p w14:paraId="5EB7CF96" w14:textId="77777777" w:rsidR="008B42DE" w:rsidRPr="00240B69" w:rsidRDefault="008B42DE" w:rsidP="00801239">
            <w:pPr>
              <w:pStyle w:val="ExhibitText"/>
              <w:jc w:val="right"/>
              <w:rPr>
                <w:lang w:val="en-GB"/>
              </w:rPr>
            </w:pPr>
            <w:r w:rsidRPr="00240B69">
              <w:rPr>
                <w:lang w:val="en-GB"/>
              </w:rPr>
              <w:t>+4.6</w:t>
            </w:r>
          </w:p>
        </w:tc>
      </w:tr>
      <w:tr w:rsidR="008B42DE" w:rsidRPr="00240B69" w14:paraId="1C5FDF2B" w14:textId="77777777" w:rsidTr="00417830">
        <w:trPr>
          <w:jc w:val="center"/>
        </w:trPr>
        <w:tc>
          <w:tcPr>
            <w:tcW w:w="3235" w:type="dxa"/>
            <w:vAlign w:val="center"/>
          </w:tcPr>
          <w:p w14:paraId="38355D6E" w14:textId="77777777" w:rsidR="008B42DE" w:rsidRPr="00240B69" w:rsidRDefault="008B42DE" w:rsidP="00801239">
            <w:pPr>
              <w:pStyle w:val="ExhibitText"/>
              <w:jc w:val="left"/>
              <w:rPr>
                <w:b/>
                <w:lang w:val="en-GB"/>
              </w:rPr>
            </w:pPr>
            <w:r w:rsidRPr="00240B69">
              <w:rPr>
                <w:b/>
                <w:lang w:val="en-GB"/>
              </w:rPr>
              <w:t>INTERNATIONAL</w:t>
            </w:r>
          </w:p>
        </w:tc>
        <w:tc>
          <w:tcPr>
            <w:tcW w:w="990" w:type="dxa"/>
            <w:vAlign w:val="center"/>
          </w:tcPr>
          <w:p w14:paraId="724E26E4" w14:textId="77777777" w:rsidR="008B42DE" w:rsidRPr="00240B69" w:rsidRDefault="008B42DE" w:rsidP="00801239">
            <w:pPr>
              <w:pStyle w:val="ExhibitText"/>
              <w:jc w:val="right"/>
              <w:rPr>
                <w:lang w:val="en-GB"/>
              </w:rPr>
            </w:pPr>
            <w:r w:rsidRPr="00240B69">
              <w:rPr>
                <w:lang w:val="en-GB"/>
              </w:rPr>
              <w:t>3,998</w:t>
            </w:r>
          </w:p>
        </w:tc>
        <w:tc>
          <w:tcPr>
            <w:tcW w:w="1080" w:type="dxa"/>
            <w:vAlign w:val="center"/>
          </w:tcPr>
          <w:p w14:paraId="3B36E22E" w14:textId="77777777" w:rsidR="008B42DE" w:rsidRPr="00240B69" w:rsidRDefault="008B42DE" w:rsidP="00801239">
            <w:pPr>
              <w:pStyle w:val="ExhibitText"/>
              <w:jc w:val="right"/>
              <w:rPr>
                <w:lang w:val="en-GB"/>
              </w:rPr>
            </w:pPr>
            <w:r w:rsidRPr="00240B69">
              <w:rPr>
                <w:lang w:val="en-GB"/>
              </w:rPr>
              <w:t>4,217</w:t>
            </w:r>
          </w:p>
        </w:tc>
        <w:tc>
          <w:tcPr>
            <w:tcW w:w="990" w:type="dxa"/>
            <w:vAlign w:val="center"/>
          </w:tcPr>
          <w:p w14:paraId="438FC12C" w14:textId="77777777" w:rsidR="008B42DE" w:rsidRPr="00240B69" w:rsidRDefault="008B42DE" w:rsidP="00801239">
            <w:pPr>
              <w:pStyle w:val="ExhibitText"/>
              <w:jc w:val="right"/>
              <w:rPr>
                <w:lang w:val="en-GB"/>
              </w:rPr>
            </w:pPr>
            <w:r w:rsidRPr="00240B69">
              <w:rPr>
                <w:lang w:val="en-GB"/>
              </w:rPr>
              <w:t>27.5</w:t>
            </w:r>
          </w:p>
        </w:tc>
        <w:tc>
          <w:tcPr>
            <w:tcW w:w="1350" w:type="dxa"/>
            <w:vAlign w:val="center"/>
          </w:tcPr>
          <w:p w14:paraId="7CF2933E" w14:textId="77777777" w:rsidR="008B42DE" w:rsidRPr="00240B69" w:rsidRDefault="008B42DE" w:rsidP="00801239">
            <w:pPr>
              <w:pStyle w:val="ExhibitText"/>
              <w:jc w:val="right"/>
              <w:rPr>
                <w:lang w:val="en-GB"/>
              </w:rPr>
            </w:pPr>
            <w:r w:rsidRPr="00240B69">
              <w:rPr>
                <w:lang w:val="en-GB"/>
              </w:rPr>
              <w:t>+5.5</w:t>
            </w:r>
          </w:p>
        </w:tc>
        <w:tc>
          <w:tcPr>
            <w:tcW w:w="1620" w:type="dxa"/>
            <w:vAlign w:val="center"/>
          </w:tcPr>
          <w:p w14:paraId="01079EB3" w14:textId="77777777" w:rsidR="008B42DE" w:rsidRPr="00240B69" w:rsidRDefault="008B42DE" w:rsidP="00801239">
            <w:pPr>
              <w:pStyle w:val="ExhibitText"/>
              <w:jc w:val="right"/>
              <w:rPr>
                <w:lang w:val="en-GB"/>
              </w:rPr>
            </w:pPr>
            <w:r w:rsidRPr="00240B69">
              <w:rPr>
                <w:lang w:val="en-GB"/>
              </w:rPr>
              <w:t>+4.7</w:t>
            </w:r>
          </w:p>
        </w:tc>
      </w:tr>
      <w:tr w:rsidR="008B42DE" w:rsidRPr="00240B69" w14:paraId="280F1CB7" w14:textId="77777777" w:rsidTr="00417830">
        <w:trPr>
          <w:jc w:val="center"/>
        </w:trPr>
        <w:tc>
          <w:tcPr>
            <w:tcW w:w="3235" w:type="dxa"/>
            <w:vAlign w:val="center"/>
          </w:tcPr>
          <w:p w14:paraId="2501398F" w14:textId="77777777" w:rsidR="008B42DE" w:rsidRPr="00240B69" w:rsidRDefault="008B42DE" w:rsidP="00801239">
            <w:pPr>
              <w:pStyle w:val="ExhibitText"/>
              <w:jc w:val="left"/>
              <w:rPr>
                <w:lang w:val="en-GB"/>
              </w:rPr>
            </w:pPr>
            <w:r w:rsidRPr="00240B69">
              <w:rPr>
                <w:lang w:val="en-GB"/>
              </w:rPr>
              <w:t>Europe-</w:t>
            </w:r>
            <w:proofErr w:type="spellStart"/>
            <w:r w:rsidRPr="00240B69">
              <w:rPr>
                <w:lang w:val="en-GB"/>
              </w:rPr>
              <w:t>Latam</w:t>
            </w:r>
            <w:proofErr w:type="spellEnd"/>
          </w:p>
        </w:tc>
        <w:tc>
          <w:tcPr>
            <w:tcW w:w="990" w:type="dxa"/>
            <w:vAlign w:val="center"/>
          </w:tcPr>
          <w:p w14:paraId="3B09E620" w14:textId="77777777" w:rsidR="008B42DE" w:rsidRPr="00240B69" w:rsidRDefault="008B42DE" w:rsidP="00801239">
            <w:pPr>
              <w:pStyle w:val="ExhibitText"/>
              <w:jc w:val="right"/>
              <w:rPr>
                <w:lang w:val="en-GB"/>
              </w:rPr>
            </w:pPr>
            <w:r w:rsidRPr="00240B69">
              <w:rPr>
                <w:lang w:val="en-GB"/>
              </w:rPr>
              <w:t>662</w:t>
            </w:r>
          </w:p>
        </w:tc>
        <w:tc>
          <w:tcPr>
            <w:tcW w:w="1080" w:type="dxa"/>
            <w:vAlign w:val="center"/>
          </w:tcPr>
          <w:p w14:paraId="05CE1A2E" w14:textId="77777777" w:rsidR="008B42DE" w:rsidRPr="00240B69" w:rsidRDefault="008B42DE" w:rsidP="00801239">
            <w:pPr>
              <w:pStyle w:val="ExhibitText"/>
              <w:jc w:val="right"/>
              <w:rPr>
                <w:lang w:val="en-GB"/>
              </w:rPr>
            </w:pPr>
            <w:r w:rsidRPr="00240B69">
              <w:rPr>
                <w:lang w:val="en-GB"/>
              </w:rPr>
              <w:t>589</w:t>
            </w:r>
          </w:p>
        </w:tc>
        <w:tc>
          <w:tcPr>
            <w:tcW w:w="990" w:type="dxa"/>
            <w:vAlign w:val="center"/>
          </w:tcPr>
          <w:p w14:paraId="4ECF0983" w14:textId="77777777" w:rsidR="008B42DE" w:rsidRPr="00240B69" w:rsidRDefault="008B42DE" w:rsidP="00801239">
            <w:pPr>
              <w:pStyle w:val="ExhibitText"/>
              <w:jc w:val="right"/>
              <w:rPr>
                <w:lang w:val="en-GB"/>
              </w:rPr>
            </w:pPr>
            <w:r w:rsidRPr="00240B69">
              <w:rPr>
                <w:lang w:val="en-GB"/>
              </w:rPr>
              <w:t>3.8</w:t>
            </w:r>
          </w:p>
        </w:tc>
        <w:tc>
          <w:tcPr>
            <w:tcW w:w="1350" w:type="dxa"/>
            <w:vAlign w:val="center"/>
          </w:tcPr>
          <w:p w14:paraId="77ACC645" w14:textId="77777777" w:rsidR="008B42DE" w:rsidRPr="00240B69" w:rsidRDefault="008B42DE" w:rsidP="00801239">
            <w:pPr>
              <w:pStyle w:val="ExhibitText"/>
              <w:jc w:val="right"/>
              <w:rPr>
                <w:lang w:val="en-GB"/>
              </w:rPr>
            </w:pPr>
            <w:r w:rsidRPr="00240B69">
              <w:rPr>
                <w:lang w:val="en-GB"/>
              </w:rPr>
              <w:t>−11.0</w:t>
            </w:r>
          </w:p>
        </w:tc>
        <w:tc>
          <w:tcPr>
            <w:tcW w:w="1620" w:type="dxa"/>
            <w:vAlign w:val="center"/>
          </w:tcPr>
          <w:p w14:paraId="3A3F438C" w14:textId="77777777" w:rsidR="008B42DE" w:rsidRPr="00240B69" w:rsidRDefault="008B42DE" w:rsidP="00801239">
            <w:pPr>
              <w:pStyle w:val="ExhibitText"/>
              <w:jc w:val="right"/>
              <w:rPr>
                <w:lang w:val="en-GB"/>
              </w:rPr>
            </w:pPr>
            <w:r w:rsidRPr="00240B69">
              <w:rPr>
                <w:lang w:val="en-GB"/>
              </w:rPr>
              <w:t>−8.4</w:t>
            </w:r>
          </w:p>
        </w:tc>
      </w:tr>
      <w:tr w:rsidR="008B42DE" w:rsidRPr="00240B69" w14:paraId="31EBE778" w14:textId="77777777" w:rsidTr="00417830">
        <w:trPr>
          <w:jc w:val="center"/>
        </w:trPr>
        <w:tc>
          <w:tcPr>
            <w:tcW w:w="3235" w:type="dxa"/>
            <w:vAlign w:val="center"/>
          </w:tcPr>
          <w:p w14:paraId="66CD5D90" w14:textId="77777777" w:rsidR="008B42DE" w:rsidRPr="00240B69" w:rsidRDefault="008B42DE" w:rsidP="00801239">
            <w:pPr>
              <w:pStyle w:val="ExhibitText"/>
              <w:jc w:val="left"/>
              <w:rPr>
                <w:lang w:val="en-GB"/>
              </w:rPr>
            </w:pPr>
            <w:r w:rsidRPr="00240B69">
              <w:rPr>
                <w:lang w:val="en-GB"/>
              </w:rPr>
              <w:t>North America</w:t>
            </w:r>
          </w:p>
        </w:tc>
        <w:tc>
          <w:tcPr>
            <w:tcW w:w="990" w:type="dxa"/>
            <w:vAlign w:val="center"/>
          </w:tcPr>
          <w:p w14:paraId="6F8B4948" w14:textId="77777777" w:rsidR="008B42DE" w:rsidRPr="00240B69" w:rsidRDefault="008B42DE" w:rsidP="00801239">
            <w:pPr>
              <w:pStyle w:val="ExhibitText"/>
              <w:jc w:val="right"/>
              <w:rPr>
                <w:lang w:val="en-GB"/>
              </w:rPr>
            </w:pPr>
            <w:r w:rsidRPr="00240B69">
              <w:rPr>
                <w:lang w:val="en-GB"/>
              </w:rPr>
              <w:t>959</w:t>
            </w:r>
          </w:p>
        </w:tc>
        <w:tc>
          <w:tcPr>
            <w:tcW w:w="1080" w:type="dxa"/>
            <w:vAlign w:val="center"/>
          </w:tcPr>
          <w:p w14:paraId="4D87458B" w14:textId="77777777" w:rsidR="008B42DE" w:rsidRPr="00240B69" w:rsidRDefault="008B42DE" w:rsidP="00801239">
            <w:pPr>
              <w:pStyle w:val="ExhibitText"/>
              <w:jc w:val="right"/>
              <w:rPr>
                <w:lang w:val="en-GB"/>
              </w:rPr>
            </w:pPr>
            <w:r w:rsidRPr="00240B69">
              <w:rPr>
                <w:lang w:val="en-GB"/>
              </w:rPr>
              <w:t>962</w:t>
            </w:r>
          </w:p>
        </w:tc>
        <w:tc>
          <w:tcPr>
            <w:tcW w:w="990" w:type="dxa"/>
            <w:vAlign w:val="center"/>
          </w:tcPr>
          <w:p w14:paraId="5983BF09" w14:textId="77777777" w:rsidR="008B42DE" w:rsidRPr="00240B69" w:rsidRDefault="008B42DE" w:rsidP="00801239">
            <w:pPr>
              <w:pStyle w:val="ExhibitText"/>
              <w:jc w:val="right"/>
              <w:rPr>
                <w:lang w:val="en-GB"/>
              </w:rPr>
            </w:pPr>
            <w:r w:rsidRPr="00240B69">
              <w:rPr>
                <w:lang w:val="en-GB"/>
              </w:rPr>
              <w:t>6.3</w:t>
            </w:r>
          </w:p>
        </w:tc>
        <w:tc>
          <w:tcPr>
            <w:tcW w:w="1350" w:type="dxa"/>
            <w:vAlign w:val="center"/>
          </w:tcPr>
          <w:p w14:paraId="2E44986F" w14:textId="77777777" w:rsidR="008B42DE" w:rsidRPr="00240B69" w:rsidRDefault="008B42DE" w:rsidP="00801239">
            <w:pPr>
              <w:pStyle w:val="ExhibitText"/>
              <w:jc w:val="right"/>
              <w:rPr>
                <w:lang w:val="en-GB"/>
              </w:rPr>
            </w:pPr>
            <w:r w:rsidRPr="00240B69">
              <w:rPr>
                <w:lang w:val="en-GB"/>
              </w:rPr>
              <w:t>+0.4</w:t>
            </w:r>
          </w:p>
        </w:tc>
        <w:tc>
          <w:tcPr>
            <w:tcW w:w="1620" w:type="dxa"/>
            <w:vAlign w:val="center"/>
          </w:tcPr>
          <w:p w14:paraId="18989DD6" w14:textId="77777777" w:rsidR="008B42DE" w:rsidRPr="00240B69" w:rsidRDefault="008B42DE" w:rsidP="00801239">
            <w:pPr>
              <w:pStyle w:val="ExhibitText"/>
              <w:jc w:val="right"/>
              <w:rPr>
                <w:lang w:val="en-GB"/>
              </w:rPr>
            </w:pPr>
            <w:r w:rsidRPr="00240B69">
              <w:rPr>
                <w:lang w:val="en-GB"/>
              </w:rPr>
              <w:t>+0.2</w:t>
            </w:r>
          </w:p>
        </w:tc>
      </w:tr>
      <w:tr w:rsidR="008B42DE" w:rsidRPr="00240B69" w14:paraId="1A8E033D" w14:textId="77777777" w:rsidTr="00417830">
        <w:trPr>
          <w:jc w:val="center"/>
        </w:trPr>
        <w:tc>
          <w:tcPr>
            <w:tcW w:w="3235" w:type="dxa"/>
            <w:vAlign w:val="center"/>
          </w:tcPr>
          <w:p w14:paraId="421BC06F" w14:textId="77777777" w:rsidR="008B42DE" w:rsidRPr="00240B69" w:rsidRDefault="008B42DE" w:rsidP="00801239">
            <w:pPr>
              <w:pStyle w:val="ExhibitText"/>
              <w:jc w:val="left"/>
              <w:rPr>
                <w:lang w:val="en-GB"/>
              </w:rPr>
            </w:pPr>
            <w:r w:rsidRPr="00240B69">
              <w:rPr>
                <w:lang w:val="en-GB"/>
              </w:rPr>
              <w:t>Asia</w:t>
            </w:r>
          </w:p>
        </w:tc>
        <w:tc>
          <w:tcPr>
            <w:tcW w:w="990" w:type="dxa"/>
            <w:vAlign w:val="center"/>
          </w:tcPr>
          <w:p w14:paraId="3DB233FF" w14:textId="77777777" w:rsidR="008B42DE" w:rsidRPr="00240B69" w:rsidRDefault="008B42DE" w:rsidP="00801239">
            <w:pPr>
              <w:pStyle w:val="ExhibitText"/>
              <w:jc w:val="right"/>
              <w:rPr>
                <w:lang w:val="en-GB"/>
              </w:rPr>
            </w:pPr>
            <w:r w:rsidRPr="00240B69">
              <w:rPr>
                <w:lang w:val="en-GB"/>
              </w:rPr>
              <w:t>392</w:t>
            </w:r>
          </w:p>
        </w:tc>
        <w:tc>
          <w:tcPr>
            <w:tcW w:w="1080" w:type="dxa"/>
            <w:vAlign w:val="center"/>
          </w:tcPr>
          <w:p w14:paraId="78819706" w14:textId="77777777" w:rsidR="008B42DE" w:rsidRPr="00240B69" w:rsidRDefault="008B42DE" w:rsidP="00801239">
            <w:pPr>
              <w:pStyle w:val="ExhibitText"/>
              <w:jc w:val="right"/>
              <w:rPr>
                <w:lang w:val="en-GB"/>
              </w:rPr>
            </w:pPr>
            <w:r w:rsidRPr="00240B69">
              <w:rPr>
                <w:lang w:val="en-GB"/>
              </w:rPr>
              <w:t>472</w:t>
            </w:r>
          </w:p>
        </w:tc>
        <w:tc>
          <w:tcPr>
            <w:tcW w:w="990" w:type="dxa"/>
            <w:vAlign w:val="center"/>
          </w:tcPr>
          <w:p w14:paraId="1E8BB5C5" w14:textId="77777777" w:rsidR="008B42DE" w:rsidRPr="00240B69" w:rsidRDefault="008B42DE" w:rsidP="00801239">
            <w:pPr>
              <w:pStyle w:val="ExhibitText"/>
              <w:jc w:val="right"/>
              <w:rPr>
                <w:lang w:val="en-GB"/>
              </w:rPr>
            </w:pPr>
            <w:r w:rsidRPr="00240B69">
              <w:rPr>
                <w:lang w:val="en-GB"/>
              </w:rPr>
              <w:t>3.1</w:t>
            </w:r>
          </w:p>
        </w:tc>
        <w:tc>
          <w:tcPr>
            <w:tcW w:w="1350" w:type="dxa"/>
            <w:vAlign w:val="center"/>
          </w:tcPr>
          <w:p w14:paraId="70C91251" w14:textId="77777777" w:rsidR="008B42DE" w:rsidRPr="00240B69" w:rsidRDefault="008B42DE" w:rsidP="00801239">
            <w:pPr>
              <w:pStyle w:val="ExhibitText"/>
              <w:jc w:val="right"/>
              <w:rPr>
                <w:lang w:val="en-GB"/>
              </w:rPr>
            </w:pPr>
            <w:r w:rsidRPr="00240B69">
              <w:rPr>
                <w:lang w:val="en-GB"/>
              </w:rPr>
              <w:t>+20.4</w:t>
            </w:r>
          </w:p>
        </w:tc>
        <w:tc>
          <w:tcPr>
            <w:tcW w:w="1620" w:type="dxa"/>
            <w:vAlign w:val="center"/>
          </w:tcPr>
          <w:p w14:paraId="6CD09FC4" w14:textId="77777777" w:rsidR="008B42DE" w:rsidRPr="00240B69" w:rsidRDefault="008B42DE" w:rsidP="00801239">
            <w:pPr>
              <w:pStyle w:val="ExhibitText"/>
              <w:jc w:val="right"/>
              <w:rPr>
                <w:lang w:val="en-GB"/>
              </w:rPr>
            </w:pPr>
            <w:r w:rsidRPr="00240B69">
              <w:rPr>
                <w:lang w:val="en-GB"/>
              </w:rPr>
              <w:t>+20.5</w:t>
            </w:r>
          </w:p>
        </w:tc>
      </w:tr>
      <w:tr w:rsidR="008B42DE" w:rsidRPr="00240B69" w14:paraId="41D5B807" w14:textId="77777777" w:rsidTr="00417830">
        <w:trPr>
          <w:jc w:val="center"/>
        </w:trPr>
        <w:tc>
          <w:tcPr>
            <w:tcW w:w="3235" w:type="dxa"/>
            <w:vAlign w:val="center"/>
          </w:tcPr>
          <w:p w14:paraId="551EF754" w14:textId="77777777" w:rsidR="008B42DE" w:rsidRPr="00240B69" w:rsidRDefault="008B42DE" w:rsidP="00801239">
            <w:pPr>
              <w:pStyle w:val="ExhibitText"/>
              <w:jc w:val="left"/>
              <w:rPr>
                <w:lang w:val="en-GB"/>
              </w:rPr>
            </w:pPr>
            <w:r w:rsidRPr="00240B69">
              <w:rPr>
                <w:lang w:val="en-GB"/>
              </w:rPr>
              <w:t>Australia</w:t>
            </w:r>
          </w:p>
        </w:tc>
        <w:tc>
          <w:tcPr>
            <w:tcW w:w="990" w:type="dxa"/>
            <w:vAlign w:val="center"/>
          </w:tcPr>
          <w:p w14:paraId="200325E3" w14:textId="77777777" w:rsidR="008B42DE" w:rsidRPr="00240B69" w:rsidRDefault="008B42DE" w:rsidP="00801239">
            <w:pPr>
              <w:pStyle w:val="ExhibitText"/>
              <w:jc w:val="right"/>
              <w:rPr>
                <w:lang w:val="en-GB"/>
              </w:rPr>
            </w:pPr>
            <w:r w:rsidRPr="00240B69">
              <w:rPr>
                <w:lang w:val="en-GB"/>
              </w:rPr>
              <w:t>976</w:t>
            </w:r>
          </w:p>
        </w:tc>
        <w:tc>
          <w:tcPr>
            <w:tcW w:w="1080" w:type="dxa"/>
            <w:vAlign w:val="center"/>
          </w:tcPr>
          <w:p w14:paraId="33D13D2C" w14:textId="77777777" w:rsidR="008B42DE" w:rsidRPr="00240B69" w:rsidRDefault="008B42DE" w:rsidP="00801239">
            <w:pPr>
              <w:pStyle w:val="ExhibitText"/>
              <w:jc w:val="right"/>
              <w:rPr>
                <w:lang w:val="en-GB"/>
              </w:rPr>
            </w:pPr>
            <w:r w:rsidRPr="00240B69">
              <w:rPr>
                <w:lang w:val="en-GB"/>
              </w:rPr>
              <w:t>1,021</w:t>
            </w:r>
          </w:p>
        </w:tc>
        <w:tc>
          <w:tcPr>
            <w:tcW w:w="990" w:type="dxa"/>
            <w:vAlign w:val="center"/>
          </w:tcPr>
          <w:p w14:paraId="7D24944D" w14:textId="77777777" w:rsidR="008B42DE" w:rsidRPr="00240B69" w:rsidRDefault="008B42DE" w:rsidP="00801239">
            <w:pPr>
              <w:pStyle w:val="ExhibitText"/>
              <w:jc w:val="right"/>
              <w:rPr>
                <w:lang w:val="en-GB"/>
              </w:rPr>
            </w:pPr>
            <w:r w:rsidRPr="00240B69">
              <w:rPr>
                <w:lang w:val="en-GB"/>
              </w:rPr>
              <w:t>6.7</w:t>
            </w:r>
          </w:p>
        </w:tc>
        <w:tc>
          <w:tcPr>
            <w:tcW w:w="1350" w:type="dxa"/>
            <w:vAlign w:val="center"/>
          </w:tcPr>
          <w:p w14:paraId="7F5A4D92" w14:textId="77777777" w:rsidR="008B42DE" w:rsidRPr="00240B69" w:rsidRDefault="008B42DE" w:rsidP="00801239">
            <w:pPr>
              <w:pStyle w:val="ExhibitText"/>
              <w:jc w:val="right"/>
              <w:rPr>
                <w:lang w:val="en-GB"/>
              </w:rPr>
            </w:pPr>
            <w:r w:rsidRPr="00240B69">
              <w:rPr>
                <w:lang w:val="en-GB"/>
              </w:rPr>
              <w:t>+4.6</w:t>
            </w:r>
          </w:p>
        </w:tc>
        <w:tc>
          <w:tcPr>
            <w:tcW w:w="1620" w:type="dxa"/>
            <w:vAlign w:val="center"/>
          </w:tcPr>
          <w:p w14:paraId="465EE721" w14:textId="77777777" w:rsidR="008B42DE" w:rsidRPr="00240B69" w:rsidRDefault="008B42DE" w:rsidP="00801239">
            <w:pPr>
              <w:pStyle w:val="ExhibitText"/>
              <w:jc w:val="right"/>
              <w:rPr>
                <w:lang w:val="en-GB"/>
              </w:rPr>
            </w:pPr>
            <w:r w:rsidRPr="00240B69">
              <w:rPr>
                <w:lang w:val="en-GB"/>
              </w:rPr>
              <w:t>+2.9</w:t>
            </w:r>
          </w:p>
        </w:tc>
      </w:tr>
      <w:tr w:rsidR="008B42DE" w:rsidRPr="00240B69" w14:paraId="3127B154" w14:textId="77777777" w:rsidTr="00417830">
        <w:trPr>
          <w:jc w:val="center"/>
        </w:trPr>
        <w:tc>
          <w:tcPr>
            <w:tcW w:w="3235" w:type="dxa"/>
            <w:vAlign w:val="center"/>
          </w:tcPr>
          <w:p w14:paraId="3F01B29E" w14:textId="77777777" w:rsidR="008B42DE" w:rsidRPr="00240B69" w:rsidRDefault="008B42DE" w:rsidP="00801239">
            <w:pPr>
              <w:pStyle w:val="ExhibitText"/>
              <w:jc w:val="left"/>
              <w:rPr>
                <w:lang w:val="en-GB"/>
              </w:rPr>
            </w:pPr>
            <w:r w:rsidRPr="00240B69">
              <w:rPr>
                <w:lang w:val="en-GB"/>
              </w:rPr>
              <w:t>Africa, the Middle East, and India</w:t>
            </w:r>
          </w:p>
        </w:tc>
        <w:tc>
          <w:tcPr>
            <w:tcW w:w="990" w:type="dxa"/>
            <w:vAlign w:val="center"/>
          </w:tcPr>
          <w:p w14:paraId="3F2E3B94" w14:textId="77777777" w:rsidR="008B42DE" w:rsidRPr="00240B69" w:rsidRDefault="008B42DE" w:rsidP="00801239">
            <w:pPr>
              <w:pStyle w:val="ExhibitText"/>
              <w:jc w:val="right"/>
              <w:rPr>
                <w:lang w:val="en-GB"/>
              </w:rPr>
            </w:pPr>
            <w:r w:rsidRPr="00240B69">
              <w:rPr>
                <w:lang w:val="en-GB"/>
              </w:rPr>
              <w:t>1,009</w:t>
            </w:r>
          </w:p>
        </w:tc>
        <w:tc>
          <w:tcPr>
            <w:tcW w:w="1080" w:type="dxa"/>
            <w:vAlign w:val="center"/>
          </w:tcPr>
          <w:p w14:paraId="6BB070FC" w14:textId="77777777" w:rsidR="008B42DE" w:rsidRPr="00240B69" w:rsidRDefault="008B42DE" w:rsidP="00801239">
            <w:pPr>
              <w:pStyle w:val="ExhibitText"/>
              <w:jc w:val="right"/>
              <w:rPr>
                <w:lang w:val="en-GB"/>
              </w:rPr>
            </w:pPr>
            <w:r w:rsidRPr="00240B69">
              <w:rPr>
                <w:lang w:val="en-GB"/>
              </w:rPr>
              <w:t>1,173</w:t>
            </w:r>
          </w:p>
        </w:tc>
        <w:tc>
          <w:tcPr>
            <w:tcW w:w="990" w:type="dxa"/>
            <w:vAlign w:val="center"/>
          </w:tcPr>
          <w:p w14:paraId="6AEB53AD" w14:textId="77777777" w:rsidR="008B42DE" w:rsidRPr="00240B69" w:rsidRDefault="008B42DE" w:rsidP="00801239">
            <w:pPr>
              <w:pStyle w:val="ExhibitText"/>
              <w:jc w:val="right"/>
              <w:rPr>
                <w:lang w:val="en-GB"/>
              </w:rPr>
            </w:pPr>
            <w:r w:rsidRPr="00240B69">
              <w:rPr>
                <w:lang w:val="en-GB"/>
              </w:rPr>
              <w:t>7.7</w:t>
            </w:r>
          </w:p>
        </w:tc>
        <w:tc>
          <w:tcPr>
            <w:tcW w:w="1350" w:type="dxa"/>
            <w:vAlign w:val="center"/>
          </w:tcPr>
          <w:p w14:paraId="60F615D9" w14:textId="77777777" w:rsidR="008B42DE" w:rsidRPr="00240B69" w:rsidRDefault="008B42DE" w:rsidP="00801239">
            <w:pPr>
              <w:pStyle w:val="ExhibitText"/>
              <w:jc w:val="right"/>
              <w:rPr>
                <w:lang w:val="en-GB"/>
              </w:rPr>
            </w:pPr>
            <w:r w:rsidRPr="00240B69">
              <w:rPr>
                <w:lang w:val="en-GB"/>
              </w:rPr>
              <w:t>+16.2</w:t>
            </w:r>
          </w:p>
        </w:tc>
        <w:tc>
          <w:tcPr>
            <w:tcW w:w="1620" w:type="dxa"/>
            <w:vAlign w:val="center"/>
          </w:tcPr>
          <w:p w14:paraId="5BB1055D" w14:textId="77777777" w:rsidR="008B42DE" w:rsidRPr="00240B69" w:rsidRDefault="008B42DE" w:rsidP="00801239">
            <w:pPr>
              <w:pStyle w:val="ExhibitText"/>
              <w:jc w:val="right"/>
              <w:rPr>
                <w:lang w:val="en-GB"/>
              </w:rPr>
            </w:pPr>
            <w:r w:rsidRPr="00240B69">
              <w:rPr>
                <w:lang w:val="en-GB"/>
              </w:rPr>
              <w:t>+13.1</w:t>
            </w:r>
          </w:p>
        </w:tc>
      </w:tr>
      <w:tr w:rsidR="008B42DE" w:rsidRPr="00240B69" w14:paraId="6274E83B" w14:textId="77777777" w:rsidTr="00417830">
        <w:trPr>
          <w:jc w:val="center"/>
        </w:trPr>
        <w:tc>
          <w:tcPr>
            <w:tcW w:w="3235" w:type="dxa"/>
            <w:vAlign w:val="center"/>
          </w:tcPr>
          <w:p w14:paraId="5ACAB69C" w14:textId="77777777" w:rsidR="008B42DE" w:rsidRPr="00240B69" w:rsidRDefault="008B42DE" w:rsidP="00801239">
            <w:pPr>
              <w:pStyle w:val="ExhibitText"/>
              <w:jc w:val="left"/>
              <w:rPr>
                <w:lang w:val="en-GB"/>
              </w:rPr>
            </w:pPr>
            <w:r w:rsidRPr="00240B69">
              <w:rPr>
                <w:b/>
                <w:lang w:val="en-GB"/>
              </w:rPr>
              <w:t xml:space="preserve">OTHER </w:t>
            </w:r>
            <w:r w:rsidRPr="00240B69">
              <w:rPr>
                <w:lang w:val="en-GB"/>
              </w:rPr>
              <w:t>(mainly Suez Consulting)</w:t>
            </w:r>
          </w:p>
        </w:tc>
        <w:tc>
          <w:tcPr>
            <w:tcW w:w="990" w:type="dxa"/>
            <w:vAlign w:val="center"/>
          </w:tcPr>
          <w:p w14:paraId="2DCC695F" w14:textId="77777777" w:rsidR="008B42DE" w:rsidRPr="00240B69" w:rsidRDefault="008B42DE" w:rsidP="00801239">
            <w:pPr>
              <w:pStyle w:val="ExhibitText"/>
              <w:jc w:val="right"/>
              <w:rPr>
                <w:lang w:val="en-GB"/>
              </w:rPr>
            </w:pPr>
            <w:r w:rsidRPr="00240B69">
              <w:rPr>
                <w:lang w:val="en-GB"/>
              </w:rPr>
              <w:t>103</w:t>
            </w:r>
          </w:p>
        </w:tc>
        <w:tc>
          <w:tcPr>
            <w:tcW w:w="1080" w:type="dxa"/>
            <w:vAlign w:val="center"/>
          </w:tcPr>
          <w:p w14:paraId="15F32E2B" w14:textId="77777777" w:rsidR="008B42DE" w:rsidRPr="00240B69" w:rsidRDefault="008B42DE" w:rsidP="00801239">
            <w:pPr>
              <w:pStyle w:val="ExhibitText"/>
              <w:jc w:val="right"/>
              <w:rPr>
                <w:lang w:val="en-GB"/>
              </w:rPr>
            </w:pPr>
            <w:r w:rsidRPr="00240B69">
              <w:rPr>
                <w:lang w:val="en-GB"/>
              </w:rPr>
              <w:t>100</w:t>
            </w:r>
          </w:p>
        </w:tc>
        <w:tc>
          <w:tcPr>
            <w:tcW w:w="990" w:type="dxa"/>
            <w:vAlign w:val="center"/>
          </w:tcPr>
          <w:p w14:paraId="2D3ED421" w14:textId="77777777" w:rsidR="008B42DE" w:rsidRPr="00240B69" w:rsidRDefault="008B42DE" w:rsidP="00801239">
            <w:pPr>
              <w:pStyle w:val="ExhibitText"/>
              <w:jc w:val="right"/>
              <w:rPr>
                <w:lang w:val="en-GB"/>
              </w:rPr>
            </w:pPr>
            <w:r w:rsidRPr="00240B69">
              <w:rPr>
                <w:lang w:val="en-GB"/>
              </w:rPr>
              <w:t>0.7</w:t>
            </w:r>
          </w:p>
        </w:tc>
        <w:tc>
          <w:tcPr>
            <w:tcW w:w="1350" w:type="dxa"/>
            <w:vAlign w:val="center"/>
          </w:tcPr>
          <w:p w14:paraId="5E5CCBC8" w14:textId="77777777" w:rsidR="008B42DE" w:rsidRPr="00240B69" w:rsidRDefault="008B42DE" w:rsidP="00801239">
            <w:pPr>
              <w:pStyle w:val="ExhibitText"/>
              <w:jc w:val="right"/>
              <w:rPr>
                <w:lang w:val="en-GB"/>
              </w:rPr>
            </w:pPr>
            <w:r w:rsidRPr="00240B69">
              <w:rPr>
                <w:lang w:val="en-GB"/>
              </w:rPr>
              <w:t>−2.9</w:t>
            </w:r>
          </w:p>
        </w:tc>
        <w:tc>
          <w:tcPr>
            <w:tcW w:w="1620" w:type="dxa"/>
            <w:vAlign w:val="center"/>
          </w:tcPr>
          <w:p w14:paraId="290290AC" w14:textId="77777777" w:rsidR="008B42DE" w:rsidRPr="00240B69" w:rsidRDefault="008B42DE" w:rsidP="00801239">
            <w:pPr>
              <w:pStyle w:val="ExhibitText"/>
              <w:jc w:val="right"/>
              <w:rPr>
                <w:lang w:val="en-GB"/>
              </w:rPr>
            </w:pPr>
            <w:r w:rsidRPr="00240B69">
              <w:rPr>
                <w:lang w:val="en-GB"/>
              </w:rPr>
              <w:t>−2.9</w:t>
            </w:r>
          </w:p>
        </w:tc>
      </w:tr>
      <w:tr w:rsidR="008B42DE" w:rsidRPr="00240B69" w14:paraId="4D948D85" w14:textId="77777777" w:rsidTr="00417830">
        <w:trPr>
          <w:jc w:val="center"/>
        </w:trPr>
        <w:tc>
          <w:tcPr>
            <w:tcW w:w="3235" w:type="dxa"/>
            <w:vAlign w:val="center"/>
          </w:tcPr>
          <w:p w14:paraId="39FDFFCB" w14:textId="77777777" w:rsidR="008B42DE" w:rsidRPr="00240B69" w:rsidRDefault="008B42DE" w:rsidP="00801239">
            <w:pPr>
              <w:pStyle w:val="ExhibitText"/>
              <w:jc w:val="left"/>
              <w:rPr>
                <w:b/>
                <w:lang w:val="en-GB"/>
              </w:rPr>
            </w:pPr>
            <w:r w:rsidRPr="00240B69">
              <w:rPr>
                <w:b/>
                <w:lang w:val="en-GB"/>
              </w:rPr>
              <w:t>TOTAL</w:t>
            </w:r>
          </w:p>
        </w:tc>
        <w:tc>
          <w:tcPr>
            <w:tcW w:w="990" w:type="dxa"/>
            <w:vAlign w:val="center"/>
          </w:tcPr>
          <w:p w14:paraId="604AD8D9" w14:textId="77777777" w:rsidR="008B42DE" w:rsidRPr="00240B69" w:rsidRDefault="008B42DE" w:rsidP="00801239">
            <w:pPr>
              <w:pStyle w:val="ExhibitText"/>
              <w:jc w:val="right"/>
              <w:rPr>
                <w:lang w:val="en-GB"/>
              </w:rPr>
            </w:pPr>
            <w:r w:rsidRPr="00240B69">
              <w:rPr>
                <w:lang w:val="en-GB"/>
              </w:rPr>
              <w:t>15,135</w:t>
            </w:r>
          </w:p>
        </w:tc>
        <w:tc>
          <w:tcPr>
            <w:tcW w:w="1080" w:type="dxa"/>
            <w:vAlign w:val="center"/>
          </w:tcPr>
          <w:p w14:paraId="326DEF53" w14:textId="77777777" w:rsidR="008B42DE" w:rsidRPr="00240B69" w:rsidRDefault="008B42DE" w:rsidP="00801239">
            <w:pPr>
              <w:pStyle w:val="ExhibitText"/>
              <w:jc w:val="right"/>
              <w:rPr>
                <w:lang w:val="en-GB"/>
              </w:rPr>
            </w:pPr>
            <w:r w:rsidRPr="00240B69">
              <w:rPr>
                <w:lang w:val="en-GB"/>
              </w:rPr>
              <w:t>15,322</w:t>
            </w:r>
          </w:p>
        </w:tc>
        <w:tc>
          <w:tcPr>
            <w:tcW w:w="990" w:type="dxa"/>
            <w:vAlign w:val="center"/>
          </w:tcPr>
          <w:p w14:paraId="3E830B9C" w14:textId="64D6F34F" w:rsidR="008B42DE" w:rsidRPr="00240B69" w:rsidRDefault="008B42DE" w:rsidP="00801239">
            <w:pPr>
              <w:pStyle w:val="ExhibitText"/>
              <w:jc w:val="right"/>
              <w:rPr>
                <w:lang w:val="en-GB"/>
              </w:rPr>
            </w:pPr>
            <w:r w:rsidRPr="00240B69">
              <w:rPr>
                <w:lang w:val="en-GB"/>
              </w:rPr>
              <w:t>100.0</w:t>
            </w:r>
          </w:p>
        </w:tc>
        <w:tc>
          <w:tcPr>
            <w:tcW w:w="1350" w:type="dxa"/>
            <w:vAlign w:val="center"/>
          </w:tcPr>
          <w:p w14:paraId="44612BF3" w14:textId="77777777" w:rsidR="008B42DE" w:rsidRPr="00240B69" w:rsidRDefault="008B42DE" w:rsidP="00801239">
            <w:pPr>
              <w:pStyle w:val="ExhibitText"/>
              <w:jc w:val="right"/>
              <w:rPr>
                <w:lang w:val="en-GB"/>
              </w:rPr>
            </w:pPr>
            <w:r w:rsidRPr="00240B69">
              <w:rPr>
                <w:lang w:val="en-GB"/>
              </w:rPr>
              <w:t>+1.2</w:t>
            </w:r>
          </w:p>
        </w:tc>
        <w:tc>
          <w:tcPr>
            <w:tcW w:w="1620" w:type="dxa"/>
            <w:vAlign w:val="center"/>
          </w:tcPr>
          <w:p w14:paraId="5EDFDFAB" w14:textId="77777777" w:rsidR="008B42DE" w:rsidRPr="00240B69" w:rsidRDefault="008B42DE" w:rsidP="00801239">
            <w:pPr>
              <w:pStyle w:val="ExhibitText"/>
              <w:jc w:val="right"/>
              <w:rPr>
                <w:lang w:val="en-GB"/>
              </w:rPr>
            </w:pPr>
            <w:r w:rsidRPr="00240B69">
              <w:rPr>
                <w:lang w:val="en-GB"/>
              </w:rPr>
              <w:t>+1.1</w:t>
            </w:r>
          </w:p>
        </w:tc>
      </w:tr>
    </w:tbl>
    <w:p w14:paraId="5705FE75" w14:textId="77777777" w:rsidR="008B42DE" w:rsidRPr="00240B69" w:rsidRDefault="008B42DE" w:rsidP="00417830">
      <w:pPr>
        <w:pStyle w:val="ExhibitText"/>
        <w:rPr>
          <w:lang w:val="en-GB"/>
        </w:rPr>
      </w:pPr>
    </w:p>
    <w:p w14:paraId="21140F13" w14:textId="710E4A67" w:rsidR="008B42DE" w:rsidRPr="00240B69" w:rsidRDefault="008B42DE" w:rsidP="00417830">
      <w:pPr>
        <w:pStyle w:val="ExhibitText"/>
        <w:rPr>
          <w:b/>
          <w:lang w:val="en-GB"/>
        </w:rPr>
      </w:pPr>
    </w:p>
    <w:p w14:paraId="1992FE68" w14:textId="2BDD858B" w:rsidR="008B42DE" w:rsidRPr="00240B69" w:rsidRDefault="008B42DE" w:rsidP="00AD1ABE">
      <w:pPr>
        <w:pStyle w:val="Casehead2"/>
        <w:rPr>
          <w:lang w:val="en-GB"/>
        </w:rPr>
      </w:pPr>
      <w:r w:rsidRPr="00240B69">
        <w:rPr>
          <w:lang w:val="en-GB"/>
        </w:rPr>
        <w:t>Revenue by Geographies</w:t>
      </w:r>
      <w:r w:rsidR="00305468">
        <w:rPr>
          <w:lang w:val="en-GB"/>
        </w:rPr>
        <w:t xml:space="preserve"> (in EUR millions)</w:t>
      </w:r>
    </w:p>
    <w:p w14:paraId="37369F98" w14:textId="77777777" w:rsidR="008B42DE" w:rsidRPr="00240B69" w:rsidRDefault="008B42DE" w:rsidP="00417830">
      <w:pPr>
        <w:pStyle w:val="ExhibitText"/>
        <w:rPr>
          <w:lang w:val="en-GB"/>
        </w:rPr>
      </w:pPr>
    </w:p>
    <w:tbl>
      <w:tblPr>
        <w:tblStyle w:val="TableGrid1"/>
        <w:tblW w:w="8784" w:type="dxa"/>
        <w:jc w:val="center"/>
        <w:tblLook w:val="04A0" w:firstRow="1" w:lastRow="0" w:firstColumn="1" w:lastColumn="0" w:noHBand="0" w:noVBand="1"/>
      </w:tblPr>
      <w:tblGrid>
        <w:gridCol w:w="3681"/>
        <w:gridCol w:w="992"/>
        <w:gridCol w:w="1134"/>
        <w:gridCol w:w="1559"/>
        <w:gridCol w:w="1418"/>
      </w:tblGrid>
      <w:tr w:rsidR="008B42DE" w:rsidRPr="00240B69" w14:paraId="3982475D" w14:textId="77777777" w:rsidTr="00144778">
        <w:trPr>
          <w:jc w:val="center"/>
        </w:trPr>
        <w:tc>
          <w:tcPr>
            <w:tcW w:w="3681" w:type="dxa"/>
            <w:vAlign w:val="center"/>
          </w:tcPr>
          <w:p w14:paraId="45954C75" w14:textId="2B7C6C9C" w:rsidR="008B42DE" w:rsidRPr="00240B69" w:rsidRDefault="008B42DE" w:rsidP="00801239">
            <w:pPr>
              <w:pStyle w:val="ExhibitText"/>
              <w:jc w:val="left"/>
              <w:rPr>
                <w:b/>
                <w:lang w:val="en-GB"/>
              </w:rPr>
            </w:pPr>
          </w:p>
        </w:tc>
        <w:tc>
          <w:tcPr>
            <w:tcW w:w="992" w:type="dxa"/>
            <w:vAlign w:val="center"/>
          </w:tcPr>
          <w:p w14:paraId="0BA2EDDD" w14:textId="77777777" w:rsidR="008B42DE" w:rsidRPr="00240B69" w:rsidRDefault="008B42DE" w:rsidP="00801239">
            <w:pPr>
              <w:pStyle w:val="ExhibitText"/>
              <w:jc w:val="center"/>
              <w:rPr>
                <w:b/>
                <w:lang w:val="en-GB"/>
              </w:rPr>
            </w:pPr>
            <w:r w:rsidRPr="00240B69">
              <w:rPr>
                <w:b/>
                <w:lang w:val="en-GB"/>
              </w:rPr>
              <w:t>FY 2015</w:t>
            </w:r>
          </w:p>
        </w:tc>
        <w:tc>
          <w:tcPr>
            <w:tcW w:w="1134" w:type="dxa"/>
            <w:vAlign w:val="center"/>
          </w:tcPr>
          <w:p w14:paraId="048BE419" w14:textId="77777777" w:rsidR="008B42DE" w:rsidRPr="00240B69" w:rsidRDefault="008B42DE" w:rsidP="00801239">
            <w:pPr>
              <w:pStyle w:val="ExhibitText"/>
              <w:jc w:val="center"/>
              <w:rPr>
                <w:b/>
                <w:lang w:val="en-GB"/>
              </w:rPr>
            </w:pPr>
            <w:r w:rsidRPr="00240B69">
              <w:rPr>
                <w:b/>
                <w:lang w:val="en-GB"/>
              </w:rPr>
              <w:t>FY 2016</w:t>
            </w:r>
          </w:p>
        </w:tc>
        <w:tc>
          <w:tcPr>
            <w:tcW w:w="1559" w:type="dxa"/>
            <w:vAlign w:val="center"/>
          </w:tcPr>
          <w:p w14:paraId="05BA3807" w14:textId="77777777" w:rsidR="008B42DE" w:rsidRPr="00240B69" w:rsidRDefault="008B42DE" w:rsidP="00801239">
            <w:pPr>
              <w:pStyle w:val="ExhibitText"/>
              <w:jc w:val="center"/>
              <w:rPr>
                <w:b/>
                <w:lang w:val="en-GB"/>
              </w:rPr>
            </w:pPr>
            <w:r w:rsidRPr="00240B69">
              <w:rPr>
                <w:b/>
                <w:lang w:val="en-GB"/>
              </w:rPr>
              <w:t>% in FY 2016</w:t>
            </w:r>
          </w:p>
        </w:tc>
        <w:tc>
          <w:tcPr>
            <w:tcW w:w="1418" w:type="dxa"/>
            <w:vAlign w:val="center"/>
          </w:tcPr>
          <w:p w14:paraId="540406B6" w14:textId="77777777" w:rsidR="008B42DE" w:rsidRPr="00240B69" w:rsidRDefault="008B42DE" w:rsidP="00801239">
            <w:pPr>
              <w:pStyle w:val="ExhibitText"/>
              <w:jc w:val="center"/>
              <w:rPr>
                <w:b/>
                <w:lang w:val="en-GB"/>
              </w:rPr>
            </w:pPr>
            <w:r w:rsidRPr="00240B69">
              <w:rPr>
                <w:b/>
                <w:lang w:val="en-GB"/>
              </w:rPr>
              <w:t>16/15 Δ (%)</w:t>
            </w:r>
          </w:p>
        </w:tc>
      </w:tr>
      <w:tr w:rsidR="008B42DE" w:rsidRPr="00240B69" w14:paraId="160AA7BB" w14:textId="77777777" w:rsidTr="00144778">
        <w:trPr>
          <w:jc w:val="center"/>
        </w:trPr>
        <w:tc>
          <w:tcPr>
            <w:tcW w:w="3681" w:type="dxa"/>
            <w:vAlign w:val="center"/>
          </w:tcPr>
          <w:p w14:paraId="55F88D0E" w14:textId="77777777" w:rsidR="008B42DE" w:rsidRPr="00240B69" w:rsidRDefault="008B42DE" w:rsidP="00801239">
            <w:pPr>
              <w:pStyle w:val="ExhibitText"/>
              <w:jc w:val="left"/>
              <w:rPr>
                <w:b/>
                <w:lang w:val="en-GB"/>
              </w:rPr>
            </w:pPr>
            <w:r w:rsidRPr="00240B69">
              <w:rPr>
                <w:b/>
                <w:lang w:val="en-GB"/>
              </w:rPr>
              <w:t>FRANCE</w:t>
            </w:r>
          </w:p>
        </w:tc>
        <w:tc>
          <w:tcPr>
            <w:tcW w:w="992" w:type="dxa"/>
            <w:vAlign w:val="center"/>
          </w:tcPr>
          <w:p w14:paraId="3B483CDC" w14:textId="77777777" w:rsidR="008B42DE" w:rsidRPr="00240B69" w:rsidRDefault="008B42DE" w:rsidP="00801239">
            <w:pPr>
              <w:pStyle w:val="ExhibitText"/>
              <w:jc w:val="right"/>
              <w:rPr>
                <w:b/>
                <w:lang w:val="en-GB"/>
              </w:rPr>
            </w:pPr>
            <w:r w:rsidRPr="00240B69">
              <w:rPr>
                <w:b/>
                <w:lang w:val="en-GB"/>
              </w:rPr>
              <w:t>5,119</w:t>
            </w:r>
          </w:p>
        </w:tc>
        <w:tc>
          <w:tcPr>
            <w:tcW w:w="1134" w:type="dxa"/>
            <w:vAlign w:val="center"/>
          </w:tcPr>
          <w:p w14:paraId="5D53978A" w14:textId="77777777" w:rsidR="008B42DE" w:rsidRPr="00240B69" w:rsidRDefault="008B42DE" w:rsidP="00801239">
            <w:pPr>
              <w:pStyle w:val="ExhibitText"/>
              <w:jc w:val="right"/>
              <w:rPr>
                <w:b/>
                <w:lang w:val="en-GB"/>
              </w:rPr>
            </w:pPr>
            <w:r w:rsidRPr="00240B69">
              <w:rPr>
                <w:b/>
                <w:lang w:val="en-GB"/>
              </w:rPr>
              <w:t>5,023</w:t>
            </w:r>
          </w:p>
        </w:tc>
        <w:tc>
          <w:tcPr>
            <w:tcW w:w="1559" w:type="dxa"/>
            <w:vAlign w:val="center"/>
          </w:tcPr>
          <w:p w14:paraId="6AE97E3E" w14:textId="77777777" w:rsidR="008B42DE" w:rsidRPr="00240B69" w:rsidRDefault="008B42DE" w:rsidP="00801239">
            <w:pPr>
              <w:pStyle w:val="ExhibitText"/>
              <w:jc w:val="right"/>
              <w:rPr>
                <w:b/>
                <w:lang w:val="en-GB"/>
              </w:rPr>
            </w:pPr>
            <w:r w:rsidRPr="00240B69">
              <w:rPr>
                <w:b/>
                <w:lang w:val="en-GB"/>
              </w:rPr>
              <w:t xml:space="preserve">32.8 </w:t>
            </w:r>
          </w:p>
        </w:tc>
        <w:tc>
          <w:tcPr>
            <w:tcW w:w="1418" w:type="dxa"/>
            <w:vAlign w:val="center"/>
          </w:tcPr>
          <w:p w14:paraId="1A9D0D0F" w14:textId="77777777" w:rsidR="008B42DE" w:rsidRPr="00240B69" w:rsidRDefault="008B42DE" w:rsidP="00801239">
            <w:pPr>
              <w:pStyle w:val="ExhibitText"/>
              <w:jc w:val="right"/>
              <w:rPr>
                <w:b/>
                <w:lang w:val="en-GB"/>
              </w:rPr>
            </w:pPr>
            <w:r w:rsidRPr="00240B69">
              <w:rPr>
                <w:b/>
                <w:lang w:val="en-GB"/>
              </w:rPr>
              <w:t>−1.9</w:t>
            </w:r>
          </w:p>
        </w:tc>
      </w:tr>
      <w:tr w:rsidR="008B42DE" w:rsidRPr="00240B69" w14:paraId="402559BE" w14:textId="77777777" w:rsidTr="00144778">
        <w:trPr>
          <w:jc w:val="center"/>
        </w:trPr>
        <w:tc>
          <w:tcPr>
            <w:tcW w:w="3681" w:type="dxa"/>
            <w:vAlign w:val="center"/>
          </w:tcPr>
          <w:p w14:paraId="31D17C03" w14:textId="77777777" w:rsidR="008B42DE" w:rsidRPr="00240B69" w:rsidRDefault="008B42DE" w:rsidP="00801239">
            <w:pPr>
              <w:pStyle w:val="ExhibitText"/>
              <w:jc w:val="left"/>
              <w:rPr>
                <w:lang w:val="en-GB"/>
              </w:rPr>
            </w:pPr>
            <w:r w:rsidRPr="00240B69">
              <w:rPr>
                <w:lang w:val="en-GB"/>
              </w:rPr>
              <w:t>Spain</w:t>
            </w:r>
          </w:p>
        </w:tc>
        <w:tc>
          <w:tcPr>
            <w:tcW w:w="992" w:type="dxa"/>
            <w:vAlign w:val="center"/>
          </w:tcPr>
          <w:p w14:paraId="4C8F5914" w14:textId="77777777" w:rsidR="008B42DE" w:rsidRPr="00240B69" w:rsidRDefault="008B42DE" w:rsidP="00801239">
            <w:pPr>
              <w:pStyle w:val="ExhibitText"/>
              <w:jc w:val="right"/>
              <w:rPr>
                <w:lang w:val="en-GB"/>
              </w:rPr>
            </w:pPr>
            <w:r w:rsidRPr="00240B69">
              <w:rPr>
                <w:lang w:val="en-GB"/>
              </w:rPr>
              <w:t>1,769</w:t>
            </w:r>
          </w:p>
        </w:tc>
        <w:tc>
          <w:tcPr>
            <w:tcW w:w="1134" w:type="dxa"/>
            <w:vAlign w:val="center"/>
          </w:tcPr>
          <w:p w14:paraId="325933E0" w14:textId="77777777" w:rsidR="008B42DE" w:rsidRPr="00240B69" w:rsidRDefault="008B42DE" w:rsidP="00801239">
            <w:pPr>
              <w:pStyle w:val="ExhibitText"/>
              <w:jc w:val="right"/>
              <w:rPr>
                <w:lang w:val="en-GB"/>
              </w:rPr>
            </w:pPr>
            <w:r w:rsidRPr="00240B69">
              <w:rPr>
                <w:lang w:val="en-GB"/>
              </w:rPr>
              <w:t>1,753</w:t>
            </w:r>
          </w:p>
        </w:tc>
        <w:tc>
          <w:tcPr>
            <w:tcW w:w="1559" w:type="dxa"/>
            <w:vAlign w:val="center"/>
          </w:tcPr>
          <w:p w14:paraId="2327E986" w14:textId="77777777" w:rsidR="008B42DE" w:rsidRPr="00240B69" w:rsidRDefault="008B42DE" w:rsidP="00801239">
            <w:pPr>
              <w:pStyle w:val="ExhibitText"/>
              <w:jc w:val="right"/>
              <w:rPr>
                <w:lang w:val="en-GB"/>
              </w:rPr>
            </w:pPr>
            <w:r w:rsidRPr="00240B69">
              <w:rPr>
                <w:lang w:val="en-GB"/>
              </w:rPr>
              <w:t xml:space="preserve">11.4 </w:t>
            </w:r>
          </w:p>
        </w:tc>
        <w:tc>
          <w:tcPr>
            <w:tcW w:w="1418" w:type="dxa"/>
            <w:vAlign w:val="center"/>
          </w:tcPr>
          <w:p w14:paraId="4D3688A7" w14:textId="77777777" w:rsidR="008B42DE" w:rsidRPr="00240B69" w:rsidRDefault="008B42DE" w:rsidP="00801239">
            <w:pPr>
              <w:pStyle w:val="ExhibitText"/>
              <w:jc w:val="right"/>
              <w:rPr>
                <w:lang w:val="en-GB"/>
              </w:rPr>
            </w:pPr>
            <w:r w:rsidRPr="00240B69">
              <w:rPr>
                <w:lang w:val="en-GB"/>
              </w:rPr>
              <w:t>−0.9</w:t>
            </w:r>
          </w:p>
        </w:tc>
      </w:tr>
      <w:tr w:rsidR="008B42DE" w:rsidRPr="00240B69" w14:paraId="04221AB7" w14:textId="77777777" w:rsidTr="00144778">
        <w:trPr>
          <w:jc w:val="center"/>
        </w:trPr>
        <w:tc>
          <w:tcPr>
            <w:tcW w:w="3681" w:type="dxa"/>
            <w:vAlign w:val="center"/>
          </w:tcPr>
          <w:p w14:paraId="73F09727" w14:textId="77777777" w:rsidR="008B42DE" w:rsidRPr="00240B69" w:rsidRDefault="008B42DE" w:rsidP="00801239">
            <w:pPr>
              <w:pStyle w:val="ExhibitText"/>
              <w:jc w:val="left"/>
              <w:rPr>
                <w:lang w:val="en-GB"/>
              </w:rPr>
            </w:pPr>
            <w:r w:rsidRPr="00240B69">
              <w:rPr>
                <w:lang w:val="en-GB"/>
              </w:rPr>
              <w:t>United Kingdom</w:t>
            </w:r>
          </w:p>
        </w:tc>
        <w:tc>
          <w:tcPr>
            <w:tcW w:w="992" w:type="dxa"/>
            <w:vAlign w:val="center"/>
          </w:tcPr>
          <w:p w14:paraId="6FE397CB" w14:textId="77777777" w:rsidR="008B42DE" w:rsidRPr="00240B69" w:rsidRDefault="008B42DE" w:rsidP="00801239">
            <w:pPr>
              <w:pStyle w:val="ExhibitText"/>
              <w:jc w:val="right"/>
              <w:rPr>
                <w:lang w:val="en-GB"/>
              </w:rPr>
            </w:pPr>
            <w:r w:rsidRPr="00240B69">
              <w:rPr>
                <w:lang w:val="en-GB"/>
              </w:rPr>
              <w:t>1,133</w:t>
            </w:r>
          </w:p>
        </w:tc>
        <w:tc>
          <w:tcPr>
            <w:tcW w:w="1134" w:type="dxa"/>
            <w:vAlign w:val="center"/>
          </w:tcPr>
          <w:p w14:paraId="094344DB" w14:textId="77777777" w:rsidR="008B42DE" w:rsidRPr="00240B69" w:rsidRDefault="008B42DE" w:rsidP="00801239">
            <w:pPr>
              <w:pStyle w:val="ExhibitText"/>
              <w:jc w:val="right"/>
              <w:rPr>
                <w:lang w:val="en-GB"/>
              </w:rPr>
            </w:pPr>
            <w:r w:rsidRPr="00240B69">
              <w:rPr>
                <w:lang w:val="en-GB"/>
              </w:rPr>
              <w:t>1,071</w:t>
            </w:r>
          </w:p>
        </w:tc>
        <w:tc>
          <w:tcPr>
            <w:tcW w:w="1559" w:type="dxa"/>
            <w:vAlign w:val="center"/>
          </w:tcPr>
          <w:p w14:paraId="74B52DA4" w14:textId="77777777" w:rsidR="008B42DE" w:rsidRPr="00240B69" w:rsidRDefault="008B42DE" w:rsidP="00801239">
            <w:pPr>
              <w:pStyle w:val="ExhibitText"/>
              <w:jc w:val="right"/>
              <w:rPr>
                <w:lang w:val="en-GB"/>
              </w:rPr>
            </w:pPr>
            <w:r w:rsidRPr="00240B69">
              <w:rPr>
                <w:lang w:val="en-GB"/>
              </w:rPr>
              <w:t xml:space="preserve">7.0 </w:t>
            </w:r>
          </w:p>
        </w:tc>
        <w:tc>
          <w:tcPr>
            <w:tcW w:w="1418" w:type="dxa"/>
            <w:vAlign w:val="center"/>
          </w:tcPr>
          <w:p w14:paraId="65A4F399" w14:textId="77777777" w:rsidR="008B42DE" w:rsidRPr="00240B69" w:rsidRDefault="008B42DE" w:rsidP="00801239">
            <w:pPr>
              <w:pStyle w:val="ExhibitText"/>
              <w:jc w:val="right"/>
              <w:rPr>
                <w:lang w:val="en-GB"/>
              </w:rPr>
            </w:pPr>
            <w:r w:rsidRPr="00240B69">
              <w:rPr>
                <w:lang w:val="en-GB"/>
              </w:rPr>
              <w:t>−5.4</w:t>
            </w:r>
          </w:p>
        </w:tc>
      </w:tr>
      <w:tr w:rsidR="008B42DE" w:rsidRPr="00240B69" w14:paraId="26454A20" w14:textId="77777777" w:rsidTr="00144778">
        <w:trPr>
          <w:jc w:val="center"/>
        </w:trPr>
        <w:tc>
          <w:tcPr>
            <w:tcW w:w="3681" w:type="dxa"/>
            <w:vAlign w:val="center"/>
          </w:tcPr>
          <w:p w14:paraId="2B6781B3" w14:textId="77777777" w:rsidR="008B42DE" w:rsidRPr="00240B69" w:rsidRDefault="008B42DE" w:rsidP="00801239">
            <w:pPr>
              <w:pStyle w:val="ExhibitText"/>
              <w:jc w:val="left"/>
              <w:rPr>
                <w:lang w:val="en-GB"/>
              </w:rPr>
            </w:pPr>
            <w:r w:rsidRPr="00240B69">
              <w:rPr>
                <w:lang w:val="en-GB"/>
              </w:rPr>
              <w:t>Other (Europe)</w:t>
            </w:r>
          </w:p>
        </w:tc>
        <w:tc>
          <w:tcPr>
            <w:tcW w:w="992" w:type="dxa"/>
            <w:vAlign w:val="center"/>
          </w:tcPr>
          <w:p w14:paraId="3CE771BD" w14:textId="77777777" w:rsidR="008B42DE" w:rsidRPr="00240B69" w:rsidRDefault="008B42DE" w:rsidP="00801239">
            <w:pPr>
              <w:pStyle w:val="ExhibitText"/>
              <w:jc w:val="right"/>
              <w:rPr>
                <w:lang w:val="en-GB"/>
              </w:rPr>
            </w:pPr>
            <w:r w:rsidRPr="00240B69">
              <w:rPr>
                <w:lang w:val="en-GB"/>
              </w:rPr>
              <w:t>2,449</w:t>
            </w:r>
          </w:p>
        </w:tc>
        <w:tc>
          <w:tcPr>
            <w:tcW w:w="1134" w:type="dxa"/>
            <w:vAlign w:val="center"/>
          </w:tcPr>
          <w:p w14:paraId="160344F7" w14:textId="77777777" w:rsidR="008B42DE" w:rsidRPr="00240B69" w:rsidRDefault="008B42DE" w:rsidP="00801239">
            <w:pPr>
              <w:pStyle w:val="ExhibitText"/>
              <w:jc w:val="right"/>
              <w:rPr>
                <w:lang w:val="en-GB"/>
              </w:rPr>
            </w:pPr>
            <w:r w:rsidRPr="00240B69">
              <w:rPr>
                <w:lang w:val="en-GB"/>
              </w:rPr>
              <w:t>2,488</w:t>
            </w:r>
          </w:p>
        </w:tc>
        <w:tc>
          <w:tcPr>
            <w:tcW w:w="1559" w:type="dxa"/>
            <w:vAlign w:val="center"/>
          </w:tcPr>
          <w:p w14:paraId="16798163" w14:textId="77777777" w:rsidR="008B42DE" w:rsidRPr="00240B69" w:rsidRDefault="008B42DE" w:rsidP="00801239">
            <w:pPr>
              <w:pStyle w:val="ExhibitText"/>
              <w:jc w:val="right"/>
              <w:rPr>
                <w:lang w:val="en-GB"/>
              </w:rPr>
            </w:pPr>
            <w:r w:rsidRPr="00240B69">
              <w:rPr>
                <w:lang w:val="en-GB"/>
              </w:rPr>
              <w:t xml:space="preserve">16.2 </w:t>
            </w:r>
          </w:p>
        </w:tc>
        <w:tc>
          <w:tcPr>
            <w:tcW w:w="1418" w:type="dxa"/>
            <w:vAlign w:val="center"/>
          </w:tcPr>
          <w:p w14:paraId="4E657BA5" w14:textId="77777777" w:rsidR="008B42DE" w:rsidRPr="00240B69" w:rsidRDefault="008B42DE" w:rsidP="00801239">
            <w:pPr>
              <w:pStyle w:val="ExhibitText"/>
              <w:jc w:val="right"/>
              <w:rPr>
                <w:lang w:val="en-GB"/>
              </w:rPr>
            </w:pPr>
            <w:r w:rsidRPr="00240B69">
              <w:rPr>
                <w:lang w:val="en-GB"/>
              </w:rPr>
              <w:t>+1.6</w:t>
            </w:r>
          </w:p>
        </w:tc>
      </w:tr>
      <w:tr w:rsidR="008B42DE" w:rsidRPr="00240B69" w14:paraId="3B3F70B2" w14:textId="77777777" w:rsidTr="00144778">
        <w:trPr>
          <w:jc w:val="center"/>
        </w:trPr>
        <w:tc>
          <w:tcPr>
            <w:tcW w:w="3681" w:type="dxa"/>
            <w:vAlign w:val="center"/>
          </w:tcPr>
          <w:p w14:paraId="4B3977A7" w14:textId="77777777" w:rsidR="008B42DE" w:rsidRPr="00240B69" w:rsidRDefault="008B42DE" w:rsidP="00801239">
            <w:pPr>
              <w:pStyle w:val="ExhibitText"/>
              <w:jc w:val="left"/>
              <w:rPr>
                <w:b/>
                <w:lang w:val="en-GB"/>
              </w:rPr>
            </w:pPr>
            <w:r w:rsidRPr="00240B69">
              <w:rPr>
                <w:b/>
                <w:lang w:val="en-GB"/>
              </w:rPr>
              <w:t xml:space="preserve">EUROPE </w:t>
            </w:r>
            <w:r w:rsidRPr="00240B69">
              <w:rPr>
                <w:lang w:val="en-GB"/>
              </w:rPr>
              <w:t>(excluding France)</w:t>
            </w:r>
          </w:p>
        </w:tc>
        <w:tc>
          <w:tcPr>
            <w:tcW w:w="992" w:type="dxa"/>
            <w:vAlign w:val="center"/>
          </w:tcPr>
          <w:p w14:paraId="76B02D30" w14:textId="77777777" w:rsidR="008B42DE" w:rsidRPr="00240B69" w:rsidRDefault="008B42DE" w:rsidP="00801239">
            <w:pPr>
              <w:pStyle w:val="ExhibitText"/>
              <w:jc w:val="right"/>
              <w:rPr>
                <w:b/>
                <w:lang w:val="en-GB"/>
              </w:rPr>
            </w:pPr>
            <w:r w:rsidRPr="00240B69">
              <w:rPr>
                <w:b/>
                <w:lang w:val="en-GB"/>
              </w:rPr>
              <w:t>5,351</w:t>
            </w:r>
          </w:p>
        </w:tc>
        <w:tc>
          <w:tcPr>
            <w:tcW w:w="1134" w:type="dxa"/>
            <w:vAlign w:val="center"/>
          </w:tcPr>
          <w:p w14:paraId="5FC27D60" w14:textId="77777777" w:rsidR="008B42DE" w:rsidRPr="00240B69" w:rsidRDefault="008B42DE" w:rsidP="00801239">
            <w:pPr>
              <w:pStyle w:val="ExhibitText"/>
              <w:jc w:val="right"/>
              <w:rPr>
                <w:b/>
                <w:lang w:val="en-GB"/>
              </w:rPr>
            </w:pPr>
            <w:r w:rsidRPr="00240B69">
              <w:rPr>
                <w:b/>
                <w:lang w:val="en-GB"/>
              </w:rPr>
              <w:t>5,312</w:t>
            </w:r>
          </w:p>
        </w:tc>
        <w:tc>
          <w:tcPr>
            <w:tcW w:w="1559" w:type="dxa"/>
            <w:vAlign w:val="center"/>
          </w:tcPr>
          <w:p w14:paraId="4350BE4A" w14:textId="5FF16DAB" w:rsidR="008B42DE" w:rsidRPr="00240B69" w:rsidRDefault="00305468" w:rsidP="00801239">
            <w:pPr>
              <w:pStyle w:val="ExhibitText"/>
              <w:jc w:val="right"/>
              <w:rPr>
                <w:b/>
                <w:lang w:val="en-GB"/>
              </w:rPr>
            </w:pPr>
            <w:r>
              <w:rPr>
                <w:b/>
                <w:lang w:val="en-GB"/>
              </w:rPr>
              <w:t>34.7</w:t>
            </w:r>
            <w:r w:rsidR="008B42DE" w:rsidRPr="00240B69">
              <w:rPr>
                <w:b/>
                <w:lang w:val="en-GB"/>
              </w:rPr>
              <w:t xml:space="preserve"> </w:t>
            </w:r>
          </w:p>
        </w:tc>
        <w:tc>
          <w:tcPr>
            <w:tcW w:w="1418" w:type="dxa"/>
            <w:vAlign w:val="center"/>
          </w:tcPr>
          <w:p w14:paraId="0BA104BD" w14:textId="77777777" w:rsidR="008B42DE" w:rsidRPr="00240B69" w:rsidRDefault="008B42DE" w:rsidP="00801239">
            <w:pPr>
              <w:pStyle w:val="ExhibitText"/>
              <w:jc w:val="right"/>
              <w:rPr>
                <w:b/>
                <w:lang w:val="en-GB"/>
              </w:rPr>
            </w:pPr>
            <w:r w:rsidRPr="00240B69">
              <w:rPr>
                <w:b/>
                <w:lang w:val="en-GB"/>
              </w:rPr>
              <w:t>−0.7</w:t>
            </w:r>
          </w:p>
        </w:tc>
      </w:tr>
      <w:tr w:rsidR="008B42DE" w:rsidRPr="00240B69" w14:paraId="4C3AD234" w14:textId="77777777" w:rsidTr="00144778">
        <w:trPr>
          <w:jc w:val="center"/>
        </w:trPr>
        <w:tc>
          <w:tcPr>
            <w:tcW w:w="3681" w:type="dxa"/>
            <w:vAlign w:val="center"/>
          </w:tcPr>
          <w:p w14:paraId="0BD332AF" w14:textId="77777777" w:rsidR="008B42DE" w:rsidRPr="00240B69" w:rsidRDefault="008B42DE" w:rsidP="00801239">
            <w:pPr>
              <w:pStyle w:val="ExhibitText"/>
              <w:jc w:val="left"/>
              <w:rPr>
                <w:lang w:val="en-GB"/>
              </w:rPr>
            </w:pPr>
            <w:r w:rsidRPr="00240B69">
              <w:rPr>
                <w:lang w:val="en-GB"/>
              </w:rPr>
              <w:t>North America</w:t>
            </w:r>
          </w:p>
        </w:tc>
        <w:tc>
          <w:tcPr>
            <w:tcW w:w="992" w:type="dxa"/>
            <w:vAlign w:val="center"/>
          </w:tcPr>
          <w:p w14:paraId="404C2B22" w14:textId="77777777" w:rsidR="008B42DE" w:rsidRPr="00240B69" w:rsidRDefault="008B42DE" w:rsidP="00801239">
            <w:pPr>
              <w:pStyle w:val="ExhibitText"/>
              <w:jc w:val="right"/>
              <w:rPr>
                <w:lang w:val="en-GB"/>
              </w:rPr>
            </w:pPr>
            <w:r w:rsidRPr="00240B69">
              <w:rPr>
                <w:lang w:val="en-GB"/>
              </w:rPr>
              <w:t>1,138</w:t>
            </w:r>
          </w:p>
        </w:tc>
        <w:tc>
          <w:tcPr>
            <w:tcW w:w="1134" w:type="dxa"/>
            <w:vAlign w:val="center"/>
          </w:tcPr>
          <w:p w14:paraId="451F7CBC" w14:textId="77777777" w:rsidR="008B42DE" w:rsidRPr="00240B69" w:rsidRDefault="008B42DE" w:rsidP="00801239">
            <w:pPr>
              <w:pStyle w:val="ExhibitText"/>
              <w:jc w:val="right"/>
              <w:rPr>
                <w:lang w:val="en-GB"/>
              </w:rPr>
            </w:pPr>
            <w:r w:rsidRPr="00240B69">
              <w:rPr>
                <w:lang w:val="en-GB"/>
              </w:rPr>
              <w:t>1,210</w:t>
            </w:r>
          </w:p>
        </w:tc>
        <w:tc>
          <w:tcPr>
            <w:tcW w:w="1559" w:type="dxa"/>
            <w:vAlign w:val="center"/>
          </w:tcPr>
          <w:p w14:paraId="640119C7" w14:textId="77777777" w:rsidR="008B42DE" w:rsidRPr="00240B69" w:rsidRDefault="008B42DE" w:rsidP="00801239">
            <w:pPr>
              <w:pStyle w:val="ExhibitText"/>
              <w:jc w:val="right"/>
              <w:rPr>
                <w:lang w:val="en-GB"/>
              </w:rPr>
            </w:pPr>
            <w:r w:rsidRPr="00240B69">
              <w:rPr>
                <w:lang w:val="en-GB"/>
              </w:rPr>
              <w:t xml:space="preserve">7.9 </w:t>
            </w:r>
          </w:p>
        </w:tc>
        <w:tc>
          <w:tcPr>
            <w:tcW w:w="1418" w:type="dxa"/>
            <w:vAlign w:val="center"/>
          </w:tcPr>
          <w:p w14:paraId="1946CD33" w14:textId="77777777" w:rsidR="008B42DE" w:rsidRPr="00240B69" w:rsidRDefault="008B42DE" w:rsidP="00801239">
            <w:pPr>
              <w:pStyle w:val="ExhibitText"/>
              <w:jc w:val="right"/>
              <w:rPr>
                <w:lang w:val="en-GB"/>
              </w:rPr>
            </w:pPr>
            <w:r w:rsidRPr="00240B69">
              <w:rPr>
                <w:lang w:val="en-GB"/>
              </w:rPr>
              <w:t>+6.3</w:t>
            </w:r>
          </w:p>
        </w:tc>
      </w:tr>
      <w:tr w:rsidR="008B42DE" w:rsidRPr="00240B69" w14:paraId="7A3343D0" w14:textId="77777777" w:rsidTr="00144778">
        <w:trPr>
          <w:jc w:val="center"/>
        </w:trPr>
        <w:tc>
          <w:tcPr>
            <w:tcW w:w="3681" w:type="dxa"/>
            <w:vAlign w:val="center"/>
          </w:tcPr>
          <w:p w14:paraId="079EE2F8" w14:textId="77777777" w:rsidR="008B42DE" w:rsidRPr="00240B69" w:rsidRDefault="008B42DE" w:rsidP="00801239">
            <w:pPr>
              <w:pStyle w:val="ExhibitText"/>
              <w:jc w:val="left"/>
              <w:rPr>
                <w:lang w:val="en-GB"/>
              </w:rPr>
            </w:pPr>
            <w:r w:rsidRPr="00240B69">
              <w:rPr>
                <w:lang w:val="en-GB"/>
              </w:rPr>
              <w:t>South America</w:t>
            </w:r>
          </w:p>
        </w:tc>
        <w:tc>
          <w:tcPr>
            <w:tcW w:w="992" w:type="dxa"/>
            <w:vAlign w:val="center"/>
          </w:tcPr>
          <w:p w14:paraId="757601E8" w14:textId="77777777" w:rsidR="008B42DE" w:rsidRPr="00240B69" w:rsidRDefault="008B42DE" w:rsidP="00801239">
            <w:pPr>
              <w:pStyle w:val="ExhibitText"/>
              <w:jc w:val="right"/>
              <w:rPr>
                <w:lang w:val="en-GB"/>
              </w:rPr>
            </w:pPr>
            <w:r w:rsidRPr="00240B69">
              <w:rPr>
                <w:lang w:val="en-GB"/>
              </w:rPr>
              <w:t>892</w:t>
            </w:r>
          </w:p>
        </w:tc>
        <w:tc>
          <w:tcPr>
            <w:tcW w:w="1134" w:type="dxa"/>
            <w:vAlign w:val="center"/>
          </w:tcPr>
          <w:p w14:paraId="4B341BDD" w14:textId="77777777" w:rsidR="008B42DE" w:rsidRPr="00240B69" w:rsidRDefault="008B42DE" w:rsidP="00801239">
            <w:pPr>
              <w:pStyle w:val="ExhibitText"/>
              <w:jc w:val="right"/>
              <w:rPr>
                <w:lang w:val="en-GB"/>
              </w:rPr>
            </w:pPr>
            <w:r w:rsidRPr="00240B69">
              <w:rPr>
                <w:lang w:val="en-GB"/>
              </w:rPr>
              <w:t>896</w:t>
            </w:r>
          </w:p>
        </w:tc>
        <w:tc>
          <w:tcPr>
            <w:tcW w:w="1559" w:type="dxa"/>
            <w:vAlign w:val="center"/>
          </w:tcPr>
          <w:p w14:paraId="291DCD6B" w14:textId="77777777" w:rsidR="008B42DE" w:rsidRPr="00240B69" w:rsidRDefault="008B42DE" w:rsidP="00801239">
            <w:pPr>
              <w:pStyle w:val="ExhibitText"/>
              <w:jc w:val="right"/>
              <w:rPr>
                <w:lang w:val="en-GB"/>
              </w:rPr>
            </w:pPr>
            <w:r w:rsidRPr="00240B69">
              <w:rPr>
                <w:lang w:val="en-GB"/>
              </w:rPr>
              <w:t xml:space="preserve">5.8 </w:t>
            </w:r>
          </w:p>
        </w:tc>
        <w:tc>
          <w:tcPr>
            <w:tcW w:w="1418" w:type="dxa"/>
            <w:vAlign w:val="center"/>
          </w:tcPr>
          <w:p w14:paraId="775E5D6E" w14:textId="77777777" w:rsidR="008B42DE" w:rsidRPr="00240B69" w:rsidRDefault="008B42DE" w:rsidP="00801239">
            <w:pPr>
              <w:pStyle w:val="ExhibitText"/>
              <w:jc w:val="right"/>
              <w:rPr>
                <w:lang w:val="en-GB"/>
              </w:rPr>
            </w:pPr>
            <w:r w:rsidRPr="00240B69">
              <w:rPr>
                <w:lang w:val="en-GB"/>
              </w:rPr>
              <w:t>+0.4</w:t>
            </w:r>
          </w:p>
        </w:tc>
      </w:tr>
      <w:tr w:rsidR="008B42DE" w:rsidRPr="00240B69" w14:paraId="516D60B6" w14:textId="77777777" w:rsidTr="00144778">
        <w:trPr>
          <w:jc w:val="center"/>
        </w:trPr>
        <w:tc>
          <w:tcPr>
            <w:tcW w:w="3681" w:type="dxa"/>
            <w:vAlign w:val="center"/>
          </w:tcPr>
          <w:p w14:paraId="1BBD7056" w14:textId="77777777" w:rsidR="008B42DE" w:rsidRPr="00240B69" w:rsidRDefault="008B42DE" w:rsidP="00801239">
            <w:pPr>
              <w:pStyle w:val="ExhibitText"/>
              <w:jc w:val="left"/>
              <w:rPr>
                <w:lang w:val="en-GB"/>
              </w:rPr>
            </w:pPr>
            <w:r w:rsidRPr="00240B69">
              <w:rPr>
                <w:lang w:val="en-GB"/>
              </w:rPr>
              <w:t>Oceania</w:t>
            </w:r>
          </w:p>
        </w:tc>
        <w:tc>
          <w:tcPr>
            <w:tcW w:w="992" w:type="dxa"/>
            <w:vAlign w:val="center"/>
          </w:tcPr>
          <w:p w14:paraId="4D8B4AC3" w14:textId="77777777" w:rsidR="008B42DE" w:rsidRPr="00240B69" w:rsidRDefault="008B42DE" w:rsidP="00801239">
            <w:pPr>
              <w:pStyle w:val="ExhibitText"/>
              <w:jc w:val="right"/>
              <w:rPr>
                <w:lang w:val="en-GB"/>
              </w:rPr>
            </w:pPr>
            <w:r w:rsidRPr="00240B69">
              <w:rPr>
                <w:lang w:val="en-GB"/>
              </w:rPr>
              <w:t>1,004</w:t>
            </w:r>
          </w:p>
        </w:tc>
        <w:tc>
          <w:tcPr>
            <w:tcW w:w="1134" w:type="dxa"/>
            <w:vAlign w:val="center"/>
          </w:tcPr>
          <w:p w14:paraId="73C00B87" w14:textId="77777777" w:rsidR="008B42DE" w:rsidRPr="00240B69" w:rsidRDefault="008B42DE" w:rsidP="00801239">
            <w:pPr>
              <w:pStyle w:val="ExhibitText"/>
              <w:jc w:val="right"/>
              <w:rPr>
                <w:lang w:val="en-GB"/>
              </w:rPr>
            </w:pPr>
            <w:r w:rsidRPr="00240B69">
              <w:rPr>
                <w:lang w:val="en-GB"/>
              </w:rPr>
              <w:t>1,083</w:t>
            </w:r>
          </w:p>
        </w:tc>
        <w:tc>
          <w:tcPr>
            <w:tcW w:w="1559" w:type="dxa"/>
            <w:vAlign w:val="center"/>
          </w:tcPr>
          <w:p w14:paraId="29874171" w14:textId="77777777" w:rsidR="008B42DE" w:rsidRPr="00240B69" w:rsidRDefault="008B42DE" w:rsidP="00801239">
            <w:pPr>
              <w:pStyle w:val="ExhibitText"/>
              <w:jc w:val="right"/>
              <w:rPr>
                <w:lang w:val="en-GB"/>
              </w:rPr>
            </w:pPr>
            <w:r w:rsidRPr="00240B69">
              <w:rPr>
                <w:lang w:val="en-GB"/>
              </w:rPr>
              <w:t xml:space="preserve">7.1 </w:t>
            </w:r>
          </w:p>
        </w:tc>
        <w:tc>
          <w:tcPr>
            <w:tcW w:w="1418" w:type="dxa"/>
            <w:vAlign w:val="center"/>
          </w:tcPr>
          <w:p w14:paraId="44E64838" w14:textId="77777777" w:rsidR="008B42DE" w:rsidRPr="00240B69" w:rsidRDefault="008B42DE" w:rsidP="00801239">
            <w:pPr>
              <w:pStyle w:val="ExhibitText"/>
              <w:jc w:val="right"/>
              <w:rPr>
                <w:lang w:val="en-GB"/>
              </w:rPr>
            </w:pPr>
            <w:r w:rsidRPr="00240B69">
              <w:rPr>
                <w:lang w:val="en-GB"/>
              </w:rPr>
              <w:t>+7.9</w:t>
            </w:r>
          </w:p>
        </w:tc>
      </w:tr>
      <w:tr w:rsidR="008B42DE" w:rsidRPr="00240B69" w14:paraId="7408678F" w14:textId="77777777" w:rsidTr="00144778">
        <w:trPr>
          <w:jc w:val="center"/>
        </w:trPr>
        <w:tc>
          <w:tcPr>
            <w:tcW w:w="3681" w:type="dxa"/>
            <w:vAlign w:val="center"/>
          </w:tcPr>
          <w:p w14:paraId="6C24142F" w14:textId="77777777" w:rsidR="008B42DE" w:rsidRPr="00240B69" w:rsidRDefault="008B42DE" w:rsidP="00801239">
            <w:pPr>
              <w:pStyle w:val="ExhibitText"/>
              <w:jc w:val="left"/>
              <w:rPr>
                <w:lang w:val="en-GB"/>
              </w:rPr>
            </w:pPr>
            <w:r w:rsidRPr="00240B69">
              <w:rPr>
                <w:lang w:val="en-GB"/>
              </w:rPr>
              <w:t>Asia</w:t>
            </w:r>
          </w:p>
        </w:tc>
        <w:tc>
          <w:tcPr>
            <w:tcW w:w="992" w:type="dxa"/>
            <w:vAlign w:val="center"/>
          </w:tcPr>
          <w:p w14:paraId="3F2748C2" w14:textId="77777777" w:rsidR="008B42DE" w:rsidRPr="00240B69" w:rsidRDefault="008B42DE" w:rsidP="00801239">
            <w:pPr>
              <w:pStyle w:val="ExhibitText"/>
              <w:jc w:val="right"/>
              <w:rPr>
                <w:lang w:val="en-GB"/>
              </w:rPr>
            </w:pPr>
            <w:r w:rsidRPr="00240B69">
              <w:rPr>
                <w:lang w:val="en-GB"/>
              </w:rPr>
              <w:t>497</w:t>
            </w:r>
          </w:p>
        </w:tc>
        <w:tc>
          <w:tcPr>
            <w:tcW w:w="1134" w:type="dxa"/>
            <w:vAlign w:val="center"/>
          </w:tcPr>
          <w:p w14:paraId="611F13B7" w14:textId="77777777" w:rsidR="008B42DE" w:rsidRPr="00240B69" w:rsidRDefault="008B42DE" w:rsidP="00801239">
            <w:pPr>
              <w:pStyle w:val="ExhibitText"/>
              <w:jc w:val="right"/>
              <w:rPr>
                <w:lang w:val="en-GB"/>
              </w:rPr>
            </w:pPr>
            <w:r w:rsidRPr="00240B69">
              <w:rPr>
                <w:lang w:val="en-GB"/>
              </w:rPr>
              <w:t>615</w:t>
            </w:r>
          </w:p>
        </w:tc>
        <w:tc>
          <w:tcPr>
            <w:tcW w:w="1559" w:type="dxa"/>
            <w:vAlign w:val="center"/>
          </w:tcPr>
          <w:p w14:paraId="00443A23" w14:textId="77777777" w:rsidR="008B42DE" w:rsidRPr="00240B69" w:rsidRDefault="008B42DE" w:rsidP="00801239">
            <w:pPr>
              <w:pStyle w:val="ExhibitText"/>
              <w:jc w:val="right"/>
              <w:rPr>
                <w:lang w:val="en-GB"/>
              </w:rPr>
            </w:pPr>
            <w:r w:rsidRPr="00240B69">
              <w:rPr>
                <w:lang w:val="en-GB"/>
              </w:rPr>
              <w:t xml:space="preserve">4.0 </w:t>
            </w:r>
          </w:p>
        </w:tc>
        <w:tc>
          <w:tcPr>
            <w:tcW w:w="1418" w:type="dxa"/>
            <w:vAlign w:val="center"/>
          </w:tcPr>
          <w:p w14:paraId="5476FE58" w14:textId="77777777" w:rsidR="008B42DE" w:rsidRPr="00240B69" w:rsidRDefault="008B42DE" w:rsidP="00801239">
            <w:pPr>
              <w:pStyle w:val="ExhibitText"/>
              <w:jc w:val="right"/>
              <w:rPr>
                <w:lang w:val="en-GB"/>
              </w:rPr>
            </w:pPr>
            <w:r w:rsidRPr="00240B69">
              <w:rPr>
                <w:lang w:val="en-GB"/>
              </w:rPr>
              <w:t>+23.6</w:t>
            </w:r>
          </w:p>
        </w:tc>
      </w:tr>
      <w:tr w:rsidR="008B42DE" w:rsidRPr="00240B69" w14:paraId="5020431A" w14:textId="77777777" w:rsidTr="00144778">
        <w:trPr>
          <w:jc w:val="center"/>
        </w:trPr>
        <w:tc>
          <w:tcPr>
            <w:tcW w:w="3681" w:type="dxa"/>
            <w:vAlign w:val="center"/>
          </w:tcPr>
          <w:p w14:paraId="0179CF44" w14:textId="77777777" w:rsidR="008B42DE" w:rsidRPr="00240B69" w:rsidRDefault="008B42DE" w:rsidP="00801239">
            <w:pPr>
              <w:pStyle w:val="ExhibitText"/>
              <w:jc w:val="left"/>
              <w:rPr>
                <w:lang w:val="en-GB"/>
              </w:rPr>
            </w:pPr>
            <w:r w:rsidRPr="00240B69">
              <w:rPr>
                <w:lang w:val="en-GB"/>
              </w:rPr>
              <w:t>Other (International)</w:t>
            </w:r>
          </w:p>
        </w:tc>
        <w:tc>
          <w:tcPr>
            <w:tcW w:w="992" w:type="dxa"/>
            <w:vAlign w:val="center"/>
          </w:tcPr>
          <w:p w14:paraId="39110FFD" w14:textId="77777777" w:rsidR="008B42DE" w:rsidRPr="00240B69" w:rsidRDefault="008B42DE" w:rsidP="00801239">
            <w:pPr>
              <w:pStyle w:val="ExhibitText"/>
              <w:jc w:val="right"/>
              <w:rPr>
                <w:lang w:val="en-GB"/>
              </w:rPr>
            </w:pPr>
            <w:r w:rsidRPr="00240B69">
              <w:rPr>
                <w:lang w:val="en-GB"/>
              </w:rPr>
              <w:t>1,133</w:t>
            </w:r>
          </w:p>
        </w:tc>
        <w:tc>
          <w:tcPr>
            <w:tcW w:w="1134" w:type="dxa"/>
            <w:vAlign w:val="center"/>
          </w:tcPr>
          <w:p w14:paraId="5E9F1DCC" w14:textId="77777777" w:rsidR="008B42DE" w:rsidRPr="00240B69" w:rsidRDefault="008B42DE" w:rsidP="00801239">
            <w:pPr>
              <w:pStyle w:val="ExhibitText"/>
              <w:jc w:val="right"/>
              <w:rPr>
                <w:lang w:val="en-GB"/>
              </w:rPr>
            </w:pPr>
            <w:r w:rsidRPr="00240B69">
              <w:rPr>
                <w:lang w:val="en-GB"/>
              </w:rPr>
              <w:t>1,182</w:t>
            </w:r>
          </w:p>
        </w:tc>
        <w:tc>
          <w:tcPr>
            <w:tcW w:w="1559" w:type="dxa"/>
            <w:vAlign w:val="center"/>
          </w:tcPr>
          <w:p w14:paraId="19470BF4" w14:textId="77777777" w:rsidR="008B42DE" w:rsidRPr="00240B69" w:rsidRDefault="008B42DE" w:rsidP="00801239">
            <w:pPr>
              <w:pStyle w:val="ExhibitText"/>
              <w:jc w:val="right"/>
              <w:rPr>
                <w:lang w:val="en-GB"/>
              </w:rPr>
            </w:pPr>
            <w:r w:rsidRPr="00240B69">
              <w:rPr>
                <w:lang w:val="en-GB"/>
              </w:rPr>
              <w:t xml:space="preserve">7.7 </w:t>
            </w:r>
          </w:p>
        </w:tc>
        <w:tc>
          <w:tcPr>
            <w:tcW w:w="1418" w:type="dxa"/>
            <w:vAlign w:val="center"/>
          </w:tcPr>
          <w:p w14:paraId="55A2583F" w14:textId="77777777" w:rsidR="008B42DE" w:rsidRPr="00240B69" w:rsidRDefault="008B42DE" w:rsidP="00801239">
            <w:pPr>
              <w:pStyle w:val="ExhibitText"/>
              <w:jc w:val="right"/>
              <w:rPr>
                <w:lang w:val="en-GB"/>
              </w:rPr>
            </w:pPr>
            <w:r w:rsidRPr="00240B69">
              <w:rPr>
                <w:lang w:val="en-GB"/>
              </w:rPr>
              <w:t>+4.3</w:t>
            </w:r>
          </w:p>
        </w:tc>
      </w:tr>
      <w:tr w:rsidR="008B42DE" w:rsidRPr="00240B69" w14:paraId="1E717B77" w14:textId="77777777" w:rsidTr="00144778">
        <w:trPr>
          <w:jc w:val="center"/>
        </w:trPr>
        <w:tc>
          <w:tcPr>
            <w:tcW w:w="3681" w:type="dxa"/>
            <w:vAlign w:val="center"/>
          </w:tcPr>
          <w:p w14:paraId="00BB0A9A" w14:textId="77777777" w:rsidR="008B42DE" w:rsidRPr="00240B69" w:rsidRDefault="008B42DE" w:rsidP="00801239">
            <w:pPr>
              <w:pStyle w:val="ExhibitText"/>
              <w:jc w:val="left"/>
              <w:rPr>
                <w:lang w:val="en-GB"/>
              </w:rPr>
            </w:pPr>
            <w:r w:rsidRPr="00240B69">
              <w:rPr>
                <w:b/>
                <w:lang w:val="en-GB"/>
              </w:rPr>
              <w:t xml:space="preserve">INTERNATIONAL </w:t>
            </w:r>
            <w:r w:rsidRPr="00240B69">
              <w:rPr>
                <w:lang w:val="en-GB"/>
              </w:rPr>
              <w:t>(excluding Europe)</w:t>
            </w:r>
          </w:p>
        </w:tc>
        <w:tc>
          <w:tcPr>
            <w:tcW w:w="992" w:type="dxa"/>
            <w:vAlign w:val="center"/>
          </w:tcPr>
          <w:p w14:paraId="2292545E" w14:textId="77777777" w:rsidR="008B42DE" w:rsidRPr="00240B69" w:rsidRDefault="008B42DE" w:rsidP="00801239">
            <w:pPr>
              <w:pStyle w:val="ExhibitText"/>
              <w:jc w:val="right"/>
              <w:rPr>
                <w:b/>
                <w:lang w:val="en-GB"/>
              </w:rPr>
            </w:pPr>
            <w:r w:rsidRPr="00240B69">
              <w:rPr>
                <w:b/>
                <w:lang w:val="en-GB"/>
              </w:rPr>
              <w:t>4,665</w:t>
            </w:r>
          </w:p>
        </w:tc>
        <w:tc>
          <w:tcPr>
            <w:tcW w:w="1134" w:type="dxa"/>
            <w:vAlign w:val="center"/>
          </w:tcPr>
          <w:p w14:paraId="62BB6A3F" w14:textId="77777777" w:rsidR="008B42DE" w:rsidRPr="00240B69" w:rsidRDefault="008B42DE" w:rsidP="00801239">
            <w:pPr>
              <w:pStyle w:val="ExhibitText"/>
              <w:jc w:val="right"/>
              <w:rPr>
                <w:b/>
                <w:lang w:val="en-GB"/>
              </w:rPr>
            </w:pPr>
            <w:r w:rsidRPr="00240B69">
              <w:rPr>
                <w:b/>
                <w:lang w:val="en-GB"/>
              </w:rPr>
              <w:t>4,986</w:t>
            </w:r>
          </w:p>
        </w:tc>
        <w:tc>
          <w:tcPr>
            <w:tcW w:w="1559" w:type="dxa"/>
            <w:vAlign w:val="center"/>
          </w:tcPr>
          <w:p w14:paraId="4AE7DEE5" w14:textId="77777777" w:rsidR="008B42DE" w:rsidRPr="00240B69" w:rsidRDefault="008B42DE" w:rsidP="00801239">
            <w:pPr>
              <w:pStyle w:val="ExhibitText"/>
              <w:jc w:val="right"/>
              <w:rPr>
                <w:b/>
                <w:lang w:val="en-GB"/>
              </w:rPr>
            </w:pPr>
            <w:r w:rsidRPr="00240B69">
              <w:rPr>
                <w:b/>
                <w:lang w:val="en-GB"/>
              </w:rPr>
              <w:t>32.5</w:t>
            </w:r>
          </w:p>
        </w:tc>
        <w:tc>
          <w:tcPr>
            <w:tcW w:w="1418" w:type="dxa"/>
            <w:vAlign w:val="center"/>
          </w:tcPr>
          <w:p w14:paraId="3C5EDDD8" w14:textId="77777777" w:rsidR="008B42DE" w:rsidRPr="00240B69" w:rsidRDefault="008B42DE" w:rsidP="00801239">
            <w:pPr>
              <w:pStyle w:val="ExhibitText"/>
              <w:jc w:val="right"/>
              <w:rPr>
                <w:b/>
                <w:lang w:val="en-GB"/>
              </w:rPr>
            </w:pPr>
            <w:r w:rsidRPr="00240B69">
              <w:rPr>
                <w:b/>
                <w:lang w:val="en-GB"/>
              </w:rPr>
              <w:t>+6.9</w:t>
            </w:r>
          </w:p>
        </w:tc>
      </w:tr>
      <w:tr w:rsidR="008B42DE" w:rsidRPr="00240B69" w14:paraId="2C68B33D" w14:textId="77777777" w:rsidTr="00144778">
        <w:trPr>
          <w:jc w:val="center"/>
        </w:trPr>
        <w:tc>
          <w:tcPr>
            <w:tcW w:w="3681" w:type="dxa"/>
            <w:vAlign w:val="center"/>
          </w:tcPr>
          <w:p w14:paraId="029A4F76" w14:textId="77777777" w:rsidR="008B42DE" w:rsidRPr="00240B69" w:rsidRDefault="008B42DE" w:rsidP="00801239">
            <w:pPr>
              <w:pStyle w:val="ExhibitText"/>
              <w:jc w:val="left"/>
              <w:rPr>
                <w:b/>
                <w:lang w:val="en-GB"/>
              </w:rPr>
            </w:pPr>
            <w:r w:rsidRPr="00240B69">
              <w:rPr>
                <w:b/>
                <w:lang w:val="en-GB"/>
              </w:rPr>
              <w:t>TOTAL</w:t>
            </w:r>
          </w:p>
        </w:tc>
        <w:tc>
          <w:tcPr>
            <w:tcW w:w="992" w:type="dxa"/>
            <w:vAlign w:val="center"/>
          </w:tcPr>
          <w:p w14:paraId="74E7236D" w14:textId="77777777" w:rsidR="008B42DE" w:rsidRPr="00240B69" w:rsidRDefault="008B42DE" w:rsidP="00801239">
            <w:pPr>
              <w:pStyle w:val="ExhibitText"/>
              <w:jc w:val="right"/>
              <w:rPr>
                <w:b/>
                <w:lang w:val="en-GB"/>
              </w:rPr>
            </w:pPr>
            <w:r w:rsidRPr="00240B69">
              <w:rPr>
                <w:b/>
                <w:lang w:val="en-GB"/>
              </w:rPr>
              <w:t>15,135</w:t>
            </w:r>
          </w:p>
        </w:tc>
        <w:tc>
          <w:tcPr>
            <w:tcW w:w="1134" w:type="dxa"/>
            <w:vAlign w:val="center"/>
          </w:tcPr>
          <w:p w14:paraId="62470A54" w14:textId="77777777" w:rsidR="008B42DE" w:rsidRPr="00240B69" w:rsidRDefault="008B42DE" w:rsidP="00801239">
            <w:pPr>
              <w:pStyle w:val="ExhibitText"/>
              <w:jc w:val="right"/>
              <w:rPr>
                <w:b/>
                <w:lang w:val="en-GB"/>
              </w:rPr>
            </w:pPr>
            <w:r w:rsidRPr="00240B69">
              <w:rPr>
                <w:b/>
                <w:lang w:val="en-GB"/>
              </w:rPr>
              <w:t>15,322</w:t>
            </w:r>
          </w:p>
        </w:tc>
        <w:tc>
          <w:tcPr>
            <w:tcW w:w="1559" w:type="dxa"/>
            <w:vAlign w:val="center"/>
          </w:tcPr>
          <w:p w14:paraId="5A64217D" w14:textId="25410494" w:rsidR="008B42DE" w:rsidRPr="00240B69" w:rsidRDefault="008B42DE" w:rsidP="00801239">
            <w:pPr>
              <w:pStyle w:val="ExhibitText"/>
              <w:jc w:val="right"/>
              <w:rPr>
                <w:b/>
                <w:lang w:val="en-GB"/>
              </w:rPr>
            </w:pPr>
            <w:r w:rsidRPr="00240B69">
              <w:rPr>
                <w:b/>
                <w:lang w:val="en-GB"/>
              </w:rPr>
              <w:t xml:space="preserve">100.0 </w:t>
            </w:r>
          </w:p>
        </w:tc>
        <w:tc>
          <w:tcPr>
            <w:tcW w:w="1418" w:type="dxa"/>
            <w:vAlign w:val="center"/>
          </w:tcPr>
          <w:p w14:paraId="4E65A49B" w14:textId="77777777" w:rsidR="008B42DE" w:rsidRPr="00240B69" w:rsidRDefault="008B42DE" w:rsidP="00801239">
            <w:pPr>
              <w:pStyle w:val="ExhibitText"/>
              <w:jc w:val="right"/>
              <w:rPr>
                <w:b/>
                <w:lang w:val="en-GB"/>
              </w:rPr>
            </w:pPr>
            <w:r w:rsidRPr="00240B69">
              <w:rPr>
                <w:b/>
                <w:lang w:val="en-GB"/>
              </w:rPr>
              <w:t>+1.2</w:t>
            </w:r>
          </w:p>
        </w:tc>
      </w:tr>
    </w:tbl>
    <w:p w14:paraId="47B0F856" w14:textId="77777777" w:rsidR="008B42DE" w:rsidRDefault="008B42DE" w:rsidP="00AD1ABE">
      <w:pPr>
        <w:pStyle w:val="ExhibitText"/>
        <w:rPr>
          <w:b/>
          <w:lang w:val="en-GB"/>
        </w:rPr>
      </w:pPr>
    </w:p>
    <w:p w14:paraId="64365B5B" w14:textId="77777777" w:rsidR="00240B69" w:rsidRPr="00240B69" w:rsidRDefault="00240B69" w:rsidP="00AD1ABE">
      <w:pPr>
        <w:pStyle w:val="ExhibitText"/>
        <w:rPr>
          <w:b/>
          <w:lang w:val="en-GB"/>
        </w:rPr>
      </w:pPr>
    </w:p>
    <w:p w14:paraId="4C494A34" w14:textId="514EDE81" w:rsidR="008B42DE" w:rsidRPr="00240B69" w:rsidRDefault="008B42DE" w:rsidP="00417830">
      <w:pPr>
        <w:pStyle w:val="ExhibitHeading"/>
        <w:rPr>
          <w:lang w:val="en-GB"/>
        </w:rPr>
      </w:pPr>
      <w:r w:rsidRPr="00240B69">
        <w:rPr>
          <w:lang w:val="en-GB"/>
        </w:rPr>
        <w:lastRenderedPageBreak/>
        <w:t>EXHIBIT 1 (CONTINUED)</w:t>
      </w:r>
    </w:p>
    <w:p w14:paraId="32B07F3D" w14:textId="77777777" w:rsidR="008B42DE" w:rsidRPr="00240B69" w:rsidRDefault="008B42DE" w:rsidP="00AD1ABE">
      <w:pPr>
        <w:pStyle w:val="ExhibitText"/>
        <w:rPr>
          <w:b/>
          <w:sz w:val="14"/>
          <w:szCs w:val="14"/>
          <w:lang w:val="en-GB"/>
        </w:rPr>
      </w:pPr>
    </w:p>
    <w:p w14:paraId="6B33D887" w14:textId="77777777" w:rsidR="008B42DE" w:rsidRPr="00240B69" w:rsidRDefault="008B42DE" w:rsidP="00AD1ABE">
      <w:pPr>
        <w:pStyle w:val="ExhibitText"/>
        <w:rPr>
          <w:b/>
          <w:lang w:val="en-GB"/>
        </w:rPr>
      </w:pPr>
      <w:r w:rsidRPr="00240B69">
        <w:rPr>
          <w:rStyle w:val="Casehead2Char"/>
          <w:lang w:val="en-GB"/>
        </w:rPr>
        <w:t>NET DEBT HIGHLIGHTS</w:t>
      </w:r>
    </w:p>
    <w:p w14:paraId="3F06925A" w14:textId="77777777" w:rsidR="008B42DE" w:rsidRPr="00240B69" w:rsidRDefault="008B42DE" w:rsidP="00AD1ABE">
      <w:pPr>
        <w:pStyle w:val="ExhibitText"/>
        <w:rPr>
          <w:sz w:val="14"/>
          <w:szCs w:val="14"/>
          <w:lang w:val="en-GB"/>
        </w:rPr>
      </w:pPr>
    </w:p>
    <w:p w14:paraId="7A296254" w14:textId="77777777" w:rsidR="008B42DE" w:rsidRPr="00240B69" w:rsidRDefault="008B42DE" w:rsidP="00AD1ABE">
      <w:pPr>
        <w:pStyle w:val="ExhibitText"/>
        <w:numPr>
          <w:ilvl w:val="0"/>
          <w:numId w:val="17"/>
        </w:numPr>
        <w:ind w:left="360"/>
        <w:rPr>
          <w:rFonts w:eastAsia="Calibri"/>
          <w:lang w:val="en-GB"/>
        </w:rPr>
      </w:pPr>
      <w:r w:rsidRPr="00240B69">
        <w:rPr>
          <w:rFonts w:eastAsia="Calibri"/>
          <w:lang w:val="en-GB"/>
        </w:rPr>
        <w:t>Financial discipline to monitor debt</w:t>
      </w:r>
    </w:p>
    <w:p w14:paraId="20AE3657" w14:textId="77777777" w:rsidR="008B42DE" w:rsidRPr="00240B69" w:rsidRDefault="008B42DE" w:rsidP="00AD1ABE">
      <w:pPr>
        <w:pStyle w:val="ExhibitText"/>
        <w:numPr>
          <w:ilvl w:val="0"/>
          <w:numId w:val="17"/>
        </w:numPr>
        <w:ind w:left="360"/>
        <w:rPr>
          <w:rFonts w:eastAsia="Calibri"/>
          <w:lang w:val="en-GB"/>
        </w:rPr>
      </w:pPr>
      <w:r w:rsidRPr="00240B69">
        <w:rPr>
          <w:rFonts w:eastAsia="Calibri"/>
          <w:lang w:val="en-GB"/>
        </w:rPr>
        <w:t>Cost of net debt decreasing: 5.19 per cent (2011) versus 3.67 per cent (2016)</w:t>
      </w:r>
    </w:p>
    <w:p w14:paraId="56676AF7" w14:textId="77777777" w:rsidR="008B42DE" w:rsidRPr="00240B69" w:rsidRDefault="008B42DE" w:rsidP="00AD1ABE">
      <w:pPr>
        <w:pStyle w:val="ExhibitText"/>
        <w:numPr>
          <w:ilvl w:val="0"/>
          <w:numId w:val="17"/>
        </w:numPr>
        <w:ind w:left="360"/>
        <w:rPr>
          <w:rFonts w:eastAsia="Calibri"/>
          <w:lang w:val="en-GB"/>
        </w:rPr>
      </w:pPr>
      <w:r w:rsidRPr="00240B69">
        <w:rPr>
          <w:rFonts w:eastAsia="Calibri"/>
          <w:lang w:val="en-GB"/>
        </w:rPr>
        <w:t>Cost of gross debt decreasing: 4.36 per cent (2011) versus 2.97 per cent (2016)</w:t>
      </w:r>
    </w:p>
    <w:p w14:paraId="587F6AE2" w14:textId="12D58BA5" w:rsidR="008B42DE" w:rsidRPr="00240B69" w:rsidRDefault="008B42DE" w:rsidP="00AD1ABE">
      <w:pPr>
        <w:pStyle w:val="ExhibitText"/>
        <w:numPr>
          <w:ilvl w:val="0"/>
          <w:numId w:val="17"/>
        </w:numPr>
        <w:ind w:left="360"/>
        <w:rPr>
          <w:rFonts w:eastAsia="Calibri"/>
          <w:lang w:val="en-GB"/>
        </w:rPr>
      </w:pPr>
      <w:r w:rsidRPr="00240B69">
        <w:rPr>
          <w:rFonts w:eastAsia="Calibri"/>
          <w:lang w:val="en-GB"/>
        </w:rPr>
        <w:t>Average duration of gross and net debt: 6.4 years</w:t>
      </w:r>
    </w:p>
    <w:p w14:paraId="2B34422F" w14:textId="1E53DD81" w:rsidR="008B42DE" w:rsidRPr="00240B69" w:rsidRDefault="008B42DE" w:rsidP="00AD1ABE">
      <w:pPr>
        <w:pStyle w:val="ExhibitText"/>
        <w:numPr>
          <w:ilvl w:val="0"/>
          <w:numId w:val="17"/>
        </w:numPr>
        <w:ind w:left="360"/>
        <w:rPr>
          <w:rFonts w:eastAsia="Calibri"/>
          <w:lang w:val="en-GB"/>
        </w:rPr>
      </w:pPr>
      <w:r w:rsidRPr="00240B69">
        <w:rPr>
          <w:rFonts w:eastAsia="Calibri"/>
          <w:lang w:val="en-GB"/>
        </w:rPr>
        <w:t>A3 rating, stable outlook according to Moody’s Investor Service</w:t>
      </w:r>
    </w:p>
    <w:p w14:paraId="0EDBD600" w14:textId="77777777" w:rsidR="008B42DE" w:rsidRPr="00240B69" w:rsidRDefault="008B42DE" w:rsidP="00AD1ABE">
      <w:pPr>
        <w:pStyle w:val="ExhibitText"/>
        <w:numPr>
          <w:ilvl w:val="0"/>
          <w:numId w:val="17"/>
        </w:numPr>
        <w:ind w:left="360"/>
        <w:rPr>
          <w:rFonts w:eastAsia="Calibri"/>
          <w:lang w:val="en-GB"/>
        </w:rPr>
      </w:pPr>
      <w:r w:rsidRPr="00240B69">
        <w:rPr>
          <w:rFonts w:eastAsia="Calibri"/>
          <w:lang w:val="en-GB"/>
        </w:rPr>
        <w:t>Total debt: €8.08 billion (December 31, 2015) versus €8.04 billion (December 31, 2016)</w:t>
      </w:r>
    </w:p>
    <w:p w14:paraId="22AD7812" w14:textId="77777777" w:rsidR="008B42DE" w:rsidRPr="00240B69" w:rsidRDefault="008B42DE" w:rsidP="00AD1ABE">
      <w:pPr>
        <w:pStyle w:val="ExhibitText"/>
        <w:rPr>
          <w:sz w:val="14"/>
          <w:szCs w:val="14"/>
          <w:lang w:val="en-GB"/>
        </w:rPr>
      </w:pPr>
    </w:p>
    <w:p w14:paraId="73E41B9C" w14:textId="255B04B2" w:rsidR="008B42DE" w:rsidRPr="00240B69" w:rsidRDefault="008B42DE" w:rsidP="00144778">
      <w:pPr>
        <w:pStyle w:val="Footnote"/>
        <w:rPr>
          <w:lang w:val="en-GB"/>
        </w:rPr>
      </w:pPr>
      <w:r w:rsidRPr="00240B69">
        <w:rPr>
          <w:lang w:val="en-GB"/>
        </w:rPr>
        <w:t xml:space="preserve">Notes: FY = fiscal year; Δ = amount of change; Benelux = Belgium, the Netherlands, and Luxembourg; </w:t>
      </w:r>
      <w:proofErr w:type="spellStart"/>
      <w:r w:rsidRPr="00240B69">
        <w:rPr>
          <w:lang w:val="en-GB"/>
        </w:rPr>
        <w:t>Latam</w:t>
      </w:r>
      <w:proofErr w:type="spellEnd"/>
      <w:r w:rsidRPr="00240B69">
        <w:rPr>
          <w:lang w:val="en-GB"/>
        </w:rPr>
        <w:t xml:space="preserve"> = Latin America; € = EUR = euro; US$1 = €0.95 on March 1, 2017.</w:t>
      </w:r>
    </w:p>
    <w:p w14:paraId="233DB16A" w14:textId="11041E0B" w:rsidR="008B42DE" w:rsidRPr="00240B69" w:rsidRDefault="008B42DE" w:rsidP="00144778">
      <w:pPr>
        <w:pStyle w:val="Footnote"/>
        <w:rPr>
          <w:lang w:val="en-GB"/>
        </w:rPr>
      </w:pPr>
      <w:r w:rsidRPr="00240B69">
        <w:rPr>
          <w:lang w:val="en-GB"/>
        </w:rPr>
        <w:t>Source:</w:t>
      </w:r>
      <w:r w:rsidRPr="00240B69">
        <w:rPr>
          <w:b/>
          <w:lang w:val="en-GB"/>
        </w:rPr>
        <w:t xml:space="preserve"> </w:t>
      </w:r>
      <w:r w:rsidRPr="00240B69">
        <w:rPr>
          <w:lang w:val="en-GB"/>
        </w:rPr>
        <w:t xml:space="preserve">Created by the case author based on Suez, </w:t>
      </w:r>
      <w:r w:rsidRPr="00240B69">
        <w:rPr>
          <w:i/>
          <w:lang w:val="en-GB"/>
        </w:rPr>
        <w:t>2016 Full-Year Results</w:t>
      </w:r>
      <w:r w:rsidRPr="00240B69">
        <w:rPr>
          <w:lang w:val="en-GB"/>
        </w:rPr>
        <w:t>, March 1, 2017, www.suez.com/en/Finance/Financial-information/Results-and-key-figures.</w:t>
      </w:r>
    </w:p>
    <w:p w14:paraId="7A8D3B2C" w14:textId="3F168D03" w:rsidR="008B42DE" w:rsidRPr="00240B69" w:rsidRDefault="008B42DE" w:rsidP="00DC70FC">
      <w:pPr>
        <w:pStyle w:val="ExhibitHeading"/>
        <w:rPr>
          <w:sz w:val="14"/>
          <w:szCs w:val="14"/>
          <w:lang w:val="en-GB"/>
        </w:rPr>
      </w:pPr>
    </w:p>
    <w:p w14:paraId="5F2C803C" w14:textId="77777777" w:rsidR="008B42DE" w:rsidRPr="00240B69" w:rsidRDefault="008B42DE" w:rsidP="00DC70FC">
      <w:pPr>
        <w:pStyle w:val="ExhibitHeading"/>
        <w:rPr>
          <w:sz w:val="14"/>
          <w:szCs w:val="14"/>
          <w:lang w:val="en-GB"/>
        </w:rPr>
      </w:pPr>
    </w:p>
    <w:p w14:paraId="1E7342B2" w14:textId="2FCFECA5" w:rsidR="008B42DE" w:rsidRPr="00240B69" w:rsidRDefault="008B42DE" w:rsidP="00DC70FC">
      <w:pPr>
        <w:pStyle w:val="ExhibitHeading"/>
        <w:rPr>
          <w:lang w:val="en-GB"/>
        </w:rPr>
      </w:pPr>
      <w:r w:rsidRPr="00240B69">
        <w:rPr>
          <w:lang w:val="en-GB"/>
        </w:rPr>
        <w:t>EXHIBIT 2: Culture and the Hofstede Framework</w:t>
      </w:r>
    </w:p>
    <w:p w14:paraId="46D277A9" w14:textId="77777777" w:rsidR="008B42DE" w:rsidRPr="00240B69" w:rsidRDefault="008B42DE" w:rsidP="00DC70FC">
      <w:pPr>
        <w:jc w:val="center"/>
        <w:rPr>
          <w:rFonts w:ascii="Arial" w:hAnsi="Arial" w:cs="Arial"/>
          <w:b/>
          <w:caps/>
          <w:sz w:val="14"/>
          <w:szCs w:val="14"/>
          <w:lang w:val="en-GB"/>
        </w:rPr>
      </w:pPr>
    </w:p>
    <w:p w14:paraId="6AC4E00F" w14:textId="21B0ADFD" w:rsidR="008B42DE" w:rsidRPr="00240B69" w:rsidRDefault="008B42DE" w:rsidP="00DC70FC">
      <w:pPr>
        <w:pStyle w:val="ExhibitText"/>
        <w:rPr>
          <w:lang w:val="en-GB"/>
        </w:rPr>
      </w:pPr>
      <w:r w:rsidRPr="00240B69">
        <w:rPr>
          <w:lang w:val="en-GB"/>
        </w:rPr>
        <w:t xml:space="preserve">Culture could be described as a set of deep-rooted beliefs, values, and habits that people shared and had learned from various environments—for example, home, school, and religious institutions. These values and beliefs were often transferred from one generation to another and could apply to a corporation as well (as corporate or organizational culture). Many respected researchers, such as Hofstede, Lewis, and </w:t>
      </w:r>
      <w:proofErr w:type="spellStart"/>
      <w:r w:rsidRPr="00240B69">
        <w:rPr>
          <w:lang w:val="en-GB"/>
        </w:rPr>
        <w:t>Javidan</w:t>
      </w:r>
      <w:proofErr w:type="spellEnd"/>
      <w:r w:rsidRPr="00240B69">
        <w:rPr>
          <w:lang w:val="en-GB"/>
        </w:rPr>
        <w:t>, contributed to the vast body of research that addressed these differences. These differences affected how people did business, processed information, made decisions, communicated, and generally behaved. Professor Geert Hofstede invented a framework that contained the following dimensions to better understand national cultures. Within each dimension, a score of 100 was the maximum.</w:t>
      </w:r>
    </w:p>
    <w:p w14:paraId="451E4176" w14:textId="77777777" w:rsidR="00EB29D5" w:rsidRPr="00240B69" w:rsidRDefault="00EB29D5" w:rsidP="00DC70FC">
      <w:pPr>
        <w:pStyle w:val="ExhibitText"/>
        <w:rPr>
          <w:sz w:val="14"/>
          <w:szCs w:val="14"/>
          <w:u w:val="single"/>
          <w:lang w:val="en-GB"/>
        </w:rPr>
      </w:pPr>
    </w:p>
    <w:p w14:paraId="3E2C9136" w14:textId="0B386933" w:rsidR="00EB29D5" w:rsidRPr="00240B69" w:rsidRDefault="00EB29D5" w:rsidP="008219CD">
      <w:pPr>
        <w:pStyle w:val="ExhibitText"/>
        <w:rPr>
          <w:lang w:val="en-GB"/>
        </w:rPr>
      </w:pPr>
      <w:r w:rsidRPr="00240B69">
        <w:rPr>
          <w:lang w:val="en-GB"/>
        </w:rPr>
        <w:t xml:space="preserve">Power distance index (PDI): This index </w:t>
      </w:r>
      <w:r w:rsidR="00E7329F" w:rsidRPr="00240B69">
        <w:rPr>
          <w:lang w:val="en-GB"/>
        </w:rPr>
        <w:t xml:space="preserve">measured </w:t>
      </w:r>
      <w:r w:rsidRPr="00240B69">
        <w:rPr>
          <w:lang w:val="en-GB"/>
        </w:rPr>
        <w:t xml:space="preserve">the inequalities of power in society. A high PDI </w:t>
      </w:r>
      <w:r w:rsidR="00E7329F" w:rsidRPr="00240B69">
        <w:rPr>
          <w:lang w:val="en-GB"/>
        </w:rPr>
        <w:t xml:space="preserve">was </w:t>
      </w:r>
      <w:r w:rsidRPr="00240B69">
        <w:rPr>
          <w:lang w:val="en-GB"/>
        </w:rPr>
        <w:t xml:space="preserve">synonymous with a clear and strict hierarchy between members of that society, where </w:t>
      </w:r>
      <w:r w:rsidR="00E7329F" w:rsidRPr="00240B69">
        <w:rPr>
          <w:lang w:val="en-GB"/>
        </w:rPr>
        <w:t xml:space="preserve">business was often conducted using </w:t>
      </w:r>
      <w:r w:rsidRPr="00240B69">
        <w:rPr>
          <w:lang w:val="en-GB"/>
        </w:rPr>
        <w:t xml:space="preserve">titles and last names (e.g., France), as opposed to </w:t>
      </w:r>
      <w:r w:rsidR="00E7329F" w:rsidRPr="00240B69">
        <w:rPr>
          <w:lang w:val="en-GB"/>
        </w:rPr>
        <w:t xml:space="preserve">a low or lower PDI society (e.g., the United States) where business was conducted </w:t>
      </w:r>
      <w:r w:rsidRPr="00240B69">
        <w:rPr>
          <w:lang w:val="en-GB"/>
        </w:rPr>
        <w:t xml:space="preserve">on a first-name basis and without many formalities. </w:t>
      </w:r>
    </w:p>
    <w:p w14:paraId="75C13235" w14:textId="77777777" w:rsidR="00EB29D5" w:rsidRPr="00240B69" w:rsidRDefault="00EB29D5" w:rsidP="008219CD">
      <w:pPr>
        <w:pStyle w:val="ExhibitText"/>
        <w:rPr>
          <w:sz w:val="14"/>
          <w:szCs w:val="14"/>
          <w:u w:val="single"/>
          <w:lang w:val="en-GB"/>
        </w:rPr>
      </w:pPr>
    </w:p>
    <w:p w14:paraId="6E9391DB" w14:textId="7FC6C439" w:rsidR="00EB29D5" w:rsidRPr="00240B69" w:rsidRDefault="00EB29D5" w:rsidP="008219CD">
      <w:pPr>
        <w:pStyle w:val="ExhibitText"/>
        <w:rPr>
          <w:lang w:val="en-GB"/>
        </w:rPr>
      </w:pPr>
      <w:r w:rsidRPr="00240B69">
        <w:rPr>
          <w:lang w:val="en-GB"/>
        </w:rPr>
        <w:t xml:space="preserve">Individualism versus collectivism: This concept </w:t>
      </w:r>
      <w:r w:rsidR="00E7329F" w:rsidRPr="00240B69">
        <w:rPr>
          <w:lang w:val="en-GB"/>
        </w:rPr>
        <w:t xml:space="preserve">described </w:t>
      </w:r>
      <w:r w:rsidRPr="00240B69">
        <w:rPr>
          <w:lang w:val="en-GB"/>
        </w:rPr>
        <w:t xml:space="preserve">how connected the members of a society </w:t>
      </w:r>
      <w:r w:rsidR="00E7329F" w:rsidRPr="00240B69">
        <w:rPr>
          <w:lang w:val="en-GB"/>
        </w:rPr>
        <w:t xml:space="preserve">were </w:t>
      </w:r>
      <w:r w:rsidRPr="00240B69">
        <w:rPr>
          <w:lang w:val="en-GB"/>
        </w:rPr>
        <w:t xml:space="preserve">with one another. A high degree of individualism </w:t>
      </w:r>
      <w:r w:rsidR="00E7329F" w:rsidRPr="00240B69">
        <w:rPr>
          <w:lang w:val="en-GB"/>
        </w:rPr>
        <w:t xml:space="preserve">was </w:t>
      </w:r>
      <w:r w:rsidRPr="00240B69">
        <w:rPr>
          <w:lang w:val="en-GB"/>
        </w:rPr>
        <w:t xml:space="preserve">associated with self-interest (personal and family), as opposed to collectivism, where the interest of the group (corporation or country) </w:t>
      </w:r>
      <w:r w:rsidR="00E7329F" w:rsidRPr="00240B69">
        <w:rPr>
          <w:lang w:val="en-GB"/>
        </w:rPr>
        <w:t xml:space="preserve">mattered </w:t>
      </w:r>
      <w:r w:rsidRPr="00240B69">
        <w:rPr>
          <w:lang w:val="en-GB"/>
        </w:rPr>
        <w:t xml:space="preserve">most, and the social connections </w:t>
      </w:r>
      <w:r w:rsidR="00E7329F" w:rsidRPr="00240B69">
        <w:rPr>
          <w:lang w:val="en-GB"/>
        </w:rPr>
        <w:t xml:space="preserve">were </w:t>
      </w:r>
      <w:r w:rsidRPr="00240B69">
        <w:rPr>
          <w:lang w:val="en-GB"/>
        </w:rPr>
        <w:t xml:space="preserve">tighter and stronger (close-knit community). </w:t>
      </w:r>
    </w:p>
    <w:p w14:paraId="3A2C371C" w14:textId="77777777" w:rsidR="00EB29D5" w:rsidRPr="00240B69" w:rsidRDefault="00EB29D5" w:rsidP="008219CD">
      <w:pPr>
        <w:pStyle w:val="ExhibitText"/>
        <w:rPr>
          <w:sz w:val="14"/>
          <w:szCs w:val="14"/>
          <w:u w:val="single"/>
          <w:lang w:val="en-GB"/>
        </w:rPr>
      </w:pPr>
    </w:p>
    <w:p w14:paraId="4F481311" w14:textId="258F8091" w:rsidR="00EB29D5" w:rsidRPr="00240B69" w:rsidRDefault="00EB29D5" w:rsidP="008219CD">
      <w:pPr>
        <w:pStyle w:val="ExhibitText"/>
        <w:rPr>
          <w:spacing w:val="-2"/>
          <w:kern w:val="20"/>
          <w:lang w:val="en-GB"/>
        </w:rPr>
      </w:pPr>
      <w:r w:rsidRPr="00240B69">
        <w:rPr>
          <w:spacing w:val="-2"/>
          <w:kern w:val="20"/>
          <w:lang w:val="en-GB"/>
        </w:rPr>
        <w:t xml:space="preserve">Masculinity versus femininity: Masculinity </w:t>
      </w:r>
      <w:r w:rsidR="00E7329F" w:rsidRPr="00240B69">
        <w:rPr>
          <w:spacing w:val="-2"/>
          <w:kern w:val="20"/>
          <w:lang w:val="en-GB"/>
        </w:rPr>
        <w:t xml:space="preserve">indicated </w:t>
      </w:r>
      <w:r w:rsidRPr="00240B69">
        <w:rPr>
          <w:spacing w:val="-2"/>
          <w:kern w:val="20"/>
          <w:lang w:val="en-GB"/>
        </w:rPr>
        <w:t xml:space="preserve">a preference for competition, assertiveness, and the rewards associated with any success, where the means often </w:t>
      </w:r>
      <w:r w:rsidR="00E7329F" w:rsidRPr="00240B69">
        <w:rPr>
          <w:spacing w:val="-2"/>
          <w:kern w:val="20"/>
          <w:lang w:val="en-GB"/>
        </w:rPr>
        <w:t xml:space="preserve">justified </w:t>
      </w:r>
      <w:r w:rsidRPr="00240B69">
        <w:rPr>
          <w:spacing w:val="-2"/>
          <w:kern w:val="20"/>
          <w:lang w:val="en-GB"/>
        </w:rPr>
        <w:t>the end</w:t>
      </w:r>
      <w:r w:rsidR="00E7329F" w:rsidRPr="00240B69">
        <w:rPr>
          <w:spacing w:val="-2"/>
          <w:kern w:val="20"/>
          <w:lang w:val="en-GB"/>
        </w:rPr>
        <w:t>s</w:t>
      </w:r>
      <w:r w:rsidRPr="00240B69">
        <w:rPr>
          <w:spacing w:val="-2"/>
          <w:kern w:val="20"/>
          <w:lang w:val="en-GB"/>
        </w:rPr>
        <w:t xml:space="preserve"> (e.g., the United States), whereas femininity </w:t>
      </w:r>
      <w:r w:rsidR="00E7329F" w:rsidRPr="00240B69">
        <w:rPr>
          <w:spacing w:val="-2"/>
          <w:kern w:val="20"/>
          <w:lang w:val="en-GB"/>
        </w:rPr>
        <w:t xml:space="preserve">emphasized </w:t>
      </w:r>
      <w:r w:rsidRPr="00240B69">
        <w:rPr>
          <w:spacing w:val="-2"/>
          <w:kern w:val="20"/>
          <w:lang w:val="en-GB"/>
        </w:rPr>
        <w:t xml:space="preserve">collaboration, modesty, and quality of life within a given society (e.g., France). </w:t>
      </w:r>
    </w:p>
    <w:p w14:paraId="1572B658" w14:textId="77777777" w:rsidR="00EB29D5" w:rsidRPr="00240B69" w:rsidRDefault="00EB29D5" w:rsidP="008219CD">
      <w:pPr>
        <w:pStyle w:val="ExhibitText"/>
        <w:rPr>
          <w:sz w:val="14"/>
          <w:szCs w:val="14"/>
          <w:lang w:val="en-GB"/>
        </w:rPr>
      </w:pPr>
    </w:p>
    <w:p w14:paraId="5D362F4D" w14:textId="5CE41C9F" w:rsidR="00EB29D5" w:rsidRPr="00240B69" w:rsidRDefault="00EB29D5" w:rsidP="008219CD">
      <w:pPr>
        <w:pStyle w:val="ExhibitText"/>
        <w:rPr>
          <w:spacing w:val="-4"/>
          <w:lang w:val="en-GB"/>
        </w:rPr>
      </w:pPr>
      <w:r w:rsidRPr="00240B69">
        <w:rPr>
          <w:lang w:val="en-GB"/>
        </w:rPr>
        <w:t xml:space="preserve">Uncertainty avoidance index (UAI): </w:t>
      </w:r>
      <w:r w:rsidRPr="00240B69">
        <w:rPr>
          <w:spacing w:val="-4"/>
          <w:lang w:val="en-GB"/>
        </w:rPr>
        <w:t xml:space="preserve">This index </w:t>
      </w:r>
      <w:r w:rsidR="00E7329F" w:rsidRPr="00240B69">
        <w:rPr>
          <w:spacing w:val="-4"/>
          <w:lang w:val="en-GB"/>
        </w:rPr>
        <w:t xml:space="preserve">measured </w:t>
      </w:r>
      <w:r w:rsidRPr="00240B69">
        <w:rPr>
          <w:spacing w:val="-4"/>
          <w:lang w:val="en-GB"/>
        </w:rPr>
        <w:t>the level to which people accept</w:t>
      </w:r>
      <w:r w:rsidR="00E7329F" w:rsidRPr="00240B69">
        <w:rPr>
          <w:spacing w:val="-4"/>
          <w:lang w:val="en-GB"/>
        </w:rPr>
        <w:t>ed</w:t>
      </w:r>
      <w:r w:rsidRPr="00240B69">
        <w:rPr>
          <w:spacing w:val="-4"/>
          <w:lang w:val="en-GB"/>
        </w:rPr>
        <w:t xml:space="preserve"> change and uncertainty—both in general and in regard to the future. Therefore, countries with a high UAI level tend</w:t>
      </w:r>
      <w:r w:rsidR="00E7329F" w:rsidRPr="00240B69">
        <w:rPr>
          <w:spacing w:val="-4"/>
          <w:lang w:val="en-GB"/>
        </w:rPr>
        <w:t>ed</w:t>
      </w:r>
      <w:r w:rsidRPr="00240B69">
        <w:rPr>
          <w:spacing w:val="-4"/>
          <w:lang w:val="en-GB"/>
        </w:rPr>
        <w:t xml:space="preserve"> to reject radical changes and ideas and </w:t>
      </w:r>
      <w:r w:rsidR="00E7329F" w:rsidRPr="00240B69">
        <w:rPr>
          <w:spacing w:val="-4"/>
          <w:lang w:val="en-GB"/>
        </w:rPr>
        <w:t xml:space="preserve">had </w:t>
      </w:r>
      <w:r w:rsidRPr="00240B69">
        <w:rPr>
          <w:spacing w:val="-4"/>
          <w:lang w:val="en-GB"/>
        </w:rPr>
        <w:t xml:space="preserve">rigid codes of behaviours (e.g., France). A low UAI </w:t>
      </w:r>
      <w:r w:rsidR="00E7329F" w:rsidRPr="00240B69">
        <w:rPr>
          <w:spacing w:val="-4"/>
          <w:lang w:val="en-GB"/>
        </w:rPr>
        <w:t xml:space="preserve">indicated </w:t>
      </w:r>
      <w:r w:rsidRPr="00240B69">
        <w:rPr>
          <w:spacing w:val="-4"/>
          <w:lang w:val="en-GB"/>
        </w:rPr>
        <w:t xml:space="preserve">risk taking and change acceptance (e.g., the United States). </w:t>
      </w:r>
    </w:p>
    <w:p w14:paraId="1FB420E9" w14:textId="77777777" w:rsidR="00EB29D5" w:rsidRPr="00240B69" w:rsidRDefault="00EB29D5" w:rsidP="008219CD">
      <w:pPr>
        <w:pStyle w:val="ExhibitText"/>
        <w:rPr>
          <w:sz w:val="14"/>
          <w:szCs w:val="14"/>
          <w:lang w:val="en-GB"/>
        </w:rPr>
      </w:pPr>
    </w:p>
    <w:p w14:paraId="56F44D53" w14:textId="6E118439" w:rsidR="00EB29D5" w:rsidRPr="00240B69" w:rsidRDefault="00EB29D5" w:rsidP="008219CD">
      <w:pPr>
        <w:pStyle w:val="ExhibitText"/>
        <w:rPr>
          <w:lang w:val="en-GB"/>
        </w:rPr>
      </w:pPr>
      <w:r w:rsidRPr="00240B69">
        <w:rPr>
          <w:lang w:val="en-GB"/>
        </w:rPr>
        <w:t xml:space="preserve">Long-term orientation versus short-term normative orientation: This concept </w:t>
      </w:r>
      <w:r w:rsidR="00E7329F" w:rsidRPr="00240B69">
        <w:rPr>
          <w:lang w:val="en-GB"/>
        </w:rPr>
        <w:t xml:space="preserve">addressed </w:t>
      </w:r>
      <w:r w:rsidRPr="00240B69">
        <w:rPr>
          <w:lang w:val="en-GB"/>
        </w:rPr>
        <w:t xml:space="preserve">how societies </w:t>
      </w:r>
      <w:r w:rsidR="00E7329F" w:rsidRPr="00240B69">
        <w:rPr>
          <w:lang w:val="en-GB"/>
        </w:rPr>
        <w:t xml:space="preserve">saw </w:t>
      </w:r>
      <w:r w:rsidRPr="00240B69">
        <w:rPr>
          <w:lang w:val="en-GB"/>
        </w:rPr>
        <w:t xml:space="preserve">their past, present, and future. A long-term orientation </w:t>
      </w:r>
      <w:r w:rsidR="00E7329F" w:rsidRPr="00240B69">
        <w:rPr>
          <w:lang w:val="en-GB"/>
        </w:rPr>
        <w:t xml:space="preserve">prioritized </w:t>
      </w:r>
      <w:r w:rsidRPr="00240B69">
        <w:rPr>
          <w:lang w:val="en-GB"/>
        </w:rPr>
        <w:t xml:space="preserve">the future, whereas a society with a short-term normative orientation </w:t>
      </w:r>
      <w:r w:rsidR="00E7329F" w:rsidRPr="00240B69">
        <w:rPr>
          <w:lang w:val="en-GB"/>
        </w:rPr>
        <w:t xml:space="preserve">prioritized </w:t>
      </w:r>
      <w:r w:rsidRPr="00240B69">
        <w:rPr>
          <w:lang w:val="en-GB"/>
        </w:rPr>
        <w:t xml:space="preserve">its past and present. In business, this concept </w:t>
      </w:r>
      <w:r w:rsidR="00E7329F" w:rsidRPr="00240B69">
        <w:rPr>
          <w:lang w:val="en-GB"/>
        </w:rPr>
        <w:t xml:space="preserve">was </w:t>
      </w:r>
      <w:r w:rsidRPr="00240B69">
        <w:rPr>
          <w:lang w:val="en-GB"/>
        </w:rPr>
        <w:t xml:space="preserve">helpful to better understand people’s motivations and time horizons when they </w:t>
      </w:r>
      <w:r w:rsidR="00E7329F" w:rsidRPr="00240B69">
        <w:rPr>
          <w:lang w:val="en-GB"/>
        </w:rPr>
        <w:t xml:space="preserve">made </w:t>
      </w:r>
      <w:r w:rsidRPr="00240B69">
        <w:rPr>
          <w:lang w:val="en-GB"/>
        </w:rPr>
        <w:t>decisions.</w:t>
      </w:r>
    </w:p>
    <w:p w14:paraId="490A5CA6" w14:textId="77777777" w:rsidR="00EB29D5" w:rsidRPr="00240B69" w:rsidRDefault="00EB29D5" w:rsidP="008219CD">
      <w:pPr>
        <w:pStyle w:val="ExhibitText"/>
        <w:rPr>
          <w:sz w:val="14"/>
          <w:szCs w:val="14"/>
          <w:u w:val="single"/>
          <w:lang w:val="en-GB"/>
        </w:rPr>
      </w:pPr>
    </w:p>
    <w:p w14:paraId="335D3788" w14:textId="57C65643" w:rsidR="00EB29D5" w:rsidRPr="00240B69" w:rsidRDefault="00EB29D5" w:rsidP="008219CD">
      <w:pPr>
        <w:pStyle w:val="ExhibitText"/>
        <w:rPr>
          <w:lang w:val="en-GB"/>
        </w:rPr>
      </w:pPr>
      <w:r w:rsidRPr="00240B69">
        <w:rPr>
          <w:lang w:val="en-GB"/>
        </w:rPr>
        <w:t xml:space="preserve">Indulgence versus restraint: A society with a high degree of indulgence </w:t>
      </w:r>
      <w:r w:rsidR="00E7329F" w:rsidRPr="00240B69">
        <w:rPr>
          <w:lang w:val="en-GB"/>
        </w:rPr>
        <w:t xml:space="preserve">prioritized </w:t>
      </w:r>
      <w:r w:rsidRPr="00240B69">
        <w:rPr>
          <w:lang w:val="en-GB"/>
        </w:rPr>
        <w:t xml:space="preserve">having fun and focusing on gratification, whereas a society with restraint </w:t>
      </w:r>
      <w:r w:rsidR="00E7329F" w:rsidRPr="00240B69">
        <w:rPr>
          <w:lang w:val="en-GB"/>
        </w:rPr>
        <w:t xml:space="preserve">would </w:t>
      </w:r>
      <w:r w:rsidRPr="00240B69">
        <w:rPr>
          <w:lang w:val="en-GB"/>
        </w:rPr>
        <w:t>regulate gratification through strict codes of conduct and norms.</w:t>
      </w:r>
    </w:p>
    <w:p w14:paraId="15F0305D" w14:textId="77777777" w:rsidR="00EB29D5" w:rsidRPr="00240B69" w:rsidRDefault="00EB29D5" w:rsidP="008219CD">
      <w:pPr>
        <w:pStyle w:val="ExhibitText"/>
        <w:rPr>
          <w:sz w:val="14"/>
          <w:szCs w:val="14"/>
          <w:lang w:val="en-GB"/>
        </w:rPr>
      </w:pPr>
    </w:p>
    <w:p w14:paraId="1A281B6C" w14:textId="2D4C9511" w:rsidR="00EB29D5" w:rsidRPr="00240B69" w:rsidRDefault="00EB29D5" w:rsidP="00DC70FC">
      <w:pPr>
        <w:pStyle w:val="Footnote"/>
        <w:rPr>
          <w:color w:val="000000"/>
          <w:shd w:val="clear" w:color="auto" w:fill="FFFFFF"/>
          <w:lang w:val="en-GB"/>
        </w:rPr>
      </w:pPr>
      <w:r w:rsidRPr="00240B69">
        <w:rPr>
          <w:lang w:val="en-GB"/>
        </w:rPr>
        <w:t>Source: Created by the case author based on “The 6 Dimensions of National Culture,”</w:t>
      </w:r>
      <w:r w:rsidRPr="00240B69">
        <w:rPr>
          <w:color w:val="000000"/>
          <w:shd w:val="clear" w:color="auto" w:fill="FFFFFF"/>
          <w:lang w:val="en-GB"/>
        </w:rPr>
        <w:t> </w:t>
      </w:r>
      <w:r w:rsidRPr="00240B69">
        <w:rPr>
          <w:iCs/>
          <w:color w:val="000000"/>
          <w:shd w:val="clear" w:color="auto" w:fill="FFFFFF"/>
          <w:lang w:val="en-GB"/>
        </w:rPr>
        <w:t>Hofstede Insights</w:t>
      </w:r>
      <w:r w:rsidRPr="00240B69">
        <w:rPr>
          <w:color w:val="000000"/>
          <w:shd w:val="clear" w:color="auto" w:fill="FFFFFF"/>
          <w:lang w:val="en-GB"/>
        </w:rPr>
        <w:t xml:space="preserve">, </w:t>
      </w:r>
      <w:r w:rsidR="00E7329F" w:rsidRPr="00240B69">
        <w:rPr>
          <w:lang w:val="en-GB"/>
        </w:rPr>
        <w:t xml:space="preserve">accessed </w:t>
      </w:r>
      <w:r w:rsidR="008B6145" w:rsidRPr="00240B69">
        <w:rPr>
          <w:lang w:val="en-GB"/>
        </w:rPr>
        <w:t>April 2, 2019</w:t>
      </w:r>
      <w:r w:rsidR="00E7329F" w:rsidRPr="00240B69">
        <w:rPr>
          <w:lang w:val="en-GB"/>
        </w:rPr>
        <w:t>,</w:t>
      </w:r>
      <w:r w:rsidR="00E7329F" w:rsidRPr="00240B69">
        <w:rPr>
          <w:b/>
          <w:lang w:val="en-GB"/>
        </w:rPr>
        <w:t xml:space="preserve"> </w:t>
      </w:r>
      <w:r w:rsidRPr="00240B69">
        <w:rPr>
          <w:shd w:val="clear" w:color="auto" w:fill="FFFFFF"/>
          <w:lang w:val="en-GB"/>
        </w:rPr>
        <w:t>www.hofstede-insights.com/models/national-culture/</w:t>
      </w:r>
      <w:r w:rsidRPr="00240B69">
        <w:rPr>
          <w:color w:val="000000"/>
          <w:shd w:val="clear" w:color="auto" w:fill="FFFFFF"/>
          <w:lang w:val="en-GB"/>
        </w:rPr>
        <w:t>.</w:t>
      </w:r>
    </w:p>
    <w:p w14:paraId="23C4E98A" w14:textId="544018D1" w:rsidR="00AD1ABE" w:rsidRPr="00240B69" w:rsidRDefault="00AD1ABE" w:rsidP="00DC70FC">
      <w:pPr>
        <w:pStyle w:val="Footnote"/>
        <w:rPr>
          <w:lang w:val="en-GB"/>
        </w:rPr>
      </w:pPr>
    </w:p>
    <w:p w14:paraId="0CFC927C" w14:textId="3738F41A" w:rsidR="00EB29D5" w:rsidRPr="00240B69" w:rsidRDefault="00EB29D5" w:rsidP="0026485F">
      <w:pPr>
        <w:pStyle w:val="ExhibitHeading"/>
        <w:rPr>
          <w:lang w:val="en-GB"/>
        </w:rPr>
      </w:pPr>
      <w:r w:rsidRPr="00240B69">
        <w:rPr>
          <w:lang w:val="en-GB"/>
        </w:rPr>
        <w:lastRenderedPageBreak/>
        <w:t xml:space="preserve">Exhibit </w:t>
      </w:r>
      <w:r w:rsidR="00AD1ABE" w:rsidRPr="00240B69">
        <w:rPr>
          <w:lang w:val="en-GB"/>
        </w:rPr>
        <w:t>3</w:t>
      </w:r>
      <w:r w:rsidRPr="00240B69">
        <w:rPr>
          <w:lang w:val="en-GB"/>
        </w:rPr>
        <w:t>: Comparison of French and US Cultures</w:t>
      </w:r>
    </w:p>
    <w:p w14:paraId="508C5A3D" w14:textId="77777777" w:rsidR="00EB29D5" w:rsidRPr="00240B69" w:rsidRDefault="00EB29D5" w:rsidP="00DC70FC">
      <w:pPr>
        <w:jc w:val="center"/>
        <w:rPr>
          <w:rFonts w:ascii="Arial" w:hAnsi="Arial" w:cs="Arial"/>
          <w:b/>
          <w:caps/>
          <w:lang w:val="en-GB"/>
        </w:rPr>
      </w:pPr>
    </w:p>
    <w:tbl>
      <w:tblPr>
        <w:tblStyle w:val="TableGrid1"/>
        <w:tblW w:w="0" w:type="auto"/>
        <w:jc w:val="center"/>
        <w:tblLook w:val="04A0" w:firstRow="1" w:lastRow="0" w:firstColumn="1" w:lastColumn="0" w:noHBand="0" w:noVBand="1"/>
      </w:tblPr>
      <w:tblGrid>
        <w:gridCol w:w="4045"/>
        <w:gridCol w:w="1260"/>
        <w:gridCol w:w="1890"/>
      </w:tblGrid>
      <w:tr w:rsidR="00EB29D5" w:rsidRPr="00240B69" w14:paraId="398B473E" w14:textId="77777777" w:rsidTr="00305468">
        <w:trPr>
          <w:jc w:val="center"/>
        </w:trPr>
        <w:tc>
          <w:tcPr>
            <w:tcW w:w="4045" w:type="dxa"/>
            <w:vAlign w:val="center"/>
          </w:tcPr>
          <w:p w14:paraId="2989CD1B" w14:textId="77777777" w:rsidR="00EB29D5" w:rsidRPr="00240B69" w:rsidRDefault="00EB29D5" w:rsidP="00DC70FC">
            <w:pPr>
              <w:pStyle w:val="ExhibitText"/>
              <w:jc w:val="left"/>
              <w:rPr>
                <w:b/>
                <w:caps/>
                <w:lang w:val="en-GB"/>
              </w:rPr>
            </w:pPr>
            <w:r w:rsidRPr="00240B69">
              <w:rPr>
                <w:b/>
                <w:caps/>
                <w:lang w:val="en-GB"/>
              </w:rPr>
              <w:t>C</w:t>
            </w:r>
            <w:r w:rsidRPr="00240B69">
              <w:rPr>
                <w:b/>
                <w:lang w:val="en-GB"/>
              </w:rPr>
              <w:t>ultural Dimension / National Culture</w:t>
            </w:r>
          </w:p>
        </w:tc>
        <w:tc>
          <w:tcPr>
            <w:tcW w:w="1260" w:type="dxa"/>
            <w:vAlign w:val="center"/>
          </w:tcPr>
          <w:p w14:paraId="268E3F1B" w14:textId="77777777" w:rsidR="00EB29D5" w:rsidRPr="00240B69" w:rsidRDefault="00EB29D5" w:rsidP="00DC70FC">
            <w:pPr>
              <w:pStyle w:val="ExhibitText"/>
              <w:jc w:val="center"/>
              <w:rPr>
                <w:b/>
                <w:caps/>
                <w:lang w:val="en-GB"/>
              </w:rPr>
            </w:pPr>
            <w:r w:rsidRPr="00240B69">
              <w:rPr>
                <w:b/>
                <w:caps/>
                <w:lang w:val="en-GB"/>
              </w:rPr>
              <w:t>FRANCE</w:t>
            </w:r>
          </w:p>
        </w:tc>
        <w:tc>
          <w:tcPr>
            <w:tcW w:w="1890" w:type="dxa"/>
            <w:vAlign w:val="center"/>
          </w:tcPr>
          <w:p w14:paraId="3A17AE6C" w14:textId="77777777" w:rsidR="00EB29D5" w:rsidRPr="00240B69" w:rsidRDefault="00EB29D5" w:rsidP="00DC70FC">
            <w:pPr>
              <w:pStyle w:val="ExhibitText"/>
              <w:jc w:val="center"/>
              <w:rPr>
                <w:b/>
                <w:caps/>
                <w:lang w:val="en-GB"/>
              </w:rPr>
            </w:pPr>
            <w:r w:rsidRPr="00240B69">
              <w:rPr>
                <w:b/>
                <w:caps/>
                <w:lang w:val="en-GB"/>
              </w:rPr>
              <w:t>UNITED STATES</w:t>
            </w:r>
          </w:p>
        </w:tc>
      </w:tr>
      <w:tr w:rsidR="00EB29D5" w:rsidRPr="00240B69" w14:paraId="27BF256F" w14:textId="77777777" w:rsidTr="00305468">
        <w:trPr>
          <w:jc w:val="center"/>
        </w:trPr>
        <w:tc>
          <w:tcPr>
            <w:tcW w:w="4045" w:type="dxa"/>
            <w:vAlign w:val="center"/>
          </w:tcPr>
          <w:p w14:paraId="2F38DF7B" w14:textId="77777777" w:rsidR="00EB29D5" w:rsidRPr="00240B69" w:rsidRDefault="00EB29D5" w:rsidP="00DC70FC">
            <w:pPr>
              <w:pStyle w:val="ExhibitText"/>
              <w:jc w:val="left"/>
              <w:rPr>
                <w:caps/>
                <w:lang w:val="en-GB"/>
              </w:rPr>
            </w:pPr>
            <w:r w:rsidRPr="00240B69">
              <w:rPr>
                <w:caps/>
                <w:lang w:val="en-GB"/>
              </w:rPr>
              <w:t>P</w:t>
            </w:r>
            <w:r w:rsidRPr="00240B69">
              <w:rPr>
                <w:lang w:val="en-GB"/>
              </w:rPr>
              <w:t>ower distance</w:t>
            </w:r>
          </w:p>
        </w:tc>
        <w:tc>
          <w:tcPr>
            <w:tcW w:w="1260" w:type="dxa"/>
            <w:vAlign w:val="center"/>
          </w:tcPr>
          <w:p w14:paraId="33E22FE0" w14:textId="77777777" w:rsidR="00EB29D5" w:rsidRPr="00240B69" w:rsidRDefault="00EB29D5" w:rsidP="00DC70FC">
            <w:pPr>
              <w:pStyle w:val="ExhibitText"/>
              <w:jc w:val="center"/>
              <w:rPr>
                <w:caps/>
                <w:lang w:val="en-GB"/>
              </w:rPr>
            </w:pPr>
            <w:r w:rsidRPr="00240B69">
              <w:rPr>
                <w:caps/>
                <w:lang w:val="en-GB"/>
              </w:rPr>
              <w:t>68</w:t>
            </w:r>
          </w:p>
        </w:tc>
        <w:tc>
          <w:tcPr>
            <w:tcW w:w="1890" w:type="dxa"/>
            <w:vAlign w:val="center"/>
          </w:tcPr>
          <w:p w14:paraId="07537514" w14:textId="77777777" w:rsidR="00EB29D5" w:rsidRPr="00240B69" w:rsidRDefault="00EB29D5" w:rsidP="00DC70FC">
            <w:pPr>
              <w:pStyle w:val="ExhibitText"/>
              <w:jc w:val="center"/>
              <w:rPr>
                <w:caps/>
                <w:lang w:val="en-GB"/>
              </w:rPr>
            </w:pPr>
            <w:r w:rsidRPr="00240B69">
              <w:rPr>
                <w:caps/>
                <w:lang w:val="en-GB"/>
              </w:rPr>
              <w:t>40</w:t>
            </w:r>
          </w:p>
        </w:tc>
      </w:tr>
      <w:tr w:rsidR="00EB29D5" w:rsidRPr="00240B69" w14:paraId="36040F14" w14:textId="77777777" w:rsidTr="00305468">
        <w:trPr>
          <w:jc w:val="center"/>
        </w:trPr>
        <w:tc>
          <w:tcPr>
            <w:tcW w:w="4045" w:type="dxa"/>
            <w:vAlign w:val="center"/>
          </w:tcPr>
          <w:p w14:paraId="6B0BCA65" w14:textId="77777777" w:rsidR="00EB29D5" w:rsidRPr="00240B69" w:rsidRDefault="00EB29D5" w:rsidP="00DC70FC">
            <w:pPr>
              <w:pStyle w:val="ExhibitText"/>
              <w:jc w:val="left"/>
              <w:rPr>
                <w:caps/>
                <w:lang w:val="en-GB"/>
              </w:rPr>
            </w:pPr>
            <w:r w:rsidRPr="00240B69">
              <w:rPr>
                <w:caps/>
                <w:lang w:val="en-GB"/>
              </w:rPr>
              <w:t>I</w:t>
            </w:r>
            <w:r w:rsidRPr="00240B69">
              <w:rPr>
                <w:lang w:val="en-GB"/>
              </w:rPr>
              <w:t>ndividualism</w:t>
            </w:r>
          </w:p>
        </w:tc>
        <w:tc>
          <w:tcPr>
            <w:tcW w:w="1260" w:type="dxa"/>
            <w:vAlign w:val="center"/>
          </w:tcPr>
          <w:p w14:paraId="3E6071F0" w14:textId="77777777" w:rsidR="00EB29D5" w:rsidRPr="00240B69" w:rsidRDefault="00EB29D5" w:rsidP="00DC70FC">
            <w:pPr>
              <w:pStyle w:val="ExhibitText"/>
              <w:jc w:val="center"/>
              <w:rPr>
                <w:caps/>
                <w:lang w:val="en-GB"/>
              </w:rPr>
            </w:pPr>
            <w:r w:rsidRPr="00240B69">
              <w:rPr>
                <w:caps/>
                <w:lang w:val="en-GB"/>
              </w:rPr>
              <w:t>71</w:t>
            </w:r>
          </w:p>
        </w:tc>
        <w:tc>
          <w:tcPr>
            <w:tcW w:w="1890" w:type="dxa"/>
            <w:vAlign w:val="center"/>
          </w:tcPr>
          <w:p w14:paraId="14FFD7BC" w14:textId="77777777" w:rsidR="00EB29D5" w:rsidRPr="00240B69" w:rsidRDefault="00EB29D5" w:rsidP="00DC70FC">
            <w:pPr>
              <w:pStyle w:val="ExhibitText"/>
              <w:jc w:val="center"/>
              <w:rPr>
                <w:caps/>
                <w:lang w:val="en-GB"/>
              </w:rPr>
            </w:pPr>
            <w:r w:rsidRPr="00240B69">
              <w:rPr>
                <w:caps/>
                <w:lang w:val="en-GB"/>
              </w:rPr>
              <w:t>91</w:t>
            </w:r>
          </w:p>
        </w:tc>
      </w:tr>
      <w:tr w:rsidR="00EB29D5" w:rsidRPr="00240B69" w14:paraId="237DB159" w14:textId="77777777" w:rsidTr="00305468">
        <w:trPr>
          <w:jc w:val="center"/>
        </w:trPr>
        <w:tc>
          <w:tcPr>
            <w:tcW w:w="4045" w:type="dxa"/>
            <w:vAlign w:val="center"/>
          </w:tcPr>
          <w:p w14:paraId="54C34C8E" w14:textId="77777777" w:rsidR="00EB29D5" w:rsidRPr="00240B69" w:rsidRDefault="00EB29D5" w:rsidP="00DC70FC">
            <w:pPr>
              <w:pStyle w:val="ExhibitText"/>
              <w:jc w:val="left"/>
              <w:rPr>
                <w:caps/>
                <w:lang w:val="en-GB"/>
              </w:rPr>
            </w:pPr>
            <w:r w:rsidRPr="00240B69">
              <w:rPr>
                <w:lang w:val="en-GB"/>
              </w:rPr>
              <w:t>Masculinity</w:t>
            </w:r>
          </w:p>
        </w:tc>
        <w:tc>
          <w:tcPr>
            <w:tcW w:w="1260" w:type="dxa"/>
            <w:vAlign w:val="center"/>
          </w:tcPr>
          <w:p w14:paraId="635CB8B4" w14:textId="77777777" w:rsidR="00EB29D5" w:rsidRPr="00240B69" w:rsidRDefault="00EB29D5" w:rsidP="00DC70FC">
            <w:pPr>
              <w:pStyle w:val="ExhibitText"/>
              <w:jc w:val="center"/>
              <w:rPr>
                <w:caps/>
                <w:lang w:val="en-GB"/>
              </w:rPr>
            </w:pPr>
            <w:r w:rsidRPr="00240B69">
              <w:rPr>
                <w:caps/>
                <w:lang w:val="en-GB"/>
              </w:rPr>
              <w:t>43</w:t>
            </w:r>
          </w:p>
        </w:tc>
        <w:tc>
          <w:tcPr>
            <w:tcW w:w="1890" w:type="dxa"/>
            <w:vAlign w:val="center"/>
          </w:tcPr>
          <w:p w14:paraId="7726B86A" w14:textId="77777777" w:rsidR="00EB29D5" w:rsidRPr="00240B69" w:rsidRDefault="00EB29D5" w:rsidP="00DC70FC">
            <w:pPr>
              <w:pStyle w:val="ExhibitText"/>
              <w:jc w:val="center"/>
              <w:rPr>
                <w:caps/>
                <w:lang w:val="en-GB"/>
              </w:rPr>
            </w:pPr>
            <w:r w:rsidRPr="00240B69">
              <w:rPr>
                <w:caps/>
                <w:lang w:val="en-GB"/>
              </w:rPr>
              <w:t>62</w:t>
            </w:r>
          </w:p>
        </w:tc>
      </w:tr>
      <w:tr w:rsidR="00EB29D5" w:rsidRPr="00240B69" w14:paraId="3BE86E91" w14:textId="77777777" w:rsidTr="00305468">
        <w:trPr>
          <w:jc w:val="center"/>
        </w:trPr>
        <w:tc>
          <w:tcPr>
            <w:tcW w:w="4045" w:type="dxa"/>
            <w:vAlign w:val="center"/>
          </w:tcPr>
          <w:p w14:paraId="28095A1B" w14:textId="77777777" w:rsidR="00EB29D5" w:rsidRPr="00240B69" w:rsidRDefault="00EB29D5" w:rsidP="00DC70FC">
            <w:pPr>
              <w:pStyle w:val="ExhibitText"/>
              <w:jc w:val="left"/>
              <w:rPr>
                <w:caps/>
                <w:lang w:val="en-GB"/>
              </w:rPr>
            </w:pPr>
            <w:r w:rsidRPr="00240B69">
              <w:rPr>
                <w:lang w:val="en-GB"/>
              </w:rPr>
              <w:t>Uncertainty avoidance</w:t>
            </w:r>
          </w:p>
        </w:tc>
        <w:tc>
          <w:tcPr>
            <w:tcW w:w="1260" w:type="dxa"/>
            <w:vAlign w:val="center"/>
          </w:tcPr>
          <w:p w14:paraId="09D28F2F" w14:textId="77777777" w:rsidR="00EB29D5" w:rsidRPr="00240B69" w:rsidRDefault="00EB29D5" w:rsidP="00DC70FC">
            <w:pPr>
              <w:pStyle w:val="ExhibitText"/>
              <w:jc w:val="center"/>
              <w:rPr>
                <w:caps/>
                <w:lang w:val="en-GB"/>
              </w:rPr>
            </w:pPr>
            <w:r w:rsidRPr="00240B69">
              <w:rPr>
                <w:caps/>
                <w:lang w:val="en-GB"/>
              </w:rPr>
              <w:t>86</w:t>
            </w:r>
          </w:p>
        </w:tc>
        <w:tc>
          <w:tcPr>
            <w:tcW w:w="1890" w:type="dxa"/>
            <w:vAlign w:val="center"/>
          </w:tcPr>
          <w:p w14:paraId="6DCBBB96" w14:textId="77777777" w:rsidR="00EB29D5" w:rsidRPr="00240B69" w:rsidRDefault="00EB29D5" w:rsidP="00DC70FC">
            <w:pPr>
              <w:pStyle w:val="ExhibitText"/>
              <w:jc w:val="center"/>
              <w:rPr>
                <w:caps/>
                <w:lang w:val="en-GB"/>
              </w:rPr>
            </w:pPr>
            <w:r w:rsidRPr="00240B69">
              <w:rPr>
                <w:caps/>
                <w:lang w:val="en-GB"/>
              </w:rPr>
              <w:t>46</w:t>
            </w:r>
          </w:p>
        </w:tc>
      </w:tr>
      <w:tr w:rsidR="00EB29D5" w:rsidRPr="00240B69" w14:paraId="79AFE600" w14:textId="77777777" w:rsidTr="00305468">
        <w:trPr>
          <w:jc w:val="center"/>
        </w:trPr>
        <w:tc>
          <w:tcPr>
            <w:tcW w:w="4045" w:type="dxa"/>
            <w:vAlign w:val="center"/>
          </w:tcPr>
          <w:p w14:paraId="5EE67AEE" w14:textId="77777777" w:rsidR="00EB29D5" w:rsidRPr="00240B69" w:rsidRDefault="00EB29D5" w:rsidP="00DC70FC">
            <w:pPr>
              <w:pStyle w:val="ExhibitText"/>
              <w:jc w:val="left"/>
              <w:rPr>
                <w:caps/>
                <w:lang w:val="en-GB"/>
              </w:rPr>
            </w:pPr>
            <w:r w:rsidRPr="00240B69">
              <w:rPr>
                <w:lang w:val="en-GB"/>
              </w:rPr>
              <w:t>Long-term orientation</w:t>
            </w:r>
          </w:p>
        </w:tc>
        <w:tc>
          <w:tcPr>
            <w:tcW w:w="1260" w:type="dxa"/>
            <w:vAlign w:val="center"/>
          </w:tcPr>
          <w:p w14:paraId="4B06D686" w14:textId="77777777" w:rsidR="00EB29D5" w:rsidRPr="00240B69" w:rsidRDefault="00EB29D5" w:rsidP="00DC70FC">
            <w:pPr>
              <w:pStyle w:val="ExhibitText"/>
              <w:jc w:val="center"/>
              <w:rPr>
                <w:caps/>
                <w:lang w:val="en-GB"/>
              </w:rPr>
            </w:pPr>
            <w:r w:rsidRPr="00240B69">
              <w:rPr>
                <w:caps/>
                <w:lang w:val="en-GB"/>
              </w:rPr>
              <w:t>63</w:t>
            </w:r>
          </w:p>
        </w:tc>
        <w:tc>
          <w:tcPr>
            <w:tcW w:w="1890" w:type="dxa"/>
            <w:vAlign w:val="center"/>
          </w:tcPr>
          <w:p w14:paraId="6060B941" w14:textId="77777777" w:rsidR="00EB29D5" w:rsidRPr="00240B69" w:rsidRDefault="00EB29D5" w:rsidP="00DC70FC">
            <w:pPr>
              <w:pStyle w:val="ExhibitText"/>
              <w:jc w:val="center"/>
              <w:rPr>
                <w:caps/>
                <w:lang w:val="en-GB"/>
              </w:rPr>
            </w:pPr>
            <w:r w:rsidRPr="00240B69">
              <w:rPr>
                <w:caps/>
                <w:lang w:val="en-GB"/>
              </w:rPr>
              <w:t>26</w:t>
            </w:r>
          </w:p>
        </w:tc>
      </w:tr>
      <w:tr w:rsidR="00EB29D5" w:rsidRPr="00240B69" w14:paraId="1F250FFE" w14:textId="77777777" w:rsidTr="00305468">
        <w:trPr>
          <w:jc w:val="center"/>
        </w:trPr>
        <w:tc>
          <w:tcPr>
            <w:tcW w:w="4045" w:type="dxa"/>
            <w:vAlign w:val="center"/>
          </w:tcPr>
          <w:p w14:paraId="6C1783B6" w14:textId="77777777" w:rsidR="00EB29D5" w:rsidRPr="00240B69" w:rsidRDefault="00EB29D5" w:rsidP="00DC70FC">
            <w:pPr>
              <w:pStyle w:val="ExhibitText"/>
              <w:jc w:val="left"/>
              <w:rPr>
                <w:caps/>
                <w:lang w:val="en-GB"/>
              </w:rPr>
            </w:pPr>
            <w:r w:rsidRPr="00240B69">
              <w:rPr>
                <w:lang w:val="en-GB"/>
              </w:rPr>
              <w:t>Indulgence</w:t>
            </w:r>
          </w:p>
        </w:tc>
        <w:tc>
          <w:tcPr>
            <w:tcW w:w="1260" w:type="dxa"/>
            <w:vAlign w:val="center"/>
          </w:tcPr>
          <w:p w14:paraId="5D24C4BE" w14:textId="77777777" w:rsidR="00EB29D5" w:rsidRPr="00240B69" w:rsidRDefault="00EB29D5" w:rsidP="00DC70FC">
            <w:pPr>
              <w:pStyle w:val="ExhibitText"/>
              <w:jc w:val="center"/>
              <w:rPr>
                <w:caps/>
                <w:lang w:val="en-GB"/>
              </w:rPr>
            </w:pPr>
            <w:r w:rsidRPr="00240B69">
              <w:rPr>
                <w:caps/>
                <w:lang w:val="en-GB"/>
              </w:rPr>
              <w:t>48</w:t>
            </w:r>
          </w:p>
        </w:tc>
        <w:tc>
          <w:tcPr>
            <w:tcW w:w="1890" w:type="dxa"/>
            <w:vAlign w:val="center"/>
          </w:tcPr>
          <w:p w14:paraId="669C8EF4" w14:textId="77777777" w:rsidR="00EB29D5" w:rsidRPr="00240B69" w:rsidRDefault="00EB29D5" w:rsidP="00DC70FC">
            <w:pPr>
              <w:pStyle w:val="ExhibitText"/>
              <w:jc w:val="center"/>
              <w:rPr>
                <w:caps/>
                <w:lang w:val="en-GB"/>
              </w:rPr>
            </w:pPr>
            <w:r w:rsidRPr="00240B69">
              <w:rPr>
                <w:caps/>
                <w:lang w:val="en-GB"/>
              </w:rPr>
              <w:t>68</w:t>
            </w:r>
          </w:p>
        </w:tc>
      </w:tr>
    </w:tbl>
    <w:p w14:paraId="08F15BD2" w14:textId="77777777" w:rsidR="00EB29D5" w:rsidRPr="00240B69" w:rsidRDefault="00EB29D5" w:rsidP="00DC70FC">
      <w:pPr>
        <w:pStyle w:val="ExhibitText"/>
        <w:rPr>
          <w:lang w:val="en-GB"/>
        </w:rPr>
      </w:pPr>
    </w:p>
    <w:p w14:paraId="2E5C2FFA" w14:textId="7D0B6BB8" w:rsidR="00EB29D5" w:rsidRPr="00240B69" w:rsidRDefault="00EB29D5" w:rsidP="00DC70FC">
      <w:pPr>
        <w:pStyle w:val="Footnote"/>
        <w:rPr>
          <w:b/>
          <w:lang w:val="en-GB"/>
        </w:rPr>
      </w:pPr>
      <w:r w:rsidRPr="00240B69">
        <w:rPr>
          <w:lang w:val="en-GB"/>
        </w:rPr>
        <w:t>Source:</w:t>
      </w:r>
      <w:r w:rsidRPr="00240B69">
        <w:rPr>
          <w:b/>
          <w:lang w:val="en-GB"/>
        </w:rPr>
        <w:t xml:space="preserve"> </w:t>
      </w:r>
      <w:r w:rsidRPr="00240B69">
        <w:rPr>
          <w:lang w:val="en-GB"/>
        </w:rPr>
        <w:t>Created by the author based on “Country Comparison,” Hofstede Insights,</w:t>
      </w:r>
      <w:r w:rsidRPr="00240B69">
        <w:rPr>
          <w:b/>
          <w:lang w:val="en-GB"/>
        </w:rPr>
        <w:t xml:space="preserve"> </w:t>
      </w:r>
      <w:r w:rsidR="00811D35" w:rsidRPr="00240B69">
        <w:rPr>
          <w:lang w:val="en-GB"/>
        </w:rPr>
        <w:t>accessed</w:t>
      </w:r>
      <w:r w:rsidR="008B6145" w:rsidRPr="00240B69">
        <w:rPr>
          <w:lang w:val="en-GB"/>
        </w:rPr>
        <w:t xml:space="preserve"> April 2, 2019</w:t>
      </w:r>
      <w:r w:rsidR="00811D35" w:rsidRPr="00240B69">
        <w:rPr>
          <w:lang w:val="en-GB"/>
        </w:rPr>
        <w:t>,</w:t>
      </w:r>
      <w:r w:rsidR="00811D35" w:rsidRPr="00240B69">
        <w:rPr>
          <w:b/>
          <w:lang w:val="en-GB"/>
        </w:rPr>
        <w:t xml:space="preserve"> </w:t>
      </w:r>
      <w:r w:rsidRPr="00240B69">
        <w:rPr>
          <w:lang w:val="en-GB"/>
        </w:rPr>
        <w:t>www.hofstede-insights.com/country-comparison/france,the-usa/.</w:t>
      </w:r>
    </w:p>
    <w:p w14:paraId="602BC968" w14:textId="77777777" w:rsidR="00EB29D5" w:rsidRPr="00240B69" w:rsidRDefault="00EB29D5" w:rsidP="008219CD">
      <w:pPr>
        <w:pStyle w:val="BodyTextMain"/>
        <w:rPr>
          <w:lang w:val="en-GB"/>
        </w:rPr>
      </w:pPr>
    </w:p>
    <w:p w14:paraId="0ADA887B" w14:textId="77777777" w:rsidR="00EB29D5" w:rsidRPr="00240B69" w:rsidRDefault="00EB29D5" w:rsidP="008219CD">
      <w:pPr>
        <w:pStyle w:val="BodyTextMain"/>
        <w:rPr>
          <w:lang w:val="en-GB"/>
        </w:rPr>
      </w:pPr>
    </w:p>
    <w:p w14:paraId="23A59515" w14:textId="53CB8282" w:rsidR="00DC70FC" w:rsidRPr="00240B69" w:rsidRDefault="00DC70FC">
      <w:pPr>
        <w:pStyle w:val="Footnote"/>
        <w:rPr>
          <w:b/>
          <w:caps/>
          <w:lang w:val="en-GB"/>
        </w:rPr>
      </w:pPr>
    </w:p>
    <w:p w14:paraId="54E6516E" w14:textId="2146F852" w:rsidR="009B66A6" w:rsidRPr="00240B69" w:rsidRDefault="009B66A6">
      <w:pPr>
        <w:spacing w:after="200" w:line="276" w:lineRule="auto"/>
        <w:rPr>
          <w:lang w:val="en-GB"/>
        </w:rPr>
      </w:pPr>
      <w:r w:rsidRPr="00240B69">
        <w:rPr>
          <w:lang w:val="en-GB"/>
        </w:rPr>
        <w:br w:type="page"/>
      </w:r>
    </w:p>
    <w:p w14:paraId="030FD3F6" w14:textId="3858B142" w:rsidR="009B66A6" w:rsidRPr="00240B69" w:rsidRDefault="00BA20A3" w:rsidP="00E54E61">
      <w:pPr>
        <w:pStyle w:val="Casehead1"/>
        <w:rPr>
          <w:lang w:val="en-GB"/>
        </w:rPr>
      </w:pPr>
      <w:r w:rsidRPr="00240B69">
        <w:rPr>
          <w:lang w:val="en-GB"/>
        </w:rPr>
        <w:lastRenderedPageBreak/>
        <w:t>ENDNOTES</w:t>
      </w:r>
    </w:p>
    <w:sectPr w:rsidR="009B66A6" w:rsidRPr="00240B69"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AB9DF" w14:textId="77777777" w:rsidR="00CA3BE7" w:rsidRDefault="00CA3BE7" w:rsidP="00D75295">
      <w:r>
        <w:separator/>
      </w:r>
    </w:p>
  </w:endnote>
  <w:endnote w:type="continuationSeparator" w:id="0">
    <w:p w14:paraId="3A9C54C9" w14:textId="77777777" w:rsidR="00CA3BE7" w:rsidRDefault="00CA3BE7" w:rsidP="00D75295">
      <w:r>
        <w:continuationSeparator/>
      </w:r>
    </w:p>
  </w:endnote>
  <w:endnote w:id="1">
    <w:p w14:paraId="50D781B2" w14:textId="77777777" w:rsidR="00DA6013" w:rsidRPr="00904CBE" w:rsidRDefault="00DA6013" w:rsidP="00DA6013">
      <w:pPr>
        <w:pStyle w:val="Footnote"/>
        <w:rPr>
          <w:lang w:val="en-GB"/>
        </w:rPr>
      </w:pPr>
      <w:r w:rsidRPr="00904CBE">
        <w:rPr>
          <w:vertAlign w:val="superscript"/>
          <w:lang w:val="en-GB"/>
        </w:rPr>
        <w:endnoteRef/>
      </w:r>
      <w:r w:rsidRPr="00904CBE">
        <w:rPr>
          <w:lang w:val="en-GB"/>
        </w:rPr>
        <w:t xml:space="preserve"> </w:t>
      </w:r>
      <w:r w:rsidRPr="00904CBE">
        <w:rPr>
          <w:rFonts w:eastAsia="Calibri"/>
          <w:lang w:val="en-GB"/>
        </w:rPr>
        <w:t>This case has been written on the basis of published sources only. Consequently, the interpretation and perspectives presented in this case are not necessarily those of General Electric</w:t>
      </w:r>
      <w:r>
        <w:rPr>
          <w:rFonts w:eastAsia="Calibri"/>
          <w:lang w:val="en-GB"/>
        </w:rPr>
        <w:t xml:space="preserve"> Company</w:t>
      </w:r>
      <w:r w:rsidRPr="00904CBE">
        <w:rPr>
          <w:rFonts w:eastAsia="Calibri"/>
          <w:lang w:val="en-GB"/>
        </w:rPr>
        <w:t>, Suez</w:t>
      </w:r>
      <w:r>
        <w:rPr>
          <w:rFonts w:eastAsia="Calibri"/>
          <w:lang w:val="en-GB"/>
        </w:rPr>
        <w:t xml:space="preserve"> SA</w:t>
      </w:r>
      <w:r w:rsidRPr="00904CBE">
        <w:rPr>
          <w:rFonts w:eastAsia="Calibri"/>
          <w:lang w:val="en-GB"/>
        </w:rPr>
        <w:t>, or any of their employees.</w:t>
      </w:r>
    </w:p>
  </w:endnote>
  <w:endnote w:id="2">
    <w:p w14:paraId="72C050DF" w14:textId="3A306F59" w:rsidR="008B42DE" w:rsidRPr="00904CBE" w:rsidRDefault="008B42DE" w:rsidP="008219CD">
      <w:pPr>
        <w:pStyle w:val="Footnote"/>
        <w:rPr>
          <w:lang w:val="en-GB"/>
        </w:rPr>
      </w:pPr>
      <w:r w:rsidRPr="00904CBE">
        <w:rPr>
          <w:vertAlign w:val="superscript"/>
          <w:lang w:val="en-GB"/>
        </w:rPr>
        <w:endnoteRef/>
      </w:r>
      <w:r w:rsidRPr="00904CBE">
        <w:rPr>
          <w:lang w:val="en-GB"/>
        </w:rPr>
        <w:t xml:space="preserve"> “$3 Billion Race for GE Water Hots Up,” Global Water Intelligence, January 12, 2017, </w:t>
      </w:r>
      <w:r w:rsidRPr="00761929">
        <w:rPr>
          <w:lang w:val="en-GB"/>
        </w:rPr>
        <w:t>accessed</w:t>
      </w:r>
      <w:r w:rsidR="008B6145" w:rsidRPr="00761929">
        <w:rPr>
          <w:lang w:val="en-GB"/>
        </w:rPr>
        <w:t xml:space="preserve"> January 16, 2019</w:t>
      </w:r>
      <w:r w:rsidRPr="00761929">
        <w:rPr>
          <w:lang w:val="en-GB"/>
        </w:rPr>
        <w:t>,</w:t>
      </w:r>
      <w:r w:rsidRPr="00904CBE">
        <w:rPr>
          <w:lang w:val="en-GB"/>
        </w:rPr>
        <w:t xml:space="preserve"> https://www.globalwaterintel.com/news/2017/2/3-billion-race-for-ge-water-hots-up.</w:t>
      </w:r>
    </w:p>
  </w:endnote>
  <w:endnote w:id="3">
    <w:p w14:paraId="623C9DA1" w14:textId="5D53EF46" w:rsidR="008B42DE" w:rsidRPr="00904CBE" w:rsidRDefault="008B42DE" w:rsidP="008219CD">
      <w:pPr>
        <w:pStyle w:val="Footnote"/>
        <w:rPr>
          <w:lang w:val="en-GB"/>
        </w:rPr>
      </w:pPr>
      <w:r w:rsidRPr="00904CBE">
        <w:rPr>
          <w:vertAlign w:val="superscript"/>
          <w:lang w:val="en-GB"/>
        </w:rPr>
        <w:endnoteRef/>
      </w:r>
      <w:r w:rsidRPr="00904CBE">
        <w:rPr>
          <w:lang w:val="en-GB"/>
        </w:rPr>
        <w:t xml:space="preserve"> Zachary Crockett, “Donald Trump Is the Only US President Ever with No Political or Military Experience,” Vox, January 23, 2017, www.vox.com/policy-and-politics/2016/11/11/13587532/donald-trump-no-experience; Ryan Teague Beckwith, “Read Donald Trump’s ‘America First’ Foreign Policy Speech,”</w:t>
      </w:r>
      <w:r w:rsidRPr="00904CBE" w:rsidDel="00780370">
        <w:rPr>
          <w:lang w:val="en-GB"/>
        </w:rPr>
        <w:t xml:space="preserve"> </w:t>
      </w:r>
      <w:r w:rsidRPr="00904CBE">
        <w:rPr>
          <w:i/>
          <w:lang w:val="en-GB"/>
        </w:rPr>
        <w:t>Time</w:t>
      </w:r>
      <w:r w:rsidRPr="00904CBE">
        <w:rPr>
          <w:lang w:val="en-GB"/>
        </w:rPr>
        <w:t>, April 27, 2016, http://time.com/4309786/read-donald-trumps-america-first-foreign-policy-speech/; “US Exit from TPP: What It Means and What Could Happen Next,”</w:t>
      </w:r>
      <w:r w:rsidRPr="00904CBE" w:rsidDel="007257B5">
        <w:rPr>
          <w:lang w:val="en-GB"/>
        </w:rPr>
        <w:t xml:space="preserve"> </w:t>
      </w:r>
      <w:r w:rsidRPr="00904CBE">
        <w:rPr>
          <w:i/>
          <w:lang w:val="en-GB"/>
        </w:rPr>
        <w:t>Straits Times</w:t>
      </w:r>
      <w:r w:rsidRPr="00904CBE">
        <w:rPr>
          <w:lang w:val="en-GB"/>
        </w:rPr>
        <w:t xml:space="preserve">, February 1, 2017, </w:t>
      </w:r>
      <w:r w:rsidRPr="00904CBE">
        <w:t>www.straitstimes.com/world/united-states/5-things-to-know-about-trans-pacific-partnership-tpp-free-trade-pact</w:t>
      </w:r>
      <w:r w:rsidRPr="00904CBE">
        <w:rPr>
          <w:lang w:val="en-GB"/>
        </w:rPr>
        <w:t xml:space="preserve">; Reuters, “Here’s How Soon Donald Trump Could Pull Out of a Historic Climate Change Deal,” </w:t>
      </w:r>
      <w:r w:rsidRPr="00904CBE">
        <w:rPr>
          <w:i/>
          <w:lang w:val="en-GB"/>
        </w:rPr>
        <w:t>Fortune</w:t>
      </w:r>
      <w:r w:rsidRPr="00904CBE">
        <w:rPr>
          <w:lang w:val="en-GB"/>
        </w:rPr>
        <w:t>, November 10, 2016, http://fortune.com/2016/11/10/donald-trump-climate-change-paris-agreement/.</w:t>
      </w:r>
    </w:p>
  </w:endnote>
  <w:endnote w:id="4">
    <w:p w14:paraId="4A7815AF" w14:textId="3C52238B" w:rsidR="008B42DE" w:rsidRPr="00904CBE" w:rsidRDefault="008B42DE" w:rsidP="008219CD">
      <w:pPr>
        <w:pStyle w:val="Footnote"/>
        <w:rPr>
          <w:lang w:val="en-GB"/>
        </w:rPr>
      </w:pPr>
      <w:r w:rsidRPr="00904CBE">
        <w:rPr>
          <w:vertAlign w:val="superscript"/>
          <w:lang w:val="en-GB"/>
        </w:rPr>
        <w:endnoteRef/>
      </w:r>
      <w:r w:rsidRPr="00904CBE">
        <w:rPr>
          <w:lang w:val="en-GB"/>
        </w:rPr>
        <w:t> Matt Townsend, “CEOs Brace for the Trump Era,”</w:t>
      </w:r>
      <w:r w:rsidRPr="00904CBE" w:rsidDel="00A26E80">
        <w:rPr>
          <w:lang w:val="en-GB"/>
        </w:rPr>
        <w:t xml:space="preserve"> </w:t>
      </w:r>
      <w:r w:rsidRPr="00904CBE">
        <w:rPr>
          <w:i/>
          <w:lang w:val="en-GB"/>
        </w:rPr>
        <w:t>Chicago Tribune</w:t>
      </w:r>
      <w:r w:rsidRPr="00904CBE">
        <w:rPr>
          <w:lang w:val="en-GB"/>
        </w:rPr>
        <w:t xml:space="preserve">, December 19, 2016, www.chicagotribune.com/business/ct-ceos-trump-business-20161219-story.html. </w:t>
      </w:r>
    </w:p>
  </w:endnote>
  <w:endnote w:id="5">
    <w:p w14:paraId="6363AE11" w14:textId="40F9FAFA" w:rsidR="008B42DE" w:rsidRPr="00904CBE" w:rsidRDefault="008B42DE" w:rsidP="008219CD">
      <w:pPr>
        <w:pStyle w:val="Footnote"/>
        <w:rPr>
          <w:lang w:val="en-GB"/>
        </w:rPr>
      </w:pPr>
      <w:r w:rsidRPr="00904CBE">
        <w:rPr>
          <w:vertAlign w:val="superscript"/>
          <w:lang w:val="en-GB"/>
        </w:rPr>
        <w:endnoteRef/>
      </w:r>
      <w:r w:rsidRPr="00904CBE">
        <w:rPr>
          <w:lang w:val="en-GB"/>
        </w:rPr>
        <w:t xml:space="preserve"> Suez, </w:t>
      </w:r>
      <w:r w:rsidRPr="00904CBE">
        <w:rPr>
          <w:i/>
          <w:lang w:val="en-GB"/>
        </w:rPr>
        <w:t>2016 ANNUAL RESULTS</w:t>
      </w:r>
      <w:r w:rsidRPr="00904CBE">
        <w:rPr>
          <w:lang w:val="en-GB"/>
        </w:rPr>
        <w:t xml:space="preserve">, 2017, </w:t>
      </w:r>
      <w:r w:rsidR="007E632F" w:rsidRPr="007E632F">
        <w:t>https://www.suez.com/-/media/suez-global/files/publication-docs/pdf-english/pr-suez-2016-annual-results-010317-eng.pdf</w:t>
      </w:r>
      <w:r w:rsidRPr="00761929">
        <w:rPr>
          <w:lang w:val="en-GB"/>
        </w:rPr>
        <w:t>.</w:t>
      </w:r>
    </w:p>
  </w:endnote>
  <w:endnote w:id="6">
    <w:p w14:paraId="0219AF6D" w14:textId="023D8A17" w:rsidR="008B42DE" w:rsidRPr="00904CBE" w:rsidRDefault="008B42DE" w:rsidP="008219CD">
      <w:pPr>
        <w:pStyle w:val="Footnote"/>
        <w:rPr>
          <w:lang w:val="en-GB"/>
        </w:rPr>
      </w:pPr>
      <w:r w:rsidRPr="00904CBE">
        <w:rPr>
          <w:vertAlign w:val="superscript"/>
          <w:lang w:val="en-GB"/>
        </w:rPr>
        <w:endnoteRef/>
      </w:r>
      <w:r w:rsidRPr="00904CBE">
        <w:rPr>
          <w:lang w:val="en-GB"/>
        </w:rPr>
        <w:t xml:space="preserve"> United Nations Department of Economic and Social Affairs (UNDESA), “International Decade for Action ‘WATER FOR LIFE’ 2005–2015: Water and Cities,” November 24, 2014, www.un.org/waterforlifedecade/water_cities.shtml. </w:t>
      </w:r>
    </w:p>
  </w:endnote>
  <w:endnote w:id="7">
    <w:p w14:paraId="2E6B95A2" w14:textId="0DE7522D" w:rsidR="008B42DE" w:rsidRPr="00904CBE" w:rsidRDefault="008B42DE" w:rsidP="008219CD">
      <w:pPr>
        <w:pStyle w:val="Footnote"/>
        <w:rPr>
          <w:lang w:val="en-GB"/>
        </w:rPr>
      </w:pPr>
      <w:r w:rsidRPr="00904CBE">
        <w:rPr>
          <w:vertAlign w:val="superscript"/>
          <w:lang w:val="en-GB"/>
        </w:rPr>
        <w:endnoteRef/>
      </w:r>
      <w:r w:rsidRPr="00904CBE">
        <w:rPr>
          <w:lang w:val="en-GB"/>
        </w:rPr>
        <w:t xml:space="preserve"> “Trade, at What </w:t>
      </w:r>
      <w:r w:rsidRPr="00904CBE">
        <w:rPr>
          <w:lang w:val="en-GB"/>
        </w:rPr>
        <w:t>Price?,”</w:t>
      </w:r>
      <w:r w:rsidRPr="00904CBE" w:rsidDel="00B2782C">
        <w:rPr>
          <w:lang w:val="en-GB"/>
        </w:rPr>
        <w:t xml:space="preserve"> </w:t>
      </w:r>
      <w:r w:rsidRPr="00904CBE">
        <w:rPr>
          <w:i/>
          <w:lang w:val="en-GB"/>
        </w:rPr>
        <w:t>Economist</w:t>
      </w:r>
      <w:r w:rsidRPr="00904CBE">
        <w:rPr>
          <w:lang w:val="en-GB"/>
        </w:rPr>
        <w:t xml:space="preserve">, April 2, 2016, www.economist.com/united-states/2016/04/02/trade-at-what-price. </w:t>
      </w:r>
    </w:p>
  </w:endnote>
  <w:endnote w:id="8">
    <w:p w14:paraId="0011A334" w14:textId="1DB9F88E" w:rsidR="008B42DE" w:rsidRPr="00904CBE" w:rsidRDefault="008B42DE" w:rsidP="008219CD">
      <w:pPr>
        <w:pStyle w:val="Footnote"/>
        <w:rPr>
          <w:spacing w:val="-4"/>
          <w:lang w:val="en-GB"/>
        </w:rPr>
      </w:pPr>
      <w:r w:rsidRPr="00904CBE">
        <w:rPr>
          <w:vertAlign w:val="superscript"/>
          <w:lang w:val="en-GB"/>
        </w:rPr>
        <w:endnoteRef/>
      </w:r>
      <w:r w:rsidRPr="00904CBE">
        <w:rPr>
          <w:lang w:val="en-GB"/>
        </w:rPr>
        <w:t xml:space="preserve"> </w:t>
      </w:r>
      <w:r w:rsidRPr="00DA6013">
        <w:rPr>
          <w:spacing w:val="-4"/>
          <w:sz w:val="16"/>
          <w:lang w:val="en-GB"/>
        </w:rPr>
        <w:t>“</w:t>
      </w:r>
      <w:r w:rsidRPr="00DA6013">
        <w:rPr>
          <w:spacing w:val="-4"/>
          <w:sz w:val="16"/>
          <w:lang w:val="en-GB"/>
        </w:rPr>
        <w:t>SEV:</w:t>
      </w:r>
      <w:r w:rsidRPr="00DA6013" w:rsidDel="00EA76BE">
        <w:rPr>
          <w:spacing w:val="-4"/>
          <w:sz w:val="16"/>
          <w:lang w:val="en-GB"/>
        </w:rPr>
        <w:t xml:space="preserve">EN </w:t>
      </w:r>
      <w:r w:rsidRPr="00DA6013">
        <w:rPr>
          <w:spacing w:val="-4"/>
          <w:sz w:val="16"/>
          <w:lang w:val="en-GB"/>
        </w:rPr>
        <w:t xml:space="preserve">FP EN Paris </w:t>
      </w:r>
      <w:r w:rsidRPr="00DA6013" w:rsidDel="00EA76BE">
        <w:rPr>
          <w:spacing w:val="-4"/>
          <w:sz w:val="16"/>
          <w:lang w:val="en-GB"/>
        </w:rPr>
        <w:t xml:space="preserve">Stock Quote – </w:t>
      </w:r>
      <w:r w:rsidRPr="00DA6013">
        <w:rPr>
          <w:spacing w:val="-4"/>
          <w:sz w:val="16"/>
          <w:lang w:val="en-GB"/>
        </w:rPr>
        <w:t>Suez,” Bloomberg, accessed July 17, 2018, www.bloomberg.com/quote/SEV:FP; “EUR/USD</w:t>
      </w:r>
      <w:r w:rsidR="00240B69" w:rsidRPr="00DA6013">
        <w:rPr>
          <w:spacing w:val="-4"/>
          <w:sz w:val="16"/>
        </w:rPr>
        <w:t> </w:t>
      </w:r>
      <w:r w:rsidR="00240B69" w:rsidRPr="00DA6013">
        <w:rPr>
          <w:spacing w:val="-4"/>
          <w:sz w:val="16"/>
          <w:lang w:val="en-GB"/>
        </w:rPr>
        <w:t>(EURUSD=X),” Yahoo! Finance, accessed July 17, 2018, </w:t>
      </w:r>
      <w:r w:rsidRPr="00DA6013">
        <w:rPr>
          <w:spacing w:val="-4"/>
          <w:sz w:val="16"/>
          <w:lang w:val="en-GB"/>
        </w:rPr>
        <w:t xml:space="preserve">https://finance.yahoo.com/quote/EURUSD%3DX?p=EURUSD%3DX. </w:t>
      </w:r>
    </w:p>
  </w:endnote>
  <w:endnote w:id="9">
    <w:p w14:paraId="3FAEA6FB" w14:textId="33546007" w:rsidR="008B42DE" w:rsidRPr="00904CBE" w:rsidRDefault="008B42DE" w:rsidP="008219CD">
      <w:pPr>
        <w:pStyle w:val="Footnote"/>
        <w:rPr>
          <w:lang w:val="en-GB"/>
        </w:rPr>
      </w:pPr>
      <w:r w:rsidRPr="00904CBE">
        <w:rPr>
          <w:vertAlign w:val="superscript"/>
          <w:lang w:val="en-GB"/>
        </w:rPr>
        <w:endnoteRef/>
      </w:r>
      <w:r w:rsidRPr="00904CBE">
        <w:rPr>
          <w:lang w:val="en-GB"/>
        </w:rPr>
        <w:t xml:space="preserve"> Wikipedia, “Suez (Company),” November 16, 2018, 12:16, https://en.wikipedia.org/wiki/Suez_(company).</w:t>
      </w:r>
    </w:p>
  </w:endnote>
  <w:endnote w:id="10">
    <w:p w14:paraId="2A48C1A7" w14:textId="081DFFFD" w:rsidR="008B42DE" w:rsidRPr="00904CBE" w:rsidRDefault="008B42DE" w:rsidP="008219CD">
      <w:pPr>
        <w:pStyle w:val="Footnote"/>
        <w:rPr>
          <w:lang w:val="en-GB"/>
        </w:rPr>
      </w:pPr>
      <w:r w:rsidRPr="00904CBE">
        <w:rPr>
          <w:vertAlign w:val="superscript"/>
          <w:lang w:val="en-GB"/>
        </w:rPr>
        <w:endnoteRef/>
      </w:r>
      <w:r w:rsidRPr="00904CBE">
        <w:rPr>
          <w:vertAlign w:val="superscript"/>
          <w:lang w:val="en-GB"/>
        </w:rPr>
        <w:t xml:space="preserve"> </w:t>
      </w:r>
      <w:r w:rsidRPr="00904CBE">
        <w:rPr>
          <w:lang w:val="en-GB"/>
        </w:rPr>
        <w:t xml:space="preserve">“Who We Are,” Suez Group, www.suez.com/en/Who-we-are. </w:t>
      </w:r>
    </w:p>
  </w:endnote>
  <w:endnote w:id="11">
    <w:p w14:paraId="4439FC4F" w14:textId="1E8B53A3" w:rsidR="008B42DE" w:rsidRPr="00904CBE" w:rsidRDefault="008B42DE" w:rsidP="008219CD">
      <w:pPr>
        <w:pStyle w:val="Footnote"/>
        <w:rPr>
          <w:lang w:val="en-GB"/>
        </w:rPr>
      </w:pPr>
      <w:r w:rsidRPr="00904CBE">
        <w:rPr>
          <w:vertAlign w:val="superscript"/>
          <w:lang w:val="en-GB"/>
        </w:rPr>
        <w:endnoteRef/>
      </w:r>
      <w:r w:rsidRPr="00904CBE">
        <w:rPr>
          <w:vertAlign w:val="superscript"/>
          <w:lang w:val="en-GB"/>
        </w:rPr>
        <w:t xml:space="preserve"> </w:t>
      </w:r>
      <w:r w:rsidRPr="00904CBE">
        <w:rPr>
          <w:lang w:val="en-GB"/>
        </w:rPr>
        <w:t>Ibid.</w:t>
      </w:r>
    </w:p>
  </w:endnote>
  <w:endnote w:id="12">
    <w:p w14:paraId="7F9137F7" w14:textId="2C62BECE" w:rsidR="008B42DE" w:rsidRPr="00904CBE" w:rsidRDefault="008B42DE" w:rsidP="008219CD">
      <w:pPr>
        <w:pStyle w:val="Footnote"/>
        <w:rPr>
          <w:spacing w:val="-8"/>
          <w:lang w:val="en-GB"/>
        </w:rPr>
      </w:pPr>
      <w:r w:rsidRPr="00904CBE">
        <w:rPr>
          <w:spacing w:val="-8"/>
          <w:vertAlign w:val="superscript"/>
          <w:lang w:val="en-GB"/>
        </w:rPr>
        <w:endnoteRef/>
      </w:r>
      <w:r w:rsidRPr="00904CBE">
        <w:rPr>
          <w:spacing w:val="-8"/>
          <w:lang w:val="en-GB"/>
        </w:rPr>
        <w:t xml:space="preserve"> Erin Lindsey Burton, “The Impact of Risk Aversion on Economic Development in Portugal,” </w:t>
      </w:r>
      <w:r w:rsidRPr="00904CBE">
        <w:rPr>
          <w:i/>
          <w:spacing w:val="-8"/>
          <w:lang w:val="en-GB"/>
        </w:rPr>
        <w:t>Perspectives on Business and Economics</w:t>
      </w:r>
      <w:r w:rsidRPr="00904CBE">
        <w:rPr>
          <w:spacing w:val="-8"/>
          <w:lang w:val="en-GB"/>
        </w:rPr>
        <w:t xml:space="preserve"> 33, paper 4 (2015), https://preserve.lehigh.edu/cgi/viewcontent.cgi?article=1003&amp;context=perspectives-v33. </w:t>
      </w:r>
    </w:p>
  </w:endnote>
  <w:endnote w:id="13">
    <w:p w14:paraId="011CF3B3" w14:textId="46F4BF30" w:rsidR="008B42DE" w:rsidRPr="00904CBE" w:rsidRDefault="008B42DE" w:rsidP="008219CD">
      <w:pPr>
        <w:pStyle w:val="Footnote"/>
        <w:rPr>
          <w:spacing w:val="-8"/>
          <w:lang w:val="en-GB"/>
        </w:rPr>
      </w:pPr>
      <w:r w:rsidRPr="00904CBE">
        <w:rPr>
          <w:spacing w:val="-8"/>
          <w:vertAlign w:val="superscript"/>
          <w:lang w:val="en-GB"/>
        </w:rPr>
        <w:endnoteRef/>
      </w:r>
      <w:r w:rsidRPr="00904CBE">
        <w:rPr>
          <w:spacing w:val="-8"/>
          <w:vertAlign w:val="superscript"/>
          <w:lang w:val="en-GB"/>
        </w:rPr>
        <w:t xml:space="preserve"> </w:t>
      </w:r>
      <w:r w:rsidRPr="00904CBE">
        <w:rPr>
          <w:lang w:val="en-GB"/>
        </w:rPr>
        <w:t xml:space="preserve">Suez, </w:t>
      </w:r>
      <w:r w:rsidRPr="00904CBE">
        <w:rPr>
          <w:i/>
          <w:lang w:val="en-GB"/>
        </w:rPr>
        <w:t>2016 ANNUAL RESULTS</w:t>
      </w:r>
      <w:r w:rsidRPr="00904CBE">
        <w:rPr>
          <w:spacing w:val="-8"/>
          <w:lang w:val="en-GB"/>
        </w:rPr>
        <w:t>, op. cit., 9.</w:t>
      </w:r>
    </w:p>
  </w:endnote>
  <w:endnote w:id="14">
    <w:p w14:paraId="4EBDBBF8" w14:textId="30C84CB7" w:rsidR="008B42DE" w:rsidRPr="00904CBE" w:rsidRDefault="008B42DE" w:rsidP="008219CD">
      <w:pPr>
        <w:pStyle w:val="Footnote"/>
        <w:rPr>
          <w:lang w:val="en-GB"/>
        </w:rPr>
      </w:pPr>
      <w:r w:rsidRPr="00904CBE">
        <w:rPr>
          <w:vertAlign w:val="superscript"/>
          <w:lang w:val="en-GB"/>
        </w:rPr>
        <w:endnoteRef/>
      </w:r>
      <w:r w:rsidRPr="00904CBE">
        <w:rPr>
          <w:lang w:val="en-GB"/>
        </w:rPr>
        <w:t xml:space="preserve"> </w:t>
      </w:r>
      <w:r w:rsidRPr="00DA6013">
        <w:rPr>
          <w:spacing w:val="-2"/>
          <w:sz w:val="16"/>
          <w:lang w:val="en-GB"/>
        </w:rPr>
        <w:t xml:space="preserve">“What Are You Looking </w:t>
      </w:r>
      <w:r w:rsidRPr="00DA6013">
        <w:rPr>
          <w:spacing w:val="-2"/>
          <w:sz w:val="16"/>
          <w:lang w:val="en-GB"/>
        </w:rPr>
        <w:t>For?,” Suez, accessed October 1, 2018, www.suez.com/en/our-offering/Businesses/What-are-you-looking-for.</w:t>
      </w:r>
    </w:p>
  </w:endnote>
  <w:endnote w:id="15">
    <w:p w14:paraId="5FE0FDCC" w14:textId="725BD8D3" w:rsidR="008B42DE" w:rsidRPr="00904CBE" w:rsidRDefault="008B42DE" w:rsidP="008219CD">
      <w:pPr>
        <w:pStyle w:val="Footnote"/>
        <w:rPr>
          <w:lang w:val="en-GB"/>
        </w:rPr>
      </w:pPr>
      <w:r w:rsidRPr="00904CBE">
        <w:rPr>
          <w:vertAlign w:val="superscript"/>
          <w:lang w:val="en-GB"/>
        </w:rPr>
        <w:endnoteRef/>
      </w:r>
      <w:r w:rsidRPr="00904CBE">
        <w:rPr>
          <w:lang w:val="en-GB"/>
        </w:rPr>
        <w:t xml:space="preserve"> Angela Monaghan, “Brexit’s Damage to UK Economy Would Be Felt until at Least 2020 – EIU,” </w:t>
      </w:r>
      <w:r w:rsidRPr="00904CBE">
        <w:rPr>
          <w:i/>
          <w:lang w:val="en-GB"/>
        </w:rPr>
        <w:t>Guardian</w:t>
      </w:r>
      <w:r w:rsidRPr="00904CBE">
        <w:rPr>
          <w:lang w:val="en-GB"/>
        </w:rPr>
        <w:t xml:space="preserve">, June 15, 2016, accessed August 8, 2018, www.theguardian.com/business/2016/jun/15/brexit-damage-uk-economy-eiu-vote-eu-recession. </w:t>
      </w:r>
    </w:p>
  </w:endnote>
  <w:endnote w:id="16">
    <w:p w14:paraId="55756535" w14:textId="489A0B77" w:rsidR="008B42DE" w:rsidRPr="00904CBE" w:rsidRDefault="008B42DE" w:rsidP="008219CD">
      <w:pPr>
        <w:pStyle w:val="Footnote"/>
        <w:rPr>
          <w:lang w:val="en-GB"/>
        </w:rPr>
      </w:pPr>
      <w:r w:rsidRPr="00904CBE">
        <w:rPr>
          <w:vertAlign w:val="superscript"/>
          <w:lang w:val="en-GB"/>
        </w:rPr>
        <w:endnoteRef/>
      </w:r>
      <w:r w:rsidRPr="00904CBE">
        <w:rPr>
          <w:lang w:val="en-GB"/>
        </w:rPr>
        <w:t xml:space="preserve"> “United States GDP Annual Growth Rate,” Trading Economics, accessed August 8, 2018, https://tradingeconomics.com/united-states/gdp-growth-annual. </w:t>
      </w:r>
    </w:p>
  </w:endnote>
  <w:endnote w:id="17">
    <w:p w14:paraId="13B883E3" w14:textId="6CE2559B" w:rsidR="008B42DE" w:rsidRPr="00904CBE" w:rsidRDefault="008B42DE" w:rsidP="008219CD">
      <w:pPr>
        <w:pStyle w:val="Footnote"/>
        <w:rPr>
          <w:lang w:val="en-GB"/>
        </w:rPr>
      </w:pPr>
      <w:r w:rsidRPr="00904CBE">
        <w:rPr>
          <w:vertAlign w:val="superscript"/>
          <w:lang w:val="en-GB"/>
        </w:rPr>
        <w:endnoteRef/>
      </w:r>
      <w:r w:rsidRPr="00904CBE">
        <w:rPr>
          <w:vertAlign w:val="superscript"/>
          <w:lang w:val="en-GB"/>
        </w:rPr>
        <w:t xml:space="preserve"> </w:t>
      </w:r>
      <w:r w:rsidRPr="00904CBE">
        <w:rPr>
          <w:lang w:val="en-GB"/>
        </w:rPr>
        <w:t>Bob Bryan,</w:t>
      </w:r>
      <w:r w:rsidRPr="00904CBE">
        <w:t xml:space="preserve"> “</w:t>
      </w:r>
      <w:r w:rsidRPr="00904CBE">
        <w:rPr>
          <w:lang w:val="en-GB"/>
        </w:rPr>
        <w:t xml:space="preserve">Trump Is Officially Making an Economic Promise That Will Be Nearly Impossible to Keep,” Business Insider, January 22, 2017, www.businessinsider.com/trump-4-gdp-growth-promise-2017-1. </w:t>
      </w:r>
    </w:p>
  </w:endnote>
  <w:endnote w:id="18">
    <w:p w14:paraId="28A868F1" w14:textId="56F6A19D" w:rsidR="008B42DE" w:rsidRPr="00904CBE" w:rsidRDefault="008B42DE" w:rsidP="008219CD">
      <w:pPr>
        <w:pStyle w:val="Footnote"/>
        <w:rPr>
          <w:lang w:val="en-GB"/>
        </w:rPr>
      </w:pPr>
      <w:r w:rsidRPr="00904CBE">
        <w:rPr>
          <w:vertAlign w:val="superscript"/>
          <w:lang w:val="en-GB"/>
        </w:rPr>
        <w:endnoteRef/>
      </w:r>
      <w:r w:rsidRPr="00904CBE">
        <w:rPr>
          <w:lang w:val="en-GB"/>
        </w:rPr>
        <w:t xml:space="preserve"> </w:t>
      </w:r>
      <w:r w:rsidRPr="00904CBE">
        <w:rPr>
          <w:lang w:val="en-CA"/>
        </w:rPr>
        <w:t xml:space="preserve">€ = EUR = euro; US$1.06 = €1 on March 1, 2017; All dollar amounts are in USD; </w:t>
      </w:r>
      <w:r w:rsidRPr="00904CBE">
        <w:rPr>
          <w:lang w:val="en-GB"/>
        </w:rPr>
        <w:t xml:space="preserve">Suez, </w:t>
      </w:r>
      <w:r w:rsidRPr="00904CBE">
        <w:rPr>
          <w:i/>
          <w:lang w:val="en-GB"/>
        </w:rPr>
        <w:t>2016 Full-Year Results</w:t>
      </w:r>
      <w:r w:rsidRPr="00904CBE">
        <w:rPr>
          <w:lang w:val="en-GB"/>
        </w:rPr>
        <w:t xml:space="preserve">, March 1, 2017, www.suez.com/en/Finance/Financial-information/Results-and-key-figures. </w:t>
      </w:r>
    </w:p>
  </w:endnote>
  <w:endnote w:id="19">
    <w:p w14:paraId="3808D5C1" w14:textId="58B6B4F6" w:rsidR="008B42DE" w:rsidRPr="00904CBE" w:rsidRDefault="008B42DE" w:rsidP="00417830">
      <w:pPr>
        <w:pStyle w:val="Footnote"/>
      </w:pPr>
      <w:r w:rsidRPr="00904CBE">
        <w:rPr>
          <w:rStyle w:val="EndnoteReference"/>
        </w:rPr>
        <w:endnoteRef/>
      </w:r>
      <w:r w:rsidRPr="00904CBE">
        <w:t xml:space="preserve"> </w:t>
      </w:r>
      <w:r w:rsidRPr="00904CBE">
        <w:rPr>
          <w:lang w:val="en-GB"/>
        </w:rPr>
        <w:t xml:space="preserve">Suez, </w:t>
      </w:r>
      <w:r w:rsidRPr="00904CBE">
        <w:rPr>
          <w:i/>
          <w:lang w:val="en-GB"/>
        </w:rPr>
        <w:t>2016 ANNUAL RESULTS</w:t>
      </w:r>
      <w:r w:rsidRPr="00904CBE">
        <w:rPr>
          <w:lang w:val="en-GB"/>
        </w:rPr>
        <w:t>, op. cit., 1.</w:t>
      </w:r>
    </w:p>
  </w:endnote>
  <w:endnote w:id="20">
    <w:p w14:paraId="5FCEB858" w14:textId="4C0853C8" w:rsidR="008B42DE" w:rsidRPr="00904CBE" w:rsidRDefault="008B42DE" w:rsidP="008219CD">
      <w:pPr>
        <w:pStyle w:val="Footnote"/>
        <w:rPr>
          <w:lang w:val="en-GB"/>
        </w:rPr>
      </w:pPr>
      <w:r w:rsidRPr="00904CBE">
        <w:rPr>
          <w:vertAlign w:val="superscript"/>
          <w:lang w:val="en-GB"/>
        </w:rPr>
        <w:endnoteRef/>
      </w:r>
      <w:r w:rsidRPr="00904CBE">
        <w:rPr>
          <w:vertAlign w:val="superscript"/>
          <w:lang w:val="en-GB"/>
        </w:rPr>
        <w:t xml:space="preserve"> </w:t>
      </w:r>
      <w:r w:rsidRPr="00904CBE">
        <w:rPr>
          <w:lang w:val="en-GB"/>
        </w:rPr>
        <w:t>Ibid.</w:t>
      </w:r>
    </w:p>
  </w:endnote>
  <w:endnote w:id="21">
    <w:p w14:paraId="1882FD29" w14:textId="2D3C587A" w:rsidR="008B42DE" w:rsidRPr="00904CBE" w:rsidRDefault="008B42DE" w:rsidP="008219CD">
      <w:pPr>
        <w:pStyle w:val="Footnote"/>
        <w:rPr>
          <w:lang w:val="en-GB"/>
        </w:rPr>
      </w:pPr>
      <w:r w:rsidRPr="00904CBE">
        <w:rPr>
          <w:vertAlign w:val="superscript"/>
          <w:lang w:val="en-GB"/>
        </w:rPr>
        <w:endnoteRef/>
      </w:r>
      <w:r w:rsidRPr="00904CBE">
        <w:rPr>
          <w:lang w:val="en-GB"/>
        </w:rPr>
        <w:t xml:space="preserve"> “Jean-Louis </w:t>
      </w:r>
      <w:r w:rsidRPr="00904CBE">
        <w:rPr>
          <w:lang w:val="en-GB"/>
        </w:rPr>
        <w:t>Chaussade Fondation,” Suez, accessed January 16, 2019,</w:t>
      </w:r>
      <w:r w:rsidRPr="00904CBE" w:rsidDel="00141377">
        <w:rPr>
          <w:lang w:val="en-GB"/>
        </w:rPr>
        <w:t xml:space="preserve"> </w:t>
      </w:r>
      <w:r w:rsidRPr="00904CBE">
        <w:rPr>
          <w:lang w:val="en-GB"/>
        </w:rPr>
        <w:t>www.suez.com/en/Who-we-are/Governance/Biography/Jean-Louis-Chaussade-Fondation.</w:t>
      </w:r>
    </w:p>
  </w:endnote>
  <w:endnote w:id="22">
    <w:p w14:paraId="7436C4AA" w14:textId="7B92C8F3" w:rsidR="008B42DE" w:rsidRPr="00904CBE" w:rsidRDefault="008B42DE" w:rsidP="008219CD">
      <w:pPr>
        <w:pStyle w:val="Footnote"/>
        <w:rPr>
          <w:lang w:val="en-GB"/>
        </w:rPr>
      </w:pPr>
      <w:r w:rsidRPr="00904CBE">
        <w:rPr>
          <w:vertAlign w:val="superscript"/>
          <w:lang w:val="en-GB"/>
        </w:rPr>
        <w:endnoteRef/>
      </w:r>
      <w:r w:rsidRPr="00904CBE">
        <w:rPr>
          <w:lang w:val="en-GB"/>
        </w:rPr>
        <w:t xml:space="preserve"> </w:t>
      </w:r>
      <w:r w:rsidRPr="00904CBE">
        <w:rPr>
          <w:spacing w:val="-2"/>
          <w:lang w:val="en-GB"/>
        </w:rPr>
        <w:t xml:space="preserve">Sarah </w:t>
      </w:r>
      <w:r w:rsidRPr="00904CBE">
        <w:rPr>
          <w:spacing w:val="-2"/>
          <w:lang w:val="en-GB"/>
        </w:rPr>
        <w:t xml:space="preserve">Asali, “AG Suez Env.: Le changement ne se verra pas à la présidence du conseil,” </w:t>
      </w:r>
      <w:r w:rsidRPr="00904CBE">
        <w:rPr>
          <w:i/>
          <w:spacing w:val="-2"/>
          <w:lang w:val="en-GB"/>
        </w:rPr>
        <w:t>Les Échos</w:t>
      </w:r>
      <w:r w:rsidRPr="00904CBE">
        <w:rPr>
          <w:spacing w:val="-2"/>
          <w:lang w:val="en-GB"/>
        </w:rPr>
        <w:t>, April 29, 2016, https://</w:t>
      </w:r>
      <w:r w:rsidRPr="00904CBE">
        <w:rPr>
          <w:lang w:val="en-GB"/>
        </w:rPr>
        <w:t>investir.lesechos.fr/actions/actualites/ag-suez-env-le-changement-ne-se-verra-pas-a-la-presidence-du-conseil-1548127.php#Z44JM834jhbk6Z6x.99.</w:t>
      </w:r>
    </w:p>
  </w:endnote>
  <w:endnote w:id="23">
    <w:p w14:paraId="7423A57E" w14:textId="3D3C3EA3" w:rsidR="008B42DE" w:rsidRPr="00904CBE" w:rsidRDefault="008B42DE" w:rsidP="008219CD">
      <w:pPr>
        <w:pStyle w:val="Footnote"/>
        <w:rPr>
          <w:lang w:val="en-GB"/>
        </w:rPr>
      </w:pPr>
      <w:r w:rsidRPr="00904CBE">
        <w:rPr>
          <w:vertAlign w:val="superscript"/>
          <w:lang w:val="en-GB"/>
        </w:rPr>
        <w:endnoteRef/>
      </w:r>
      <w:r w:rsidRPr="00904CBE">
        <w:rPr>
          <w:lang w:val="en-GB"/>
        </w:rPr>
        <w:t xml:space="preserve"> “Jean-Louis </w:t>
      </w:r>
      <w:r w:rsidRPr="00904CBE">
        <w:rPr>
          <w:lang w:val="en-GB"/>
        </w:rPr>
        <w:t>Chaussade Fondation,” op. cit.</w:t>
      </w:r>
    </w:p>
  </w:endnote>
  <w:endnote w:id="24">
    <w:p w14:paraId="4C6A1E25" w14:textId="4934066A" w:rsidR="008B42DE" w:rsidRPr="00904CBE" w:rsidRDefault="008B42DE" w:rsidP="008219CD">
      <w:pPr>
        <w:pStyle w:val="Footnote"/>
        <w:rPr>
          <w:lang w:val="en-GB"/>
        </w:rPr>
      </w:pPr>
      <w:r w:rsidRPr="00904CBE">
        <w:rPr>
          <w:vertAlign w:val="superscript"/>
          <w:lang w:val="en-GB"/>
        </w:rPr>
        <w:endnoteRef/>
      </w:r>
      <w:r w:rsidRPr="00904CBE">
        <w:rPr>
          <w:lang w:val="en-GB"/>
        </w:rPr>
        <w:t xml:space="preserve"> “Directory,” General Electric, accessed August 25, 2018, www.ge.com/directory; “GE 10-K Highlights,” General Electric, accessed August 25, 2018, www.ge.com/ar2016/10k-highlights/. </w:t>
      </w:r>
    </w:p>
  </w:endnote>
  <w:endnote w:id="25">
    <w:p w14:paraId="1E134823" w14:textId="31B3C065" w:rsidR="008B42DE" w:rsidRPr="00904CBE" w:rsidRDefault="008B42DE" w:rsidP="008219CD">
      <w:pPr>
        <w:pStyle w:val="Footnote"/>
        <w:rPr>
          <w:lang w:val="en-GB"/>
        </w:rPr>
      </w:pPr>
      <w:r w:rsidRPr="00904CBE">
        <w:rPr>
          <w:vertAlign w:val="superscript"/>
          <w:lang w:val="en-GB"/>
        </w:rPr>
        <w:endnoteRef/>
      </w:r>
      <w:r w:rsidRPr="00904CBE">
        <w:rPr>
          <w:vertAlign w:val="superscript"/>
          <w:lang w:val="en-GB"/>
        </w:rPr>
        <w:t xml:space="preserve"> </w:t>
      </w:r>
      <w:r w:rsidRPr="00904CBE">
        <w:t>“</w:t>
      </w:r>
      <w:r w:rsidRPr="00904CBE">
        <w:rPr>
          <w:lang w:val="en-GB"/>
        </w:rPr>
        <w:t xml:space="preserve">GE’s Water &amp; Process </w:t>
      </w:r>
      <w:r w:rsidRPr="00904CBE">
        <w:rPr>
          <w:lang w:val="en-GB"/>
        </w:rPr>
        <w:t>Technologies’s Competitors, Revenue, Number of Employees, Funding and Acquisitions,”</w:t>
      </w:r>
      <w:r w:rsidRPr="00904CBE" w:rsidDel="007B5FDE">
        <w:rPr>
          <w:lang w:val="en-GB"/>
        </w:rPr>
        <w:t xml:space="preserve"> </w:t>
      </w:r>
      <w:r w:rsidRPr="00904CBE">
        <w:rPr>
          <w:lang w:val="en-GB"/>
        </w:rPr>
        <w:t>Owler, accessed August 8, 2018, www.owler.com/company/gewater.</w:t>
      </w:r>
    </w:p>
  </w:endnote>
  <w:endnote w:id="26">
    <w:p w14:paraId="64C32042" w14:textId="3F06CC50" w:rsidR="008B42DE" w:rsidRPr="00904CBE" w:rsidRDefault="008B42DE" w:rsidP="008219CD">
      <w:pPr>
        <w:pStyle w:val="Footnote"/>
        <w:rPr>
          <w:lang w:val="en-GB"/>
        </w:rPr>
      </w:pPr>
      <w:r w:rsidRPr="00904CBE">
        <w:rPr>
          <w:vertAlign w:val="superscript"/>
          <w:lang w:val="en-GB"/>
        </w:rPr>
        <w:endnoteRef/>
      </w:r>
      <w:r w:rsidRPr="00904CBE">
        <w:rPr>
          <w:lang w:val="en-GB"/>
        </w:rPr>
        <w:t xml:space="preserve"> “GE’s Water &amp; Process Technologies Expands Digital Capabilities with Multiple Analytics Agreements,” G</w:t>
      </w:r>
      <w:r w:rsidR="00240B69">
        <w:rPr>
          <w:lang w:val="en-GB"/>
        </w:rPr>
        <w:t>eneral Electric, December 7, </w:t>
      </w:r>
      <w:r w:rsidRPr="00904CBE">
        <w:rPr>
          <w:lang w:val="en-GB"/>
        </w:rPr>
        <w:t>2016,</w:t>
      </w:r>
      <w:r w:rsidR="00240B69">
        <w:rPr>
          <w:spacing w:val="-4"/>
          <w:lang w:val="en-GB"/>
        </w:rPr>
        <w:t> </w:t>
      </w:r>
      <w:r w:rsidR="00240B69" w:rsidRPr="00240B69">
        <w:rPr>
          <w:spacing w:val="-4"/>
          <w:lang w:val="en-GB"/>
        </w:rPr>
        <w:t>www.genewsroom.com/press-releases/ge%E2%80%99s-water-process-technologies-expands-digital-</w:t>
      </w:r>
      <w:r w:rsidR="00240B69">
        <w:rPr>
          <w:spacing w:val="-4"/>
          <w:lang w:val="en-GB"/>
        </w:rPr>
        <w:t xml:space="preserve">capabili </w:t>
      </w:r>
      <w:r w:rsidRPr="00904CBE">
        <w:rPr>
          <w:spacing w:val="-4"/>
          <w:lang w:val="en-GB"/>
        </w:rPr>
        <w:t xml:space="preserve">ties-multiple-analytics. </w:t>
      </w:r>
    </w:p>
  </w:endnote>
  <w:endnote w:id="27">
    <w:p w14:paraId="2CB97100" w14:textId="5A09851E" w:rsidR="008B42DE" w:rsidRPr="00904CBE" w:rsidRDefault="008B42DE" w:rsidP="008219CD">
      <w:pPr>
        <w:pStyle w:val="Footnote"/>
        <w:rPr>
          <w:lang w:val="en-GB"/>
        </w:rPr>
      </w:pPr>
      <w:r w:rsidRPr="00904CBE">
        <w:rPr>
          <w:vertAlign w:val="superscript"/>
          <w:lang w:val="en-GB"/>
        </w:rPr>
        <w:endnoteRef/>
      </w:r>
      <w:r w:rsidRPr="00904CBE">
        <w:rPr>
          <w:vertAlign w:val="superscript"/>
          <w:lang w:val="en-GB"/>
        </w:rPr>
        <w:t xml:space="preserve"> </w:t>
      </w:r>
      <w:r w:rsidRPr="00904CBE">
        <w:rPr>
          <w:lang w:val="en-GB"/>
        </w:rPr>
        <w:t>Ibid.</w:t>
      </w:r>
    </w:p>
  </w:endnote>
  <w:endnote w:id="28">
    <w:p w14:paraId="6130CB7D" w14:textId="01C34C0D" w:rsidR="008B42DE" w:rsidRPr="00904CBE" w:rsidRDefault="008B42DE" w:rsidP="008219CD">
      <w:pPr>
        <w:pStyle w:val="Footnote"/>
        <w:rPr>
          <w:lang w:val="en-GB"/>
        </w:rPr>
      </w:pPr>
      <w:r w:rsidRPr="00904CBE">
        <w:rPr>
          <w:vertAlign w:val="superscript"/>
          <w:lang w:val="en-GB"/>
        </w:rPr>
        <w:endnoteRef/>
      </w:r>
      <w:r w:rsidRPr="00904CBE">
        <w:rPr>
          <w:lang w:val="en-GB"/>
        </w:rPr>
        <w:t xml:space="preserve"> Ibid.</w:t>
      </w:r>
    </w:p>
  </w:endnote>
  <w:endnote w:id="29">
    <w:p w14:paraId="27FB66FC" w14:textId="2545A140" w:rsidR="008B42DE" w:rsidRPr="00904CBE" w:rsidRDefault="008B42DE" w:rsidP="008219CD">
      <w:pPr>
        <w:pStyle w:val="Footnote"/>
        <w:rPr>
          <w:lang w:val="en-GB"/>
        </w:rPr>
      </w:pPr>
      <w:r w:rsidRPr="00904CBE">
        <w:rPr>
          <w:vertAlign w:val="superscript"/>
          <w:lang w:val="en-GB"/>
        </w:rPr>
        <w:endnoteRef/>
      </w:r>
      <w:r w:rsidRPr="00904CBE">
        <w:rPr>
          <w:lang w:val="en-GB"/>
        </w:rPr>
        <w:t xml:space="preserve"> Ibid.</w:t>
      </w:r>
    </w:p>
  </w:endnote>
  <w:endnote w:id="30">
    <w:p w14:paraId="72AA8C96" w14:textId="150994F9" w:rsidR="008B42DE" w:rsidRPr="00904CBE" w:rsidRDefault="008B42DE" w:rsidP="008219CD">
      <w:pPr>
        <w:pStyle w:val="Footnote"/>
        <w:rPr>
          <w:lang w:val="en-GB"/>
        </w:rPr>
      </w:pPr>
      <w:r w:rsidRPr="00904CBE">
        <w:rPr>
          <w:vertAlign w:val="superscript"/>
          <w:lang w:val="en-GB"/>
        </w:rPr>
        <w:endnoteRef/>
      </w:r>
      <w:r w:rsidRPr="00904CBE">
        <w:rPr>
          <w:vertAlign w:val="superscript"/>
          <w:lang w:val="en-GB"/>
        </w:rPr>
        <w:t xml:space="preserve"> </w:t>
      </w:r>
      <w:r w:rsidRPr="00904CBE">
        <w:t xml:space="preserve"> “</w:t>
      </w:r>
      <w:r w:rsidRPr="00904CBE">
        <w:rPr>
          <w:lang w:val="en-GB"/>
        </w:rPr>
        <w:t xml:space="preserve">GE Named 2014 Water Company of the Year,” General Electric, April 30, 2014, www.genewsroom.com/press-releases/ge-named-2014-water-company-year-275196. </w:t>
      </w:r>
    </w:p>
  </w:endnote>
  <w:endnote w:id="31">
    <w:p w14:paraId="212E339E" w14:textId="12C1AAE9" w:rsidR="008B42DE" w:rsidRPr="00904CBE" w:rsidRDefault="008B42DE" w:rsidP="008219CD">
      <w:pPr>
        <w:pStyle w:val="Footnote"/>
        <w:rPr>
          <w:lang w:val="en-GB"/>
        </w:rPr>
      </w:pPr>
      <w:r w:rsidRPr="00904CBE">
        <w:rPr>
          <w:vertAlign w:val="superscript"/>
          <w:lang w:val="en-GB"/>
        </w:rPr>
        <w:endnoteRef/>
      </w:r>
      <w:r w:rsidRPr="00904CBE">
        <w:rPr>
          <w:lang w:val="en-GB"/>
        </w:rPr>
        <w:t xml:space="preserve"> “Jeffrey R. Immelt,” General Electric, accessed August 7, 2018, www.ge.com/about-us/leadership/profiles/jeffrey-r-immelt; Catherine Clifford,</w:t>
      </w:r>
      <w:r w:rsidRPr="00904CBE">
        <w:t xml:space="preserve"> “</w:t>
      </w:r>
      <w:r w:rsidRPr="00904CBE">
        <w:rPr>
          <w:lang w:val="en-GB"/>
        </w:rPr>
        <w:t xml:space="preserve">Jack Welch: This Is the No. 1 Key to Success as a Leader,” CNBC Make It, November 17, 2017, www.cnbc.com/2017/11/17/former-ge-ceo-jack-welch-how-to-be-a-great-leader.html. </w:t>
      </w:r>
    </w:p>
  </w:endnote>
  <w:endnote w:id="32">
    <w:p w14:paraId="047F0912" w14:textId="276EE565" w:rsidR="008B42DE" w:rsidRPr="00240B69" w:rsidRDefault="008B42DE" w:rsidP="008219CD">
      <w:pPr>
        <w:pStyle w:val="Footnote"/>
        <w:rPr>
          <w:spacing w:val="-6"/>
          <w:kern w:val="17"/>
          <w:lang w:val="en-GB"/>
        </w:rPr>
      </w:pPr>
      <w:r w:rsidRPr="00240B69">
        <w:rPr>
          <w:spacing w:val="-6"/>
          <w:kern w:val="17"/>
          <w:vertAlign w:val="superscript"/>
          <w:lang w:val="en-GB"/>
        </w:rPr>
        <w:endnoteRef/>
      </w:r>
      <w:r w:rsidR="00240B69" w:rsidRPr="00240B69">
        <w:rPr>
          <w:spacing w:val="-6"/>
          <w:kern w:val="17"/>
          <w:lang w:val="en-GB"/>
        </w:rPr>
        <w:t> “General Electric Company (GE),” Yahoo! Finance, accessed August 7, 2018, </w:t>
      </w:r>
      <w:r w:rsidRPr="00240B69">
        <w:rPr>
          <w:spacing w:val="-6"/>
          <w:kern w:val="17"/>
          <w:lang w:val="en-GB"/>
        </w:rPr>
        <w:t xml:space="preserve">https://finance.yahoo.com/quote/GE/history?p=GE. </w:t>
      </w:r>
    </w:p>
  </w:endnote>
  <w:endnote w:id="33">
    <w:p w14:paraId="188BB4C2" w14:textId="7BB7F5F7" w:rsidR="008B42DE" w:rsidRPr="00904CBE" w:rsidRDefault="008B42DE" w:rsidP="008219CD">
      <w:pPr>
        <w:pStyle w:val="Footnote"/>
        <w:rPr>
          <w:lang w:val="en-GB"/>
        </w:rPr>
      </w:pPr>
      <w:r w:rsidRPr="00904CBE">
        <w:rPr>
          <w:vertAlign w:val="superscript"/>
          <w:lang w:val="en-GB"/>
        </w:rPr>
        <w:endnoteRef/>
      </w:r>
      <w:r w:rsidRPr="00904CBE">
        <w:rPr>
          <w:lang w:val="en-GB"/>
        </w:rPr>
        <w:t xml:space="preserve"> Sheryl O’Connor and </w:t>
      </w:r>
      <w:r w:rsidRPr="00904CBE">
        <w:rPr>
          <w:lang w:val="en-GB"/>
        </w:rPr>
        <w:t>Anahad O’Connor, “Obama Picks G.E. Chief for Board as Focus Turns to Jobs,”</w:t>
      </w:r>
      <w:r w:rsidRPr="00904CBE" w:rsidDel="008C0E29">
        <w:rPr>
          <w:lang w:val="en-GB"/>
        </w:rPr>
        <w:t xml:space="preserve"> </w:t>
      </w:r>
      <w:r w:rsidRPr="00904CBE">
        <w:rPr>
          <w:i/>
          <w:lang w:val="en-GB"/>
        </w:rPr>
        <w:t>New York Times</w:t>
      </w:r>
      <w:r w:rsidRPr="00904CBE">
        <w:rPr>
          <w:lang w:val="en-GB"/>
        </w:rPr>
        <w:t xml:space="preserve">, January 21, 2011, accessed August 7, 2018, www.nytimes.com/2011/01/22/business/economy/22immelt.html. </w:t>
      </w:r>
    </w:p>
  </w:endnote>
  <w:endnote w:id="34">
    <w:p w14:paraId="42A23950" w14:textId="61C15153" w:rsidR="008B42DE" w:rsidRPr="00904CBE" w:rsidRDefault="008B42DE" w:rsidP="008219CD">
      <w:pPr>
        <w:pStyle w:val="Footnote"/>
        <w:rPr>
          <w:spacing w:val="-8"/>
          <w:lang w:val="en-GB"/>
        </w:rPr>
      </w:pPr>
      <w:r w:rsidRPr="00904CBE">
        <w:rPr>
          <w:vertAlign w:val="superscript"/>
          <w:lang w:val="en-GB"/>
        </w:rPr>
        <w:endnoteRef/>
      </w:r>
      <w:r w:rsidR="00240B69">
        <w:rPr>
          <w:lang w:val="en-GB"/>
        </w:rPr>
        <w:t> </w:t>
      </w:r>
      <w:r w:rsidR="00240B69" w:rsidRPr="00DA6013">
        <w:rPr>
          <w:spacing w:val="-6"/>
          <w:sz w:val="16"/>
          <w:lang w:val="en-GB"/>
        </w:rPr>
        <w:t>Jim Pinto, “The NEW GE Corporate </w:t>
      </w:r>
      <w:r w:rsidRPr="00DA6013">
        <w:rPr>
          <w:spacing w:val="-6"/>
          <w:sz w:val="16"/>
          <w:lang w:val="en-GB"/>
        </w:rPr>
        <w:t>Culture,”</w:t>
      </w:r>
      <w:r w:rsidR="00240B69" w:rsidRPr="00DA6013">
        <w:rPr>
          <w:spacing w:val="-6"/>
          <w:sz w:val="16"/>
          <w:lang w:val="en-GB"/>
        </w:rPr>
        <w:t> JimPinto.com, accessed December 5, 2018, </w:t>
      </w:r>
      <w:r w:rsidRPr="00DA6013">
        <w:rPr>
          <w:spacing w:val="-6"/>
          <w:sz w:val="16"/>
          <w:lang w:val="en-GB"/>
        </w:rPr>
        <w:t xml:space="preserve">http://jimpinto.com/commentary/geculture.html. </w:t>
      </w:r>
    </w:p>
  </w:endnote>
  <w:endnote w:id="35">
    <w:p w14:paraId="647D8CCC" w14:textId="310B898A" w:rsidR="008B42DE" w:rsidRPr="00904CBE" w:rsidRDefault="008B42DE" w:rsidP="008219CD">
      <w:pPr>
        <w:pStyle w:val="Footnote"/>
        <w:rPr>
          <w:spacing w:val="-8"/>
          <w:lang w:val="en-GB"/>
        </w:rPr>
      </w:pPr>
      <w:r w:rsidRPr="00904CBE">
        <w:rPr>
          <w:spacing w:val="-8"/>
          <w:vertAlign w:val="superscript"/>
          <w:lang w:val="en-GB"/>
        </w:rPr>
        <w:endnoteRef/>
      </w:r>
      <w:r w:rsidRPr="00904CBE">
        <w:rPr>
          <w:spacing w:val="-8"/>
          <w:lang w:val="en-GB"/>
        </w:rPr>
        <w:t> Ibid.</w:t>
      </w:r>
    </w:p>
  </w:endnote>
  <w:endnote w:id="36">
    <w:p w14:paraId="3F8F6D0A" w14:textId="2F93D45F" w:rsidR="008B42DE" w:rsidRPr="00904CBE" w:rsidRDefault="008B42DE" w:rsidP="008219CD">
      <w:pPr>
        <w:pStyle w:val="Footnote"/>
        <w:rPr>
          <w:spacing w:val="-8"/>
          <w:lang w:val="en-GB"/>
        </w:rPr>
      </w:pPr>
      <w:r w:rsidRPr="00904CBE">
        <w:rPr>
          <w:spacing w:val="-8"/>
          <w:vertAlign w:val="superscript"/>
          <w:lang w:val="en-GB"/>
        </w:rPr>
        <w:endnoteRef/>
      </w:r>
      <w:r w:rsidR="00240B69">
        <w:rPr>
          <w:spacing w:val="-8"/>
          <w:lang w:val="en-GB"/>
        </w:rPr>
        <w:t> Daniel Runde, </w:t>
      </w:r>
      <w:r w:rsidRPr="00904CBE">
        <w:rPr>
          <w:spacing w:val="-8"/>
          <w:lang w:val="en-GB"/>
        </w:rPr>
        <w:t>“Urbanizatio</w:t>
      </w:r>
      <w:r w:rsidR="00240B69">
        <w:rPr>
          <w:spacing w:val="-8"/>
          <w:lang w:val="en-GB"/>
        </w:rPr>
        <w:t>n Will Change the (Developing) </w:t>
      </w:r>
      <w:r w:rsidRPr="00904CBE">
        <w:rPr>
          <w:spacing w:val="-8"/>
          <w:lang w:val="en-GB"/>
        </w:rPr>
        <w:t>World,”</w:t>
      </w:r>
      <w:r w:rsidR="00240B69">
        <w:rPr>
          <w:spacing w:val="-8"/>
          <w:lang w:val="en-GB"/>
        </w:rPr>
        <w:t> </w:t>
      </w:r>
      <w:r w:rsidRPr="00904CBE">
        <w:rPr>
          <w:i/>
          <w:spacing w:val="-8"/>
          <w:lang w:val="en-GB"/>
        </w:rPr>
        <w:t>Forbes</w:t>
      </w:r>
      <w:r w:rsidR="00240B69">
        <w:rPr>
          <w:spacing w:val="-8"/>
          <w:lang w:val="en-GB"/>
        </w:rPr>
        <w:t>, February 24, 2015, </w:t>
      </w:r>
      <w:r w:rsidRPr="00904CBE">
        <w:rPr>
          <w:spacing w:val="-8"/>
          <w:lang w:val="en-GB"/>
        </w:rPr>
        <w:t>https://www.forbes.com/sites/danielrunde/2015/02/24/urbanization-development-opportunity/#524847346ca3</w:t>
      </w:r>
      <w:r w:rsidRPr="00904CBE">
        <w:rPr>
          <w:spacing w:val="-4"/>
          <w:lang w:val="en-GB"/>
        </w:rPr>
        <w:t>.</w:t>
      </w:r>
    </w:p>
  </w:endnote>
  <w:endnote w:id="37">
    <w:p w14:paraId="7C56E6EE" w14:textId="6F2C8CC2" w:rsidR="008B42DE" w:rsidRPr="00904CBE" w:rsidRDefault="008B42DE" w:rsidP="008219CD">
      <w:pPr>
        <w:pStyle w:val="Footnote"/>
        <w:rPr>
          <w:spacing w:val="-8"/>
          <w:lang w:val="en-GB"/>
        </w:rPr>
      </w:pPr>
      <w:r w:rsidRPr="00904CBE">
        <w:rPr>
          <w:spacing w:val="-8"/>
          <w:vertAlign w:val="superscript"/>
          <w:lang w:val="en-GB"/>
        </w:rPr>
        <w:endnoteRef/>
      </w:r>
      <w:r w:rsidRPr="00904CBE">
        <w:rPr>
          <w:spacing w:val="-8"/>
          <w:lang w:val="en-GB"/>
        </w:rPr>
        <w:t xml:space="preserve"> </w:t>
      </w:r>
      <w:r w:rsidR="00904CBE" w:rsidRPr="00761929">
        <w:rPr>
          <w:lang w:val="en-GB"/>
        </w:rPr>
        <w:t xml:space="preserve">Suez, </w:t>
      </w:r>
      <w:r w:rsidR="00904CBE" w:rsidRPr="00761929">
        <w:rPr>
          <w:i/>
          <w:lang w:val="en-GB"/>
        </w:rPr>
        <w:t>2016 ANNUAL RESULTS</w:t>
      </w:r>
      <w:r w:rsidR="00904CBE" w:rsidRPr="00761929">
        <w:rPr>
          <w:lang w:val="en-GB"/>
        </w:rPr>
        <w:t xml:space="preserve"> </w:t>
      </w:r>
      <w:r w:rsidRPr="00761929">
        <w:rPr>
          <w:lang w:val="en-GB"/>
        </w:rPr>
        <w:t>op. cit.</w:t>
      </w:r>
      <w:r w:rsidRPr="00904CBE" w:rsidDel="00361AED">
        <w:rPr>
          <w:spacing w:val="-8"/>
          <w:lang w:val="en-GB"/>
        </w:rPr>
        <w:t xml:space="preserve"> </w:t>
      </w:r>
    </w:p>
  </w:endnote>
  <w:endnote w:id="38">
    <w:p w14:paraId="2CE6318C" w14:textId="75ECC1EB" w:rsidR="008B42DE" w:rsidRPr="00904CBE" w:rsidRDefault="008B42DE" w:rsidP="008219CD">
      <w:pPr>
        <w:pStyle w:val="Footnote"/>
        <w:rPr>
          <w:lang w:val="en-GB"/>
        </w:rPr>
      </w:pPr>
      <w:r w:rsidRPr="00904CBE">
        <w:rPr>
          <w:vertAlign w:val="superscript"/>
          <w:lang w:val="en-GB"/>
        </w:rPr>
        <w:endnoteRef/>
      </w:r>
      <w:r w:rsidRPr="00904CBE">
        <w:rPr>
          <w:vertAlign w:val="superscript"/>
          <w:lang w:val="en-GB"/>
        </w:rPr>
        <w:t xml:space="preserve"> </w:t>
      </w:r>
      <w:r w:rsidRPr="00904CBE">
        <w:rPr>
          <w:lang w:val="en-GB"/>
        </w:rPr>
        <w:t>Ibid.</w:t>
      </w:r>
    </w:p>
  </w:endnote>
  <w:endnote w:id="39">
    <w:p w14:paraId="16078FB8" w14:textId="5B6402FC" w:rsidR="008B42DE" w:rsidRPr="00240B69" w:rsidRDefault="008B42DE" w:rsidP="008219CD">
      <w:pPr>
        <w:pStyle w:val="Footnote"/>
        <w:rPr>
          <w:spacing w:val="-4"/>
          <w:kern w:val="17"/>
          <w:lang w:val="en-GB"/>
        </w:rPr>
      </w:pPr>
      <w:r w:rsidRPr="00240B69">
        <w:rPr>
          <w:spacing w:val="-4"/>
          <w:kern w:val="17"/>
          <w:vertAlign w:val="superscript"/>
          <w:lang w:val="en-GB"/>
        </w:rPr>
        <w:endnoteRef/>
      </w:r>
      <w:r w:rsidRPr="00240B69">
        <w:rPr>
          <w:spacing w:val="-4"/>
          <w:kern w:val="17"/>
          <w:lang w:val="en-GB"/>
        </w:rPr>
        <w:t xml:space="preserve"> Suez, “SUEZ Strengthens Its Position in Australia through the Acquisition of </w:t>
      </w:r>
      <w:r w:rsidRPr="00240B69">
        <w:rPr>
          <w:spacing w:val="-4"/>
          <w:kern w:val="17"/>
          <w:lang w:val="en-GB"/>
        </w:rPr>
        <w:t>Perthwaste, a Major Waste Management Services Provider in the Perth Region,” News Release, Suez, April 5, 2016, https://www.suez.com/en/news/press-releases/suez-strengthens-its-position-in-australia-through-the-acquisition-of-perthwaste--a-major-waste-management-services-provider-in-the-perth-region.</w:t>
      </w:r>
    </w:p>
  </w:endnote>
  <w:endnote w:id="40">
    <w:p w14:paraId="3B2140BD" w14:textId="207F50E4" w:rsidR="008B42DE" w:rsidRPr="00904CBE" w:rsidRDefault="008B42DE" w:rsidP="008219CD">
      <w:pPr>
        <w:pStyle w:val="Footnote"/>
        <w:rPr>
          <w:lang w:val="en-GB"/>
        </w:rPr>
      </w:pPr>
      <w:r w:rsidRPr="00904CBE">
        <w:rPr>
          <w:vertAlign w:val="superscript"/>
          <w:lang w:val="en-GB"/>
        </w:rPr>
        <w:endnoteRef/>
      </w:r>
      <w:r w:rsidRPr="00904CBE">
        <w:rPr>
          <w:lang w:val="en-GB"/>
        </w:rPr>
        <w:t xml:space="preserve"> Pinto,</w:t>
      </w:r>
      <w:r w:rsidRPr="00904CBE" w:rsidDel="0095086B">
        <w:rPr>
          <w:lang w:val="en-GB"/>
        </w:rPr>
        <w:t xml:space="preserve"> </w:t>
      </w:r>
      <w:r w:rsidRPr="00904CBE">
        <w:rPr>
          <w:lang w:val="en-GB"/>
        </w:rPr>
        <w:t xml:space="preserve">op. cit. </w:t>
      </w:r>
    </w:p>
  </w:endnote>
  <w:endnote w:id="41">
    <w:p w14:paraId="05BD63A9" w14:textId="719FD3C7" w:rsidR="008B42DE" w:rsidRPr="00904CBE" w:rsidRDefault="008B42DE" w:rsidP="008219CD">
      <w:pPr>
        <w:pStyle w:val="Footnote"/>
        <w:rPr>
          <w:spacing w:val="-8"/>
          <w:lang w:val="en-GB"/>
        </w:rPr>
      </w:pPr>
      <w:r w:rsidRPr="00904CBE">
        <w:rPr>
          <w:vertAlign w:val="superscript"/>
          <w:lang w:val="en-GB"/>
        </w:rPr>
        <w:endnoteRef/>
      </w:r>
      <w:r w:rsidRPr="00904CBE">
        <w:rPr>
          <w:lang w:val="en-GB"/>
        </w:rPr>
        <w:t xml:space="preserve"> </w:t>
      </w:r>
      <w:r w:rsidR="00514394" w:rsidRPr="00904CBE">
        <w:rPr>
          <w:lang w:val="en-GB"/>
        </w:rPr>
        <w:t xml:space="preserve">Benjamin Mallet and </w:t>
      </w:r>
      <w:r w:rsidRPr="00904CBE">
        <w:rPr>
          <w:lang w:val="en-GB"/>
        </w:rPr>
        <w:t xml:space="preserve">Geert De </w:t>
      </w:r>
      <w:r w:rsidRPr="00904CBE">
        <w:rPr>
          <w:lang w:val="en-GB"/>
        </w:rPr>
        <w:t>Clercq, “Suez Environnement Might Bid for GE’s Water Treatment Business,”</w:t>
      </w:r>
      <w:r w:rsidRPr="00904CBE">
        <w:rPr>
          <w:spacing w:val="-4"/>
          <w:lang w:val="en-GB"/>
        </w:rPr>
        <w:t xml:space="preserve"> Reuters, February 23, 2017, www.reuters.com/article/us-suez-ge-idUSKBN162114. </w:t>
      </w:r>
    </w:p>
  </w:endnote>
  <w:endnote w:id="42">
    <w:p w14:paraId="2CBE6865" w14:textId="22441612" w:rsidR="008B42DE" w:rsidRPr="00904CBE" w:rsidRDefault="008B42DE" w:rsidP="00417830">
      <w:pPr>
        <w:pStyle w:val="Footnote"/>
      </w:pPr>
      <w:r w:rsidRPr="00904CBE">
        <w:rPr>
          <w:rStyle w:val="EndnoteReference"/>
        </w:rPr>
        <w:endnoteRef/>
      </w:r>
      <w:r w:rsidRPr="00904CBE">
        <w:t xml:space="preserve"> Pinto,</w:t>
      </w:r>
      <w:r w:rsidRPr="00904CBE" w:rsidDel="0095086B">
        <w:t xml:space="preserve"> </w:t>
      </w:r>
      <w:r w:rsidRPr="00904CBE">
        <w:t xml:space="preserve">op. cit.; </w:t>
      </w:r>
      <w:r w:rsidR="00514394" w:rsidRPr="00904CBE">
        <w:t xml:space="preserve">Mallet and </w:t>
      </w:r>
      <w:r w:rsidRPr="00904CBE">
        <w:t xml:space="preserve">De </w:t>
      </w:r>
      <w:r w:rsidRPr="00904CBE">
        <w:t>Clercq, op. cit.</w:t>
      </w:r>
    </w:p>
  </w:endnote>
  <w:endnote w:id="43">
    <w:p w14:paraId="4FB46E46" w14:textId="45D2DCEA" w:rsidR="008B42DE" w:rsidRPr="00904CBE" w:rsidRDefault="008B42DE" w:rsidP="00417830">
      <w:pPr>
        <w:pStyle w:val="Footnote"/>
      </w:pPr>
      <w:r w:rsidRPr="00904CBE">
        <w:rPr>
          <w:vertAlign w:val="superscript"/>
        </w:rPr>
        <w:endnoteRef/>
      </w:r>
      <w:r w:rsidRPr="00904CBE">
        <w:t xml:space="preserve"> “S&amp;P 500 (^GSPC),” Yahoo! Finance,</w:t>
      </w:r>
      <w:r w:rsidRPr="00904CBE">
        <w:rPr>
          <w:lang w:val="en-CA"/>
        </w:rPr>
        <w:t xml:space="preserve"> </w:t>
      </w:r>
      <w:r w:rsidRPr="00904CBE">
        <w:t>accessed April 2, 2019, https://finance.yahoo.com/quote/%5EGSPC/history/.</w:t>
      </w:r>
    </w:p>
  </w:endnote>
  <w:endnote w:id="44">
    <w:p w14:paraId="57F7622C" w14:textId="27357B5C" w:rsidR="008B42DE" w:rsidRPr="00904CBE" w:rsidRDefault="008B42DE" w:rsidP="008219CD">
      <w:pPr>
        <w:pStyle w:val="Footnote"/>
        <w:rPr>
          <w:lang w:val="en-GB"/>
        </w:rPr>
      </w:pPr>
      <w:r w:rsidRPr="00904CBE">
        <w:rPr>
          <w:vertAlign w:val="superscript"/>
          <w:lang w:val="en-GB"/>
        </w:rPr>
        <w:endnoteRef/>
      </w:r>
      <w:r w:rsidRPr="00904CBE">
        <w:rPr>
          <w:lang w:val="en-GB"/>
        </w:rPr>
        <w:t xml:space="preserve"> “Conseil </w:t>
      </w:r>
      <w:r w:rsidRPr="00904CBE">
        <w:rPr>
          <w:lang w:val="en-GB"/>
        </w:rPr>
        <w:t>d’Administration et Comités,” Suez,</w:t>
      </w:r>
      <w:r w:rsidRPr="00904CBE" w:rsidDel="00762447">
        <w:rPr>
          <w:lang w:val="en-GB"/>
        </w:rPr>
        <w:t xml:space="preserve"> </w:t>
      </w:r>
      <w:r w:rsidRPr="00904CBE">
        <w:rPr>
          <w:lang w:val="en-GB"/>
        </w:rPr>
        <w:t xml:space="preserve">accessed January 16, 2019, www.suez.com/fr/Notre-groupe/Gouvernance/Conseil-d-administration-et-comites. </w:t>
      </w:r>
    </w:p>
  </w:endnote>
  <w:endnote w:id="45">
    <w:p w14:paraId="487E1DA8" w14:textId="710AAE49" w:rsidR="008B42DE" w:rsidRPr="00904CBE" w:rsidRDefault="008B42DE" w:rsidP="008219CD">
      <w:pPr>
        <w:pStyle w:val="Footnote"/>
        <w:rPr>
          <w:lang w:val="en-GB"/>
        </w:rPr>
      </w:pPr>
      <w:r w:rsidRPr="00904CBE">
        <w:rPr>
          <w:vertAlign w:val="superscript"/>
          <w:lang w:val="en-GB"/>
        </w:rPr>
        <w:endnoteRef/>
      </w:r>
      <w:r w:rsidRPr="00904CBE">
        <w:rPr>
          <w:lang w:val="en-GB"/>
        </w:rPr>
        <w:t xml:space="preserve"> “Differences between France and America: Main Meal at Lunch,” </w:t>
      </w:r>
      <w:r w:rsidRPr="00904CBE">
        <w:rPr>
          <w:lang w:val="en-GB"/>
        </w:rPr>
        <w:t xml:space="preserve">BrightonYourHealth, accessed January 16, 2019, www.brightonyourhealth.com/differences-france-and-america-main-meal-lunch/. </w:t>
      </w:r>
    </w:p>
  </w:endnote>
  <w:endnote w:id="46">
    <w:p w14:paraId="2944908C" w14:textId="4571C6D0" w:rsidR="008B42DE" w:rsidRPr="00904CBE" w:rsidRDefault="008B42DE" w:rsidP="008219CD">
      <w:pPr>
        <w:pStyle w:val="Footnote"/>
        <w:rPr>
          <w:lang w:val="en-GB"/>
        </w:rPr>
      </w:pPr>
      <w:r w:rsidRPr="00904CBE">
        <w:rPr>
          <w:vertAlign w:val="superscript"/>
          <w:lang w:val="en-GB"/>
        </w:rPr>
        <w:endnoteRef/>
      </w:r>
      <w:r w:rsidRPr="00904CBE">
        <w:rPr>
          <w:lang w:val="en-GB"/>
        </w:rPr>
        <w:t xml:space="preserve"> Angelique </w:t>
      </w:r>
      <w:r w:rsidRPr="00904CBE">
        <w:rPr>
          <w:lang w:val="en-GB"/>
        </w:rPr>
        <w:t>Chrisafis</w:t>
      </w:r>
      <w:r w:rsidRPr="00904CBE">
        <w:t xml:space="preserve"> “</w:t>
      </w:r>
      <w:r w:rsidRPr="00904CBE">
        <w:rPr>
          <w:lang w:val="en-GB"/>
        </w:rPr>
        <w:t xml:space="preserve">François Fillon Admits Error but Refuses to Quit French Presidential Race,” </w:t>
      </w:r>
      <w:r w:rsidRPr="00904CBE">
        <w:rPr>
          <w:i/>
          <w:lang w:val="en-GB"/>
        </w:rPr>
        <w:t>Guardian</w:t>
      </w:r>
      <w:r w:rsidRPr="00904CBE">
        <w:rPr>
          <w:lang w:val="en-GB"/>
        </w:rPr>
        <w:t xml:space="preserve">, February 6, 2017, www.theguardian.com/world/2017/feb/06/francois-fillon-admits-error-but-refuses-to-quit-french-presidential-race. </w:t>
      </w:r>
    </w:p>
  </w:endnote>
  <w:endnote w:id="47">
    <w:p w14:paraId="466A0E85" w14:textId="36D9A618" w:rsidR="008B42DE" w:rsidRPr="00904CBE" w:rsidRDefault="008B42DE" w:rsidP="008219CD">
      <w:pPr>
        <w:pStyle w:val="Footnote"/>
        <w:rPr>
          <w:lang w:val="en-GB"/>
        </w:rPr>
      </w:pPr>
      <w:r w:rsidRPr="00904CBE">
        <w:rPr>
          <w:vertAlign w:val="superscript"/>
          <w:lang w:val="en-GB"/>
        </w:rPr>
        <w:endnoteRef/>
      </w:r>
      <w:r w:rsidRPr="00904CBE">
        <w:rPr>
          <w:lang w:val="en-GB"/>
        </w:rPr>
        <w:t xml:space="preserve"> Eleanor Beardsley, “Political Outsider Emmanuel Macron Campaigns to ‘Make France Daring Again,’”</w:t>
      </w:r>
      <w:r w:rsidRPr="00904CBE" w:rsidDel="00A60395">
        <w:rPr>
          <w:lang w:val="en-GB"/>
        </w:rPr>
        <w:t xml:space="preserve"> </w:t>
      </w:r>
      <w:r w:rsidRPr="00904CBE">
        <w:rPr>
          <w:i/>
          <w:lang w:val="en-GB"/>
        </w:rPr>
        <w:t>Parallels</w:t>
      </w:r>
      <w:r w:rsidRPr="00904CBE">
        <w:rPr>
          <w:lang w:val="en-GB"/>
        </w:rPr>
        <w:t xml:space="preserve"> (blog), NPR, February 28, 2017, www.npr.org/sections/parallels/2017/02/28/517498543/political-outsider-emmanuel-macron-campaigns-to-make-france-daring-again.</w:t>
      </w:r>
    </w:p>
  </w:endnote>
  <w:endnote w:id="48">
    <w:p w14:paraId="6DBBDEFA" w14:textId="5C93AD95" w:rsidR="008B42DE" w:rsidRPr="00904CBE" w:rsidRDefault="008B42DE" w:rsidP="008219CD">
      <w:pPr>
        <w:pStyle w:val="Footnote"/>
        <w:rPr>
          <w:lang w:val="en-GB"/>
        </w:rPr>
      </w:pPr>
      <w:r w:rsidRPr="00904CBE">
        <w:rPr>
          <w:vertAlign w:val="superscript"/>
          <w:lang w:val="en-GB"/>
        </w:rPr>
        <w:endnoteRef/>
      </w:r>
      <w:r w:rsidRPr="00904CBE">
        <w:rPr>
          <w:lang w:val="en-GB"/>
        </w:rPr>
        <w:t xml:space="preserve"> AFP, “French Ex-economy Minister Emmanuel Macron Announces Presidential Bid,” Business Insider, November 16, 2016, www.businessinsider.com/afp-french-ex-economy-minister-macron-announces-presidential-bid-2016-11. </w:t>
      </w:r>
    </w:p>
  </w:endnote>
  <w:endnote w:id="49">
    <w:p w14:paraId="5B6614C7" w14:textId="38E4F02E" w:rsidR="008B42DE" w:rsidRPr="00904CBE" w:rsidRDefault="008B42DE" w:rsidP="008219CD">
      <w:pPr>
        <w:pStyle w:val="Footnote"/>
        <w:rPr>
          <w:lang w:val="en-GB"/>
        </w:rPr>
      </w:pPr>
      <w:r w:rsidRPr="00904CBE">
        <w:rPr>
          <w:vertAlign w:val="superscript"/>
          <w:lang w:val="en-GB"/>
        </w:rPr>
        <w:endnoteRef/>
      </w:r>
      <w:r w:rsidRPr="00904CBE">
        <w:rPr>
          <w:lang w:val="en-GB"/>
        </w:rPr>
        <w:t xml:space="preserve"> Daniel </w:t>
      </w:r>
      <w:r w:rsidRPr="00904CBE">
        <w:rPr>
          <w:lang w:val="en-GB"/>
        </w:rPr>
        <w:t>Boffey</w:t>
      </w:r>
      <w:r w:rsidRPr="00904CBE">
        <w:t xml:space="preserve"> “</w:t>
      </w:r>
      <w:r w:rsidRPr="00904CBE">
        <w:rPr>
          <w:lang w:val="en-GB"/>
        </w:rPr>
        <w:t xml:space="preserve">François Hollande Leads Attacks on Donald Trump at EU Summit,” </w:t>
      </w:r>
      <w:r w:rsidRPr="00904CBE">
        <w:rPr>
          <w:i/>
          <w:lang w:val="en-GB"/>
        </w:rPr>
        <w:t>Guardian</w:t>
      </w:r>
      <w:r w:rsidRPr="00904CBE">
        <w:rPr>
          <w:lang w:val="en-GB"/>
        </w:rPr>
        <w:t xml:space="preserve">, February 3, 2017, www.theguardian.com/world/2017/feb/03/francois-hollande-attacks-donald-trump-eu-summit. </w:t>
      </w:r>
    </w:p>
  </w:endnote>
  <w:endnote w:id="50">
    <w:p w14:paraId="76380F26" w14:textId="035300EA" w:rsidR="008B42DE" w:rsidRPr="00904CBE" w:rsidRDefault="008B42DE" w:rsidP="008219CD">
      <w:pPr>
        <w:pStyle w:val="Footnote"/>
        <w:rPr>
          <w:lang w:val="en-GB"/>
        </w:rPr>
      </w:pPr>
      <w:r w:rsidRPr="00904CBE">
        <w:rPr>
          <w:vertAlign w:val="superscript"/>
          <w:lang w:val="en-GB"/>
        </w:rPr>
        <w:endnoteRef/>
      </w:r>
      <w:r w:rsidRPr="00904CBE">
        <w:rPr>
          <w:lang w:val="en-GB"/>
        </w:rPr>
        <w:t> “French Presidential Hopeful Warns of Britain Becoming US Vassal State,”</w:t>
      </w:r>
      <w:r w:rsidRPr="00904CBE" w:rsidDel="00B85990">
        <w:rPr>
          <w:lang w:val="en-GB"/>
        </w:rPr>
        <w:t xml:space="preserve"> </w:t>
      </w:r>
      <w:r w:rsidRPr="00904CBE">
        <w:rPr>
          <w:lang w:val="en-GB"/>
        </w:rPr>
        <w:t xml:space="preserve">France 24, January 27, 2017, www.france24.com/en/20170127-french-presidential-hopeful-emmanuel-macron-britain-us-vassal-state-brexit-trump-france. </w:t>
      </w:r>
    </w:p>
  </w:endnote>
  <w:endnote w:id="51">
    <w:p w14:paraId="5FAA247B" w14:textId="001FDEC1" w:rsidR="008B42DE" w:rsidRPr="00904CBE" w:rsidRDefault="008B42DE" w:rsidP="008219CD">
      <w:pPr>
        <w:pStyle w:val="Footnote"/>
        <w:rPr>
          <w:lang w:val="en-GB"/>
        </w:rPr>
      </w:pPr>
      <w:r w:rsidRPr="00904CBE">
        <w:rPr>
          <w:vertAlign w:val="superscript"/>
          <w:lang w:val="en-GB"/>
        </w:rPr>
        <w:endnoteRef/>
      </w:r>
      <w:r w:rsidRPr="00904CBE">
        <w:rPr>
          <w:lang w:val="en-GB"/>
        </w:rPr>
        <w:t xml:space="preserve"> “This Chart Contains a Few Hidden Surprises about the World Economy,” Howmuch.net, accessed August 8, 2018,</w:t>
      </w:r>
      <w:r w:rsidRPr="00904CBE" w:rsidDel="009E3385">
        <w:rPr>
          <w:lang w:val="en-GB"/>
        </w:rPr>
        <w:t xml:space="preserve"> </w:t>
      </w:r>
      <w:r w:rsidRPr="00904CBE">
        <w:rPr>
          <w:lang w:val="en-GB"/>
        </w:rPr>
        <w:t>https://howmuch.net/articles/the-global-economy-by-GDP.</w:t>
      </w:r>
    </w:p>
  </w:endnote>
  <w:endnote w:id="52">
    <w:p w14:paraId="1D46704E" w14:textId="73271C9C" w:rsidR="008B42DE" w:rsidRPr="00904CBE" w:rsidRDefault="008B42DE" w:rsidP="008219CD">
      <w:pPr>
        <w:pStyle w:val="Footnote"/>
        <w:rPr>
          <w:lang w:val="en-GB"/>
        </w:rPr>
      </w:pPr>
      <w:r w:rsidRPr="00904CBE">
        <w:rPr>
          <w:vertAlign w:val="superscript"/>
          <w:lang w:val="en-GB"/>
        </w:rPr>
        <w:endnoteRef/>
      </w:r>
      <w:r w:rsidRPr="00904CBE">
        <w:rPr>
          <w:lang w:val="en-GB"/>
        </w:rPr>
        <w:t xml:space="preserve"> </w:t>
      </w:r>
      <w:r w:rsidR="00514394" w:rsidRPr="00904CBE">
        <w:rPr>
          <w:lang w:val="en-GB"/>
        </w:rPr>
        <w:t xml:space="preserve">Mallet and </w:t>
      </w:r>
      <w:r w:rsidRPr="00904CBE">
        <w:rPr>
          <w:lang w:val="en-GB"/>
        </w:rPr>
        <w:t xml:space="preserve">De </w:t>
      </w:r>
      <w:r w:rsidRPr="00904CBE">
        <w:rPr>
          <w:lang w:val="en-GB"/>
        </w:rPr>
        <w:t xml:space="preserve">Clercq, op. cit. </w:t>
      </w:r>
      <w:r w:rsidRPr="00904CBE">
        <w:rPr>
          <w:spacing w:val="-4"/>
          <w:lang w:val="en-GB"/>
        </w:rPr>
        <w:t xml:space="preserve"> </w:t>
      </w:r>
    </w:p>
  </w:endnote>
  <w:endnote w:id="53">
    <w:p w14:paraId="324F3036" w14:textId="41DEEDA7" w:rsidR="008B42DE" w:rsidRPr="00904CBE" w:rsidRDefault="008B42DE" w:rsidP="008219CD">
      <w:pPr>
        <w:pStyle w:val="Footnote"/>
        <w:rPr>
          <w:lang w:val="en-GB"/>
        </w:rPr>
      </w:pPr>
      <w:r w:rsidRPr="00904CBE">
        <w:rPr>
          <w:vertAlign w:val="superscript"/>
          <w:lang w:val="en-GB"/>
        </w:rPr>
        <w:endnoteRef/>
      </w:r>
      <w:r w:rsidRPr="00904CBE">
        <w:rPr>
          <w:lang w:val="en-GB"/>
        </w:rPr>
        <w:t xml:space="preserve"> </w:t>
      </w:r>
      <w:r w:rsidRPr="00904CBE">
        <w:rPr>
          <w:lang w:val="en-GB"/>
        </w:rPr>
        <w:t xml:space="preserve">Bourree Lam, “Trump’s Promises to Corporate Leaders: Lower Taxes and Fewer Regulations,” </w:t>
      </w:r>
      <w:r w:rsidRPr="00904CBE">
        <w:rPr>
          <w:i/>
          <w:lang w:val="en-GB"/>
        </w:rPr>
        <w:t>Atlantic</w:t>
      </w:r>
      <w:r w:rsidRPr="00904CBE">
        <w:rPr>
          <w:lang w:val="en-GB"/>
        </w:rPr>
        <w:t xml:space="preserve">, January 23, 2017, www.theatlantic.com/business/archive/2017/01/trump-corporate-tax-cut/514148/. </w:t>
      </w:r>
    </w:p>
  </w:endnote>
  <w:endnote w:id="54">
    <w:p w14:paraId="22F95339" w14:textId="5C8949EB" w:rsidR="008B42DE" w:rsidRPr="00904CBE" w:rsidRDefault="008B42DE" w:rsidP="008219CD">
      <w:pPr>
        <w:pStyle w:val="Footnote"/>
        <w:rPr>
          <w:lang w:val="en-GB"/>
        </w:rPr>
      </w:pPr>
      <w:r w:rsidRPr="00904CBE">
        <w:rPr>
          <w:vertAlign w:val="superscript"/>
          <w:lang w:val="en-GB"/>
        </w:rPr>
        <w:endnoteRef/>
      </w:r>
      <w:r w:rsidRPr="00904CBE">
        <w:rPr>
          <w:lang w:val="en-GB"/>
        </w:rPr>
        <w:t xml:space="preserve"> Pinto,</w:t>
      </w:r>
      <w:r w:rsidRPr="00904CBE" w:rsidDel="0095086B">
        <w:rPr>
          <w:lang w:val="en-GB"/>
        </w:rPr>
        <w:t xml:space="preserve"> </w:t>
      </w:r>
      <w:r w:rsidRPr="00904CBE">
        <w:rPr>
          <w:lang w:val="en-GB"/>
        </w:rPr>
        <w:t xml:space="preserve">op. cit. </w:t>
      </w:r>
    </w:p>
  </w:endnote>
  <w:endnote w:id="55">
    <w:p w14:paraId="51FA6FBF" w14:textId="144988C2" w:rsidR="008B42DE" w:rsidRPr="00904CBE" w:rsidRDefault="008B42DE" w:rsidP="008219CD">
      <w:pPr>
        <w:pStyle w:val="Footnote"/>
        <w:rPr>
          <w:lang w:val="en-GB"/>
        </w:rPr>
      </w:pPr>
      <w:r w:rsidRPr="00904CBE">
        <w:rPr>
          <w:vertAlign w:val="superscript"/>
          <w:lang w:val="en-GB"/>
        </w:rPr>
        <w:endnoteRef/>
      </w:r>
      <w:r w:rsidRPr="00904CBE">
        <w:rPr>
          <w:lang w:val="en-GB"/>
        </w:rPr>
        <w:t xml:space="preserve"> Ibid. </w:t>
      </w:r>
    </w:p>
  </w:endnote>
  <w:endnote w:id="56">
    <w:p w14:paraId="0F9DDB84" w14:textId="0EFB4EE3" w:rsidR="008B42DE" w:rsidRPr="001A0B50" w:rsidRDefault="008B42DE" w:rsidP="008219CD">
      <w:pPr>
        <w:pStyle w:val="Footnote"/>
        <w:rPr>
          <w:lang w:val="en-GB"/>
        </w:rPr>
      </w:pPr>
      <w:r w:rsidRPr="00904CBE">
        <w:rPr>
          <w:vertAlign w:val="superscript"/>
          <w:lang w:val="en-GB"/>
        </w:rPr>
        <w:endnoteRef/>
      </w:r>
      <w:r w:rsidRPr="00904CBE">
        <w:rPr>
          <w:lang w:val="en-GB"/>
        </w:rPr>
        <w:t xml:space="preserve"> Ciara </w:t>
      </w:r>
      <w:r w:rsidRPr="00904CBE">
        <w:rPr>
          <w:lang w:val="en-GB"/>
        </w:rPr>
        <w:t>Linnane,</w:t>
      </w:r>
      <w:r w:rsidRPr="00904CBE">
        <w:t xml:space="preserve"> “</w:t>
      </w:r>
      <w:r w:rsidRPr="00904CBE">
        <w:rPr>
          <w:lang w:val="en-GB"/>
        </w:rPr>
        <w:t>How Trump’s Use of Twitter Is Creating Credit Risk for Companies,” MarketWatch, February 12, 2017, www.marketwatch.com/story/trumps-use-of-twitter-is-creating-credit-risk-for-companies-2017-02-10.</w:t>
      </w:r>
      <w:r>
        <w:rPr>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C6271" w14:textId="77777777" w:rsidR="00CA3BE7" w:rsidRDefault="00CA3BE7" w:rsidP="00D75295">
      <w:r>
        <w:separator/>
      </w:r>
    </w:p>
  </w:footnote>
  <w:footnote w:type="continuationSeparator" w:id="0">
    <w:p w14:paraId="30D3CC6A" w14:textId="77777777" w:rsidR="00CA3BE7" w:rsidRDefault="00CA3BE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5BAB9AF" w:rsidR="00454024" w:rsidRPr="00C92CC4" w:rsidRDefault="0045402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B6C14">
      <w:rPr>
        <w:rFonts w:ascii="Arial" w:hAnsi="Arial"/>
        <w:b/>
        <w:noProof/>
      </w:rPr>
      <w:t>11</w:t>
    </w:r>
    <w:r>
      <w:rPr>
        <w:rFonts w:ascii="Arial" w:hAnsi="Arial"/>
        <w:b/>
      </w:rPr>
      <w:fldChar w:fldCharType="end"/>
    </w:r>
    <w:r w:rsidR="00761929">
      <w:rPr>
        <w:rFonts w:ascii="Arial" w:hAnsi="Arial"/>
        <w:b/>
      </w:rPr>
      <w:tab/>
      <w:t>9B19M035</w:t>
    </w:r>
  </w:p>
  <w:p w14:paraId="2B53C0A0" w14:textId="77777777" w:rsidR="00454024" w:rsidRDefault="00454024" w:rsidP="00D13667">
    <w:pPr>
      <w:pStyle w:val="Header"/>
      <w:tabs>
        <w:tab w:val="clear" w:pos="4680"/>
      </w:tabs>
      <w:rPr>
        <w:sz w:val="18"/>
        <w:szCs w:val="18"/>
      </w:rPr>
    </w:pPr>
  </w:p>
  <w:p w14:paraId="47119730" w14:textId="77777777" w:rsidR="00454024" w:rsidRPr="00C92CC4" w:rsidRDefault="0045402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5245F"/>
    <w:multiLevelType w:val="hybridMultilevel"/>
    <w:tmpl w:val="1A24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C54B41"/>
    <w:multiLevelType w:val="hybridMultilevel"/>
    <w:tmpl w:val="A8E85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89597B"/>
    <w:multiLevelType w:val="hybridMultilevel"/>
    <w:tmpl w:val="B2C01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C2F50"/>
    <w:multiLevelType w:val="hybridMultilevel"/>
    <w:tmpl w:val="8FF4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C64D4"/>
    <w:multiLevelType w:val="hybridMultilevel"/>
    <w:tmpl w:val="D0B682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
  </w:num>
  <w:num w:numId="4">
    <w:abstractNumId w:val="14"/>
  </w:num>
  <w:num w:numId="5">
    <w:abstractNumId w:val="4"/>
  </w:num>
  <w:num w:numId="6">
    <w:abstractNumId w:val="11"/>
  </w:num>
  <w:num w:numId="7">
    <w:abstractNumId w:val="0"/>
  </w:num>
  <w:num w:numId="8">
    <w:abstractNumId w:val="16"/>
  </w:num>
  <w:num w:numId="9">
    <w:abstractNumId w:val="12"/>
  </w:num>
  <w:num w:numId="10">
    <w:abstractNumId w:val="1"/>
  </w:num>
  <w:num w:numId="11">
    <w:abstractNumId w:val="8"/>
  </w:num>
  <w:num w:numId="12">
    <w:abstractNumId w:val="9"/>
  </w:num>
  <w:num w:numId="13">
    <w:abstractNumId w:val="13"/>
  </w:num>
  <w:num w:numId="14">
    <w:abstractNumId w:val="5"/>
  </w:num>
  <w:num w:numId="15">
    <w:abstractNumId w:val="7"/>
  </w:num>
  <w:num w:numId="16">
    <w:abstractNumId w:val="2"/>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24FC"/>
    <w:rsid w:val="00013360"/>
    <w:rsid w:val="00016759"/>
    <w:rsid w:val="000216CE"/>
    <w:rsid w:val="00024ED4"/>
    <w:rsid w:val="00025DC7"/>
    <w:rsid w:val="00031D8D"/>
    <w:rsid w:val="0003259D"/>
    <w:rsid w:val="00033EBC"/>
    <w:rsid w:val="00035F09"/>
    <w:rsid w:val="00044ECC"/>
    <w:rsid w:val="000531D3"/>
    <w:rsid w:val="0005646B"/>
    <w:rsid w:val="000572C9"/>
    <w:rsid w:val="00061430"/>
    <w:rsid w:val="000615D1"/>
    <w:rsid w:val="0008102D"/>
    <w:rsid w:val="00086B26"/>
    <w:rsid w:val="000927EE"/>
    <w:rsid w:val="00094C0E"/>
    <w:rsid w:val="00095419"/>
    <w:rsid w:val="000A146D"/>
    <w:rsid w:val="000A7BAD"/>
    <w:rsid w:val="000B4FCE"/>
    <w:rsid w:val="000C7149"/>
    <w:rsid w:val="000D2A2F"/>
    <w:rsid w:val="000D3760"/>
    <w:rsid w:val="000D3826"/>
    <w:rsid w:val="000D7091"/>
    <w:rsid w:val="000E101B"/>
    <w:rsid w:val="000E29F7"/>
    <w:rsid w:val="000E7B45"/>
    <w:rsid w:val="000F0C22"/>
    <w:rsid w:val="000F3981"/>
    <w:rsid w:val="000F6B09"/>
    <w:rsid w:val="000F6FDC"/>
    <w:rsid w:val="00104567"/>
    <w:rsid w:val="00104916"/>
    <w:rsid w:val="00104AA7"/>
    <w:rsid w:val="001114CF"/>
    <w:rsid w:val="00122B4C"/>
    <w:rsid w:val="0012732D"/>
    <w:rsid w:val="0013398A"/>
    <w:rsid w:val="0013506C"/>
    <w:rsid w:val="00140B89"/>
    <w:rsid w:val="00141377"/>
    <w:rsid w:val="00143F25"/>
    <w:rsid w:val="00144778"/>
    <w:rsid w:val="00152682"/>
    <w:rsid w:val="00154FC9"/>
    <w:rsid w:val="00155698"/>
    <w:rsid w:val="00175200"/>
    <w:rsid w:val="001901C0"/>
    <w:rsid w:val="0019241A"/>
    <w:rsid w:val="00192A18"/>
    <w:rsid w:val="0019777B"/>
    <w:rsid w:val="001A0B50"/>
    <w:rsid w:val="001A22D1"/>
    <w:rsid w:val="001A3F9F"/>
    <w:rsid w:val="001A752D"/>
    <w:rsid w:val="001A757E"/>
    <w:rsid w:val="001B03A3"/>
    <w:rsid w:val="001B5032"/>
    <w:rsid w:val="001C7777"/>
    <w:rsid w:val="001D344B"/>
    <w:rsid w:val="001E0F85"/>
    <w:rsid w:val="001E1094"/>
    <w:rsid w:val="001E364F"/>
    <w:rsid w:val="001E43D0"/>
    <w:rsid w:val="001E670E"/>
    <w:rsid w:val="001F276B"/>
    <w:rsid w:val="001F4222"/>
    <w:rsid w:val="002009EE"/>
    <w:rsid w:val="002036E7"/>
    <w:rsid w:val="00203AA1"/>
    <w:rsid w:val="00213E98"/>
    <w:rsid w:val="00214B6E"/>
    <w:rsid w:val="0021722A"/>
    <w:rsid w:val="00224612"/>
    <w:rsid w:val="00230150"/>
    <w:rsid w:val="0023081A"/>
    <w:rsid w:val="00230B33"/>
    <w:rsid w:val="00233111"/>
    <w:rsid w:val="00240B69"/>
    <w:rsid w:val="0024444A"/>
    <w:rsid w:val="00256682"/>
    <w:rsid w:val="002578CB"/>
    <w:rsid w:val="0026485F"/>
    <w:rsid w:val="00265FA8"/>
    <w:rsid w:val="0029060B"/>
    <w:rsid w:val="00294262"/>
    <w:rsid w:val="00297A08"/>
    <w:rsid w:val="002B40FF"/>
    <w:rsid w:val="002B7481"/>
    <w:rsid w:val="002C4E29"/>
    <w:rsid w:val="002C7F21"/>
    <w:rsid w:val="002E4D89"/>
    <w:rsid w:val="002E5D5D"/>
    <w:rsid w:val="002F460C"/>
    <w:rsid w:val="002F48D6"/>
    <w:rsid w:val="00305468"/>
    <w:rsid w:val="0030712D"/>
    <w:rsid w:val="0031453B"/>
    <w:rsid w:val="00317391"/>
    <w:rsid w:val="003202E6"/>
    <w:rsid w:val="00326216"/>
    <w:rsid w:val="00327A20"/>
    <w:rsid w:val="00332252"/>
    <w:rsid w:val="00332B7D"/>
    <w:rsid w:val="00336580"/>
    <w:rsid w:val="00344EB9"/>
    <w:rsid w:val="003527A8"/>
    <w:rsid w:val="00354899"/>
    <w:rsid w:val="00355FD6"/>
    <w:rsid w:val="00361AED"/>
    <w:rsid w:val="00364A5C"/>
    <w:rsid w:val="00364BD7"/>
    <w:rsid w:val="00365722"/>
    <w:rsid w:val="00371FAC"/>
    <w:rsid w:val="00373FB1"/>
    <w:rsid w:val="00382B8C"/>
    <w:rsid w:val="0038520D"/>
    <w:rsid w:val="00390C5E"/>
    <w:rsid w:val="00396C76"/>
    <w:rsid w:val="003B30D8"/>
    <w:rsid w:val="003B3189"/>
    <w:rsid w:val="003B400E"/>
    <w:rsid w:val="003B4EA5"/>
    <w:rsid w:val="003B7EF2"/>
    <w:rsid w:val="003C0563"/>
    <w:rsid w:val="003C3FA4"/>
    <w:rsid w:val="003D0BA1"/>
    <w:rsid w:val="003E631C"/>
    <w:rsid w:val="003F2B0C"/>
    <w:rsid w:val="003F339E"/>
    <w:rsid w:val="003F36AB"/>
    <w:rsid w:val="003F5BE2"/>
    <w:rsid w:val="004105B2"/>
    <w:rsid w:val="0041145A"/>
    <w:rsid w:val="0041210E"/>
    <w:rsid w:val="00412900"/>
    <w:rsid w:val="00415333"/>
    <w:rsid w:val="0041568F"/>
    <w:rsid w:val="004175B9"/>
    <w:rsid w:val="00417830"/>
    <w:rsid w:val="004221E4"/>
    <w:rsid w:val="00426BF1"/>
    <w:rsid w:val="004273F8"/>
    <w:rsid w:val="0043467A"/>
    <w:rsid w:val="004355A3"/>
    <w:rsid w:val="0044063E"/>
    <w:rsid w:val="004445D2"/>
    <w:rsid w:val="00446546"/>
    <w:rsid w:val="00452769"/>
    <w:rsid w:val="00454024"/>
    <w:rsid w:val="00454FA7"/>
    <w:rsid w:val="00465348"/>
    <w:rsid w:val="004674F6"/>
    <w:rsid w:val="004704C8"/>
    <w:rsid w:val="00474A85"/>
    <w:rsid w:val="00483697"/>
    <w:rsid w:val="004979A5"/>
    <w:rsid w:val="004A25E0"/>
    <w:rsid w:val="004A402B"/>
    <w:rsid w:val="004A725B"/>
    <w:rsid w:val="004B1CCB"/>
    <w:rsid w:val="004B4791"/>
    <w:rsid w:val="004B632F"/>
    <w:rsid w:val="004C3B36"/>
    <w:rsid w:val="004C58A7"/>
    <w:rsid w:val="004C67D7"/>
    <w:rsid w:val="004D3FB1"/>
    <w:rsid w:val="004D6F21"/>
    <w:rsid w:val="004D73A5"/>
    <w:rsid w:val="004E5FD9"/>
    <w:rsid w:val="004E76A0"/>
    <w:rsid w:val="004F72BD"/>
    <w:rsid w:val="00510168"/>
    <w:rsid w:val="00514394"/>
    <w:rsid w:val="005160F1"/>
    <w:rsid w:val="00517E0B"/>
    <w:rsid w:val="00524F2F"/>
    <w:rsid w:val="00527E5C"/>
    <w:rsid w:val="00532C27"/>
    <w:rsid w:val="00532CF5"/>
    <w:rsid w:val="005406BD"/>
    <w:rsid w:val="005444A8"/>
    <w:rsid w:val="005451BF"/>
    <w:rsid w:val="005528CB"/>
    <w:rsid w:val="005542F2"/>
    <w:rsid w:val="00566771"/>
    <w:rsid w:val="00581E2E"/>
    <w:rsid w:val="00584826"/>
    <w:rsid w:val="00584F15"/>
    <w:rsid w:val="0059271B"/>
    <w:rsid w:val="0059514B"/>
    <w:rsid w:val="005A1B0F"/>
    <w:rsid w:val="005A2F24"/>
    <w:rsid w:val="005A5C2B"/>
    <w:rsid w:val="005A6FB9"/>
    <w:rsid w:val="005B1BFA"/>
    <w:rsid w:val="005B4CE6"/>
    <w:rsid w:val="005B5991"/>
    <w:rsid w:val="005B5EFE"/>
    <w:rsid w:val="005D2DAC"/>
    <w:rsid w:val="005E24AF"/>
    <w:rsid w:val="005F54BB"/>
    <w:rsid w:val="006163F7"/>
    <w:rsid w:val="00622F5D"/>
    <w:rsid w:val="0062354C"/>
    <w:rsid w:val="0062705A"/>
    <w:rsid w:val="00627C63"/>
    <w:rsid w:val="0063350B"/>
    <w:rsid w:val="006367A9"/>
    <w:rsid w:val="00636CCE"/>
    <w:rsid w:val="006456B3"/>
    <w:rsid w:val="00651C26"/>
    <w:rsid w:val="00652606"/>
    <w:rsid w:val="006873A0"/>
    <w:rsid w:val="006946EE"/>
    <w:rsid w:val="006A58A9"/>
    <w:rsid w:val="006A606D"/>
    <w:rsid w:val="006C0371"/>
    <w:rsid w:val="006C08B6"/>
    <w:rsid w:val="006C0B1A"/>
    <w:rsid w:val="006C5768"/>
    <w:rsid w:val="006C6065"/>
    <w:rsid w:val="006C7F9F"/>
    <w:rsid w:val="006E2F6D"/>
    <w:rsid w:val="006E3A21"/>
    <w:rsid w:val="006E58F6"/>
    <w:rsid w:val="006E77E1"/>
    <w:rsid w:val="006F131D"/>
    <w:rsid w:val="006F2968"/>
    <w:rsid w:val="006F47BF"/>
    <w:rsid w:val="00711642"/>
    <w:rsid w:val="00714A45"/>
    <w:rsid w:val="00721F58"/>
    <w:rsid w:val="007237A8"/>
    <w:rsid w:val="007257B5"/>
    <w:rsid w:val="00740E21"/>
    <w:rsid w:val="00742840"/>
    <w:rsid w:val="007507C6"/>
    <w:rsid w:val="007513E5"/>
    <w:rsid w:val="00751E0B"/>
    <w:rsid w:val="00752BCD"/>
    <w:rsid w:val="00761929"/>
    <w:rsid w:val="00762447"/>
    <w:rsid w:val="00766DA1"/>
    <w:rsid w:val="00767EAC"/>
    <w:rsid w:val="00772A25"/>
    <w:rsid w:val="00776586"/>
    <w:rsid w:val="00777A75"/>
    <w:rsid w:val="00780370"/>
    <w:rsid w:val="00780D94"/>
    <w:rsid w:val="007866A6"/>
    <w:rsid w:val="00790C69"/>
    <w:rsid w:val="00791E9F"/>
    <w:rsid w:val="0079686B"/>
    <w:rsid w:val="007A0A61"/>
    <w:rsid w:val="007A130D"/>
    <w:rsid w:val="007A7164"/>
    <w:rsid w:val="007B5DC7"/>
    <w:rsid w:val="007B5FDE"/>
    <w:rsid w:val="007C0BBA"/>
    <w:rsid w:val="007C44A7"/>
    <w:rsid w:val="007C511C"/>
    <w:rsid w:val="007D1A2D"/>
    <w:rsid w:val="007D32E6"/>
    <w:rsid w:val="007D4102"/>
    <w:rsid w:val="007D7EB9"/>
    <w:rsid w:val="007E37FE"/>
    <w:rsid w:val="007E54A7"/>
    <w:rsid w:val="007E632F"/>
    <w:rsid w:val="007E7D8B"/>
    <w:rsid w:val="007F3A4F"/>
    <w:rsid w:val="007F43B7"/>
    <w:rsid w:val="007F5266"/>
    <w:rsid w:val="00801239"/>
    <w:rsid w:val="00811D35"/>
    <w:rsid w:val="0081290B"/>
    <w:rsid w:val="008219CD"/>
    <w:rsid w:val="00821FFC"/>
    <w:rsid w:val="008271CA"/>
    <w:rsid w:val="00833224"/>
    <w:rsid w:val="0083578D"/>
    <w:rsid w:val="0084512A"/>
    <w:rsid w:val="008467D5"/>
    <w:rsid w:val="00873B5F"/>
    <w:rsid w:val="0088247D"/>
    <w:rsid w:val="00882EDE"/>
    <w:rsid w:val="00883117"/>
    <w:rsid w:val="00884D5A"/>
    <w:rsid w:val="008A2F12"/>
    <w:rsid w:val="008A37AF"/>
    <w:rsid w:val="008A4DC4"/>
    <w:rsid w:val="008A6ED3"/>
    <w:rsid w:val="008B14C9"/>
    <w:rsid w:val="008B37D2"/>
    <w:rsid w:val="008B3C6F"/>
    <w:rsid w:val="008B42DE"/>
    <w:rsid w:val="008B438C"/>
    <w:rsid w:val="008B6145"/>
    <w:rsid w:val="008B7B6B"/>
    <w:rsid w:val="008C0E29"/>
    <w:rsid w:val="008D06CA"/>
    <w:rsid w:val="008D0E4C"/>
    <w:rsid w:val="008D3A46"/>
    <w:rsid w:val="008E2B40"/>
    <w:rsid w:val="008E3F7B"/>
    <w:rsid w:val="008F2385"/>
    <w:rsid w:val="00902712"/>
    <w:rsid w:val="00902BEA"/>
    <w:rsid w:val="00904CBE"/>
    <w:rsid w:val="009067A4"/>
    <w:rsid w:val="00917C23"/>
    <w:rsid w:val="00923038"/>
    <w:rsid w:val="00930885"/>
    <w:rsid w:val="00933D68"/>
    <w:rsid w:val="009340DB"/>
    <w:rsid w:val="0094618C"/>
    <w:rsid w:val="0095086B"/>
    <w:rsid w:val="009516AE"/>
    <w:rsid w:val="0095684B"/>
    <w:rsid w:val="0096102C"/>
    <w:rsid w:val="00972498"/>
    <w:rsid w:val="0097481F"/>
    <w:rsid w:val="00974CC6"/>
    <w:rsid w:val="00976AD4"/>
    <w:rsid w:val="00976C82"/>
    <w:rsid w:val="00995547"/>
    <w:rsid w:val="009A312F"/>
    <w:rsid w:val="009A5348"/>
    <w:rsid w:val="009B0AB7"/>
    <w:rsid w:val="009B49B1"/>
    <w:rsid w:val="009B66A6"/>
    <w:rsid w:val="009C4A0E"/>
    <w:rsid w:val="009C76D5"/>
    <w:rsid w:val="009E3385"/>
    <w:rsid w:val="009E4FD4"/>
    <w:rsid w:val="009F7AA4"/>
    <w:rsid w:val="00A006DB"/>
    <w:rsid w:val="00A04D21"/>
    <w:rsid w:val="00A07E2B"/>
    <w:rsid w:val="00A10AD7"/>
    <w:rsid w:val="00A173E8"/>
    <w:rsid w:val="00A1791F"/>
    <w:rsid w:val="00A23E97"/>
    <w:rsid w:val="00A26E80"/>
    <w:rsid w:val="00A31A07"/>
    <w:rsid w:val="00A323B0"/>
    <w:rsid w:val="00A43645"/>
    <w:rsid w:val="00A559DB"/>
    <w:rsid w:val="00A569EA"/>
    <w:rsid w:val="00A60395"/>
    <w:rsid w:val="00A60B66"/>
    <w:rsid w:val="00A617EA"/>
    <w:rsid w:val="00A676A0"/>
    <w:rsid w:val="00A67E0B"/>
    <w:rsid w:val="00A80CF5"/>
    <w:rsid w:val="00A850E7"/>
    <w:rsid w:val="00A9643D"/>
    <w:rsid w:val="00AA31C5"/>
    <w:rsid w:val="00AA7762"/>
    <w:rsid w:val="00AB3170"/>
    <w:rsid w:val="00AB3F06"/>
    <w:rsid w:val="00AB5E54"/>
    <w:rsid w:val="00AB6C14"/>
    <w:rsid w:val="00AB7F41"/>
    <w:rsid w:val="00AD1ABE"/>
    <w:rsid w:val="00AD4440"/>
    <w:rsid w:val="00AD4997"/>
    <w:rsid w:val="00AD55CE"/>
    <w:rsid w:val="00AF35FC"/>
    <w:rsid w:val="00AF5556"/>
    <w:rsid w:val="00B03639"/>
    <w:rsid w:val="00B0652A"/>
    <w:rsid w:val="00B1183C"/>
    <w:rsid w:val="00B11D84"/>
    <w:rsid w:val="00B20BF6"/>
    <w:rsid w:val="00B2782C"/>
    <w:rsid w:val="00B27B45"/>
    <w:rsid w:val="00B3654D"/>
    <w:rsid w:val="00B36557"/>
    <w:rsid w:val="00B40937"/>
    <w:rsid w:val="00B423EF"/>
    <w:rsid w:val="00B42A0A"/>
    <w:rsid w:val="00B453DE"/>
    <w:rsid w:val="00B54F4A"/>
    <w:rsid w:val="00B60E60"/>
    <w:rsid w:val="00B62497"/>
    <w:rsid w:val="00B639A2"/>
    <w:rsid w:val="00B72597"/>
    <w:rsid w:val="00B85990"/>
    <w:rsid w:val="00B87DC0"/>
    <w:rsid w:val="00B901F9"/>
    <w:rsid w:val="00BA20A3"/>
    <w:rsid w:val="00BA2689"/>
    <w:rsid w:val="00BC2729"/>
    <w:rsid w:val="00BC3365"/>
    <w:rsid w:val="00BC4D98"/>
    <w:rsid w:val="00BC5242"/>
    <w:rsid w:val="00BD4EC2"/>
    <w:rsid w:val="00BD6EFB"/>
    <w:rsid w:val="00BD791F"/>
    <w:rsid w:val="00BE3DF5"/>
    <w:rsid w:val="00BE5F7E"/>
    <w:rsid w:val="00BE69E2"/>
    <w:rsid w:val="00BF5EAB"/>
    <w:rsid w:val="00C02410"/>
    <w:rsid w:val="00C046EF"/>
    <w:rsid w:val="00C05CB2"/>
    <w:rsid w:val="00C132F6"/>
    <w:rsid w:val="00C1584D"/>
    <w:rsid w:val="00C15BE2"/>
    <w:rsid w:val="00C3048A"/>
    <w:rsid w:val="00C3447F"/>
    <w:rsid w:val="00C40C16"/>
    <w:rsid w:val="00C44714"/>
    <w:rsid w:val="00C46D21"/>
    <w:rsid w:val="00C60CD9"/>
    <w:rsid w:val="00C67102"/>
    <w:rsid w:val="00C81491"/>
    <w:rsid w:val="00C81676"/>
    <w:rsid w:val="00C85C5D"/>
    <w:rsid w:val="00C9171B"/>
    <w:rsid w:val="00C92CC4"/>
    <w:rsid w:val="00C956BA"/>
    <w:rsid w:val="00CA0AFB"/>
    <w:rsid w:val="00CA2CE1"/>
    <w:rsid w:val="00CA3976"/>
    <w:rsid w:val="00CA3BE7"/>
    <w:rsid w:val="00CA50E3"/>
    <w:rsid w:val="00CA757B"/>
    <w:rsid w:val="00CB2043"/>
    <w:rsid w:val="00CB539A"/>
    <w:rsid w:val="00CB5AB6"/>
    <w:rsid w:val="00CC0060"/>
    <w:rsid w:val="00CC1787"/>
    <w:rsid w:val="00CC182C"/>
    <w:rsid w:val="00CC3512"/>
    <w:rsid w:val="00CC6620"/>
    <w:rsid w:val="00CD0824"/>
    <w:rsid w:val="00CD2908"/>
    <w:rsid w:val="00CE0A06"/>
    <w:rsid w:val="00CE69AF"/>
    <w:rsid w:val="00CF3DF2"/>
    <w:rsid w:val="00CF5CD3"/>
    <w:rsid w:val="00D03A82"/>
    <w:rsid w:val="00D07CF0"/>
    <w:rsid w:val="00D13667"/>
    <w:rsid w:val="00D14F88"/>
    <w:rsid w:val="00D15344"/>
    <w:rsid w:val="00D15842"/>
    <w:rsid w:val="00D17D2F"/>
    <w:rsid w:val="00D239DC"/>
    <w:rsid w:val="00D23F57"/>
    <w:rsid w:val="00D31BEC"/>
    <w:rsid w:val="00D37737"/>
    <w:rsid w:val="00D63150"/>
    <w:rsid w:val="00D636BA"/>
    <w:rsid w:val="00D64A32"/>
    <w:rsid w:val="00D64EFC"/>
    <w:rsid w:val="00D75295"/>
    <w:rsid w:val="00D76CE9"/>
    <w:rsid w:val="00D80B6D"/>
    <w:rsid w:val="00D95597"/>
    <w:rsid w:val="00D97F12"/>
    <w:rsid w:val="00DA6013"/>
    <w:rsid w:val="00DA6095"/>
    <w:rsid w:val="00DB42E7"/>
    <w:rsid w:val="00DB6EB5"/>
    <w:rsid w:val="00DC09D8"/>
    <w:rsid w:val="00DC1989"/>
    <w:rsid w:val="00DC1B71"/>
    <w:rsid w:val="00DC1D85"/>
    <w:rsid w:val="00DC70FC"/>
    <w:rsid w:val="00DC7343"/>
    <w:rsid w:val="00DD2529"/>
    <w:rsid w:val="00DD7F06"/>
    <w:rsid w:val="00DE01A6"/>
    <w:rsid w:val="00DE50BE"/>
    <w:rsid w:val="00DE7A98"/>
    <w:rsid w:val="00DF32C2"/>
    <w:rsid w:val="00DF6C33"/>
    <w:rsid w:val="00E07EFD"/>
    <w:rsid w:val="00E1456B"/>
    <w:rsid w:val="00E20E7F"/>
    <w:rsid w:val="00E26DDE"/>
    <w:rsid w:val="00E42461"/>
    <w:rsid w:val="00E471A7"/>
    <w:rsid w:val="00E53D04"/>
    <w:rsid w:val="00E54CFB"/>
    <w:rsid w:val="00E54E61"/>
    <w:rsid w:val="00E6296F"/>
    <w:rsid w:val="00E635CF"/>
    <w:rsid w:val="00E7329F"/>
    <w:rsid w:val="00E73330"/>
    <w:rsid w:val="00E8242A"/>
    <w:rsid w:val="00E836ED"/>
    <w:rsid w:val="00EA76BE"/>
    <w:rsid w:val="00EB1E3B"/>
    <w:rsid w:val="00EB29D5"/>
    <w:rsid w:val="00EB2E2F"/>
    <w:rsid w:val="00EB2FE1"/>
    <w:rsid w:val="00EC6E0A"/>
    <w:rsid w:val="00ED12FF"/>
    <w:rsid w:val="00ED25EA"/>
    <w:rsid w:val="00ED4E18"/>
    <w:rsid w:val="00ED7922"/>
    <w:rsid w:val="00ED7B29"/>
    <w:rsid w:val="00EE02C4"/>
    <w:rsid w:val="00EE0F5C"/>
    <w:rsid w:val="00EE1F37"/>
    <w:rsid w:val="00EE7537"/>
    <w:rsid w:val="00EF7488"/>
    <w:rsid w:val="00F0159C"/>
    <w:rsid w:val="00F04757"/>
    <w:rsid w:val="00F05E6D"/>
    <w:rsid w:val="00F06B4B"/>
    <w:rsid w:val="00F07F50"/>
    <w:rsid w:val="00F105B7"/>
    <w:rsid w:val="00F13220"/>
    <w:rsid w:val="00F17A21"/>
    <w:rsid w:val="00F275E5"/>
    <w:rsid w:val="00F36FC2"/>
    <w:rsid w:val="00F37B27"/>
    <w:rsid w:val="00F46556"/>
    <w:rsid w:val="00F50E91"/>
    <w:rsid w:val="00F56799"/>
    <w:rsid w:val="00F57D29"/>
    <w:rsid w:val="00F60786"/>
    <w:rsid w:val="00F62F95"/>
    <w:rsid w:val="00F81650"/>
    <w:rsid w:val="00F91BC7"/>
    <w:rsid w:val="00F96201"/>
    <w:rsid w:val="00FA1BBC"/>
    <w:rsid w:val="00FA2832"/>
    <w:rsid w:val="00FA5D4C"/>
    <w:rsid w:val="00FB04F6"/>
    <w:rsid w:val="00FC302A"/>
    <w:rsid w:val="00FC69C3"/>
    <w:rsid w:val="00FC763C"/>
    <w:rsid w:val="00FD0B18"/>
    <w:rsid w:val="00FD2FAD"/>
    <w:rsid w:val="00FD6E60"/>
    <w:rsid w:val="00FD7A9D"/>
    <w:rsid w:val="00FE4F74"/>
    <w:rsid w:val="00FE63D4"/>
    <w:rsid w:val="00FE714F"/>
    <w:rsid w:val="00FF063A"/>
    <w:rsid w:val="00FF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DC7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10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97112AC-AEE0-4334-9BA0-6C97E700F1B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38645DF-C1CB-4E76-8E0B-450970B9BB2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0C612C-15B6-4094-AA9D-28B64D00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Herron, Kathryn</cp:lastModifiedBy>
  <cp:revision>3</cp:revision>
  <cp:lastPrinted>2015-03-04T20:34:00Z</cp:lastPrinted>
  <dcterms:created xsi:type="dcterms:W3CDTF">2021-10-21T18:04:00Z</dcterms:created>
  <dcterms:modified xsi:type="dcterms:W3CDTF">2021-10-21T18:38:00Z</dcterms:modified>
</cp:coreProperties>
</file>