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A97F3" w14:textId="77777777" w:rsidR="002C7B05" w:rsidRPr="00B81524" w:rsidRDefault="002C7B05" w:rsidP="002C7B05">
      <w:pPr>
        <w:pBdr>
          <w:bottom w:val="single" w:sz="18" w:space="1" w:color="auto"/>
        </w:pBdr>
        <w:tabs>
          <w:tab w:val="left" w:pos="-1440"/>
          <w:tab w:val="left" w:pos="-720"/>
          <w:tab w:val="left" w:pos="1"/>
        </w:tabs>
        <w:jc w:val="both"/>
        <w:rPr>
          <w:rFonts w:ascii="Arial" w:hAnsi="Arial"/>
          <w:b/>
          <w:sz w:val="24"/>
          <w:lang w:val="en-GB"/>
        </w:rPr>
      </w:pPr>
      <w:r w:rsidRPr="00B81524">
        <w:rPr>
          <w:rFonts w:ascii="Arial" w:hAnsi="Arial"/>
          <w:b/>
          <w:noProof/>
          <w:sz w:val="24"/>
        </w:rPr>
        <w:drawing>
          <wp:inline distT="0" distB="0" distL="0" distR="0" wp14:anchorId="5D265985" wp14:editId="23451A76">
            <wp:extent cx="2613804" cy="5512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841BAB" w14:textId="4D434F6E" w:rsidR="002C7B05" w:rsidRPr="00B81524" w:rsidRDefault="000657F2" w:rsidP="002C7B05">
      <w:pPr>
        <w:pStyle w:val="ProductNumber"/>
        <w:rPr>
          <w:lang w:val="en-GB"/>
        </w:rPr>
      </w:pPr>
      <w:r>
        <w:rPr>
          <w:lang w:val="en-GB"/>
        </w:rPr>
        <w:t>9B19M037</w:t>
      </w:r>
    </w:p>
    <w:p w14:paraId="4E057522" w14:textId="77777777" w:rsidR="00D75295" w:rsidRPr="00B81524" w:rsidRDefault="00D75295" w:rsidP="00D75295">
      <w:pPr>
        <w:jc w:val="right"/>
        <w:rPr>
          <w:rFonts w:ascii="Arial" w:hAnsi="Arial"/>
          <w:b/>
          <w:lang w:val="en-GB"/>
        </w:rPr>
      </w:pPr>
    </w:p>
    <w:p w14:paraId="426B7211" w14:textId="77777777" w:rsidR="00013360" w:rsidRPr="00B81524" w:rsidRDefault="00013360" w:rsidP="00D75295">
      <w:pPr>
        <w:jc w:val="right"/>
        <w:rPr>
          <w:rFonts w:ascii="Arial" w:hAnsi="Arial"/>
          <w:b/>
          <w:lang w:val="en-GB"/>
        </w:rPr>
      </w:pPr>
    </w:p>
    <w:p w14:paraId="2F03D26A" w14:textId="738B65AA" w:rsidR="00013360" w:rsidRPr="00B81524" w:rsidRDefault="000472CF" w:rsidP="00013360">
      <w:pPr>
        <w:pStyle w:val="CaseTitle"/>
        <w:spacing w:after="0" w:line="240" w:lineRule="auto"/>
        <w:rPr>
          <w:sz w:val="20"/>
          <w:szCs w:val="20"/>
          <w:lang w:val="en-GB"/>
        </w:rPr>
      </w:pPr>
      <w:r w:rsidRPr="00B81524">
        <w:rPr>
          <w:rFonts w:eastAsia="Arial"/>
          <w:lang w:val="en-GB"/>
        </w:rPr>
        <w:t>NALEDO food</w:t>
      </w:r>
      <w:r w:rsidR="00A722F3" w:rsidRPr="00B81524">
        <w:rPr>
          <w:rFonts w:eastAsia="Arial"/>
          <w:lang w:val="en-GB"/>
        </w:rPr>
        <w:t>S</w:t>
      </w:r>
      <w:r w:rsidRPr="00B81524">
        <w:rPr>
          <w:rFonts w:eastAsia="Arial"/>
          <w:lang w:val="en-GB"/>
        </w:rPr>
        <w:t xml:space="preserve"> and beverages inc.</w:t>
      </w:r>
      <w:r w:rsidR="00A722F3" w:rsidRPr="00B81524">
        <w:rPr>
          <w:rFonts w:eastAsia="Arial"/>
          <w:lang w:val="en-GB"/>
        </w:rPr>
        <w:t>:</w:t>
      </w:r>
      <w:r w:rsidRPr="00B81524">
        <w:rPr>
          <w:rFonts w:eastAsia="Arial"/>
          <w:lang w:val="en-GB"/>
        </w:rPr>
        <w:t xml:space="preserve"> in search of investment capital</w:t>
      </w:r>
    </w:p>
    <w:p w14:paraId="40ABF6FD" w14:textId="77777777" w:rsidR="00CA3976" w:rsidRPr="00B81524" w:rsidRDefault="00CA3976" w:rsidP="00013360">
      <w:pPr>
        <w:pStyle w:val="CaseTitle"/>
        <w:spacing w:after="0" w:line="240" w:lineRule="auto"/>
        <w:rPr>
          <w:sz w:val="20"/>
          <w:szCs w:val="20"/>
          <w:lang w:val="en-GB"/>
        </w:rPr>
      </w:pPr>
    </w:p>
    <w:p w14:paraId="202F1085" w14:textId="77777777" w:rsidR="00013360" w:rsidRPr="00B81524" w:rsidRDefault="00013360" w:rsidP="00013360">
      <w:pPr>
        <w:pStyle w:val="CaseTitle"/>
        <w:spacing w:after="0" w:line="240" w:lineRule="auto"/>
        <w:rPr>
          <w:sz w:val="20"/>
          <w:szCs w:val="20"/>
          <w:lang w:val="en-GB"/>
        </w:rPr>
      </w:pPr>
    </w:p>
    <w:p w14:paraId="58B0C73F" w14:textId="005AEAA5" w:rsidR="00086B26" w:rsidRPr="00B81524" w:rsidRDefault="00526354" w:rsidP="00086B26">
      <w:pPr>
        <w:pStyle w:val="StyleCopyrightStatementAfter0ptBottomSinglesolidline1"/>
        <w:rPr>
          <w:lang w:val="en-GB"/>
        </w:rPr>
      </w:pPr>
      <w:r w:rsidRPr="00B81524">
        <w:rPr>
          <w:rFonts w:cs="Arial"/>
          <w:szCs w:val="16"/>
          <w:lang w:val="en-GB"/>
        </w:rPr>
        <w:t>Bonita Russell and Paul Russell</w:t>
      </w:r>
      <w:r w:rsidR="00ED7922" w:rsidRPr="00B81524">
        <w:rPr>
          <w:rFonts w:cs="Arial"/>
          <w:szCs w:val="16"/>
          <w:lang w:val="en-GB"/>
        </w:rPr>
        <w:t xml:space="preserve"> </w:t>
      </w:r>
      <w:r w:rsidR="00086B26" w:rsidRPr="00B8152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B81524" w:rsidRDefault="00086B26" w:rsidP="00086B26">
      <w:pPr>
        <w:pStyle w:val="StyleCopyrightStatementAfter0ptBottomSinglesolidline1"/>
        <w:rPr>
          <w:lang w:val="en-GB"/>
        </w:rPr>
      </w:pPr>
    </w:p>
    <w:p w14:paraId="7B216CE7" w14:textId="77777777" w:rsidR="002C7B05" w:rsidRPr="00B81524" w:rsidRDefault="002C7B05" w:rsidP="002C7B05">
      <w:pPr>
        <w:pStyle w:val="StyleStyleCopyrightStatementAfter0ptBottomSinglesolid"/>
        <w:rPr>
          <w:rFonts w:cs="Arial"/>
          <w:szCs w:val="16"/>
          <w:lang w:val="en-GB"/>
        </w:rPr>
      </w:pPr>
      <w:r w:rsidRPr="00B81524">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B81524">
        <w:rPr>
          <w:rFonts w:cs="Arial"/>
          <w:color w:val="FFFFFF" w:themeColor="background1"/>
          <w:szCs w:val="16"/>
          <w:lang w:val="en-GB"/>
        </w:rPr>
        <w:t>i1v2e5y5pubs</w:t>
      </w:r>
    </w:p>
    <w:p w14:paraId="4C5BC19E" w14:textId="77777777" w:rsidR="002C7B05" w:rsidRPr="00B81524" w:rsidRDefault="002C7B05" w:rsidP="002C7B05">
      <w:pPr>
        <w:pStyle w:val="StyleStyleCopyrightStatementAfter0ptBottomSinglesolid"/>
        <w:rPr>
          <w:rFonts w:cs="Arial"/>
          <w:szCs w:val="16"/>
          <w:lang w:val="en-GB"/>
        </w:rPr>
      </w:pPr>
    </w:p>
    <w:p w14:paraId="3922E14F" w14:textId="2B3276CF" w:rsidR="00751E0B" w:rsidRPr="00B81524" w:rsidRDefault="002C7B05" w:rsidP="002C7B05">
      <w:pPr>
        <w:pStyle w:val="StyleStyleCopyrightStatementAfter0ptBottomSinglesolid"/>
        <w:rPr>
          <w:rFonts w:cs="Arial"/>
          <w:szCs w:val="16"/>
          <w:lang w:val="en-GB"/>
        </w:rPr>
      </w:pPr>
      <w:r w:rsidRPr="00B81524">
        <w:rPr>
          <w:rFonts w:cs="Arial"/>
          <w:iCs w:val="0"/>
          <w:color w:val="auto"/>
          <w:szCs w:val="16"/>
          <w:lang w:val="en-GB"/>
        </w:rPr>
        <w:t>Copyright © 2019, Ivey Business School Foundation</w:t>
      </w:r>
      <w:r w:rsidRPr="00B81524">
        <w:rPr>
          <w:rFonts w:cs="Arial"/>
          <w:iCs w:val="0"/>
          <w:color w:val="auto"/>
          <w:szCs w:val="16"/>
          <w:lang w:val="en-GB"/>
        </w:rPr>
        <w:tab/>
        <w:t>Version: 2019-</w:t>
      </w:r>
      <w:r w:rsidR="0091148D">
        <w:rPr>
          <w:rFonts w:cs="Arial"/>
          <w:iCs w:val="0"/>
          <w:color w:val="auto"/>
          <w:szCs w:val="16"/>
          <w:lang w:val="en-GB"/>
        </w:rPr>
        <w:t>05-</w:t>
      </w:r>
      <w:r w:rsidR="009D50D9">
        <w:rPr>
          <w:rFonts w:cs="Arial"/>
          <w:iCs w:val="0"/>
          <w:color w:val="auto"/>
          <w:szCs w:val="16"/>
          <w:lang w:val="en-GB"/>
        </w:rPr>
        <w:t>10</w:t>
      </w:r>
    </w:p>
    <w:p w14:paraId="0A2A54E4" w14:textId="77777777" w:rsidR="00751E0B" w:rsidRPr="00B81524" w:rsidRDefault="00751E0B" w:rsidP="00751E0B">
      <w:pPr>
        <w:pStyle w:val="StyleCopyrightStatementAfter0ptBottomSinglesolidline1"/>
        <w:rPr>
          <w:rFonts w:ascii="Times New Roman" w:hAnsi="Times New Roman"/>
          <w:sz w:val="20"/>
          <w:lang w:val="en-GB"/>
        </w:rPr>
      </w:pPr>
    </w:p>
    <w:p w14:paraId="2C183161" w14:textId="77777777" w:rsidR="00B87DC0" w:rsidRPr="00B81524" w:rsidRDefault="00B87DC0" w:rsidP="004B632F">
      <w:pPr>
        <w:pStyle w:val="StyleCopyrightStatementAfter0ptBottomSinglesolidline1"/>
        <w:rPr>
          <w:rFonts w:ascii="Times New Roman" w:hAnsi="Times New Roman"/>
          <w:sz w:val="20"/>
          <w:lang w:val="en-GB"/>
        </w:rPr>
      </w:pPr>
    </w:p>
    <w:p w14:paraId="44AB45C1" w14:textId="013A76F9" w:rsidR="000472CF" w:rsidRPr="00B81524" w:rsidRDefault="000472CF" w:rsidP="000472CF">
      <w:pPr>
        <w:pStyle w:val="BodyTextMain"/>
        <w:rPr>
          <w:lang w:val="en-GB" w:eastAsia="zh-CN"/>
        </w:rPr>
      </w:pPr>
      <w:r w:rsidRPr="00B81524">
        <w:rPr>
          <w:lang w:val="en-GB" w:eastAsia="zh-CN"/>
        </w:rPr>
        <w:t xml:space="preserve">In early 2018, Nareena Switlo, </w:t>
      </w:r>
      <w:r w:rsidR="005F4D79" w:rsidRPr="00B81524">
        <w:rPr>
          <w:lang w:val="en-GB" w:eastAsia="zh-CN"/>
        </w:rPr>
        <w:t xml:space="preserve">the chief operating officer of </w:t>
      </w:r>
      <w:r w:rsidRPr="00B81524">
        <w:rPr>
          <w:lang w:val="en-GB" w:eastAsia="zh-CN"/>
        </w:rPr>
        <w:t>Naledo</w:t>
      </w:r>
      <w:r w:rsidRPr="00B81524">
        <w:rPr>
          <w:vertAlign w:val="superscript"/>
          <w:lang w:val="en-GB" w:eastAsia="zh-CN"/>
        </w:rPr>
        <w:footnoteReference w:id="1"/>
      </w:r>
      <w:r w:rsidRPr="00B81524">
        <w:rPr>
          <w:lang w:val="en-GB" w:eastAsia="zh-CN"/>
        </w:rPr>
        <w:t xml:space="preserve"> Foods and Beverages Inc.</w:t>
      </w:r>
      <w:r w:rsidR="005F4D79" w:rsidRPr="00B81524">
        <w:rPr>
          <w:lang w:val="en-GB" w:eastAsia="zh-CN"/>
        </w:rPr>
        <w:t xml:space="preserve"> (Naledo),</w:t>
      </w:r>
      <w:r w:rsidRPr="00B81524">
        <w:rPr>
          <w:lang w:val="en-GB" w:eastAsia="zh-CN"/>
        </w:rPr>
        <w:t xml:space="preserve"> was returning from a trip to the </w:t>
      </w:r>
      <w:r w:rsidR="00A722F3" w:rsidRPr="00B81524">
        <w:rPr>
          <w:lang w:val="en-GB" w:eastAsia="zh-CN"/>
        </w:rPr>
        <w:t xml:space="preserve">Canadian </w:t>
      </w:r>
      <w:r w:rsidR="005F4D79" w:rsidRPr="00B81524">
        <w:rPr>
          <w:lang w:val="en-GB" w:eastAsia="zh-CN"/>
        </w:rPr>
        <w:t xml:space="preserve">company’s </w:t>
      </w:r>
      <w:r w:rsidRPr="00B81524">
        <w:rPr>
          <w:lang w:val="en-GB" w:eastAsia="zh-CN"/>
        </w:rPr>
        <w:t xml:space="preserve">production facility in Belize. </w:t>
      </w:r>
      <w:r w:rsidR="00B81524">
        <w:rPr>
          <w:lang w:val="en-GB" w:eastAsia="zh-CN"/>
        </w:rPr>
        <w:t>As tiring</w:t>
      </w:r>
      <w:r w:rsidR="00B81524" w:rsidRPr="00B81524">
        <w:rPr>
          <w:lang w:val="en-GB" w:eastAsia="zh-CN"/>
        </w:rPr>
        <w:t xml:space="preserve"> </w:t>
      </w:r>
      <w:r w:rsidRPr="00B81524">
        <w:rPr>
          <w:lang w:val="en-GB" w:eastAsia="zh-CN"/>
        </w:rPr>
        <w:t xml:space="preserve">as the trip </w:t>
      </w:r>
      <w:r w:rsidR="005F4D79" w:rsidRPr="00B81524">
        <w:rPr>
          <w:lang w:val="en-GB" w:eastAsia="zh-CN"/>
        </w:rPr>
        <w:t>had been</w:t>
      </w:r>
      <w:r w:rsidRPr="00B81524">
        <w:rPr>
          <w:lang w:val="en-GB" w:eastAsia="zh-CN"/>
        </w:rPr>
        <w:t xml:space="preserve">, the energy and commitment of the young people who worked in the plant </w:t>
      </w:r>
      <w:r w:rsidR="00B81524">
        <w:rPr>
          <w:lang w:val="en-GB" w:eastAsia="zh-CN"/>
        </w:rPr>
        <w:t>were</w:t>
      </w:r>
      <w:r w:rsidR="00B81524" w:rsidRPr="00B81524">
        <w:rPr>
          <w:lang w:val="en-GB" w:eastAsia="zh-CN"/>
        </w:rPr>
        <w:t xml:space="preserve"> </w:t>
      </w:r>
      <w:r w:rsidRPr="00B81524">
        <w:rPr>
          <w:lang w:val="en-GB" w:eastAsia="zh-CN"/>
        </w:rPr>
        <w:t xml:space="preserve">enough for Nareena to </w:t>
      </w:r>
      <w:r w:rsidR="005F4D79" w:rsidRPr="00B81524">
        <w:rPr>
          <w:lang w:val="en-GB" w:eastAsia="zh-CN"/>
        </w:rPr>
        <w:t>forget</w:t>
      </w:r>
      <w:r w:rsidRPr="00B81524">
        <w:rPr>
          <w:lang w:val="en-GB" w:eastAsia="zh-CN"/>
        </w:rPr>
        <w:t xml:space="preserve"> her exhaustion and put her mind to the problem of how to increase production given the </w:t>
      </w:r>
      <w:r w:rsidR="005F4D79" w:rsidRPr="00B81524">
        <w:rPr>
          <w:lang w:val="en-GB" w:eastAsia="zh-CN"/>
        </w:rPr>
        <w:t xml:space="preserve">enterprise’s </w:t>
      </w:r>
      <w:r w:rsidRPr="00B81524">
        <w:rPr>
          <w:lang w:val="en-GB" w:eastAsia="zh-CN"/>
        </w:rPr>
        <w:t xml:space="preserve">limited financial resources. As she put it to her business partner, </w:t>
      </w:r>
      <w:r w:rsidR="005F4D79" w:rsidRPr="00B81524">
        <w:rPr>
          <w:lang w:val="en-GB" w:eastAsia="zh-CN"/>
        </w:rPr>
        <w:t>“[It is] s</w:t>
      </w:r>
      <w:r w:rsidRPr="00B81524">
        <w:rPr>
          <w:lang w:val="en-GB" w:eastAsia="zh-CN"/>
        </w:rPr>
        <w:t>o frustrating</w:t>
      </w:r>
      <w:r w:rsidR="005F4D79" w:rsidRPr="00B81524">
        <w:rPr>
          <w:lang w:val="en-GB" w:eastAsia="zh-CN"/>
        </w:rPr>
        <w:t>:</w:t>
      </w:r>
      <w:r w:rsidRPr="00B81524">
        <w:rPr>
          <w:lang w:val="en-GB" w:eastAsia="zh-CN"/>
        </w:rPr>
        <w:t xml:space="preserve"> we need new machinery to up our production</w:t>
      </w:r>
      <w:r w:rsidR="005F4D79" w:rsidRPr="00B81524">
        <w:rPr>
          <w:lang w:val="en-GB" w:eastAsia="zh-CN"/>
        </w:rPr>
        <w:t>,</w:t>
      </w:r>
      <w:r w:rsidRPr="00B81524">
        <w:rPr>
          <w:lang w:val="en-GB" w:eastAsia="zh-CN"/>
        </w:rPr>
        <w:t xml:space="preserve"> but simply because of cash</w:t>
      </w:r>
      <w:r w:rsidR="005F4D79" w:rsidRPr="00B81524">
        <w:rPr>
          <w:lang w:val="en-GB" w:eastAsia="zh-CN"/>
        </w:rPr>
        <w:t xml:space="preserve"> </w:t>
      </w:r>
      <w:r w:rsidRPr="00B81524">
        <w:rPr>
          <w:lang w:val="en-GB" w:eastAsia="zh-CN"/>
        </w:rPr>
        <w:t>flow and a limited line of credit we are stuck with our current machinery. Even with over C</w:t>
      </w:r>
      <w:r w:rsidR="005F4D79" w:rsidRPr="00B81524">
        <w:rPr>
          <w:lang w:val="en-GB" w:eastAsia="zh-CN"/>
        </w:rPr>
        <w:t>A</w:t>
      </w:r>
      <w:r w:rsidRPr="00B81524">
        <w:rPr>
          <w:lang w:val="en-GB" w:eastAsia="zh-CN"/>
        </w:rPr>
        <w:t>$250,000</w:t>
      </w:r>
      <w:r w:rsidR="005F4D79" w:rsidRPr="00B81524">
        <w:rPr>
          <w:rStyle w:val="FootnoteReference"/>
          <w:lang w:val="en-GB" w:eastAsia="zh-CN"/>
        </w:rPr>
        <w:footnoteReference w:id="2"/>
      </w:r>
      <w:r w:rsidRPr="00B81524">
        <w:rPr>
          <w:lang w:val="en-GB" w:eastAsia="zh-CN"/>
        </w:rPr>
        <w:t xml:space="preserve"> in sales in 2017, lending agencies were still not willing take a chance on a small start-up.</w:t>
      </w:r>
      <w:r w:rsidR="005F4D79" w:rsidRPr="00B81524">
        <w:rPr>
          <w:lang w:val="en-GB" w:eastAsia="zh-CN"/>
        </w:rPr>
        <w:t>”</w:t>
      </w:r>
    </w:p>
    <w:p w14:paraId="71CEB307" w14:textId="77777777" w:rsidR="000472CF" w:rsidRPr="00B81524" w:rsidRDefault="000472CF" w:rsidP="000472CF">
      <w:pPr>
        <w:pStyle w:val="BodyTextMain"/>
        <w:rPr>
          <w:sz w:val="20"/>
          <w:lang w:val="en-GB" w:eastAsia="zh-CN"/>
        </w:rPr>
      </w:pPr>
    </w:p>
    <w:p w14:paraId="21B70A4E" w14:textId="77777777" w:rsidR="000472CF" w:rsidRPr="00B81524" w:rsidRDefault="000472CF" w:rsidP="000472CF">
      <w:pPr>
        <w:pStyle w:val="BodyTextMain"/>
        <w:rPr>
          <w:sz w:val="20"/>
          <w:lang w:val="en-GB" w:eastAsia="zh-CN"/>
        </w:rPr>
      </w:pPr>
    </w:p>
    <w:p w14:paraId="799FDF6A" w14:textId="16157031" w:rsidR="000472CF" w:rsidRPr="00B81524" w:rsidRDefault="000472CF" w:rsidP="000472CF">
      <w:pPr>
        <w:pStyle w:val="Casehead1"/>
        <w:rPr>
          <w:lang w:val="en-GB"/>
        </w:rPr>
      </w:pPr>
      <w:r w:rsidRPr="00B81524">
        <w:rPr>
          <w:lang w:val="en-GB"/>
        </w:rPr>
        <w:t>It started with a handshake</w:t>
      </w:r>
    </w:p>
    <w:p w14:paraId="054AF1B4" w14:textId="77777777" w:rsidR="000472CF" w:rsidRPr="00B81524" w:rsidRDefault="000472CF" w:rsidP="000472CF">
      <w:pPr>
        <w:pStyle w:val="BodyTextMain"/>
        <w:rPr>
          <w:sz w:val="20"/>
          <w:lang w:val="en-GB"/>
        </w:rPr>
      </w:pPr>
    </w:p>
    <w:p w14:paraId="2727342C" w14:textId="5344BBA8" w:rsidR="000472CF" w:rsidRPr="00B81524" w:rsidRDefault="000472CF" w:rsidP="000472CF">
      <w:pPr>
        <w:pStyle w:val="BodyTextMain"/>
        <w:rPr>
          <w:lang w:val="en-GB"/>
        </w:rPr>
      </w:pPr>
      <w:r w:rsidRPr="00B81524">
        <w:rPr>
          <w:lang w:val="en-GB"/>
        </w:rPr>
        <w:t xml:space="preserve">In 2014, Umeeda Switlo, Naledo’s </w:t>
      </w:r>
      <w:r w:rsidR="005F4D79" w:rsidRPr="00B81524">
        <w:rPr>
          <w:lang w:val="en-GB"/>
        </w:rPr>
        <w:t>c</w:t>
      </w:r>
      <w:r w:rsidRPr="00B81524">
        <w:rPr>
          <w:lang w:val="en-GB"/>
        </w:rPr>
        <w:t xml:space="preserve">hief </w:t>
      </w:r>
      <w:r w:rsidR="005F4D79" w:rsidRPr="00B81524">
        <w:rPr>
          <w:lang w:val="en-GB"/>
        </w:rPr>
        <w:t>e</w:t>
      </w:r>
      <w:r w:rsidRPr="00B81524">
        <w:rPr>
          <w:lang w:val="en-GB"/>
        </w:rPr>
        <w:t xml:space="preserve">xecutive </w:t>
      </w:r>
      <w:r w:rsidR="005F4D79" w:rsidRPr="00B81524">
        <w:rPr>
          <w:lang w:val="en-GB"/>
        </w:rPr>
        <w:t>o</w:t>
      </w:r>
      <w:r w:rsidRPr="00B81524">
        <w:rPr>
          <w:lang w:val="en-GB"/>
        </w:rPr>
        <w:t xml:space="preserve">fficer, was a volunteer with </w:t>
      </w:r>
      <w:r w:rsidR="00352465" w:rsidRPr="00B81524">
        <w:rPr>
          <w:lang w:val="en-GB"/>
        </w:rPr>
        <w:t>the Canadian non-profit development organization CUSO International,</w:t>
      </w:r>
      <w:r w:rsidRPr="00B81524">
        <w:rPr>
          <w:lang w:val="en-GB"/>
        </w:rPr>
        <w:t xml:space="preserve"> working with the government of Belize on entrepreneurial opportunities for young people. As part of her work in Belize, </w:t>
      </w:r>
      <w:r w:rsidR="00352465" w:rsidRPr="00B81524">
        <w:rPr>
          <w:lang w:val="en-GB"/>
        </w:rPr>
        <w:t>Umeeda</w:t>
      </w:r>
      <w:r w:rsidRPr="00B81524">
        <w:rPr>
          <w:lang w:val="en-GB"/>
        </w:rPr>
        <w:t xml:space="preserve"> attended the First Indian Diaspora Conference</w:t>
      </w:r>
      <w:r w:rsidR="00685D1A" w:rsidRPr="00B81524">
        <w:rPr>
          <w:lang w:val="en-GB"/>
        </w:rPr>
        <w:t>,</w:t>
      </w:r>
      <w:r w:rsidRPr="00B81524">
        <w:rPr>
          <w:vertAlign w:val="superscript"/>
          <w:lang w:val="en-GB"/>
        </w:rPr>
        <w:footnoteReference w:id="3"/>
      </w:r>
      <w:r w:rsidRPr="00B81524">
        <w:rPr>
          <w:lang w:val="en-GB"/>
        </w:rPr>
        <w:t xml:space="preserve"> where she met with several local farmers who</w:t>
      </w:r>
      <w:r w:rsidR="00685D1A" w:rsidRPr="00B81524">
        <w:rPr>
          <w:lang w:val="en-GB"/>
        </w:rPr>
        <w:t xml:space="preserve"> grew</w:t>
      </w:r>
      <w:r w:rsidR="00352465" w:rsidRPr="00B81524">
        <w:rPr>
          <w:lang w:val="en-GB"/>
        </w:rPr>
        <w:t>,</w:t>
      </w:r>
      <w:r w:rsidRPr="00B81524">
        <w:rPr>
          <w:lang w:val="en-GB"/>
        </w:rPr>
        <w:t xml:space="preserve"> in addition to other </w:t>
      </w:r>
      <w:r w:rsidR="00B81524">
        <w:rPr>
          <w:lang w:val="en-GB"/>
        </w:rPr>
        <w:t>agricultural</w:t>
      </w:r>
      <w:r w:rsidR="00B81524" w:rsidRPr="00B81524">
        <w:rPr>
          <w:lang w:val="en-GB"/>
        </w:rPr>
        <w:t xml:space="preserve"> </w:t>
      </w:r>
      <w:r w:rsidRPr="00B81524">
        <w:rPr>
          <w:lang w:val="en-GB"/>
        </w:rPr>
        <w:t>products</w:t>
      </w:r>
      <w:r w:rsidR="00352465" w:rsidRPr="00B81524">
        <w:rPr>
          <w:lang w:val="en-GB"/>
        </w:rPr>
        <w:t>,</w:t>
      </w:r>
      <w:r w:rsidRPr="00B81524">
        <w:rPr>
          <w:lang w:val="en-GB"/>
        </w:rPr>
        <w:t xml:space="preserve"> wild turmeric</w:t>
      </w:r>
      <w:r w:rsidR="00352465" w:rsidRPr="00B81524">
        <w:rPr>
          <w:lang w:val="en-GB"/>
        </w:rPr>
        <w:t>—</w:t>
      </w:r>
      <w:r w:rsidRPr="00B81524">
        <w:rPr>
          <w:lang w:val="en-GB"/>
        </w:rPr>
        <w:t xml:space="preserve">a staple ingredient in curry. </w:t>
      </w:r>
      <w:r w:rsidR="00685D1A" w:rsidRPr="00B81524">
        <w:rPr>
          <w:lang w:val="en-GB"/>
        </w:rPr>
        <w:t>A</w:t>
      </w:r>
      <w:r w:rsidRPr="00B81524">
        <w:rPr>
          <w:lang w:val="en-GB"/>
        </w:rPr>
        <w:t>s a result of that meeting, a business was born.</w:t>
      </w:r>
      <w:r w:rsidR="00B81524">
        <w:rPr>
          <w:lang w:val="en-GB"/>
        </w:rPr>
        <w:t xml:space="preserve"> </w:t>
      </w:r>
    </w:p>
    <w:p w14:paraId="26095527" w14:textId="77777777" w:rsidR="000472CF" w:rsidRPr="00B81524" w:rsidRDefault="000472CF" w:rsidP="000472CF">
      <w:pPr>
        <w:pStyle w:val="BodyTextMain"/>
        <w:rPr>
          <w:sz w:val="20"/>
          <w:lang w:val="en-GB"/>
        </w:rPr>
      </w:pPr>
    </w:p>
    <w:p w14:paraId="4F14727D" w14:textId="2C41E6FC" w:rsidR="000472CF" w:rsidRDefault="000472CF" w:rsidP="000472CF">
      <w:pPr>
        <w:pStyle w:val="BodyTextMain"/>
        <w:rPr>
          <w:lang w:val="en-GB"/>
        </w:rPr>
      </w:pPr>
      <w:r w:rsidRPr="00B81524">
        <w:rPr>
          <w:lang w:val="en-GB"/>
        </w:rPr>
        <w:t>After months of experimenting with different formulations, Umeeda and her test team came up with a recipe for the first wildcrafted,</w:t>
      </w:r>
      <w:r w:rsidRPr="00B81524">
        <w:rPr>
          <w:vertAlign w:val="superscript"/>
          <w:lang w:val="en-GB"/>
        </w:rPr>
        <w:footnoteReference w:id="4"/>
      </w:r>
      <w:r w:rsidRPr="00B81524">
        <w:rPr>
          <w:lang w:val="en-GB"/>
        </w:rPr>
        <w:t xml:space="preserve"> whole</w:t>
      </w:r>
      <w:r w:rsidR="00352465" w:rsidRPr="00B81524">
        <w:rPr>
          <w:lang w:val="en-GB"/>
        </w:rPr>
        <w:t>-</w:t>
      </w:r>
      <w:r w:rsidRPr="00B81524">
        <w:rPr>
          <w:lang w:val="en-GB"/>
        </w:rPr>
        <w:t>root turmeric paste</w:t>
      </w:r>
      <w:r w:rsidR="00352465" w:rsidRPr="00B81524">
        <w:rPr>
          <w:lang w:val="en-GB"/>
        </w:rPr>
        <w:t>—</w:t>
      </w:r>
      <w:r w:rsidRPr="00B81524">
        <w:rPr>
          <w:lang w:val="en-GB"/>
        </w:rPr>
        <w:t xml:space="preserve">Truly Turmeric. From the outset, the intent </w:t>
      </w:r>
      <w:r w:rsidR="00685D1A" w:rsidRPr="00B81524">
        <w:rPr>
          <w:lang w:val="en-GB"/>
        </w:rPr>
        <w:t xml:space="preserve">of the </w:t>
      </w:r>
      <w:r w:rsidR="00FE70BA" w:rsidRPr="00B81524">
        <w:rPr>
          <w:lang w:val="en-GB"/>
        </w:rPr>
        <w:t>business</w:t>
      </w:r>
      <w:r w:rsidR="00685D1A" w:rsidRPr="00B81524">
        <w:rPr>
          <w:lang w:val="en-GB"/>
        </w:rPr>
        <w:t xml:space="preserve"> </w:t>
      </w:r>
      <w:r w:rsidRPr="00B81524">
        <w:rPr>
          <w:lang w:val="en-GB"/>
        </w:rPr>
        <w:t xml:space="preserve">was </w:t>
      </w:r>
      <w:r w:rsidR="00164B85">
        <w:rPr>
          <w:lang w:val="en-GB"/>
        </w:rPr>
        <w:t xml:space="preserve">not </w:t>
      </w:r>
      <w:r w:rsidR="00FE70BA" w:rsidRPr="00B81524">
        <w:rPr>
          <w:lang w:val="en-GB"/>
        </w:rPr>
        <w:t xml:space="preserve">to be just </w:t>
      </w:r>
      <w:r w:rsidRPr="00B81524">
        <w:rPr>
          <w:lang w:val="en-GB"/>
        </w:rPr>
        <w:t xml:space="preserve">another </w:t>
      </w:r>
      <w:r w:rsidR="00164B85">
        <w:rPr>
          <w:lang w:val="en-GB"/>
        </w:rPr>
        <w:t>export–import</w:t>
      </w:r>
      <w:r w:rsidRPr="00B81524">
        <w:rPr>
          <w:lang w:val="en-GB"/>
        </w:rPr>
        <w:t xml:space="preserve"> operation</w:t>
      </w:r>
      <w:r w:rsidR="00164B85">
        <w:rPr>
          <w:lang w:val="en-GB"/>
        </w:rPr>
        <w:t xml:space="preserve"> </w:t>
      </w:r>
      <w:r w:rsidRPr="00B81524">
        <w:rPr>
          <w:lang w:val="en-GB"/>
        </w:rPr>
        <w:t>but rather one that would have a positive impact on the growers</w:t>
      </w:r>
      <w:r w:rsidR="002C7B05" w:rsidRPr="00B81524">
        <w:rPr>
          <w:lang w:val="en-GB"/>
        </w:rPr>
        <w:t>,</w:t>
      </w:r>
      <w:r w:rsidRPr="00B81524">
        <w:rPr>
          <w:lang w:val="en-GB"/>
        </w:rPr>
        <w:t xml:space="preserve"> the</w:t>
      </w:r>
      <w:r w:rsidR="002C7B05" w:rsidRPr="00B81524">
        <w:rPr>
          <w:lang w:val="en-GB"/>
        </w:rPr>
        <w:t>ir</w:t>
      </w:r>
      <w:r w:rsidRPr="00B81524">
        <w:rPr>
          <w:lang w:val="en-GB"/>
        </w:rPr>
        <w:t xml:space="preserve"> families</w:t>
      </w:r>
      <w:r w:rsidR="002C7B05" w:rsidRPr="00B81524">
        <w:rPr>
          <w:lang w:val="en-GB"/>
        </w:rPr>
        <w:t xml:space="preserve">, and the </w:t>
      </w:r>
      <w:r w:rsidRPr="00B81524">
        <w:rPr>
          <w:lang w:val="en-GB"/>
        </w:rPr>
        <w:t xml:space="preserve">communities where the turmeric was grown. Healthy, sustainable, and empowered communities was </w:t>
      </w:r>
      <w:r w:rsidR="00D36DD3" w:rsidRPr="00B81524">
        <w:rPr>
          <w:lang w:val="en-GB"/>
        </w:rPr>
        <w:t>Naledo’s</w:t>
      </w:r>
      <w:r w:rsidRPr="00B81524">
        <w:rPr>
          <w:lang w:val="en-GB"/>
        </w:rPr>
        <w:t xml:space="preserve"> mission.</w:t>
      </w:r>
    </w:p>
    <w:p w14:paraId="62A2EEE5" w14:textId="42050569" w:rsidR="000472CF" w:rsidRPr="00B81524" w:rsidRDefault="000472CF" w:rsidP="00526354">
      <w:pPr>
        <w:pStyle w:val="Casehead1"/>
        <w:keepNext/>
        <w:rPr>
          <w:lang w:val="en-GB"/>
        </w:rPr>
      </w:pPr>
      <w:r w:rsidRPr="00B81524">
        <w:rPr>
          <w:lang w:val="en-GB"/>
        </w:rPr>
        <w:lastRenderedPageBreak/>
        <w:t>The Health and Wellness Industry</w:t>
      </w:r>
    </w:p>
    <w:p w14:paraId="1FB3B2A4" w14:textId="77777777" w:rsidR="000472CF" w:rsidRPr="00B81524" w:rsidRDefault="000472CF" w:rsidP="00526354">
      <w:pPr>
        <w:pStyle w:val="BodyTextMain"/>
        <w:keepNext/>
        <w:rPr>
          <w:sz w:val="20"/>
          <w:lang w:val="en-GB"/>
        </w:rPr>
      </w:pPr>
    </w:p>
    <w:p w14:paraId="4BD90330" w14:textId="77EB0C19" w:rsidR="000472CF" w:rsidRPr="00B81524" w:rsidRDefault="000472CF" w:rsidP="00526354">
      <w:pPr>
        <w:pStyle w:val="BodyTextMain"/>
        <w:keepNext/>
        <w:rPr>
          <w:lang w:val="en-GB"/>
        </w:rPr>
      </w:pPr>
      <w:r w:rsidRPr="00B81524">
        <w:rPr>
          <w:lang w:val="en-GB"/>
        </w:rPr>
        <w:t>A focus on health and wellness ha</w:t>
      </w:r>
      <w:r w:rsidR="00D36DD3" w:rsidRPr="00B81524">
        <w:rPr>
          <w:lang w:val="en-GB"/>
        </w:rPr>
        <w:t>d</w:t>
      </w:r>
      <w:r w:rsidRPr="00B81524">
        <w:rPr>
          <w:lang w:val="en-GB"/>
        </w:rPr>
        <w:t xml:space="preserve"> become an important consumer trend</w:t>
      </w:r>
      <w:r w:rsidR="0054701D" w:rsidRPr="00B81524">
        <w:rPr>
          <w:lang w:val="en-GB"/>
        </w:rPr>
        <w:t xml:space="preserve"> by 2016</w:t>
      </w:r>
      <w:r w:rsidRPr="00B81524">
        <w:rPr>
          <w:lang w:val="en-GB"/>
        </w:rPr>
        <w:t xml:space="preserve">. Healthful food, regular exercise, and personal health monitoring </w:t>
      </w:r>
      <w:r w:rsidR="00D36DD3" w:rsidRPr="00B81524">
        <w:rPr>
          <w:lang w:val="en-GB"/>
        </w:rPr>
        <w:t>had</w:t>
      </w:r>
      <w:r w:rsidRPr="00B81524">
        <w:rPr>
          <w:lang w:val="en-GB"/>
        </w:rPr>
        <w:t xml:space="preserve"> become lifestyle choice</w:t>
      </w:r>
      <w:r w:rsidR="00D36DD3" w:rsidRPr="00B81524">
        <w:rPr>
          <w:lang w:val="en-GB"/>
        </w:rPr>
        <w:t>s</w:t>
      </w:r>
      <w:r w:rsidRPr="00B81524">
        <w:rPr>
          <w:lang w:val="en-GB"/>
        </w:rPr>
        <w:t xml:space="preserve"> and, in the process, given rise to a host of new businesses. The global market for health and wellness products and services tota</w:t>
      </w:r>
      <w:r w:rsidR="00D36DD3" w:rsidRPr="00B81524">
        <w:rPr>
          <w:lang w:val="en-GB"/>
        </w:rPr>
        <w:t>l</w:t>
      </w:r>
      <w:r w:rsidRPr="00B81524">
        <w:rPr>
          <w:lang w:val="en-GB"/>
        </w:rPr>
        <w:t>led US$686 billion</w:t>
      </w:r>
      <w:r w:rsidRPr="00B81524">
        <w:rPr>
          <w:vertAlign w:val="superscript"/>
          <w:lang w:val="en-GB"/>
        </w:rPr>
        <w:footnoteReference w:id="5"/>
      </w:r>
      <w:r w:rsidRPr="00B81524">
        <w:rPr>
          <w:lang w:val="en-GB"/>
        </w:rPr>
        <w:t xml:space="preserve"> in 2016 and was expected to reach US$815 billion by 2021.</w:t>
      </w:r>
      <w:r w:rsidRPr="00B81524">
        <w:rPr>
          <w:vertAlign w:val="superscript"/>
          <w:lang w:val="en-GB"/>
        </w:rPr>
        <w:footnoteReference w:id="6"/>
      </w:r>
      <w:r w:rsidRPr="00B81524">
        <w:rPr>
          <w:lang w:val="en-GB"/>
        </w:rPr>
        <w:t xml:space="preserve"> Growth in the Canadian market was somewhat slower, driven primarily by </w:t>
      </w:r>
      <w:r w:rsidR="00D36DD3" w:rsidRPr="00B81524">
        <w:rPr>
          <w:lang w:val="en-GB"/>
        </w:rPr>
        <w:t xml:space="preserve">both </w:t>
      </w:r>
      <w:r w:rsidRPr="00B81524">
        <w:rPr>
          <w:lang w:val="en-GB"/>
        </w:rPr>
        <w:t>an aging population and rising incomes among younger Canadians. Demand for organic packaged foods and beverages was particularly strong due to growing support for socially and environmentally responsible sourcing.</w:t>
      </w:r>
      <w:r w:rsidRPr="00B81524">
        <w:rPr>
          <w:vertAlign w:val="superscript"/>
          <w:lang w:val="en-GB"/>
        </w:rPr>
        <w:footnoteReference w:id="7"/>
      </w:r>
      <w:r w:rsidRPr="00B81524">
        <w:rPr>
          <w:lang w:val="en-GB"/>
        </w:rPr>
        <w:t xml:space="preserve"> </w:t>
      </w:r>
      <w:r w:rsidR="0054701D" w:rsidRPr="00B81524">
        <w:rPr>
          <w:lang w:val="en-GB"/>
        </w:rPr>
        <w:t>By 2013, s</w:t>
      </w:r>
      <w:r w:rsidRPr="00B81524">
        <w:rPr>
          <w:lang w:val="en-GB"/>
        </w:rPr>
        <w:t>ome 31</w:t>
      </w:r>
      <w:r w:rsidR="00D36DD3" w:rsidRPr="00B81524">
        <w:rPr>
          <w:lang w:val="en-GB"/>
        </w:rPr>
        <w:t xml:space="preserve"> per cent</w:t>
      </w:r>
      <w:r w:rsidRPr="00B81524">
        <w:rPr>
          <w:lang w:val="en-GB"/>
        </w:rPr>
        <w:t xml:space="preserve"> of Canadians were willing to pay a premium for health</w:t>
      </w:r>
      <w:r w:rsidR="00D36DD3" w:rsidRPr="00B81524">
        <w:rPr>
          <w:lang w:val="en-GB"/>
        </w:rPr>
        <w:t>-</w:t>
      </w:r>
      <w:r w:rsidRPr="00B81524">
        <w:rPr>
          <w:lang w:val="en-GB"/>
        </w:rPr>
        <w:t>promoting products. Among Canadian consumers, health awareness was coupled with a preference for Canadian</w:t>
      </w:r>
      <w:r w:rsidR="00D36DD3" w:rsidRPr="00B81524">
        <w:rPr>
          <w:lang w:val="en-GB"/>
        </w:rPr>
        <w:t>-</w:t>
      </w:r>
      <w:r w:rsidRPr="00B81524">
        <w:rPr>
          <w:lang w:val="en-GB"/>
        </w:rPr>
        <w:t xml:space="preserve">made products and products made by companies with </w:t>
      </w:r>
      <w:r w:rsidR="00EE5B16" w:rsidRPr="00B81524">
        <w:rPr>
          <w:lang w:val="en-GB"/>
        </w:rPr>
        <w:t>high</w:t>
      </w:r>
      <w:r w:rsidRPr="00B81524">
        <w:rPr>
          <w:lang w:val="en-GB"/>
        </w:rPr>
        <w:t xml:space="preserve"> ethic</w:t>
      </w:r>
      <w:r w:rsidR="00EE5B16" w:rsidRPr="00B81524">
        <w:rPr>
          <w:lang w:val="en-GB"/>
        </w:rPr>
        <w:t>al standard</w:t>
      </w:r>
      <w:r w:rsidRPr="00B81524">
        <w:rPr>
          <w:lang w:val="en-GB"/>
        </w:rPr>
        <w:t>s.</w:t>
      </w:r>
      <w:r w:rsidRPr="00B81524">
        <w:rPr>
          <w:vertAlign w:val="superscript"/>
          <w:lang w:val="en-GB"/>
        </w:rPr>
        <w:footnoteReference w:id="8"/>
      </w:r>
      <w:r w:rsidRPr="00B81524">
        <w:rPr>
          <w:vertAlign w:val="superscript"/>
          <w:lang w:val="en-GB"/>
        </w:rPr>
        <w:t xml:space="preserve"> </w:t>
      </w:r>
    </w:p>
    <w:p w14:paraId="5F5C1876" w14:textId="77777777" w:rsidR="000472CF" w:rsidRPr="00B81524" w:rsidRDefault="000472CF" w:rsidP="000472CF">
      <w:pPr>
        <w:pStyle w:val="BodyTextMain"/>
        <w:rPr>
          <w:sz w:val="18"/>
          <w:lang w:val="en-GB"/>
        </w:rPr>
      </w:pPr>
    </w:p>
    <w:p w14:paraId="6B234067" w14:textId="0DFF7DB4" w:rsidR="000472CF" w:rsidRPr="00B81524" w:rsidRDefault="000472CF" w:rsidP="000472CF">
      <w:pPr>
        <w:pStyle w:val="BodyTextMain"/>
        <w:rPr>
          <w:lang w:val="en-GB"/>
        </w:rPr>
      </w:pPr>
      <w:r w:rsidRPr="00B81524">
        <w:rPr>
          <w:lang w:val="en-GB"/>
        </w:rPr>
        <w:t>Mainstream supermarkets carried many health and wellness products, but an increasing number of specialty retail outlets, such as bakeries, chocolatiers, and tea shops, also carried such products. The specialty retailers often had a greater selection, better product knowledge, and the ability to provide personalized service.</w:t>
      </w:r>
      <w:r w:rsidRPr="00B81524">
        <w:rPr>
          <w:vertAlign w:val="superscript"/>
          <w:lang w:val="en-GB"/>
        </w:rPr>
        <w:footnoteReference w:id="9"/>
      </w:r>
      <w:r w:rsidRPr="00B81524">
        <w:rPr>
          <w:vertAlign w:val="superscript"/>
          <w:lang w:val="en-GB"/>
        </w:rPr>
        <w:t xml:space="preserve"> </w:t>
      </w:r>
      <w:r w:rsidR="00EE5B16" w:rsidRPr="00B81524">
        <w:rPr>
          <w:lang w:val="en-GB"/>
        </w:rPr>
        <w:t>Online retailers also sold</w:t>
      </w:r>
      <w:r w:rsidR="00EE5B16" w:rsidRPr="00B81524">
        <w:rPr>
          <w:vertAlign w:val="superscript"/>
          <w:lang w:val="en-GB"/>
        </w:rPr>
        <w:t xml:space="preserve"> </w:t>
      </w:r>
      <w:r w:rsidR="00EE5B16" w:rsidRPr="00B81524">
        <w:rPr>
          <w:lang w:val="en-GB"/>
        </w:rPr>
        <w:t>h</w:t>
      </w:r>
      <w:r w:rsidRPr="00B81524">
        <w:rPr>
          <w:lang w:val="en-GB"/>
        </w:rPr>
        <w:t>ealth and wellness products</w:t>
      </w:r>
      <w:r w:rsidR="00EE5B16" w:rsidRPr="00B81524">
        <w:rPr>
          <w:lang w:val="en-GB"/>
        </w:rPr>
        <w:t>;</w:t>
      </w:r>
      <w:r w:rsidRPr="00B81524">
        <w:rPr>
          <w:lang w:val="en-GB"/>
        </w:rPr>
        <w:t xml:space="preserve"> Amazon</w:t>
      </w:r>
      <w:r w:rsidR="00996730" w:rsidRPr="00B81524">
        <w:rPr>
          <w:lang w:val="en-GB"/>
        </w:rPr>
        <w:t>.ca’s</w:t>
      </w:r>
      <w:r w:rsidRPr="00B81524">
        <w:rPr>
          <w:lang w:val="en-GB"/>
        </w:rPr>
        <w:t xml:space="preserve"> online Health </w:t>
      </w:r>
      <w:r w:rsidR="00F63EA5" w:rsidRPr="00B81524">
        <w:rPr>
          <w:lang w:val="en-GB"/>
        </w:rPr>
        <w:t>&amp;</w:t>
      </w:r>
      <w:r w:rsidRPr="00B81524">
        <w:rPr>
          <w:lang w:val="en-GB"/>
        </w:rPr>
        <w:t xml:space="preserve"> Personal Care </w:t>
      </w:r>
      <w:r w:rsidR="00F63EA5" w:rsidRPr="00B81524">
        <w:rPr>
          <w:lang w:val="en-GB"/>
        </w:rPr>
        <w:t>s</w:t>
      </w:r>
      <w:r w:rsidRPr="00B81524">
        <w:rPr>
          <w:lang w:val="en-GB"/>
        </w:rPr>
        <w:t>tore, for example, offered thousands of products commonly carried by retail drug stores.</w:t>
      </w:r>
      <w:r w:rsidRPr="00B81524">
        <w:rPr>
          <w:vertAlign w:val="superscript"/>
          <w:lang w:val="en-GB"/>
        </w:rPr>
        <w:footnoteReference w:id="10"/>
      </w:r>
      <w:r w:rsidRPr="00B81524">
        <w:rPr>
          <w:lang w:val="en-GB"/>
        </w:rPr>
        <w:t xml:space="preserve"> </w:t>
      </w:r>
    </w:p>
    <w:p w14:paraId="426AB1F1" w14:textId="77777777" w:rsidR="000472CF" w:rsidRPr="00B81524" w:rsidRDefault="000472CF" w:rsidP="000472CF">
      <w:pPr>
        <w:pStyle w:val="BodyTextMain"/>
        <w:rPr>
          <w:sz w:val="18"/>
          <w:lang w:val="en-GB"/>
        </w:rPr>
      </w:pPr>
    </w:p>
    <w:p w14:paraId="12395494" w14:textId="0F3C0961" w:rsidR="000472CF" w:rsidRPr="00B81524" w:rsidRDefault="0054701D" w:rsidP="000472CF">
      <w:pPr>
        <w:pStyle w:val="BodyTextMain"/>
        <w:rPr>
          <w:lang w:val="en-GB"/>
        </w:rPr>
      </w:pPr>
      <w:r w:rsidRPr="00B81524">
        <w:rPr>
          <w:lang w:val="en-GB"/>
        </w:rPr>
        <w:t>By 2017, h</w:t>
      </w:r>
      <w:r w:rsidR="000472CF" w:rsidRPr="00B81524">
        <w:rPr>
          <w:lang w:val="en-GB"/>
        </w:rPr>
        <w:t>ealthy living was becoming a status symbol according to Euromonitor International,</w:t>
      </w:r>
      <w:r w:rsidR="000472CF" w:rsidRPr="00B81524">
        <w:rPr>
          <w:vertAlign w:val="superscript"/>
          <w:lang w:val="en-GB"/>
        </w:rPr>
        <w:footnoteReference w:id="11"/>
      </w:r>
      <w:r w:rsidR="000472CF" w:rsidRPr="00B81524">
        <w:rPr>
          <w:lang w:val="en-GB"/>
        </w:rPr>
        <w:t xml:space="preserve"> fue</w:t>
      </w:r>
      <w:r w:rsidR="00996730" w:rsidRPr="00B81524">
        <w:rPr>
          <w:lang w:val="en-GB"/>
        </w:rPr>
        <w:t>l</w:t>
      </w:r>
      <w:r w:rsidR="000472CF" w:rsidRPr="00B81524">
        <w:rPr>
          <w:lang w:val="en-GB"/>
        </w:rPr>
        <w:t>ling unprecede</w:t>
      </w:r>
      <w:r w:rsidR="00996730" w:rsidRPr="00B81524">
        <w:rPr>
          <w:lang w:val="en-GB"/>
        </w:rPr>
        <w:t>nte</w:t>
      </w:r>
      <w:r w:rsidR="000472CF" w:rsidRPr="00B81524">
        <w:rPr>
          <w:lang w:val="en-GB"/>
        </w:rPr>
        <w:t xml:space="preserve">d demand for healthier foods and dietary supplements. </w:t>
      </w:r>
      <w:r w:rsidR="007475D0" w:rsidRPr="00B81524">
        <w:rPr>
          <w:lang w:val="en-GB"/>
        </w:rPr>
        <w:t>Backed by</w:t>
      </w:r>
      <w:r w:rsidR="000472CF" w:rsidRPr="00B81524">
        <w:rPr>
          <w:lang w:val="en-GB"/>
        </w:rPr>
        <w:t xml:space="preserve"> the endorsement of health professionals, foods with health-giving properties such as vitamins and fib</w:t>
      </w:r>
      <w:r w:rsidR="00906B07" w:rsidRPr="00B81524">
        <w:rPr>
          <w:lang w:val="en-GB"/>
        </w:rPr>
        <w:t>r</w:t>
      </w:r>
      <w:r w:rsidR="000472CF" w:rsidRPr="00B81524">
        <w:rPr>
          <w:lang w:val="en-GB"/>
        </w:rPr>
        <w:t>e were particularly appealing to consumers.</w:t>
      </w:r>
      <w:r w:rsidR="000472CF" w:rsidRPr="00B81524">
        <w:rPr>
          <w:vertAlign w:val="superscript"/>
          <w:lang w:val="en-GB"/>
        </w:rPr>
        <w:footnoteReference w:id="12"/>
      </w:r>
      <w:r w:rsidR="000472CF" w:rsidRPr="00B81524">
        <w:rPr>
          <w:lang w:val="en-GB"/>
        </w:rPr>
        <w:t xml:space="preserve"> One worrisome trend for supermarkets and grocery stores was the decline </w:t>
      </w:r>
      <w:r w:rsidR="00906B07" w:rsidRPr="00B81524">
        <w:rPr>
          <w:lang w:val="en-GB"/>
        </w:rPr>
        <w:t xml:space="preserve">over the long run </w:t>
      </w:r>
      <w:r w:rsidR="000472CF" w:rsidRPr="00B81524">
        <w:rPr>
          <w:lang w:val="en-GB"/>
        </w:rPr>
        <w:t>in the number of people who liked to cook</w:t>
      </w:r>
      <w:r w:rsidR="0003627C" w:rsidRPr="00B81524">
        <w:rPr>
          <w:lang w:val="en-GB"/>
        </w:rPr>
        <w:t>:</w:t>
      </w:r>
      <w:r w:rsidR="000472CF" w:rsidRPr="00B81524">
        <w:rPr>
          <w:lang w:val="en-GB"/>
        </w:rPr>
        <w:t xml:space="preserve"> </w:t>
      </w:r>
      <w:r w:rsidR="007475D0" w:rsidRPr="00B81524">
        <w:rPr>
          <w:lang w:val="en-GB"/>
        </w:rPr>
        <w:t>a</w:t>
      </w:r>
      <w:r w:rsidR="0003627C" w:rsidRPr="00B81524">
        <w:rPr>
          <w:lang w:val="en-GB"/>
        </w:rPr>
        <w:t>ccording to one study, o</w:t>
      </w:r>
      <w:r w:rsidR="000472CF" w:rsidRPr="00B81524">
        <w:rPr>
          <w:lang w:val="en-GB"/>
        </w:rPr>
        <w:t>nly 10</w:t>
      </w:r>
      <w:r w:rsidR="00996730" w:rsidRPr="00B81524">
        <w:rPr>
          <w:lang w:val="en-GB"/>
        </w:rPr>
        <w:t xml:space="preserve"> per cent</w:t>
      </w:r>
      <w:r w:rsidR="000472CF" w:rsidRPr="00B81524">
        <w:rPr>
          <w:lang w:val="en-GB"/>
        </w:rPr>
        <w:t xml:space="preserve"> of American consumers liked to cook</w:t>
      </w:r>
      <w:r w:rsidR="0003627C" w:rsidRPr="00B81524">
        <w:rPr>
          <w:lang w:val="en-GB"/>
        </w:rPr>
        <w:t>;</w:t>
      </w:r>
      <w:r w:rsidR="000472CF" w:rsidRPr="00B81524">
        <w:rPr>
          <w:lang w:val="en-GB"/>
        </w:rPr>
        <w:t xml:space="preserve"> most did not.</w:t>
      </w:r>
      <w:r w:rsidR="000472CF" w:rsidRPr="00B81524">
        <w:rPr>
          <w:vertAlign w:val="superscript"/>
          <w:lang w:val="en-GB"/>
        </w:rPr>
        <w:footnoteReference w:id="13"/>
      </w:r>
    </w:p>
    <w:p w14:paraId="3C6E6611" w14:textId="77777777" w:rsidR="000472CF" w:rsidRPr="00B81524" w:rsidRDefault="000472CF" w:rsidP="000472CF">
      <w:pPr>
        <w:pStyle w:val="BodyTextMain"/>
        <w:rPr>
          <w:sz w:val="18"/>
          <w:lang w:val="en-GB"/>
        </w:rPr>
      </w:pPr>
    </w:p>
    <w:p w14:paraId="724E6BC5" w14:textId="79769004" w:rsidR="000472CF" w:rsidRPr="00B81524" w:rsidRDefault="002A0622" w:rsidP="000472CF">
      <w:pPr>
        <w:pStyle w:val="BodyTextMain"/>
        <w:rPr>
          <w:lang w:val="en-GB"/>
        </w:rPr>
      </w:pPr>
      <w:r w:rsidRPr="00B81524">
        <w:rPr>
          <w:lang w:val="en-GB"/>
        </w:rPr>
        <w:t>Consumers’</w:t>
      </w:r>
      <w:r w:rsidR="000472CF" w:rsidRPr="00B81524">
        <w:rPr>
          <w:lang w:val="en-GB"/>
        </w:rPr>
        <w:t xml:space="preserve"> increased use of social media </w:t>
      </w:r>
      <w:r w:rsidRPr="00B81524">
        <w:rPr>
          <w:lang w:val="en-GB"/>
        </w:rPr>
        <w:t>was</w:t>
      </w:r>
      <w:r w:rsidR="000472CF" w:rsidRPr="00B81524">
        <w:rPr>
          <w:lang w:val="en-GB"/>
        </w:rPr>
        <w:t xml:space="preserve"> good for the health and wellness industry. Social media was about community, and those </w:t>
      </w:r>
      <w:r w:rsidRPr="00B81524">
        <w:rPr>
          <w:lang w:val="en-GB"/>
        </w:rPr>
        <w:t>who</w:t>
      </w:r>
      <w:r w:rsidR="000472CF" w:rsidRPr="00B81524">
        <w:rPr>
          <w:lang w:val="en-GB"/>
        </w:rPr>
        <w:t xml:space="preserve"> adopted a healthy lifestyle </w:t>
      </w:r>
      <w:r w:rsidRPr="00B81524">
        <w:rPr>
          <w:lang w:val="en-GB"/>
        </w:rPr>
        <w:t>tended</w:t>
      </w:r>
      <w:r w:rsidR="000472CF" w:rsidRPr="00B81524">
        <w:rPr>
          <w:lang w:val="en-GB"/>
        </w:rPr>
        <w:t xml:space="preserve"> to share their enthusiasm for this lifestyle choice with their community of family and friends using Facebook, Instagram, Snapchat, Twitter</w:t>
      </w:r>
      <w:r w:rsidRPr="00B81524">
        <w:rPr>
          <w:lang w:val="en-GB"/>
        </w:rPr>
        <w:t>,</w:t>
      </w:r>
      <w:r w:rsidR="000472CF" w:rsidRPr="00B81524">
        <w:rPr>
          <w:lang w:val="en-GB"/>
        </w:rPr>
        <w:t xml:space="preserve"> and other social media platforms. In 2017, over 3 billion social media users worldwide </w:t>
      </w:r>
      <w:r w:rsidRPr="00B81524">
        <w:rPr>
          <w:lang w:val="en-GB"/>
        </w:rPr>
        <w:t>posted</w:t>
      </w:r>
      <w:r w:rsidR="000472CF" w:rsidRPr="00B81524">
        <w:rPr>
          <w:lang w:val="en-GB"/>
        </w:rPr>
        <w:t xml:space="preserve"> 60 billion messages a day on Facebook Messenger and Whats</w:t>
      </w:r>
      <w:r w:rsidR="00996730" w:rsidRPr="00B81524">
        <w:rPr>
          <w:lang w:val="en-GB"/>
        </w:rPr>
        <w:t>A</w:t>
      </w:r>
      <w:r w:rsidR="000472CF" w:rsidRPr="00B81524">
        <w:rPr>
          <w:lang w:val="en-GB"/>
        </w:rPr>
        <w:t>pp.</w:t>
      </w:r>
      <w:r w:rsidR="000472CF" w:rsidRPr="00B81524">
        <w:rPr>
          <w:vertAlign w:val="superscript"/>
          <w:lang w:val="en-GB"/>
        </w:rPr>
        <w:footnoteReference w:id="14"/>
      </w:r>
      <w:r w:rsidR="000472CF" w:rsidRPr="00B81524">
        <w:rPr>
          <w:vertAlign w:val="superscript"/>
          <w:lang w:val="en-GB"/>
        </w:rPr>
        <w:t xml:space="preserve"> </w:t>
      </w:r>
      <w:r w:rsidR="000472CF" w:rsidRPr="00B81524">
        <w:rPr>
          <w:lang w:val="en-GB"/>
        </w:rPr>
        <w:t>Savvy online health and wellness retailers used their social media platforms to engage directly with their customers by such means as blog</w:t>
      </w:r>
      <w:r w:rsidRPr="00B81524">
        <w:rPr>
          <w:lang w:val="en-GB"/>
        </w:rPr>
        <w:t>ging</w:t>
      </w:r>
      <w:r w:rsidR="000472CF" w:rsidRPr="00B81524">
        <w:rPr>
          <w:lang w:val="en-GB"/>
        </w:rPr>
        <w:t xml:space="preserve">, posting technical information, offering ideas for promoting wellness at home or at work, suggesting resources, </w:t>
      </w:r>
      <w:r w:rsidR="000472CF" w:rsidRPr="00B81524">
        <w:rPr>
          <w:lang w:val="en-GB"/>
        </w:rPr>
        <w:lastRenderedPageBreak/>
        <w:t xml:space="preserve">uploading video tutorials, hosting podcasts, </w:t>
      </w:r>
      <w:r w:rsidRPr="00B81524">
        <w:rPr>
          <w:lang w:val="en-GB"/>
        </w:rPr>
        <w:t xml:space="preserve">offering </w:t>
      </w:r>
      <w:r w:rsidR="000472CF" w:rsidRPr="00B81524">
        <w:rPr>
          <w:lang w:val="en-GB"/>
        </w:rPr>
        <w:t>lifestyle quizzes and checklists</w:t>
      </w:r>
      <w:r w:rsidRPr="00B81524">
        <w:rPr>
          <w:lang w:val="en-GB"/>
        </w:rPr>
        <w:t>,</w:t>
      </w:r>
      <w:r w:rsidR="000472CF" w:rsidRPr="00B81524">
        <w:rPr>
          <w:lang w:val="en-GB"/>
        </w:rPr>
        <w:t xml:space="preserve"> and encouraging their customers to share their personal stories.</w:t>
      </w:r>
      <w:r w:rsidR="000472CF" w:rsidRPr="00B81524">
        <w:rPr>
          <w:vertAlign w:val="superscript"/>
          <w:lang w:val="en-GB"/>
        </w:rPr>
        <w:footnoteReference w:id="15"/>
      </w:r>
    </w:p>
    <w:p w14:paraId="45895D5A" w14:textId="77777777" w:rsidR="000472CF" w:rsidRPr="00B81524" w:rsidRDefault="000472CF" w:rsidP="000472CF">
      <w:pPr>
        <w:pStyle w:val="BodyTextMain"/>
        <w:rPr>
          <w:sz w:val="20"/>
          <w:lang w:val="en-GB"/>
        </w:rPr>
      </w:pPr>
    </w:p>
    <w:p w14:paraId="5FBDCFAF" w14:textId="77777777" w:rsidR="003F044B" w:rsidRPr="00B81524" w:rsidRDefault="003F044B" w:rsidP="000472CF">
      <w:pPr>
        <w:pStyle w:val="BodyTextMain"/>
        <w:rPr>
          <w:sz w:val="20"/>
          <w:lang w:val="en-GB"/>
        </w:rPr>
      </w:pPr>
    </w:p>
    <w:p w14:paraId="41CF180B" w14:textId="53561A83" w:rsidR="000472CF" w:rsidRPr="00B81524" w:rsidRDefault="000472CF" w:rsidP="003F044B">
      <w:pPr>
        <w:pStyle w:val="Casehead1"/>
        <w:rPr>
          <w:lang w:val="en-GB"/>
        </w:rPr>
      </w:pPr>
      <w:r w:rsidRPr="00B81524">
        <w:rPr>
          <w:lang w:val="en-GB"/>
        </w:rPr>
        <w:t>Wild Turmeric</w:t>
      </w:r>
    </w:p>
    <w:p w14:paraId="40DA2960" w14:textId="77777777" w:rsidR="000472CF" w:rsidRPr="00B81524" w:rsidRDefault="000472CF" w:rsidP="003F044B">
      <w:pPr>
        <w:pStyle w:val="BodyTextMain"/>
        <w:rPr>
          <w:sz w:val="20"/>
          <w:lang w:val="en-GB"/>
        </w:rPr>
      </w:pPr>
    </w:p>
    <w:p w14:paraId="0C721761" w14:textId="77472CBB" w:rsidR="000472CF" w:rsidRPr="00B81524" w:rsidRDefault="000472CF" w:rsidP="003F044B">
      <w:pPr>
        <w:pStyle w:val="BodyTextMain"/>
        <w:rPr>
          <w:lang w:val="en-GB"/>
        </w:rPr>
      </w:pPr>
      <w:r w:rsidRPr="00B81524">
        <w:rPr>
          <w:lang w:val="en-GB"/>
        </w:rPr>
        <w:t xml:space="preserve">The turmeric plant was a tropical plant native to </w:t>
      </w:r>
      <w:r w:rsidR="002A0622" w:rsidRPr="00B81524">
        <w:rPr>
          <w:lang w:val="en-GB"/>
        </w:rPr>
        <w:t>S</w:t>
      </w:r>
      <w:r w:rsidRPr="00B81524">
        <w:rPr>
          <w:lang w:val="en-GB"/>
        </w:rPr>
        <w:t>outheast Asia but also cultivated in India, Sri Lanka, Fiji</w:t>
      </w:r>
      <w:r w:rsidR="002A0622" w:rsidRPr="00B81524">
        <w:rPr>
          <w:lang w:val="en-GB"/>
        </w:rPr>
        <w:t>,</w:t>
      </w:r>
      <w:r w:rsidRPr="00B81524">
        <w:rPr>
          <w:lang w:val="en-GB"/>
        </w:rPr>
        <w:t xml:space="preserve"> Australia</w:t>
      </w:r>
      <w:r w:rsidR="002A0622" w:rsidRPr="00B81524">
        <w:rPr>
          <w:lang w:val="en-GB"/>
        </w:rPr>
        <w:t>,</w:t>
      </w:r>
      <w:r w:rsidRPr="00B81524">
        <w:rPr>
          <w:lang w:val="en-GB"/>
        </w:rPr>
        <w:t xml:space="preserve"> and the Caribbean</w:t>
      </w:r>
      <w:r w:rsidR="003F044B" w:rsidRPr="00B81524">
        <w:rPr>
          <w:lang w:val="en-GB"/>
        </w:rPr>
        <w:t>.</w:t>
      </w:r>
      <w:r w:rsidRPr="00B81524">
        <w:rPr>
          <w:vertAlign w:val="superscript"/>
          <w:lang w:val="en-GB"/>
        </w:rPr>
        <w:footnoteReference w:id="16"/>
      </w:r>
      <w:r w:rsidRPr="00B81524">
        <w:rPr>
          <w:lang w:val="en-GB"/>
        </w:rPr>
        <w:t xml:space="preserve"> The yellow-orange rhizomes of the plant were the main ingredient in curries and mustards. Also known as Indian saffron, yellow ginger, or curcumin, turmeric could be grated and used in raw form</w:t>
      </w:r>
      <w:r w:rsidR="002A0622" w:rsidRPr="00B81524">
        <w:rPr>
          <w:lang w:val="en-GB"/>
        </w:rPr>
        <w:t>,</w:t>
      </w:r>
      <w:r w:rsidRPr="00B81524">
        <w:rPr>
          <w:lang w:val="en-GB"/>
        </w:rPr>
        <w:t xml:space="preserve"> cooked and mixed with a liquid to form a paste</w:t>
      </w:r>
      <w:r w:rsidR="002A0622" w:rsidRPr="00B81524">
        <w:rPr>
          <w:lang w:val="en-GB"/>
        </w:rPr>
        <w:t>,</w:t>
      </w:r>
      <w:r w:rsidRPr="00B81524">
        <w:rPr>
          <w:lang w:val="en-GB"/>
        </w:rPr>
        <w:t xml:space="preserve"> or dried and ground. In whatever form, turmeric was known for being an antioxidant </w:t>
      </w:r>
      <w:r w:rsidR="002A0622" w:rsidRPr="00B81524">
        <w:rPr>
          <w:lang w:val="en-GB"/>
        </w:rPr>
        <w:t xml:space="preserve">and </w:t>
      </w:r>
      <w:r w:rsidRPr="00B81524">
        <w:rPr>
          <w:lang w:val="en-GB"/>
        </w:rPr>
        <w:t xml:space="preserve">rich in iron, </w:t>
      </w:r>
      <w:r w:rsidR="002A0622" w:rsidRPr="00B81524">
        <w:rPr>
          <w:lang w:val="en-GB"/>
        </w:rPr>
        <w:t>v</w:t>
      </w:r>
      <w:r w:rsidRPr="00B81524">
        <w:rPr>
          <w:lang w:val="en-GB"/>
        </w:rPr>
        <w:t>itamin C, and manganese</w:t>
      </w:r>
      <w:r w:rsidR="008B687B" w:rsidRPr="00B81524">
        <w:rPr>
          <w:lang w:val="en-GB"/>
        </w:rPr>
        <w:t>,</w:t>
      </w:r>
      <w:r w:rsidRPr="00B81524">
        <w:rPr>
          <w:lang w:val="en-GB"/>
        </w:rPr>
        <w:t xml:space="preserve"> and </w:t>
      </w:r>
      <w:r w:rsidR="008B687B" w:rsidRPr="00B81524">
        <w:rPr>
          <w:lang w:val="en-GB"/>
        </w:rPr>
        <w:t xml:space="preserve">it </w:t>
      </w:r>
      <w:r w:rsidRPr="00B81524">
        <w:rPr>
          <w:lang w:val="en-GB"/>
        </w:rPr>
        <w:t>had long been used as an herbal medicine for a variety of ailments.</w:t>
      </w:r>
      <w:r w:rsidRPr="00B81524">
        <w:rPr>
          <w:vertAlign w:val="superscript"/>
          <w:lang w:val="en-GB"/>
        </w:rPr>
        <w:footnoteReference w:id="17"/>
      </w:r>
      <w:r w:rsidRPr="00B81524">
        <w:rPr>
          <w:lang w:val="en-GB"/>
        </w:rPr>
        <w:t xml:space="preserve"> The wild plant form also had three times as much curcumin</w:t>
      </w:r>
      <w:r w:rsidR="008B687B" w:rsidRPr="00B81524">
        <w:rPr>
          <w:lang w:val="en-GB"/>
        </w:rPr>
        <w:t>—</w:t>
      </w:r>
      <w:r w:rsidRPr="00B81524">
        <w:rPr>
          <w:lang w:val="en-GB"/>
        </w:rPr>
        <w:t>the anti-inflammatory agent found in turmeric</w:t>
      </w:r>
      <w:r w:rsidR="008B687B" w:rsidRPr="00B81524">
        <w:rPr>
          <w:lang w:val="en-GB"/>
        </w:rPr>
        <w:t>—</w:t>
      </w:r>
      <w:r w:rsidRPr="00B81524">
        <w:rPr>
          <w:lang w:val="en-GB"/>
        </w:rPr>
        <w:t>as the cultivated plant.</w:t>
      </w:r>
    </w:p>
    <w:p w14:paraId="0548932F" w14:textId="77777777" w:rsidR="003F044B" w:rsidRPr="00B81524" w:rsidRDefault="003F044B" w:rsidP="003F044B">
      <w:pPr>
        <w:pStyle w:val="BodyTextMain"/>
        <w:rPr>
          <w:sz w:val="20"/>
          <w:lang w:val="en-GB"/>
        </w:rPr>
      </w:pPr>
    </w:p>
    <w:p w14:paraId="4C43136B" w14:textId="77777777" w:rsidR="003F044B" w:rsidRPr="00B81524" w:rsidRDefault="003F044B" w:rsidP="003F044B">
      <w:pPr>
        <w:pStyle w:val="BodyTextMain"/>
        <w:rPr>
          <w:sz w:val="20"/>
          <w:lang w:val="en-GB"/>
        </w:rPr>
      </w:pPr>
    </w:p>
    <w:p w14:paraId="0FF78D01" w14:textId="6D70667A" w:rsidR="000472CF" w:rsidRPr="00B81524" w:rsidRDefault="000472CF" w:rsidP="003F044B">
      <w:pPr>
        <w:pStyle w:val="Casehead1"/>
        <w:rPr>
          <w:lang w:val="en-GB"/>
        </w:rPr>
      </w:pPr>
      <w:r w:rsidRPr="00B81524">
        <w:rPr>
          <w:lang w:val="en-GB"/>
        </w:rPr>
        <w:t>Belizean Growers</w:t>
      </w:r>
    </w:p>
    <w:p w14:paraId="444CC331" w14:textId="77777777" w:rsidR="003F044B" w:rsidRPr="00B81524" w:rsidRDefault="003F044B" w:rsidP="003F044B">
      <w:pPr>
        <w:pStyle w:val="BodyTextMain"/>
        <w:rPr>
          <w:sz w:val="20"/>
          <w:lang w:val="en-GB"/>
        </w:rPr>
      </w:pPr>
    </w:p>
    <w:p w14:paraId="26E90BA6" w14:textId="544C527E" w:rsidR="000472CF" w:rsidRPr="00B81524" w:rsidRDefault="008B687B" w:rsidP="00644C5E">
      <w:pPr>
        <w:pStyle w:val="BodyTextMain"/>
        <w:rPr>
          <w:lang w:val="en-GB"/>
        </w:rPr>
      </w:pPr>
      <w:r w:rsidRPr="00B81524">
        <w:rPr>
          <w:lang w:val="en-GB"/>
        </w:rPr>
        <w:t>According to Nareena</w:t>
      </w:r>
      <w:r w:rsidR="0096301C" w:rsidRPr="00B81524">
        <w:rPr>
          <w:lang w:val="en-GB"/>
        </w:rPr>
        <w:t>,</w:t>
      </w:r>
      <w:r w:rsidRPr="00B81524">
        <w:rPr>
          <w:lang w:val="en-GB"/>
        </w:rPr>
        <w:t xml:space="preserve"> “</w:t>
      </w:r>
      <w:r w:rsidR="000472CF" w:rsidRPr="00B81524">
        <w:rPr>
          <w:lang w:val="en-GB"/>
        </w:rPr>
        <w:t xml:space="preserve">When we started </w:t>
      </w:r>
      <w:r w:rsidRPr="00B81524">
        <w:rPr>
          <w:lang w:val="en-GB"/>
        </w:rPr>
        <w:t xml:space="preserve">[Naledo] </w:t>
      </w:r>
      <w:r w:rsidR="000472CF" w:rsidRPr="00B81524">
        <w:rPr>
          <w:lang w:val="en-GB"/>
        </w:rPr>
        <w:t>we had a choice</w:t>
      </w:r>
      <w:r w:rsidRPr="00B81524">
        <w:rPr>
          <w:lang w:val="en-GB"/>
        </w:rPr>
        <w:t xml:space="preserve"> . . .</w:t>
      </w:r>
      <w:r w:rsidR="000472CF" w:rsidRPr="00B81524">
        <w:rPr>
          <w:lang w:val="en-GB"/>
        </w:rPr>
        <w:t xml:space="preserve"> to farm or not to farm. That is when we discovered wildcrafting and small-scale biodiverse growing.</w:t>
      </w:r>
      <w:r w:rsidRPr="00B81524">
        <w:rPr>
          <w:lang w:val="en-GB"/>
        </w:rPr>
        <w:t>”</w:t>
      </w:r>
    </w:p>
    <w:p w14:paraId="31879DA3" w14:textId="77777777" w:rsidR="003F044B" w:rsidRPr="00B81524" w:rsidRDefault="003F044B" w:rsidP="003E6D5D">
      <w:pPr>
        <w:pStyle w:val="BodyTextMain"/>
        <w:rPr>
          <w:sz w:val="20"/>
          <w:lang w:val="en-GB"/>
        </w:rPr>
      </w:pPr>
    </w:p>
    <w:p w14:paraId="5570A031" w14:textId="666D102F" w:rsidR="000472CF" w:rsidRPr="00B81524" w:rsidRDefault="000472CF" w:rsidP="003F044B">
      <w:pPr>
        <w:pStyle w:val="BodyTextMain"/>
        <w:rPr>
          <w:lang w:val="en-GB"/>
        </w:rPr>
      </w:pPr>
      <w:r w:rsidRPr="00B81524">
        <w:rPr>
          <w:lang w:val="en-GB"/>
        </w:rPr>
        <w:t xml:space="preserve">Wildcrafting was the practice of harvesting plant material </w:t>
      </w:r>
      <w:r w:rsidR="008B687B" w:rsidRPr="00B81524">
        <w:rPr>
          <w:lang w:val="en-GB"/>
        </w:rPr>
        <w:t>such as</w:t>
      </w:r>
      <w:r w:rsidRPr="00B81524">
        <w:rPr>
          <w:lang w:val="en-GB"/>
        </w:rPr>
        <w:t xml:space="preserve"> mushrooms, berries, or greens from their natural habitat, wherever that might be. In the Toledo </w:t>
      </w:r>
      <w:r w:rsidR="008B687B" w:rsidRPr="00B81524">
        <w:rPr>
          <w:lang w:val="en-GB"/>
        </w:rPr>
        <w:t>d</w:t>
      </w:r>
      <w:r w:rsidRPr="00B81524">
        <w:rPr>
          <w:lang w:val="en-GB"/>
        </w:rPr>
        <w:t xml:space="preserve">istrict of Belize, turmeric was often found growing wild on farms or between other agricultural crops such as cacao. Choosing not to enter into mainstream farming, Naledo partnered with over 350 Belizean growers to harvest wild turmeric. The growers were paid three times the market price for their turmeric, a practice </w:t>
      </w:r>
      <w:r w:rsidR="00747530" w:rsidRPr="00B81524">
        <w:rPr>
          <w:lang w:val="en-GB"/>
        </w:rPr>
        <w:t>that</w:t>
      </w:r>
      <w:r w:rsidRPr="00B81524">
        <w:rPr>
          <w:lang w:val="en-GB"/>
        </w:rPr>
        <w:t xml:space="preserve"> gave the growers additional income and Naledo a secure supply of </w:t>
      </w:r>
      <w:r w:rsidR="00F410DB">
        <w:rPr>
          <w:lang w:val="en-GB"/>
        </w:rPr>
        <w:t>organically grown</w:t>
      </w:r>
      <w:r w:rsidRPr="00B81524">
        <w:rPr>
          <w:lang w:val="en-GB"/>
        </w:rPr>
        <w:t xml:space="preserve"> wild turmeric. Representatives of Naledo visited the growers regularly to test the soil and ensure that no fertilizers or chemicals were being applied. More importantly, </w:t>
      </w:r>
      <w:r w:rsidR="00747530" w:rsidRPr="00B81524">
        <w:rPr>
          <w:lang w:val="en-GB"/>
        </w:rPr>
        <w:t xml:space="preserve">Naledo representatives used </w:t>
      </w:r>
      <w:r w:rsidRPr="00B81524">
        <w:rPr>
          <w:lang w:val="en-GB"/>
        </w:rPr>
        <w:t>these visits to talk to the growers about their goals for the future. Naledo was the first company in Belize to harvest wild turmeric for commercial use.</w:t>
      </w:r>
    </w:p>
    <w:p w14:paraId="1D52E992" w14:textId="77777777" w:rsidR="003F044B" w:rsidRPr="00B81524" w:rsidRDefault="003F044B" w:rsidP="003F044B">
      <w:pPr>
        <w:pStyle w:val="BodyTextMain"/>
        <w:rPr>
          <w:sz w:val="20"/>
          <w:lang w:val="en-GB"/>
        </w:rPr>
      </w:pPr>
    </w:p>
    <w:p w14:paraId="3FA04A1B" w14:textId="68992C6E" w:rsidR="003F044B" w:rsidRPr="00B81524" w:rsidRDefault="0096301C" w:rsidP="00644C5E">
      <w:pPr>
        <w:pStyle w:val="BodyTextMain"/>
        <w:rPr>
          <w:spacing w:val="-4"/>
          <w:lang w:val="en-GB"/>
        </w:rPr>
      </w:pPr>
      <w:r w:rsidRPr="00B81524">
        <w:rPr>
          <w:spacing w:val="-4"/>
          <w:lang w:val="en-GB"/>
        </w:rPr>
        <w:t>The response from the growers was positive. Giovanni Foster, a Naledo grower, stated, “</w:t>
      </w:r>
      <w:r w:rsidR="000472CF" w:rsidRPr="00B81524">
        <w:rPr>
          <w:spacing w:val="-4"/>
          <w:lang w:val="en-GB"/>
        </w:rPr>
        <w:t>Growing with Naledo, I am happy to be a part of it, it makes me feel that there is a purpose for what I am doing that benefits the greater society, not only my little community.</w:t>
      </w:r>
      <w:r w:rsidRPr="00B81524">
        <w:rPr>
          <w:spacing w:val="-4"/>
          <w:lang w:val="en-GB"/>
        </w:rPr>
        <w:t>”</w:t>
      </w:r>
      <w:r w:rsidR="000472CF" w:rsidRPr="00B81524">
        <w:rPr>
          <w:spacing w:val="-4"/>
          <w:lang w:val="en-GB"/>
        </w:rPr>
        <w:t xml:space="preserve"> </w:t>
      </w:r>
      <w:r w:rsidRPr="00B81524">
        <w:rPr>
          <w:spacing w:val="-4"/>
          <w:lang w:val="en-GB"/>
        </w:rPr>
        <w:t>Another grower, Hector Rodrigez, said, “</w:t>
      </w:r>
      <w:r w:rsidR="000472CF" w:rsidRPr="00B81524">
        <w:rPr>
          <w:spacing w:val="-4"/>
          <w:lang w:val="en-GB"/>
        </w:rPr>
        <w:t>When I heard about Naledo I had been out of work for two months. I had some yellow ginger on my land and was able to pass the inspection process and sell my yellow ginger. From that payment I paid bills and bought a pig. That pig had babies and now I have another income source. I am happy and now even have a job in the processing factory!</w:t>
      </w:r>
      <w:r w:rsidRPr="00B81524">
        <w:rPr>
          <w:spacing w:val="-4"/>
          <w:lang w:val="en-GB"/>
        </w:rPr>
        <w:t>”</w:t>
      </w:r>
      <w:r w:rsidR="000472CF" w:rsidRPr="00B81524">
        <w:rPr>
          <w:spacing w:val="-4"/>
          <w:lang w:val="en-GB"/>
        </w:rPr>
        <w:t xml:space="preserve"> </w:t>
      </w:r>
    </w:p>
    <w:p w14:paraId="0347CF72" w14:textId="77777777" w:rsidR="003F044B" w:rsidRPr="00B81524" w:rsidRDefault="003F044B" w:rsidP="003F044B">
      <w:pPr>
        <w:pStyle w:val="BodyTextMain"/>
        <w:rPr>
          <w:sz w:val="20"/>
          <w:lang w:val="en-GB"/>
        </w:rPr>
      </w:pPr>
    </w:p>
    <w:p w14:paraId="74EDEF86" w14:textId="77777777" w:rsidR="003F044B" w:rsidRPr="00B81524" w:rsidRDefault="003F044B" w:rsidP="003F044B">
      <w:pPr>
        <w:pStyle w:val="BodyTextMain"/>
        <w:rPr>
          <w:sz w:val="20"/>
          <w:lang w:val="en-GB"/>
        </w:rPr>
      </w:pPr>
    </w:p>
    <w:p w14:paraId="1D406DCE" w14:textId="1E3DDC64" w:rsidR="000472CF" w:rsidRPr="00B81524" w:rsidRDefault="000472CF" w:rsidP="002C7B05">
      <w:pPr>
        <w:pStyle w:val="Casehead1"/>
        <w:rPr>
          <w:lang w:val="en-GB"/>
        </w:rPr>
      </w:pPr>
      <w:r w:rsidRPr="00B81524">
        <w:rPr>
          <w:lang w:val="en-GB"/>
        </w:rPr>
        <w:t>The Belizean Production Team</w:t>
      </w:r>
    </w:p>
    <w:p w14:paraId="61FD066B" w14:textId="77777777" w:rsidR="003F044B" w:rsidRPr="00B81524" w:rsidRDefault="003F044B" w:rsidP="002C7B05">
      <w:pPr>
        <w:pStyle w:val="BodyTextMain"/>
        <w:rPr>
          <w:sz w:val="20"/>
          <w:lang w:val="en-GB"/>
        </w:rPr>
      </w:pPr>
    </w:p>
    <w:p w14:paraId="4DCF806A" w14:textId="14799FBE" w:rsidR="000472CF" w:rsidRPr="00B81524" w:rsidRDefault="000472CF" w:rsidP="002C7B05">
      <w:pPr>
        <w:pStyle w:val="BodyTextMain"/>
        <w:rPr>
          <w:lang w:val="en-GB"/>
        </w:rPr>
      </w:pPr>
      <w:bookmarkStart w:id="2" w:name="_Hlk503617829"/>
      <w:bookmarkStart w:id="3" w:name="_Hlk503617800"/>
      <w:bookmarkStart w:id="4" w:name="_Hlk503616748"/>
      <w:r w:rsidRPr="00B81524">
        <w:rPr>
          <w:lang w:val="en-GB"/>
        </w:rPr>
        <w:t>In Belize</w:t>
      </w:r>
      <w:r w:rsidR="000C711A" w:rsidRPr="00B81524">
        <w:rPr>
          <w:lang w:val="en-GB"/>
        </w:rPr>
        <w:t xml:space="preserve"> in 2010</w:t>
      </w:r>
      <w:r w:rsidRPr="00B81524">
        <w:rPr>
          <w:lang w:val="en-GB"/>
        </w:rPr>
        <w:t>, 56</w:t>
      </w:r>
      <w:r w:rsidR="0096301C" w:rsidRPr="00B81524">
        <w:rPr>
          <w:lang w:val="en-GB"/>
        </w:rPr>
        <w:t xml:space="preserve"> per cent</w:t>
      </w:r>
      <w:r w:rsidRPr="00B81524">
        <w:rPr>
          <w:lang w:val="en-GB"/>
        </w:rPr>
        <w:t xml:space="preserve"> of the population </w:t>
      </w:r>
      <w:bookmarkEnd w:id="2"/>
      <w:r w:rsidRPr="00B81524">
        <w:rPr>
          <w:lang w:val="en-GB"/>
        </w:rPr>
        <w:t>was under the age of 24</w:t>
      </w:r>
      <w:r w:rsidR="00C02ED6" w:rsidRPr="00B81524">
        <w:rPr>
          <w:lang w:val="en-GB"/>
        </w:rPr>
        <w:t>,</w:t>
      </w:r>
      <w:r w:rsidRPr="00B81524">
        <w:rPr>
          <w:lang w:val="en-GB"/>
        </w:rPr>
        <w:t xml:space="preserve"> </w:t>
      </w:r>
      <w:r w:rsidR="00C02ED6" w:rsidRPr="00B81524">
        <w:rPr>
          <w:lang w:val="en-GB"/>
        </w:rPr>
        <w:t>and the</w:t>
      </w:r>
      <w:r w:rsidRPr="00B81524">
        <w:rPr>
          <w:lang w:val="en-GB"/>
        </w:rPr>
        <w:t xml:space="preserve"> labour force unemployment </w:t>
      </w:r>
      <w:bookmarkEnd w:id="3"/>
      <w:r w:rsidRPr="00B81524">
        <w:rPr>
          <w:lang w:val="en-GB"/>
        </w:rPr>
        <w:t xml:space="preserve">rate </w:t>
      </w:r>
      <w:r w:rsidR="009432FC" w:rsidRPr="00B81524">
        <w:rPr>
          <w:lang w:val="en-GB"/>
        </w:rPr>
        <w:t>was</w:t>
      </w:r>
      <w:r w:rsidRPr="00B81524">
        <w:rPr>
          <w:lang w:val="en-GB"/>
        </w:rPr>
        <w:t xml:space="preserve"> 23</w:t>
      </w:r>
      <w:r w:rsidR="0096301C" w:rsidRPr="00B81524">
        <w:rPr>
          <w:lang w:val="en-GB"/>
        </w:rPr>
        <w:t xml:space="preserve"> per cent</w:t>
      </w:r>
      <w:r w:rsidRPr="00B81524">
        <w:rPr>
          <w:lang w:val="en-GB"/>
        </w:rPr>
        <w:t>.</w:t>
      </w:r>
      <w:r w:rsidRPr="00B81524">
        <w:rPr>
          <w:vertAlign w:val="superscript"/>
          <w:lang w:val="en-GB"/>
        </w:rPr>
        <w:footnoteReference w:id="18"/>
      </w:r>
      <w:r w:rsidR="0096301C" w:rsidRPr="00B81524">
        <w:rPr>
          <w:lang w:val="en-GB"/>
        </w:rPr>
        <w:t xml:space="preserve"> </w:t>
      </w:r>
      <w:bookmarkEnd w:id="4"/>
      <w:r w:rsidRPr="00B81524">
        <w:rPr>
          <w:lang w:val="en-GB"/>
        </w:rPr>
        <w:t xml:space="preserve">When it came to processing </w:t>
      </w:r>
      <w:r w:rsidR="009335B9" w:rsidRPr="00B81524">
        <w:rPr>
          <w:lang w:val="en-GB"/>
        </w:rPr>
        <w:t>its</w:t>
      </w:r>
      <w:r w:rsidRPr="00B81524">
        <w:rPr>
          <w:lang w:val="en-GB"/>
        </w:rPr>
        <w:t xml:space="preserve"> product, Naledo hired young people between the ages of 18 and 30</w:t>
      </w:r>
      <w:r w:rsidR="009432FC" w:rsidRPr="00B81524">
        <w:rPr>
          <w:lang w:val="en-GB"/>
        </w:rPr>
        <w:t xml:space="preserve"> and</w:t>
      </w:r>
      <w:r w:rsidRPr="00B81524">
        <w:rPr>
          <w:lang w:val="en-GB"/>
        </w:rPr>
        <w:t xml:space="preserve"> paid them three times the minimum wage for their work. Paying a living wage to employees improved lives. In addition, Naledo provided mentorship and business training on everything from accounting to marketing in the hope that some of </w:t>
      </w:r>
      <w:r w:rsidR="009335B9" w:rsidRPr="00B81524">
        <w:rPr>
          <w:lang w:val="en-GB"/>
        </w:rPr>
        <w:t>its</w:t>
      </w:r>
      <w:r w:rsidRPr="00B81524">
        <w:rPr>
          <w:lang w:val="en-GB"/>
        </w:rPr>
        <w:t xml:space="preserve"> employees would go on to create other businesses in the community.</w:t>
      </w:r>
      <w:r w:rsidRPr="00B81524">
        <w:rPr>
          <w:vertAlign w:val="superscript"/>
          <w:lang w:val="en-GB"/>
        </w:rPr>
        <w:footnoteReference w:id="19"/>
      </w:r>
      <w:r w:rsidRPr="00B81524">
        <w:rPr>
          <w:lang w:val="en-GB"/>
        </w:rPr>
        <w:t xml:space="preserve"> In 2017, 10 young people worked in the plant. The</w:t>
      </w:r>
      <w:r w:rsidR="009335B9" w:rsidRPr="00B81524">
        <w:rPr>
          <w:lang w:val="en-GB"/>
        </w:rPr>
        <w:t>y</w:t>
      </w:r>
      <w:r w:rsidRPr="00B81524">
        <w:rPr>
          <w:lang w:val="en-GB"/>
        </w:rPr>
        <w:t xml:space="preserve"> had stopped by the plant looking for employment and had ended up working there.</w:t>
      </w:r>
    </w:p>
    <w:p w14:paraId="1FB04E4F" w14:textId="77777777" w:rsidR="003F044B" w:rsidRPr="00B81524" w:rsidRDefault="003F044B" w:rsidP="003F044B">
      <w:pPr>
        <w:pStyle w:val="BodyTextMain"/>
        <w:rPr>
          <w:sz w:val="20"/>
          <w:lang w:val="en-GB"/>
        </w:rPr>
      </w:pPr>
    </w:p>
    <w:p w14:paraId="2C7E396D" w14:textId="0D3FBB1C" w:rsidR="000472CF" w:rsidRPr="00B81524" w:rsidRDefault="000472CF" w:rsidP="00644C5E">
      <w:pPr>
        <w:pStyle w:val="BodyTextMain"/>
        <w:rPr>
          <w:lang w:val="en-GB"/>
        </w:rPr>
      </w:pPr>
      <w:r w:rsidRPr="00B81524">
        <w:rPr>
          <w:lang w:val="en-GB"/>
        </w:rPr>
        <w:t>Ms. M.</w:t>
      </w:r>
      <w:r w:rsidR="009335B9" w:rsidRPr="00B81524">
        <w:rPr>
          <w:lang w:val="en-GB"/>
        </w:rPr>
        <w:t>,</w:t>
      </w:r>
      <w:r w:rsidRPr="00B81524">
        <w:rPr>
          <w:lang w:val="en-GB"/>
        </w:rPr>
        <w:t xml:space="preserve"> with only primary school education</w:t>
      </w:r>
      <w:r w:rsidR="0070437B" w:rsidRPr="00B81524">
        <w:rPr>
          <w:lang w:val="en-GB"/>
        </w:rPr>
        <w:t>,</w:t>
      </w:r>
      <w:r w:rsidRPr="00B81524">
        <w:rPr>
          <w:lang w:val="en-GB"/>
        </w:rPr>
        <w:t xml:space="preserve"> </w:t>
      </w:r>
      <w:r w:rsidR="0070437B" w:rsidRPr="00B81524">
        <w:rPr>
          <w:lang w:val="en-GB"/>
        </w:rPr>
        <w:t>began</w:t>
      </w:r>
      <w:r w:rsidRPr="00B81524">
        <w:rPr>
          <w:lang w:val="en-GB"/>
        </w:rPr>
        <w:t xml:space="preserve"> with Naledo in 2014</w:t>
      </w:r>
      <w:r w:rsidR="0070437B" w:rsidRPr="00B81524">
        <w:rPr>
          <w:lang w:val="en-GB"/>
        </w:rPr>
        <w:t xml:space="preserve"> by </w:t>
      </w:r>
      <w:r w:rsidRPr="00B81524">
        <w:rPr>
          <w:lang w:val="en-GB"/>
        </w:rPr>
        <w:t>washing the turmeric</w:t>
      </w:r>
      <w:r w:rsidR="00FB30FE">
        <w:rPr>
          <w:lang w:val="en-GB"/>
        </w:rPr>
        <w:t>,</w:t>
      </w:r>
      <w:r w:rsidRPr="00B81524">
        <w:rPr>
          <w:lang w:val="en-GB"/>
        </w:rPr>
        <w:t xml:space="preserve"> but</w:t>
      </w:r>
      <w:r w:rsidR="00FB30FE">
        <w:rPr>
          <w:lang w:val="en-GB"/>
        </w:rPr>
        <w:t xml:space="preserve"> she</w:t>
      </w:r>
      <w:r w:rsidRPr="00B81524">
        <w:rPr>
          <w:lang w:val="en-GB"/>
        </w:rPr>
        <w:t xml:space="preserve"> quickly learned everything about the process</w:t>
      </w:r>
      <w:r w:rsidR="0070437B" w:rsidRPr="00B81524">
        <w:rPr>
          <w:lang w:val="en-GB"/>
        </w:rPr>
        <w:t>.</w:t>
      </w:r>
      <w:r w:rsidRPr="00B81524">
        <w:rPr>
          <w:lang w:val="en-GB"/>
        </w:rPr>
        <w:t xml:space="preserve"> </w:t>
      </w:r>
      <w:r w:rsidR="0070437B" w:rsidRPr="00B81524">
        <w:rPr>
          <w:lang w:val="en-GB"/>
        </w:rPr>
        <w:t>N</w:t>
      </w:r>
      <w:r w:rsidRPr="00B81524">
        <w:rPr>
          <w:lang w:val="en-GB"/>
        </w:rPr>
        <w:t>ow</w:t>
      </w:r>
      <w:r w:rsidR="0070437B" w:rsidRPr="00B81524">
        <w:rPr>
          <w:lang w:val="en-GB"/>
        </w:rPr>
        <w:t>, she</w:t>
      </w:r>
      <w:r w:rsidRPr="00B81524">
        <w:rPr>
          <w:lang w:val="en-GB"/>
        </w:rPr>
        <w:t xml:space="preserve"> manage</w:t>
      </w:r>
      <w:r w:rsidR="0070437B" w:rsidRPr="00B81524">
        <w:rPr>
          <w:lang w:val="en-GB"/>
        </w:rPr>
        <w:t>d</w:t>
      </w:r>
      <w:r w:rsidRPr="00B81524">
        <w:rPr>
          <w:lang w:val="en-GB"/>
        </w:rPr>
        <w:t xml:space="preserve"> the entire production operation</w:t>
      </w:r>
      <w:r w:rsidR="0070437B" w:rsidRPr="00B81524">
        <w:rPr>
          <w:lang w:val="en-GB"/>
        </w:rPr>
        <w:t xml:space="preserve"> and</w:t>
      </w:r>
      <w:r w:rsidRPr="00B81524">
        <w:rPr>
          <w:lang w:val="en-GB"/>
        </w:rPr>
        <w:t xml:space="preserve"> </w:t>
      </w:r>
      <w:r w:rsidR="0070437B" w:rsidRPr="00B81524">
        <w:rPr>
          <w:lang w:val="en-GB"/>
        </w:rPr>
        <w:t>was</w:t>
      </w:r>
      <w:r w:rsidRPr="00B81524">
        <w:rPr>
          <w:lang w:val="en-GB"/>
        </w:rPr>
        <w:t xml:space="preserve"> also the primary breadwinner </w:t>
      </w:r>
      <w:r w:rsidR="0070437B" w:rsidRPr="00B81524">
        <w:rPr>
          <w:lang w:val="en-GB"/>
        </w:rPr>
        <w:t>in</w:t>
      </w:r>
      <w:r w:rsidRPr="00B81524">
        <w:rPr>
          <w:lang w:val="en-GB"/>
        </w:rPr>
        <w:t xml:space="preserve"> her family. </w:t>
      </w:r>
    </w:p>
    <w:p w14:paraId="49B8FB13" w14:textId="77777777" w:rsidR="003F044B" w:rsidRPr="00B81524" w:rsidRDefault="003F044B" w:rsidP="00644C5E">
      <w:pPr>
        <w:pStyle w:val="BodyTextMain"/>
        <w:rPr>
          <w:sz w:val="20"/>
          <w:lang w:val="en-GB"/>
        </w:rPr>
      </w:pPr>
    </w:p>
    <w:p w14:paraId="016DD90D" w14:textId="0112BFAB" w:rsidR="000472CF" w:rsidRPr="00B81524" w:rsidRDefault="000472CF" w:rsidP="00644C5E">
      <w:pPr>
        <w:pStyle w:val="BodyTextMain"/>
        <w:rPr>
          <w:lang w:val="en-GB"/>
        </w:rPr>
      </w:pPr>
      <w:r w:rsidRPr="00B81524">
        <w:rPr>
          <w:lang w:val="en-GB"/>
        </w:rPr>
        <w:t>Mr. L., the organization’s labe</w:t>
      </w:r>
      <w:r w:rsidR="0070437B" w:rsidRPr="00B81524">
        <w:rPr>
          <w:lang w:val="en-GB"/>
        </w:rPr>
        <w:t>l</w:t>
      </w:r>
      <w:r w:rsidRPr="00B81524">
        <w:rPr>
          <w:lang w:val="en-GB"/>
        </w:rPr>
        <w:t xml:space="preserve">ling and shipping manager, </w:t>
      </w:r>
      <w:r w:rsidR="00310274" w:rsidRPr="00B81524">
        <w:rPr>
          <w:lang w:val="en-GB"/>
        </w:rPr>
        <w:t xml:space="preserve">had </w:t>
      </w:r>
      <w:r w:rsidRPr="00B81524">
        <w:rPr>
          <w:lang w:val="en-GB"/>
        </w:rPr>
        <w:t xml:space="preserve">also started </w:t>
      </w:r>
      <w:r w:rsidR="00310274" w:rsidRPr="00B81524">
        <w:rPr>
          <w:lang w:val="en-GB"/>
        </w:rPr>
        <w:t>out</w:t>
      </w:r>
      <w:r w:rsidRPr="00B81524">
        <w:rPr>
          <w:lang w:val="en-GB"/>
        </w:rPr>
        <w:t xml:space="preserve"> washing turmeric. With his first few </w:t>
      </w:r>
      <w:r w:rsidR="00FB30FE">
        <w:rPr>
          <w:lang w:val="en-GB"/>
        </w:rPr>
        <w:t>paycheques</w:t>
      </w:r>
      <w:r w:rsidR="00FB30FE" w:rsidRPr="00B81524">
        <w:rPr>
          <w:lang w:val="en-GB"/>
        </w:rPr>
        <w:t xml:space="preserve"> </w:t>
      </w:r>
      <w:r w:rsidRPr="00B81524">
        <w:rPr>
          <w:lang w:val="en-GB"/>
        </w:rPr>
        <w:t>from Naledo</w:t>
      </w:r>
      <w:r w:rsidR="00FB30FE">
        <w:rPr>
          <w:lang w:val="en-GB"/>
        </w:rPr>
        <w:t>,</w:t>
      </w:r>
      <w:r w:rsidRPr="00B81524">
        <w:rPr>
          <w:lang w:val="en-GB"/>
        </w:rPr>
        <w:t xml:space="preserve"> he </w:t>
      </w:r>
      <w:r w:rsidR="00310274" w:rsidRPr="00B81524">
        <w:rPr>
          <w:lang w:val="en-GB"/>
        </w:rPr>
        <w:t xml:space="preserve">had </w:t>
      </w:r>
      <w:r w:rsidRPr="00B81524">
        <w:rPr>
          <w:lang w:val="en-GB"/>
        </w:rPr>
        <w:t xml:space="preserve">bought his mother a washing machine. </w:t>
      </w:r>
    </w:p>
    <w:p w14:paraId="5884E197" w14:textId="77777777" w:rsidR="003F044B" w:rsidRPr="00B81524" w:rsidRDefault="003F044B" w:rsidP="003F044B">
      <w:pPr>
        <w:pStyle w:val="BodyTextMain"/>
        <w:rPr>
          <w:sz w:val="20"/>
          <w:lang w:val="en-GB"/>
        </w:rPr>
      </w:pPr>
    </w:p>
    <w:p w14:paraId="6E2C8204" w14:textId="474FC429" w:rsidR="000472CF" w:rsidRPr="00B81524" w:rsidRDefault="000472CF" w:rsidP="003F044B">
      <w:pPr>
        <w:pStyle w:val="BodyTextMain"/>
        <w:rPr>
          <w:lang w:val="en-GB"/>
        </w:rPr>
      </w:pPr>
      <w:r w:rsidRPr="00B81524">
        <w:rPr>
          <w:lang w:val="en-GB"/>
        </w:rPr>
        <w:t xml:space="preserve">As part of Naledo’s work with young people, Umeeda and Nareena </w:t>
      </w:r>
      <w:r w:rsidR="00310274" w:rsidRPr="00B81524">
        <w:rPr>
          <w:lang w:val="en-GB"/>
        </w:rPr>
        <w:t>visited</w:t>
      </w:r>
      <w:r w:rsidRPr="00B81524">
        <w:rPr>
          <w:lang w:val="en-GB"/>
        </w:rPr>
        <w:t xml:space="preserve"> </w:t>
      </w:r>
      <w:r w:rsidR="00FB30FE">
        <w:rPr>
          <w:lang w:val="en-GB"/>
        </w:rPr>
        <w:t>schools</w:t>
      </w:r>
      <w:r w:rsidR="00FB30FE" w:rsidRPr="00B81524">
        <w:rPr>
          <w:lang w:val="en-GB"/>
        </w:rPr>
        <w:t xml:space="preserve"> </w:t>
      </w:r>
      <w:r w:rsidRPr="00B81524">
        <w:rPr>
          <w:lang w:val="en-GB"/>
        </w:rPr>
        <w:t xml:space="preserve">to speak with students, provided space in the organization’s community garden for school groups to learn how to grow food, and offered scholarships for post-secondary education. One of Naledo’s employees had started </w:t>
      </w:r>
      <w:r w:rsidR="00310274" w:rsidRPr="00B81524">
        <w:rPr>
          <w:lang w:val="en-GB"/>
        </w:rPr>
        <w:t xml:space="preserve">taking </w:t>
      </w:r>
      <w:r w:rsidRPr="00B81524">
        <w:rPr>
          <w:lang w:val="en-GB"/>
        </w:rPr>
        <w:t>evening classes at the local business school with a $500 scholarship</w:t>
      </w:r>
      <w:r w:rsidR="000C711A" w:rsidRPr="00B81524">
        <w:rPr>
          <w:lang w:val="en-GB"/>
        </w:rPr>
        <w:t xml:space="preserve"> from the </w:t>
      </w:r>
      <w:r w:rsidR="005F7A9F" w:rsidRPr="00B81524">
        <w:rPr>
          <w:lang w:val="en-GB"/>
        </w:rPr>
        <w:t>c</w:t>
      </w:r>
      <w:r w:rsidR="000C711A" w:rsidRPr="00B81524">
        <w:rPr>
          <w:lang w:val="en-GB"/>
        </w:rPr>
        <w:t>ompany</w:t>
      </w:r>
      <w:r w:rsidRPr="00B81524">
        <w:rPr>
          <w:lang w:val="en-GB"/>
        </w:rPr>
        <w:t>.</w:t>
      </w:r>
    </w:p>
    <w:p w14:paraId="3C84B96F" w14:textId="77777777" w:rsidR="000472CF" w:rsidRPr="00B81524" w:rsidRDefault="000472CF" w:rsidP="003F044B">
      <w:pPr>
        <w:pStyle w:val="BodyTextMain"/>
        <w:rPr>
          <w:sz w:val="20"/>
          <w:lang w:val="en-GB"/>
        </w:rPr>
      </w:pPr>
    </w:p>
    <w:p w14:paraId="7CCF47F3" w14:textId="77777777" w:rsidR="003F044B" w:rsidRPr="00B81524" w:rsidRDefault="003F044B" w:rsidP="003F044B">
      <w:pPr>
        <w:pStyle w:val="BodyTextMain"/>
        <w:rPr>
          <w:sz w:val="20"/>
          <w:lang w:val="en-GB"/>
        </w:rPr>
      </w:pPr>
    </w:p>
    <w:p w14:paraId="4ACA9E95" w14:textId="37083D46" w:rsidR="000472CF" w:rsidRPr="00B81524" w:rsidRDefault="000472CF" w:rsidP="003F044B">
      <w:pPr>
        <w:pStyle w:val="Casehead1"/>
        <w:rPr>
          <w:lang w:val="en-GB"/>
        </w:rPr>
      </w:pPr>
      <w:r w:rsidRPr="00B81524">
        <w:rPr>
          <w:lang w:val="en-GB"/>
        </w:rPr>
        <w:t>The Product and the Process</w:t>
      </w:r>
    </w:p>
    <w:p w14:paraId="5A328A00" w14:textId="77777777" w:rsidR="000472CF" w:rsidRPr="00B81524" w:rsidRDefault="000472CF" w:rsidP="003F044B">
      <w:pPr>
        <w:pStyle w:val="BodyTextMain"/>
        <w:rPr>
          <w:sz w:val="20"/>
          <w:lang w:val="en-GB"/>
        </w:rPr>
      </w:pPr>
    </w:p>
    <w:p w14:paraId="5FE513F7" w14:textId="71869EB9" w:rsidR="000472CF" w:rsidRPr="00B81524" w:rsidRDefault="000472CF" w:rsidP="003F044B">
      <w:pPr>
        <w:pStyle w:val="BodyTextMain"/>
        <w:rPr>
          <w:lang w:val="en-GB"/>
        </w:rPr>
      </w:pPr>
      <w:r w:rsidRPr="00B81524">
        <w:rPr>
          <w:lang w:val="en-GB"/>
        </w:rPr>
        <w:t>Truly Turmeric, the turmeric paste produced by Naledo, was packaged in either 235</w:t>
      </w:r>
      <w:r w:rsidR="0016287F">
        <w:rPr>
          <w:lang w:val="en-GB"/>
        </w:rPr>
        <w:t>-</w:t>
      </w:r>
      <w:r w:rsidRPr="00B81524">
        <w:rPr>
          <w:lang w:val="en-GB"/>
        </w:rPr>
        <w:t>g</w:t>
      </w:r>
      <w:r w:rsidR="003057AA" w:rsidRPr="00B81524">
        <w:rPr>
          <w:lang w:val="en-GB"/>
        </w:rPr>
        <w:t>ram</w:t>
      </w:r>
      <w:r w:rsidR="0016287F">
        <w:rPr>
          <w:lang w:val="en-GB"/>
        </w:rPr>
        <w:t xml:space="preserve"> (g)</w:t>
      </w:r>
      <w:r w:rsidRPr="00B81524">
        <w:rPr>
          <w:lang w:val="en-GB"/>
        </w:rPr>
        <w:t xml:space="preserve"> or 470</w:t>
      </w:r>
      <w:r w:rsidR="0016287F">
        <w:rPr>
          <w:lang w:val="en-GB"/>
        </w:rPr>
        <w:t xml:space="preserve"> g</w:t>
      </w:r>
      <w:r w:rsidRPr="00B81524">
        <w:rPr>
          <w:lang w:val="en-GB"/>
        </w:rPr>
        <w:t xml:space="preserve"> glass bottles</w:t>
      </w:r>
      <w:r w:rsidR="005051FF" w:rsidRPr="00B81524">
        <w:rPr>
          <w:lang w:val="en-GB"/>
        </w:rPr>
        <w:t>;</w:t>
      </w:r>
      <w:r w:rsidRPr="00B81524">
        <w:rPr>
          <w:lang w:val="en-GB"/>
        </w:rPr>
        <w:t xml:space="preserve"> came in two flavours, original or black pepper</w:t>
      </w:r>
      <w:r w:rsidR="005051FF" w:rsidRPr="00B81524">
        <w:rPr>
          <w:lang w:val="en-GB"/>
        </w:rPr>
        <w:t>;</w:t>
      </w:r>
      <w:r w:rsidRPr="00B81524">
        <w:rPr>
          <w:lang w:val="en-GB"/>
        </w:rPr>
        <w:t xml:space="preserve"> and retailed for between $10 and $18 (see Exhibit 1). The product was launched in 2016 after two years of development. In 2016, Naledo produced 21,000 jars of product; in 2017, </w:t>
      </w:r>
      <w:r w:rsidR="005051FF" w:rsidRPr="00B81524">
        <w:rPr>
          <w:lang w:val="en-GB"/>
        </w:rPr>
        <w:t xml:space="preserve">it produced </w:t>
      </w:r>
      <w:r w:rsidRPr="00B81524">
        <w:rPr>
          <w:lang w:val="en-GB"/>
        </w:rPr>
        <w:t>65,000 jars (see Exhibit 2). Sales revenue in the first year of production was $</w:t>
      </w:r>
      <w:r w:rsidR="00852193" w:rsidRPr="00B81524">
        <w:rPr>
          <w:lang w:val="en-GB"/>
        </w:rPr>
        <w:t>61,314</w:t>
      </w:r>
      <w:r w:rsidR="00B81524">
        <w:rPr>
          <w:vertAlign w:val="superscript"/>
          <w:lang w:val="en-GB"/>
        </w:rPr>
        <w:t xml:space="preserve"> </w:t>
      </w:r>
      <w:r w:rsidR="005051FF" w:rsidRPr="00B81524">
        <w:rPr>
          <w:lang w:val="en-GB"/>
        </w:rPr>
        <w:t xml:space="preserve">and </w:t>
      </w:r>
      <w:r w:rsidRPr="00B81524">
        <w:rPr>
          <w:lang w:val="en-GB"/>
        </w:rPr>
        <w:t>in the second year</w:t>
      </w:r>
      <w:r w:rsidR="005051FF" w:rsidRPr="00B81524">
        <w:rPr>
          <w:lang w:val="en-GB"/>
        </w:rPr>
        <w:t xml:space="preserve"> was</w:t>
      </w:r>
      <w:r w:rsidRPr="00B81524">
        <w:rPr>
          <w:lang w:val="en-GB"/>
        </w:rPr>
        <w:t xml:space="preserve"> $</w:t>
      </w:r>
      <w:r w:rsidR="00852193" w:rsidRPr="00B81524">
        <w:rPr>
          <w:lang w:val="en-GB"/>
        </w:rPr>
        <w:t>251,360</w:t>
      </w:r>
      <w:r w:rsidRPr="00B81524">
        <w:rPr>
          <w:lang w:val="en-GB"/>
        </w:rPr>
        <w:t xml:space="preserve"> (see Exhibit 3). </w:t>
      </w:r>
    </w:p>
    <w:p w14:paraId="723BCF22" w14:textId="77777777" w:rsidR="000472CF" w:rsidRPr="00B81524" w:rsidRDefault="000472CF" w:rsidP="003F044B">
      <w:pPr>
        <w:pStyle w:val="BodyTextMain"/>
        <w:rPr>
          <w:sz w:val="20"/>
          <w:lang w:val="en-GB"/>
        </w:rPr>
      </w:pPr>
    </w:p>
    <w:p w14:paraId="7B863479" w14:textId="1E5261CE" w:rsidR="000472CF" w:rsidRPr="00B81524" w:rsidRDefault="000472CF" w:rsidP="003F044B">
      <w:pPr>
        <w:pStyle w:val="BodyTextMain"/>
        <w:rPr>
          <w:lang w:val="en-GB"/>
        </w:rPr>
      </w:pPr>
      <w:r w:rsidRPr="00B81524">
        <w:rPr>
          <w:lang w:val="en-GB"/>
        </w:rPr>
        <w:t xml:space="preserve">The </w:t>
      </w:r>
      <w:r w:rsidR="005051FF" w:rsidRPr="00B81524">
        <w:rPr>
          <w:lang w:val="en-GB"/>
        </w:rPr>
        <w:t xml:space="preserve">turmeric </w:t>
      </w:r>
      <w:r w:rsidRPr="00B81524">
        <w:rPr>
          <w:lang w:val="en-GB"/>
        </w:rPr>
        <w:t>paste was made from five ingredients: turmeric root, cold-pressed coconut oil, fresh lime juice, sea salt, and naturally occurring citric acid. The black pepper version was seasoned with Belizean forest</w:t>
      </w:r>
      <w:r w:rsidR="005051FF" w:rsidRPr="00B81524">
        <w:rPr>
          <w:lang w:val="en-GB"/>
        </w:rPr>
        <w:t>-</w:t>
      </w:r>
      <w:r w:rsidRPr="00B81524">
        <w:rPr>
          <w:lang w:val="en-GB"/>
        </w:rPr>
        <w:t>grown black pepper. The intended use for the paste was as a health</w:t>
      </w:r>
      <w:r w:rsidR="005051FF" w:rsidRPr="00B81524">
        <w:rPr>
          <w:lang w:val="en-GB"/>
        </w:rPr>
        <w:t>-</w:t>
      </w:r>
      <w:r w:rsidRPr="00B81524">
        <w:rPr>
          <w:lang w:val="en-GB"/>
        </w:rPr>
        <w:t>boosting additive for salad dressings, smoothies, soups, sauces, stir-fr</w:t>
      </w:r>
      <w:r w:rsidR="005051FF" w:rsidRPr="00B81524">
        <w:rPr>
          <w:lang w:val="en-GB"/>
        </w:rPr>
        <w:t>ie</w:t>
      </w:r>
      <w:r w:rsidRPr="00B81524">
        <w:rPr>
          <w:lang w:val="en-GB"/>
        </w:rPr>
        <w:t xml:space="preserve">s, and curries. </w:t>
      </w:r>
    </w:p>
    <w:p w14:paraId="6698002A" w14:textId="77777777" w:rsidR="000472CF" w:rsidRPr="00B81524" w:rsidRDefault="000472CF" w:rsidP="003F044B">
      <w:pPr>
        <w:pStyle w:val="BodyTextMain"/>
        <w:rPr>
          <w:sz w:val="20"/>
          <w:lang w:val="en-GB"/>
        </w:rPr>
      </w:pPr>
    </w:p>
    <w:p w14:paraId="704B2EFC" w14:textId="28E3E777" w:rsidR="000472CF" w:rsidRPr="00B81524" w:rsidRDefault="000472CF" w:rsidP="003F044B">
      <w:pPr>
        <w:pStyle w:val="BodyTextMain"/>
        <w:rPr>
          <w:lang w:val="en-GB"/>
        </w:rPr>
      </w:pPr>
      <w:r w:rsidRPr="00B81524">
        <w:rPr>
          <w:lang w:val="en-GB"/>
        </w:rPr>
        <w:t xml:space="preserve">Production waste was composted, recycled, or reused. The food waste was composted, and the lime seeds were used by a local nursery to grow lime plants. </w:t>
      </w:r>
      <w:r w:rsidR="006621EA" w:rsidRPr="00B81524">
        <w:rPr>
          <w:lang w:val="en-GB"/>
        </w:rPr>
        <w:t>U</w:t>
      </w:r>
      <w:r w:rsidRPr="00B81524">
        <w:rPr>
          <w:lang w:val="en-GB"/>
        </w:rPr>
        <w:t xml:space="preserve">sed coconut oil bottles found their way into small building projects, such as greenhouses </w:t>
      </w:r>
      <w:r w:rsidR="00524757" w:rsidRPr="00B81524">
        <w:rPr>
          <w:lang w:val="en-GB"/>
        </w:rPr>
        <w:t>and</w:t>
      </w:r>
      <w:r w:rsidRPr="00B81524">
        <w:rPr>
          <w:lang w:val="en-GB"/>
        </w:rPr>
        <w:t xml:space="preserve"> community gardens, and the cleaning products, which were biodegradable, were packaged in reusable containers.</w:t>
      </w:r>
    </w:p>
    <w:p w14:paraId="5C01D183" w14:textId="77777777" w:rsidR="003F044B" w:rsidRPr="00B81524" w:rsidRDefault="003F044B" w:rsidP="003F044B">
      <w:pPr>
        <w:pStyle w:val="BodyTextMain"/>
        <w:rPr>
          <w:sz w:val="20"/>
          <w:lang w:val="en-GB"/>
        </w:rPr>
      </w:pPr>
    </w:p>
    <w:p w14:paraId="0F5670B0" w14:textId="548403AF" w:rsidR="000472CF" w:rsidRPr="00B81524" w:rsidRDefault="000472CF" w:rsidP="003F044B">
      <w:pPr>
        <w:pStyle w:val="BodyTextMain"/>
        <w:rPr>
          <w:spacing w:val="-2"/>
          <w:lang w:val="en-GB"/>
        </w:rPr>
      </w:pPr>
      <w:r w:rsidRPr="00B81524">
        <w:rPr>
          <w:spacing w:val="-2"/>
          <w:lang w:val="en-GB"/>
        </w:rPr>
        <w:t xml:space="preserve">The production process </w:t>
      </w:r>
      <w:r w:rsidR="00524757" w:rsidRPr="00B81524">
        <w:rPr>
          <w:spacing w:val="-2"/>
          <w:lang w:val="en-GB"/>
        </w:rPr>
        <w:t>involved</w:t>
      </w:r>
      <w:r w:rsidRPr="00B81524">
        <w:rPr>
          <w:spacing w:val="-2"/>
          <w:lang w:val="en-GB"/>
        </w:rPr>
        <w:t xml:space="preserve"> preparing the turmeric roots by washing and chopping, mixing the prepared roots with coconut oil and other ingredients, and cooking the mixture until it formed a paste (see Exhibit 4).</w:t>
      </w:r>
      <w:r w:rsidRPr="00B81524">
        <w:rPr>
          <w:rFonts w:eastAsia="PMingLiU"/>
          <w:spacing w:val="-2"/>
          <w:lang w:val="en-GB"/>
        </w:rPr>
        <w:t xml:space="preserve"> </w:t>
      </w:r>
      <w:r w:rsidRPr="00B81524">
        <w:rPr>
          <w:spacing w:val="-2"/>
          <w:lang w:val="en-GB"/>
        </w:rPr>
        <w:t xml:space="preserve">In a typical week, </w:t>
      </w:r>
      <w:r w:rsidR="003E6D5D" w:rsidRPr="00B81524">
        <w:rPr>
          <w:spacing w:val="-2"/>
          <w:lang w:val="en-GB"/>
        </w:rPr>
        <w:t>500</w:t>
      </w:r>
      <w:r w:rsidRPr="00B81524">
        <w:rPr>
          <w:spacing w:val="-2"/>
          <w:lang w:val="en-GB"/>
        </w:rPr>
        <w:t xml:space="preserve"> pounds of turmeric root were processed in five-gallon batches by hand.</w:t>
      </w:r>
      <w:r w:rsidRPr="00B81524">
        <w:rPr>
          <w:rFonts w:eastAsia="PMingLiU"/>
          <w:spacing w:val="-2"/>
          <w:lang w:val="en-GB"/>
        </w:rPr>
        <w:t xml:space="preserve"> </w:t>
      </w:r>
      <w:r w:rsidRPr="00B81524">
        <w:rPr>
          <w:spacing w:val="-2"/>
          <w:lang w:val="en-GB"/>
        </w:rPr>
        <w:t>Daily production was in the range of 400</w:t>
      </w:r>
      <w:r w:rsidR="00524757" w:rsidRPr="00B81524">
        <w:rPr>
          <w:spacing w:val="-2"/>
          <w:lang w:val="en-GB"/>
        </w:rPr>
        <w:t>–</w:t>
      </w:r>
      <w:r w:rsidRPr="00B81524">
        <w:rPr>
          <w:spacing w:val="-2"/>
          <w:lang w:val="en-GB"/>
        </w:rPr>
        <w:t>500 units, with a production limit of about 10,000 units per month (one 20-foot container of product).</w:t>
      </w:r>
      <w:r w:rsidRPr="00B81524">
        <w:rPr>
          <w:rFonts w:eastAsia="PMingLiU"/>
          <w:spacing w:val="-2"/>
          <w:lang w:val="en-GB"/>
        </w:rPr>
        <w:t xml:space="preserve"> </w:t>
      </w:r>
      <w:r w:rsidR="00524757" w:rsidRPr="00B81524">
        <w:rPr>
          <w:rFonts w:eastAsia="PMingLiU"/>
          <w:spacing w:val="-2"/>
          <w:lang w:val="en-GB"/>
        </w:rPr>
        <w:t xml:space="preserve">There were </w:t>
      </w:r>
      <w:r w:rsidR="00524757" w:rsidRPr="00B81524">
        <w:rPr>
          <w:spacing w:val="-2"/>
          <w:lang w:val="en-GB"/>
        </w:rPr>
        <w:t>r</w:t>
      </w:r>
      <w:r w:rsidRPr="00B81524">
        <w:rPr>
          <w:spacing w:val="-2"/>
          <w:lang w:val="en-GB"/>
        </w:rPr>
        <w:t>aw material variations in the colour of the turmeric roots, the p</w:t>
      </w:r>
      <w:r w:rsidR="00524757" w:rsidRPr="00B81524">
        <w:rPr>
          <w:spacing w:val="-2"/>
          <w:lang w:val="en-GB"/>
        </w:rPr>
        <w:t>H</w:t>
      </w:r>
      <w:r w:rsidRPr="00B81524">
        <w:rPr>
          <w:spacing w:val="-2"/>
          <w:lang w:val="en-GB"/>
        </w:rPr>
        <w:t xml:space="preserve"> of the lime juice, and the colour and consistency of the turmeric paste from batch to batch</w:t>
      </w:r>
      <w:r w:rsidR="00524757" w:rsidRPr="00B81524">
        <w:rPr>
          <w:spacing w:val="-2"/>
          <w:lang w:val="en-GB"/>
        </w:rPr>
        <w:t>,</w:t>
      </w:r>
      <w:r w:rsidRPr="00B81524">
        <w:rPr>
          <w:spacing w:val="-2"/>
          <w:lang w:val="en-GB"/>
        </w:rPr>
        <w:t xml:space="preserve"> in keeping with the artisanal nature of the production process.</w:t>
      </w:r>
      <w:r w:rsidRPr="00B81524">
        <w:rPr>
          <w:rFonts w:eastAsia="PMingLiU"/>
          <w:spacing w:val="-2"/>
          <w:lang w:val="en-GB"/>
        </w:rPr>
        <w:t xml:space="preserve"> </w:t>
      </w:r>
      <w:r w:rsidRPr="00B81524">
        <w:rPr>
          <w:spacing w:val="-2"/>
          <w:lang w:val="en-GB"/>
        </w:rPr>
        <w:t>The product had a shelf</w:t>
      </w:r>
      <w:r w:rsidR="00524757" w:rsidRPr="00B81524">
        <w:rPr>
          <w:spacing w:val="-2"/>
          <w:lang w:val="en-GB"/>
        </w:rPr>
        <w:t xml:space="preserve"> </w:t>
      </w:r>
      <w:r w:rsidRPr="00B81524">
        <w:rPr>
          <w:spacing w:val="-2"/>
          <w:lang w:val="en-GB"/>
        </w:rPr>
        <w:t>life of two years.</w:t>
      </w:r>
      <w:r w:rsidRPr="00B81524">
        <w:rPr>
          <w:rFonts w:eastAsia="PMingLiU"/>
          <w:spacing w:val="-2"/>
          <w:lang w:val="en-GB"/>
        </w:rPr>
        <w:t xml:space="preserve"> </w:t>
      </w:r>
      <w:r w:rsidRPr="00B81524">
        <w:rPr>
          <w:spacing w:val="-2"/>
          <w:lang w:val="en-GB"/>
        </w:rPr>
        <w:t xml:space="preserve">Once opened, the product needed to be refrigerated and could </w:t>
      </w:r>
      <w:r w:rsidR="003F044B" w:rsidRPr="00B81524">
        <w:rPr>
          <w:spacing w:val="-2"/>
          <w:lang w:val="en-GB"/>
        </w:rPr>
        <w:t>be kept for up to three months.</w:t>
      </w:r>
    </w:p>
    <w:p w14:paraId="501085A7" w14:textId="77777777" w:rsidR="003F044B" w:rsidRPr="00B81524" w:rsidRDefault="003F044B" w:rsidP="007456A6">
      <w:pPr>
        <w:pStyle w:val="BodyTextMain"/>
        <w:rPr>
          <w:sz w:val="20"/>
          <w:lang w:val="en-GB"/>
        </w:rPr>
      </w:pPr>
    </w:p>
    <w:p w14:paraId="206BAC15" w14:textId="7BDCD157" w:rsidR="00EF2FF5" w:rsidRPr="00B81524" w:rsidRDefault="000472CF" w:rsidP="007456A6">
      <w:pPr>
        <w:pStyle w:val="BodyTextMain"/>
        <w:rPr>
          <w:lang w:val="en-GB"/>
        </w:rPr>
      </w:pPr>
      <w:r w:rsidRPr="00B81524">
        <w:rPr>
          <w:lang w:val="en-GB"/>
        </w:rPr>
        <w:t xml:space="preserve">Demand was growing, making it imperative </w:t>
      </w:r>
      <w:r w:rsidR="006B6578" w:rsidRPr="00B81524">
        <w:rPr>
          <w:lang w:val="en-GB"/>
        </w:rPr>
        <w:t xml:space="preserve">for </w:t>
      </w:r>
      <w:r w:rsidRPr="00B81524">
        <w:rPr>
          <w:lang w:val="en-GB"/>
        </w:rPr>
        <w:t xml:space="preserve">Naledo </w:t>
      </w:r>
      <w:r w:rsidR="006B6578" w:rsidRPr="00B81524">
        <w:rPr>
          <w:lang w:val="en-GB"/>
        </w:rPr>
        <w:t xml:space="preserve">to </w:t>
      </w:r>
      <w:r w:rsidRPr="00B81524">
        <w:rPr>
          <w:lang w:val="en-GB"/>
        </w:rPr>
        <w:t xml:space="preserve">increase its production capabilities, particularly as large orders could take up to six weeks to fill. </w:t>
      </w:r>
      <w:r w:rsidR="00EF2FF5" w:rsidRPr="00B81524">
        <w:rPr>
          <w:lang w:val="en-GB"/>
        </w:rPr>
        <w:t xml:space="preserve">The need for new equipment was pressing in terms of </w:t>
      </w:r>
      <w:r w:rsidR="006B6578" w:rsidRPr="00B81524">
        <w:rPr>
          <w:lang w:val="en-GB"/>
        </w:rPr>
        <w:t xml:space="preserve">not only </w:t>
      </w:r>
      <w:r w:rsidR="00EF2FF5" w:rsidRPr="00B81524">
        <w:rPr>
          <w:lang w:val="en-GB"/>
        </w:rPr>
        <w:t xml:space="preserve">meeting demand but also reducing production costs. In an </w:t>
      </w:r>
      <w:r w:rsidR="006B6578" w:rsidRPr="00B81524">
        <w:rPr>
          <w:lang w:val="en-GB"/>
        </w:rPr>
        <w:t>eight-</w:t>
      </w:r>
      <w:r w:rsidR="00EF2FF5" w:rsidRPr="00B81524">
        <w:rPr>
          <w:lang w:val="en-GB"/>
        </w:rPr>
        <w:t xml:space="preserve">hour work day, the current machine was in operation for </w:t>
      </w:r>
      <w:r w:rsidR="006B6578" w:rsidRPr="00B81524">
        <w:rPr>
          <w:lang w:val="en-GB"/>
        </w:rPr>
        <w:t>four</w:t>
      </w:r>
      <w:r w:rsidR="00EF2FF5" w:rsidRPr="00B81524">
        <w:rPr>
          <w:lang w:val="en-GB"/>
        </w:rPr>
        <w:t xml:space="preserve"> hours. The remaining four hours were reserved for cleaning and </w:t>
      </w:r>
      <w:r w:rsidR="006B6578" w:rsidRPr="00B81524">
        <w:rPr>
          <w:lang w:val="en-GB"/>
        </w:rPr>
        <w:t xml:space="preserve">for </w:t>
      </w:r>
      <w:r w:rsidR="00EF2FF5" w:rsidRPr="00B81524">
        <w:rPr>
          <w:lang w:val="en-GB"/>
        </w:rPr>
        <w:t>staff breaks. To keep up with demand, the production team worked evenings and weekends at overtime rates. Updating the equipment would reduce the labour component and dramatically improve the production cost per jar</w:t>
      </w:r>
      <w:r w:rsidR="006B6578" w:rsidRPr="00B81524">
        <w:rPr>
          <w:lang w:val="en-GB"/>
        </w:rPr>
        <w:t xml:space="preserve">—with the current equipment, this was </w:t>
      </w:r>
      <w:r w:rsidR="00EF2FF5" w:rsidRPr="00B81524">
        <w:rPr>
          <w:lang w:val="en-GB"/>
        </w:rPr>
        <w:t>estimated at $3.60 per jar in staff time; with the new equipment</w:t>
      </w:r>
      <w:r w:rsidR="007D272F">
        <w:rPr>
          <w:lang w:val="en-GB"/>
        </w:rPr>
        <w:t>,</w:t>
      </w:r>
      <w:r w:rsidR="006B6578" w:rsidRPr="00B81524">
        <w:rPr>
          <w:lang w:val="en-GB"/>
        </w:rPr>
        <w:t xml:space="preserve"> this was estimated at $0.45</w:t>
      </w:r>
      <w:r w:rsidR="00EF2FF5" w:rsidRPr="00B81524">
        <w:rPr>
          <w:lang w:val="en-GB"/>
        </w:rPr>
        <w:t xml:space="preserve">. </w:t>
      </w:r>
    </w:p>
    <w:p w14:paraId="12046DAC" w14:textId="77777777" w:rsidR="00EF2FF5" w:rsidRPr="00B81524" w:rsidRDefault="00EF2FF5" w:rsidP="007456A6">
      <w:pPr>
        <w:pStyle w:val="BodyTextMain"/>
        <w:rPr>
          <w:sz w:val="20"/>
          <w:lang w:val="en-GB"/>
        </w:rPr>
      </w:pPr>
    </w:p>
    <w:p w14:paraId="022DBC39" w14:textId="6157F010" w:rsidR="000472CF" w:rsidRPr="00B81524" w:rsidRDefault="006B6578" w:rsidP="003F044B">
      <w:pPr>
        <w:pStyle w:val="BodyTextMain"/>
        <w:rPr>
          <w:lang w:val="en-GB"/>
        </w:rPr>
      </w:pPr>
      <w:r w:rsidRPr="00B81524">
        <w:rPr>
          <w:lang w:val="en-GB"/>
        </w:rPr>
        <w:t>The cost for n</w:t>
      </w:r>
      <w:r w:rsidR="000472CF" w:rsidRPr="00B81524">
        <w:rPr>
          <w:lang w:val="en-GB"/>
        </w:rPr>
        <w:t>ew equipment was estimated at US$80,000</w:t>
      </w:r>
      <w:r w:rsidR="007D272F">
        <w:rPr>
          <w:lang w:val="en-GB"/>
        </w:rPr>
        <w:t>,</w:t>
      </w:r>
      <w:r w:rsidR="000472CF" w:rsidRPr="00B81524">
        <w:rPr>
          <w:lang w:val="en-GB"/>
        </w:rPr>
        <w:t xml:space="preserve"> with an additional US$20,000 for shipping and installation. With this level of investment, production could be increased from the current 400</w:t>
      </w:r>
      <w:r w:rsidRPr="00B81524">
        <w:rPr>
          <w:lang w:val="en-GB"/>
        </w:rPr>
        <w:t>–</w:t>
      </w:r>
      <w:r w:rsidR="000472CF" w:rsidRPr="00B81524">
        <w:rPr>
          <w:lang w:val="en-GB"/>
        </w:rPr>
        <w:t>500 units per day to 800</w:t>
      </w:r>
      <w:r w:rsidRPr="00B81524">
        <w:rPr>
          <w:lang w:val="en-GB"/>
        </w:rPr>
        <w:t>–</w:t>
      </w:r>
      <w:r w:rsidR="000472CF" w:rsidRPr="00B81524">
        <w:rPr>
          <w:lang w:val="en-GB"/>
        </w:rPr>
        <w:t xml:space="preserve">1,000 units per day, at a rate of 100 units per hour from fresh root to the jar. </w:t>
      </w:r>
    </w:p>
    <w:p w14:paraId="2F9A9799" w14:textId="77777777" w:rsidR="000472CF" w:rsidRPr="00B81524" w:rsidRDefault="000472CF" w:rsidP="003F044B">
      <w:pPr>
        <w:pStyle w:val="BodyTextMain"/>
        <w:rPr>
          <w:sz w:val="20"/>
          <w:lang w:val="en-GB"/>
        </w:rPr>
      </w:pPr>
    </w:p>
    <w:p w14:paraId="621270F9" w14:textId="77777777" w:rsidR="003F044B" w:rsidRPr="00B81524" w:rsidRDefault="003F044B" w:rsidP="003F044B">
      <w:pPr>
        <w:pStyle w:val="BodyTextMain"/>
        <w:rPr>
          <w:sz w:val="20"/>
          <w:lang w:val="en-GB"/>
        </w:rPr>
      </w:pPr>
    </w:p>
    <w:p w14:paraId="58B68799" w14:textId="7884F066" w:rsidR="000472CF" w:rsidRPr="00B81524" w:rsidRDefault="000472CF" w:rsidP="00644C5E">
      <w:pPr>
        <w:pStyle w:val="Casehead2"/>
        <w:rPr>
          <w:lang w:val="en-GB"/>
        </w:rPr>
      </w:pPr>
      <w:r w:rsidRPr="00B81524">
        <w:rPr>
          <w:lang w:val="en-GB"/>
        </w:rPr>
        <w:t>Distribution and Promotion</w:t>
      </w:r>
    </w:p>
    <w:p w14:paraId="6D7CE035" w14:textId="77777777" w:rsidR="000472CF" w:rsidRPr="00B81524" w:rsidRDefault="000472CF" w:rsidP="003F044B">
      <w:pPr>
        <w:pStyle w:val="BodyTextMain"/>
        <w:rPr>
          <w:sz w:val="20"/>
          <w:lang w:val="en-GB"/>
        </w:rPr>
      </w:pPr>
    </w:p>
    <w:p w14:paraId="6AB2331C" w14:textId="1FCECE1D" w:rsidR="000472CF" w:rsidRPr="00B81524" w:rsidRDefault="000472CF" w:rsidP="003F044B">
      <w:pPr>
        <w:pStyle w:val="BodyTextMain"/>
        <w:rPr>
          <w:lang w:val="en-GB"/>
        </w:rPr>
      </w:pPr>
      <w:r w:rsidRPr="00B81524">
        <w:rPr>
          <w:lang w:val="en-GB"/>
        </w:rPr>
        <w:t xml:space="preserve">The </w:t>
      </w:r>
      <w:r w:rsidR="00992C35" w:rsidRPr="00B81524">
        <w:rPr>
          <w:lang w:val="en-GB"/>
        </w:rPr>
        <w:t xml:space="preserve">Truly Turmeric </w:t>
      </w:r>
      <w:r w:rsidRPr="00B81524">
        <w:rPr>
          <w:lang w:val="en-GB"/>
        </w:rPr>
        <w:t xml:space="preserve">product could be purchased online through Well.ca and </w:t>
      </w:r>
      <w:r w:rsidR="00B662E7" w:rsidRPr="00B81524">
        <w:rPr>
          <w:lang w:val="en-GB"/>
        </w:rPr>
        <w:t>V</w:t>
      </w:r>
      <w:r w:rsidRPr="00B81524">
        <w:rPr>
          <w:lang w:val="en-GB"/>
        </w:rPr>
        <w:t>egansupply.ca. Well.ca was a Canadian online retailer of over 40,000 health, wellness, baby, and beauty products</w:t>
      </w:r>
      <w:r w:rsidR="00992C35" w:rsidRPr="00B81524">
        <w:rPr>
          <w:lang w:val="en-GB"/>
        </w:rPr>
        <w:t>;</w:t>
      </w:r>
      <w:r w:rsidRPr="00B81524">
        <w:rPr>
          <w:vertAlign w:val="superscript"/>
          <w:lang w:val="en-GB"/>
        </w:rPr>
        <w:footnoteReference w:id="20"/>
      </w:r>
      <w:r w:rsidRPr="00B81524">
        <w:rPr>
          <w:lang w:val="en-GB"/>
        </w:rPr>
        <w:t xml:space="preserve"> Vegan Supply Co. was a Canadian online retailer of plant-based products</w:t>
      </w:r>
      <w:r w:rsidR="007D272F">
        <w:rPr>
          <w:lang w:val="en-GB"/>
        </w:rPr>
        <w:t>,</w:t>
      </w:r>
      <w:r w:rsidRPr="00B81524">
        <w:rPr>
          <w:lang w:val="en-GB"/>
        </w:rPr>
        <w:t xml:space="preserve"> with one retail outlet in Vancouver, British Columbia.</w:t>
      </w:r>
      <w:r w:rsidRPr="00B81524">
        <w:rPr>
          <w:vertAlign w:val="superscript"/>
          <w:lang w:val="en-GB"/>
        </w:rPr>
        <w:footnoteReference w:id="21"/>
      </w:r>
      <w:r w:rsidRPr="00B81524">
        <w:rPr>
          <w:vertAlign w:val="superscript"/>
          <w:lang w:val="en-GB"/>
        </w:rPr>
        <w:t xml:space="preserve"> </w:t>
      </w:r>
      <w:r w:rsidRPr="00B81524">
        <w:rPr>
          <w:lang w:val="en-GB"/>
        </w:rPr>
        <w:t>The product could also be purchased through a network of retailers in Canada, the Bahamas, and Belize. Truly Turmeric</w:t>
      </w:r>
      <w:r w:rsidR="00992C35" w:rsidRPr="00B81524">
        <w:rPr>
          <w:lang w:val="en-GB"/>
        </w:rPr>
        <w:t>’s</w:t>
      </w:r>
      <w:r w:rsidRPr="00B81524">
        <w:rPr>
          <w:lang w:val="en-GB"/>
        </w:rPr>
        <w:t xml:space="preserve"> strongest presence was in Canada</w:t>
      </w:r>
      <w:r w:rsidR="007D272F">
        <w:rPr>
          <w:lang w:val="en-GB"/>
        </w:rPr>
        <w:t>,</w:t>
      </w:r>
      <w:r w:rsidRPr="00B81524">
        <w:rPr>
          <w:lang w:val="en-GB"/>
        </w:rPr>
        <w:t xml:space="preserve"> </w:t>
      </w:r>
      <w:r w:rsidR="00992C35" w:rsidRPr="00B81524">
        <w:rPr>
          <w:lang w:val="en-GB"/>
        </w:rPr>
        <w:t>where it had</w:t>
      </w:r>
      <w:r w:rsidRPr="00B81524">
        <w:rPr>
          <w:lang w:val="en-GB"/>
        </w:rPr>
        <w:t xml:space="preserve"> 457 retail outlets across eight provinces</w:t>
      </w:r>
      <w:r w:rsidR="00992C35" w:rsidRPr="00B81524">
        <w:rPr>
          <w:lang w:val="en-GB"/>
        </w:rPr>
        <w:t>,</w:t>
      </w:r>
      <w:r w:rsidRPr="00B81524">
        <w:rPr>
          <w:lang w:val="en-GB"/>
        </w:rPr>
        <w:t xml:space="preserve"> with the exception </w:t>
      </w:r>
      <w:r w:rsidR="00992C35" w:rsidRPr="00B81524">
        <w:rPr>
          <w:lang w:val="en-GB"/>
        </w:rPr>
        <w:t>of</w:t>
      </w:r>
      <w:r w:rsidRPr="00B81524">
        <w:rPr>
          <w:lang w:val="en-GB"/>
        </w:rPr>
        <w:t xml:space="preserve"> Prince Edward Island and Newfoundland and Labrador. There were 15 outlets in Belize and 28 in the Bahamas. Pharmacies, health food stores, organic grocers, and community grocery stores typically carried the product. </w:t>
      </w:r>
    </w:p>
    <w:p w14:paraId="515F9BB4" w14:textId="77777777" w:rsidR="000472CF" w:rsidRPr="00B81524" w:rsidRDefault="000472CF" w:rsidP="003F044B">
      <w:pPr>
        <w:pStyle w:val="BodyTextMain"/>
        <w:rPr>
          <w:sz w:val="20"/>
          <w:lang w:val="en-GB"/>
        </w:rPr>
      </w:pPr>
    </w:p>
    <w:p w14:paraId="5BE51CC2" w14:textId="4A04B40C" w:rsidR="000472CF" w:rsidRPr="00B81524" w:rsidRDefault="000472CF" w:rsidP="003F044B">
      <w:pPr>
        <w:pStyle w:val="BodyTextMain"/>
        <w:rPr>
          <w:spacing w:val="-2"/>
          <w:lang w:val="en-GB"/>
        </w:rPr>
      </w:pPr>
      <w:r w:rsidRPr="00B81524">
        <w:rPr>
          <w:spacing w:val="-2"/>
          <w:lang w:val="en-GB"/>
        </w:rPr>
        <w:t xml:space="preserve">Naledo used inbound marketing tactics to engage with its customers. </w:t>
      </w:r>
      <w:r w:rsidR="00935F2C" w:rsidRPr="00B81524">
        <w:rPr>
          <w:spacing w:val="-2"/>
          <w:lang w:val="en-GB"/>
        </w:rPr>
        <w:t>The company’s c</w:t>
      </w:r>
      <w:r w:rsidRPr="00B81524">
        <w:rPr>
          <w:spacing w:val="-2"/>
          <w:lang w:val="en-GB"/>
        </w:rPr>
        <w:t>ash</w:t>
      </w:r>
      <w:r w:rsidR="00992C35" w:rsidRPr="00B81524">
        <w:rPr>
          <w:spacing w:val="-2"/>
          <w:lang w:val="en-GB"/>
        </w:rPr>
        <w:t xml:space="preserve"> </w:t>
      </w:r>
      <w:r w:rsidRPr="00B81524">
        <w:rPr>
          <w:spacing w:val="-2"/>
          <w:lang w:val="en-GB"/>
        </w:rPr>
        <w:t xml:space="preserve">flow had limited </w:t>
      </w:r>
      <w:r w:rsidR="00935F2C" w:rsidRPr="00B81524">
        <w:rPr>
          <w:spacing w:val="-2"/>
          <w:lang w:val="en-GB"/>
        </w:rPr>
        <w:t>its</w:t>
      </w:r>
      <w:r w:rsidRPr="00B81524">
        <w:rPr>
          <w:spacing w:val="-2"/>
          <w:lang w:val="en-GB"/>
        </w:rPr>
        <w:t xml:space="preserve"> marketing efforts to word of mouth, a website, and several social media sites including Instagram, Facebook, YouTube, Google+, and Pinterest (</w:t>
      </w:r>
      <w:r w:rsidR="00992C35" w:rsidRPr="00B81524">
        <w:rPr>
          <w:spacing w:val="-2"/>
          <w:lang w:val="en-GB"/>
        </w:rPr>
        <w:t>s</w:t>
      </w:r>
      <w:r w:rsidRPr="00B81524">
        <w:rPr>
          <w:spacing w:val="-2"/>
          <w:lang w:val="en-GB"/>
        </w:rPr>
        <w:t>ee Exhibit 5)</w:t>
      </w:r>
      <w:r w:rsidR="00935F2C" w:rsidRPr="00B81524">
        <w:rPr>
          <w:spacing w:val="-2"/>
          <w:lang w:val="en-GB"/>
        </w:rPr>
        <w:t>.</w:t>
      </w:r>
      <w:r w:rsidRPr="00B81524">
        <w:rPr>
          <w:spacing w:val="-2"/>
          <w:lang w:val="en-GB"/>
        </w:rPr>
        <w:t xml:space="preserve"> From Naledo’s website, consumers could locate a retail outlet that carried the turmeric paste</w:t>
      </w:r>
      <w:r w:rsidR="00935F2C" w:rsidRPr="00B81524">
        <w:rPr>
          <w:spacing w:val="-2"/>
          <w:lang w:val="en-GB"/>
        </w:rPr>
        <w:t>;</w:t>
      </w:r>
      <w:r w:rsidRPr="00B81524">
        <w:rPr>
          <w:spacing w:val="-2"/>
          <w:lang w:val="en-GB"/>
        </w:rPr>
        <w:t xml:space="preserve"> buy a copy of </w:t>
      </w:r>
      <w:r w:rsidR="00F40EFD">
        <w:rPr>
          <w:spacing w:val="-2"/>
          <w:lang w:val="en-GB"/>
        </w:rPr>
        <w:t xml:space="preserve">the Indian cookbook </w:t>
      </w:r>
      <w:proofErr w:type="spellStart"/>
      <w:r w:rsidRPr="00893EC1">
        <w:rPr>
          <w:i/>
          <w:spacing w:val="-2"/>
          <w:lang w:val="en-GB"/>
        </w:rPr>
        <w:t>Mamajee</w:t>
      </w:r>
      <w:r w:rsidR="00935F2C" w:rsidRPr="00893EC1">
        <w:rPr>
          <w:i/>
          <w:spacing w:val="-2"/>
          <w:lang w:val="en-GB"/>
        </w:rPr>
        <w:t>’</w:t>
      </w:r>
      <w:r w:rsidRPr="00893EC1">
        <w:rPr>
          <w:i/>
          <w:spacing w:val="-2"/>
          <w:lang w:val="en-GB"/>
        </w:rPr>
        <w:t>s</w:t>
      </w:r>
      <w:proofErr w:type="spellEnd"/>
      <w:r w:rsidRPr="00893EC1">
        <w:rPr>
          <w:i/>
          <w:spacing w:val="-2"/>
          <w:lang w:val="en-GB"/>
        </w:rPr>
        <w:t xml:space="preserve"> Kitchen</w:t>
      </w:r>
      <w:r w:rsidR="00F40EFD">
        <w:rPr>
          <w:spacing w:val="-2"/>
          <w:lang w:val="en-GB"/>
        </w:rPr>
        <w:t xml:space="preserve">; </w:t>
      </w:r>
      <w:r w:rsidRPr="00B81524">
        <w:rPr>
          <w:spacing w:val="-2"/>
          <w:lang w:val="en-GB"/>
        </w:rPr>
        <w:t>find a recipe</w:t>
      </w:r>
      <w:r w:rsidR="00935F2C" w:rsidRPr="00B81524">
        <w:rPr>
          <w:spacing w:val="-2"/>
          <w:lang w:val="en-GB"/>
        </w:rPr>
        <w:t>;</w:t>
      </w:r>
      <w:r w:rsidRPr="00B81524">
        <w:rPr>
          <w:spacing w:val="-2"/>
          <w:lang w:val="en-GB"/>
        </w:rPr>
        <w:t xml:space="preserve"> and</w:t>
      </w:r>
      <w:r w:rsidR="00935F2C" w:rsidRPr="00B81524">
        <w:rPr>
          <w:spacing w:val="-2"/>
          <w:lang w:val="en-GB"/>
        </w:rPr>
        <w:t>,</w:t>
      </w:r>
      <w:r w:rsidRPr="00B81524">
        <w:rPr>
          <w:spacing w:val="-2"/>
          <w:lang w:val="en-GB"/>
        </w:rPr>
        <w:t xml:space="preserve"> for those </w:t>
      </w:r>
      <w:r w:rsidR="00F40EFD">
        <w:rPr>
          <w:spacing w:val="-2"/>
          <w:lang w:val="en-GB"/>
        </w:rPr>
        <w:t>who</w:t>
      </w:r>
      <w:r w:rsidR="00F40EFD" w:rsidRPr="00B81524">
        <w:rPr>
          <w:spacing w:val="-2"/>
          <w:lang w:val="en-GB"/>
        </w:rPr>
        <w:t xml:space="preserve"> </w:t>
      </w:r>
      <w:r w:rsidRPr="00B81524">
        <w:rPr>
          <w:spacing w:val="-2"/>
          <w:lang w:val="en-GB"/>
        </w:rPr>
        <w:t xml:space="preserve">lived in the greater Vancouver area, book a demonstration. Interested consumers could also receive a monthly newsletter from Naledo’s Facebook page. </w:t>
      </w:r>
    </w:p>
    <w:p w14:paraId="7F8D2C8B" w14:textId="77777777" w:rsidR="000472CF" w:rsidRPr="00B81524" w:rsidRDefault="000472CF" w:rsidP="003F044B">
      <w:pPr>
        <w:pStyle w:val="BodyTextMain"/>
        <w:rPr>
          <w:sz w:val="20"/>
          <w:lang w:val="en-GB"/>
        </w:rPr>
      </w:pPr>
    </w:p>
    <w:p w14:paraId="55AA10DC" w14:textId="77777777" w:rsidR="003F044B" w:rsidRPr="00B81524" w:rsidRDefault="003F044B" w:rsidP="003F044B">
      <w:pPr>
        <w:pStyle w:val="BodyTextMain"/>
        <w:rPr>
          <w:sz w:val="20"/>
          <w:lang w:val="en-GB"/>
        </w:rPr>
      </w:pPr>
    </w:p>
    <w:p w14:paraId="65F2CA2D" w14:textId="7855BCBB" w:rsidR="000472CF" w:rsidRPr="00B81524" w:rsidRDefault="000472CF" w:rsidP="003F044B">
      <w:pPr>
        <w:pStyle w:val="Casehead1"/>
        <w:rPr>
          <w:lang w:val="en-GB"/>
        </w:rPr>
      </w:pPr>
      <w:r w:rsidRPr="00B81524">
        <w:rPr>
          <w:lang w:val="en-GB"/>
        </w:rPr>
        <w:t>Conclusion</w:t>
      </w:r>
    </w:p>
    <w:p w14:paraId="2E431FF4" w14:textId="77777777" w:rsidR="000472CF" w:rsidRPr="00B81524" w:rsidRDefault="000472CF" w:rsidP="003F044B">
      <w:pPr>
        <w:pStyle w:val="BodyTextMain"/>
        <w:rPr>
          <w:sz w:val="20"/>
          <w:lang w:val="en-GB"/>
        </w:rPr>
      </w:pPr>
    </w:p>
    <w:p w14:paraId="531FBCE1" w14:textId="24F021DA" w:rsidR="003F044B" w:rsidRPr="00B81524" w:rsidRDefault="000472CF" w:rsidP="00644C5E">
      <w:pPr>
        <w:pStyle w:val="BodyTextMain"/>
        <w:rPr>
          <w:lang w:val="en-GB"/>
        </w:rPr>
      </w:pPr>
      <w:r w:rsidRPr="00B81524">
        <w:rPr>
          <w:lang w:val="en-GB"/>
        </w:rPr>
        <w:t>As Nareena waited at the baggage carousel for her luggage, she was still thinking about where to find the money needed for new production equipment. Was crowdfunding an option? Was there an equipment supplier who might be willing to donate the needed equipment? Was there a service that could be sold to boost revenues? Was there a wealthy investor who would like to finance the equipment purchase? There had to be a way to obtain new equipment, for the mission of Naledo was too important to be stalled by the need for $100,000.</w:t>
      </w:r>
      <w:r w:rsidR="003F044B" w:rsidRPr="00B81524">
        <w:rPr>
          <w:lang w:val="en-GB"/>
        </w:rPr>
        <w:br w:type="page"/>
      </w:r>
    </w:p>
    <w:p w14:paraId="4AC6047A" w14:textId="21864769" w:rsidR="003F044B" w:rsidRPr="00B81524" w:rsidRDefault="003F044B" w:rsidP="003F044B">
      <w:pPr>
        <w:pStyle w:val="ExhibitHeading"/>
        <w:rPr>
          <w:lang w:val="en-GB"/>
        </w:rPr>
      </w:pPr>
      <w:r w:rsidRPr="00B81524">
        <w:rPr>
          <w:lang w:val="en-GB"/>
        </w:rPr>
        <w:t>Exhibit 1: Truly Turmeric Paste</w:t>
      </w:r>
    </w:p>
    <w:p w14:paraId="29A69FC0" w14:textId="77777777" w:rsidR="003F044B" w:rsidRPr="00B81524" w:rsidRDefault="003F044B" w:rsidP="003F044B">
      <w:pPr>
        <w:pStyle w:val="BodyTextMain"/>
        <w:rPr>
          <w:lang w:val="en-GB"/>
        </w:rPr>
      </w:pPr>
    </w:p>
    <w:p w14:paraId="784B6402" w14:textId="77777777" w:rsidR="003F044B" w:rsidRPr="00B81524" w:rsidRDefault="003F044B" w:rsidP="003F044B">
      <w:pPr>
        <w:pStyle w:val="BodyTextMain"/>
        <w:jc w:val="center"/>
        <w:rPr>
          <w:rFonts w:asciiTheme="minorHAnsi" w:hAnsiTheme="minorHAnsi"/>
          <w:lang w:val="en-GB"/>
        </w:rPr>
      </w:pPr>
      <w:r w:rsidRPr="00B81524">
        <w:rPr>
          <w:noProof/>
        </w:rPr>
        <w:drawing>
          <wp:inline distT="0" distB="0" distL="0" distR="0" wp14:anchorId="4431AAC9" wp14:editId="655B110D">
            <wp:extent cx="33528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3352800" cy="2981325"/>
                    </a:xfrm>
                    <a:prstGeom prst="rect">
                      <a:avLst/>
                    </a:prstGeom>
                  </pic:spPr>
                </pic:pic>
              </a:graphicData>
            </a:graphic>
          </wp:inline>
        </w:drawing>
      </w:r>
    </w:p>
    <w:p w14:paraId="3D2A23BE" w14:textId="77777777" w:rsidR="003F044B" w:rsidRPr="00B81524" w:rsidRDefault="003F044B" w:rsidP="003F044B">
      <w:pPr>
        <w:pStyle w:val="BodyTextMain"/>
        <w:rPr>
          <w:lang w:val="en-GB"/>
        </w:rPr>
      </w:pPr>
    </w:p>
    <w:p w14:paraId="7F48AA11" w14:textId="058EF112" w:rsidR="003F044B" w:rsidRPr="00B81524" w:rsidRDefault="003F044B" w:rsidP="003F044B">
      <w:pPr>
        <w:pStyle w:val="Footnote"/>
        <w:rPr>
          <w:lang w:val="en-GB"/>
        </w:rPr>
      </w:pPr>
      <w:r w:rsidRPr="00B81524">
        <w:rPr>
          <w:lang w:val="en-GB"/>
        </w:rPr>
        <w:t>Source: Company documents</w:t>
      </w:r>
      <w:r w:rsidR="00AF04D6" w:rsidRPr="00B81524">
        <w:rPr>
          <w:lang w:val="en-GB"/>
        </w:rPr>
        <w:t>.</w:t>
      </w:r>
    </w:p>
    <w:p w14:paraId="21B14C6F" w14:textId="77777777" w:rsidR="003F044B" w:rsidRPr="00B81524" w:rsidRDefault="003F044B" w:rsidP="003F044B">
      <w:pPr>
        <w:pStyle w:val="BodyTextMain"/>
        <w:rPr>
          <w:lang w:val="en-GB"/>
        </w:rPr>
      </w:pPr>
    </w:p>
    <w:p w14:paraId="0C949FCD" w14:textId="77777777" w:rsidR="003F044B" w:rsidRPr="00B81524" w:rsidRDefault="003F044B" w:rsidP="003F044B">
      <w:pPr>
        <w:pStyle w:val="BodyTextMain"/>
        <w:rPr>
          <w:lang w:val="en-GB"/>
        </w:rPr>
      </w:pPr>
    </w:p>
    <w:p w14:paraId="29CDF459" w14:textId="3DF8658B" w:rsidR="003F044B" w:rsidRPr="00B81524" w:rsidRDefault="003F044B" w:rsidP="003F044B">
      <w:pPr>
        <w:pStyle w:val="ExhibitHeading"/>
        <w:rPr>
          <w:lang w:val="en-GB"/>
        </w:rPr>
      </w:pPr>
      <w:r w:rsidRPr="00B81524">
        <w:rPr>
          <w:lang w:val="en-GB"/>
        </w:rPr>
        <w:t xml:space="preserve">Exhibit 2: Production in Units </w:t>
      </w:r>
      <w:r w:rsidR="00526354" w:rsidRPr="00B81524">
        <w:rPr>
          <w:lang w:val="en-GB"/>
        </w:rPr>
        <w:t>(JARS)</w:t>
      </w:r>
    </w:p>
    <w:p w14:paraId="5D23D2BF" w14:textId="77777777" w:rsidR="003F044B" w:rsidRPr="00B81524" w:rsidRDefault="003F044B" w:rsidP="00AF04D6">
      <w:pPr>
        <w:pStyle w:val="BodyTextMain"/>
        <w:rPr>
          <w:lang w:val="en-GB"/>
        </w:rPr>
      </w:pPr>
    </w:p>
    <w:tbl>
      <w:tblPr>
        <w:tblStyle w:val="TableGrid1"/>
        <w:tblW w:w="0" w:type="auto"/>
        <w:jc w:val="center"/>
        <w:tblLook w:val="04A0" w:firstRow="1" w:lastRow="0" w:firstColumn="1" w:lastColumn="0" w:noHBand="0" w:noVBand="1"/>
      </w:tblPr>
      <w:tblGrid>
        <w:gridCol w:w="2250"/>
        <w:gridCol w:w="1260"/>
        <w:gridCol w:w="990"/>
        <w:gridCol w:w="1080"/>
        <w:gridCol w:w="972"/>
        <w:gridCol w:w="828"/>
      </w:tblGrid>
      <w:tr w:rsidR="00AF04D6" w:rsidRPr="00B81524" w14:paraId="1C30537B" w14:textId="77777777" w:rsidTr="005F7A9F">
        <w:trPr>
          <w:trHeight w:val="60"/>
          <w:jc w:val="center"/>
        </w:trPr>
        <w:tc>
          <w:tcPr>
            <w:tcW w:w="2250" w:type="dxa"/>
            <w:vAlign w:val="center"/>
          </w:tcPr>
          <w:p w14:paraId="4258D01D" w14:textId="77777777" w:rsidR="00AF04D6" w:rsidRPr="00B81524" w:rsidRDefault="00AF04D6" w:rsidP="005F7A9F">
            <w:pPr>
              <w:pStyle w:val="ExhibitText"/>
              <w:jc w:val="center"/>
              <w:rPr>
                <w:b/>
                <w:lang w:val="en-GB"/>
              </w:rPr>
            </w:pPr>
            <w:bookmarkStart w:id="5" w:name="_Hlk503688753"/>
            <w:r w:rsidRPr="00B81524">
              <w:rPr>
                <w:b/>
                <w:lang w:val="en-GB"/>
              </w:rPr>
              <w:t>Year</w:t>
            </w:r>
          </w:p>
        </w:tc>
        <w:tc>
          <w:tcPr>
            <w:tcW w:w="1260" w:type="dxa"/>
            <w:vAlign w:val="center"/>
          </w:tcPr>
          <w:p w14:paraId="6434C37F" w14:textId="77777777" w:rsidR="00AF04D6" w:rsidRPr="00B81524" w:rsidRDefault="00AF04D6" w:rsidP="005F7A9F">
            <w:pPr>
              <w:pStyle w:val="ExhibitText"/>
              <w:jc w:val="center"/>
              <w:rPr>
                <w:b/>
                <w:lang w:val="en-GB"/>
              </w:rPr>
            </w:pPr>
            <w:r w:rsidRPr="00B81524">
              <w:rPr>
                <w:b/>
                <w:lang w:val="en-GB"/>
              </w:rPr>
              <w:t>1st Quarter</w:t>
            </w:r>
          </w:p>
        </w:tc>
        <w:tc>
          <w:tcPr>
            <w:tcW w:w="990" w:type="dxa"/>
            <w:vAlign w:val="center"/>
          </w:tcPr>
          <w:p w14:paraId="573CCC9B" w14:textId="5A3EFE33" w:rsidR="00AF04D6" w:rsidRPr="00B81524" w:rsidRDefault="00AF04D6" w:rsidP="005F7A9F">
            <w:pPr>
              <w:pStyle w:val="ExhibitText"/>
              <w:jc w:val="center"/>
              <w:rPr>
                <w:b/>
                <w:lang w:val="en-GB"/>
              </w:rPr>
            </w:pPr>
            <w:r w:rsidRPr="00B81524">
              <w:rPr>
                <w:b/>
                <w:lang w:val="en-GB"/>
              </w:rPr>
              <w:t>2nd Quarter</w:t>
            </w:r>
          </w:p>
        </w:tc>
        <w:tc>
          <w:tcPr>
            <w:tcW w:w="1080" w:type="dxa"/>
            <w:vAlign w:val="center"/>
          </w:tcPr>
          <w:p w14:paraId="52823E9C" w14:textId="77777777" w:rsidR="00AF04D6" w:rsidRPr="00B81524" w:rsidRDefault="00AF04D6" w:rsidP="005F7A9F">
            <w:pPr>
              <w:pStyle w:val="ExhibitText"/>
              <w:jc w:val="center"/>
              <w:rPr>
                <w:b/>
                <w:lang w:val="en-GB"/>
              </w:rPr>
            </w:pPr>
            <w:r w:rsidRPr="00B81524">
              <w:rPr>
                <w:b/>
                <w:lang w:val="en-GB"/>
              </w:rPr>
              <w:t>3rd Quarter</w:t>
            </w:r>
          </w:p>
        </w:tc>
        <w:tc>
          <w:tcPr>
            <w:tcW w:w="972" w:type="dxa"/>
            <w:vAlign w:val="center"/>
          </w:tcPr>
          <w:p w14:paraId="69A8BA84" w14:textId="77777777" w:rsidR="00AF04D6" w:rsidRPr="00B81524" w:rsidRDefault="00AF04D6" w:rsidP="005F7A9F">
            <w:pPr>
              <w:pStyle w:val="ExhibitText"/>
              <w:jc w:val="center"/>
              <w:rPr>
                <w:b/>
                <w:lang w:val="en-GB"/>
              </w:rPr>
            </w:pPr>
            <w:r w:rsidRPr="00B81524">
              <w:rPr>
                <w:b/>
                <w:lang w:val="en-GB"/>
              </w:rPr>
              <w:t>4th Quarter</w:t>
            </w:r>
          </w:p>
        </w:tc>
        <w:tc>
          <w:tcPr>
            <w:tcW w:w="828" w:type="dxa"/>
            <w:vAlign w:val="center"/>
          </w:tcPr>
          <w:p w14:paraId="09083D9D" w14:textId="77777777" w:rsidR="00AF04D6" w:rsidRPr="00B81524" w:rsidRDefault="00AF04D6" w:rsidP="005F7A9F">
            <w:pPr>
              <w:pStyle w:val="ExhibitText"/>
              <w:jc w:val="center"/>
              <w:rPr>
                <w:b/>
                <w:lang w:val="en-GB"/>
              </w:rPr>
            </w:pPr>
            <w:r w:rsidRPr="00B81524">
              <w:rPr>
                <w:b/>
                <w:lang w:val="en-GB"/>
              </w:rPr>
              <w:t>Total</w:t>
            </w:r>
          </w:p>
        </w:tc>
      </w:tr>
      <w:tr w:rsidR="00AF04D6" w:rsidRPr="00B81524" w14:paraId="1603369C" w14:textId="77777777" w:rsidTr="005F7A9F">
        <w:trPr>
          <w:trHeight w:val="60"/>
          <w:jc w:val="center"/>
        </w:trPr>
        <w:tc>
          <w:tcPr>
            <w:tcW w:w="2250" w:type="dxa"/>
            <w:vAlign w:val="center"/>
          </w:tcPr>
          <w:p w14:paraId="04FF45F1" w14:textId="77777777" w:rsidR="00AF04D6" w:rsidRPr="00B81524" w:rsidRDefault="00AF04D6" w:rsidP="005F7A9F">
            <w:pPr>
              <w:pStyle w:val="ExhibitText"/>
              <w:jc w:val="left"/>
              <w:rPr>
                <w:lang w:val="en-GB"/>
              </w:rPr>
            </w:pPr>
            <w:r w:rsidRPr="00B81524">
              <w:rPr>
                <w:lang w:val="en-GB"/>
              </w:rPr>
              <w:t>2014 (pre-production)</w:t>
            </w:r>
          </w:p>
        </w:tc>
        <w:tc>
          <w:tcPr>
            <w:tcW w:w="1260" w:type="dxa"/>
            <w:vAlign w:val="center"/>
          </w:tcPr>
          <w:p w14:paraId="502AE120" w14:textId="77777777" w:rsidR="00AF04D6" w:rsidRPr="00B81524" w:rsidRDefault="00AF04D6" w:rsidP="005F7A9F">
            <w:pPr>
              <w:pStyle w:val="ExhibitText"/>
              <w:jc w:val="right"/>
              <w:rPr>
                <w:lang w:val="en-GB"/>
              </w:rPr>
            </w:pPr>
          </w:p>
        </w:tc>
        <w:tc>
          <w:tcPr>
            <w:tcW w:w="990" w:type="dxa"/>
            <w:vAlign w:val="center"/>
          </w:tcPr>
          <w:p w14:paraId="180B79C5" w14:textId="5E249A53" w:rsidR="00AF04D6" w:rsidRPr="00B81524" w:rsidRDefault="00AF04D6" w:rsidP="005F7A9F">
            <w:pPr>
              <w:pStyle w:val="ExhibitText"/>
              <w:jc w:val="right"/>
              <w:rPr>
                <w:lang w:val="en-GB"/>
              </w:rPr>
            </w:pPr>
          </w:p>
        </w:tc>
        <w:tc>
          <w:tcPr>
            <w:tcW w:w="1080" w:type="dxa"/>
            <w:vAlign w:val="center"/>
          </w:tcPr>
          <w:p w14:paraId="0B4B38AF" w14:textId="77777777" w:rsidR="00AF04D6" w:rsidRPr="00B81524" w:rsidRDefault="00AF04D6" w:rsidP="005F7A9F">
            <w:pPr>
              <w:pStyle w:val="ExhibitText"/>
              <w:jc w:val="right"/>
              <w:rPr>
                <w:lang w:val="en-GB"/>
              </w:rPr>
            </w:pPr>
          </w:p>
        </w:tc>
        <w:tc>
          <w:tcPr>
            <w:tcW w:w="972" w:type="dxa"/>
            <w:vAlign w:val="center"/>
          </w:tcPr>
          <w:p w14:paraId="5FCA5B4D" w14:textId="77777777" w:rsidR="00AF04D6" w:rsidRPr="00B81524" w:rsidRDefault="00AF04D6" w:rsidP="005F7A9F">
            <w:pPr>
              <w:pStyle w:val="ExhibitText"/>
              <w:jc w:val="right"/>
              <w:rPr>
                <w:lang w:val="en-GB"/>
              </w:rPr>
            </w:pPr>
          </w:p>
        </w:tc>
        <w:tc>
          <w:tcPr>
            <w:tcW w:w="828" w:type="dxa"/>
            <w:vAlign w:val="center"/>
          </w:tcPr>
          <w:p w14:paraId="711D8EFB" w14:textId="53B38943" w:rsidR="00AF04D6" w:rsidRPr="00B81524" w:rsidRDefault="00AF04D6" w:rsidP="005F7A9F">
            <w:pPr>
              <w:pStyle w:val="ExhibitText"/>
              <w:jc w:val="right"/>
              <w:rPr>
                <w:lang w:val="en-GB"/>
              </w:rPr>
            </w:pPr>
            <w:r w:rsidRPr="00B81524">
              <w:rPr>
                <w:lang w:val="en-GB"/>
              </w:rPr>
              <w:t>200</w:t>
            </w:r>
          </w:p>
        </w:tc>
      </w:tr>
      <w:tr w:rsidR="00AF04D6" w:rsidRPr="00B81524" w14:paraId="435D5D66" w14:textId="77777777" w:rsidTr="005F7A9F">
        <w:trPr>
          <w:jc w:val="center"/>
        </w:trPr>
        <w:tc>
          <w:tcPr>
            <w:tcW w:w="2250" w:type="dxa"/>
            <w:vAlign w:val="center"/>
          </w:tcPr>
          <w:p w14:paraId="1452C93B" w14:textId="77777777" w:rsidR="00AF04D6" w:rsidRPr="00B81524" w:rsidRDefault="00AF04D6" w:rsidP="005F7A9F">
            <w:pPr>
              <w:pStyle w:val="ExhibitText"/>
              <w:jc w:val="left"/>
              <w:rPr>
                <w:lang w:val="en-GB"/>
              </w:rPr>
            </w:pPr>
            <w:r w:rsidRPr="00B81524">
              <w:rPr>
                <w:lang w:val="en-GB"/>
              </w:rPr>
              <w:t>2015 (pre-production)</w:t>
            </w:r>
          </w:p>
        </w:tc>
        <w:tc>
          <w:tcPr>
            <w:tcW w:w="1260" w:type="dxa"/>
            <w:vAlign w:val="center"/>
          </w:tcPr>
          <w:p w14:paraId="46FE85A5" w14:textId="77777777" w:rsidR="00AF04D6" w:rsidRPr="00B81524" w:rsidRDefault="00AF04D6" w:rsidP="005F7A9F">
            <w:pPr>
              <w:pStyle w:val="ExhibitText"/>
              <w:jc w:val="right"/>
              <w:rPr>
                <w:lang w:val="en-GB"/>
              </w:rPr>
            </w:pPr>
          </w:p>
        </w:tc>
        <w:tc>
          <w:tcPr>
            <w:tcW w:w="990" w:type="dxa"/>
            <w:vAlign w:val="center"/>
          </w:tcPr>
          <w:p w14:paraId="2D59E109" w14:textId="0B9BA5F5" w:rsidR="00AF04D6" w:rsidRPr="00B81524" w:rsidRDefault="00AF04D6" w:rsidP="005F7A9F">
            <w:pPr>
              <w:pStyle w:val="ExhibitText"/>
              <w:jc w:val="right"/>
              <w:rPr>
                <w:lang w:val="en-GB"/>
              </w:rPr>
            </w:pPr>
          </w:p>
        </w:tc>
        <w:tc>
          <w:tcPr>
            <w:tcW w:w="1080" w:type="dxa"/>
            <w:vAlign w:val="center"/>
          </w:tcPr>
          <w:p w14:paraId="6C1AE4CB" w14:textId="77777777" w:rsidR="00AF04D6" w:rsidRPr="00B81524" w:rsidRDefault="00AF04D6" w:rsidP="005F7A9F">
            <w:pPr>
              <w:pStyle w:val="ExhibitText"/>
              <w:jc w:val="right"/>
              <w:rPr>
                <w:lang w:val="en-GB"/>
              </w:rPr>
            </w:pPr>
          </w:p>
        </w:tc>
        <w:tc>
          <w:tcPr>
            <w:tcW w:w="972" w:type="dxa"/>
            <w:vAlign w:val="center"/>
          </w:tcPr>
          <w:p w14:paraId="5EC8275F" w14:textId="77777777" w:rsidR="00AF04D6" w:rsidRPr="00B81524" w:rsidRDefault="00AF04D6" w:rsidP="005F7A9F">
            <w:pPr>
              <w:pStyle w:val="ExhibitText"/>
              <w:jc w:val="right"/>
              <w:rPr>
                <w:lang w:val="en-GB"/>
              </w:rPr>
            </w:pPr>
          </w:p>
        </w:tc>
        <w:tc>
          <w:tcPr>
            <w:tcW w:w="828" w:type="dxa"/>
            <w:vAlign w:val="center"/>
          </w:tcPr>
          <w:p w14:paraId="3F9B4971" w14:textId="2D34A389" w:rsidR="00AF04D6" w:rsidRPr="00B81524" w:rsidRDefault="00AF04D6" w:rsidP="005F7A9F">
            <w:pPr>
              <w:pStyle w:val="ExhibitText"/>
              <w:jc w:val="right"/>
              <w:rPr>
                <w:lang w:val="en-GB"/>
              </w:rPr>
            </w:pPr>
            <w:r w:rsidRPr="00B81524">
              <w:rPr>
                <w:lang w:val="en-GB"/>
              </w:rPr>
              <w:t>400</w:t>
            </w:r>
          </w:p>
        </w:tc>
      </w:tr>
      <w:tr w:rsidR="00AF04D6" w:rsidRPr="00B81524" w14:paraId="7CBCA19F" w14:textId="77777777" w:rsidTr="005F7A9F">
        <w:trPr>
          <w:jc w:val="center"/>
        </w:trPr>
        <w:tc>
          <w:tcPr>
            <w:tcW w:w="2250" w:type="dxa"/>
            <w:vAlign w:val="center"/>
          </w:tcPr>
          <w:p w14:paraId="6FD4FABA" w14:textId="77777777" w:rsidR="00AF04D6" w:rsidRPr="00B81524" w:rsidRDefault="00AF04D6" w:rsidP="005F7A9F">
            <w:pPr>
              <w:pStyle w:val="ExhibitText"/>
              <w:jc w:val="left"/>
              <w:rPr>
                <w:lang w:val="en-GB"/>
              </w:rPr>
            </w:pPr>
            <w:r w:rsidRPr="00B81524">
              <w:rPr>
                <w:lang w:val="en-GB"/>
              </w:rPr>
              <w:t>2016</w:t>
            </w:r>
          </w:p>
        </w:tc>
        <w:tc>
          <w:tcPr>
            <w:tcW w:w="1260" w:type="dxa"/>
            <w:vAlign w:val="center"/>
          </w:tcPr>
          <w:p w14:paraId="58A3A841" w14:textId="77777777" w:rsidR="00AF04D6" w:rsidRPr="00B81524" w:rsidRDefault="00AF04D6" w:rsidP="005F7A9F">
            <w:pPr>
              <w:pStyle w:val="ExhibitText"/>
              <w:jc w:val="right"/>
              <w:rPr>
                <w:lang w:val="en-GB"/>
              </w:rPr>
            </w:pPr>
            <w:r w:rsidRPr="00B81524">
              <w:rPr>
                <w:lang w:val="en-GB"/>
              </w:rPr>
              <w:t>Launched in May 2016</w:t>
            </w:r>
          </w:p>
        </w:tc>
        <w:tc>
          <w:tcPr>
            <w:tcW w:w="990" w:type="dxa"/>
            <w:vAlign w:val="center"/>
          </w:tcPr>
          <w:p w14:paraId="197ABB07" w14:textId="720278CB" w:rsidR="00AF04D6" w:rsidRPr="00B81524" w:rsidRDefault="00AF04D6" w:rsidP="005F7A9F">
            <w:pPr>
              <w:pStyle w:val="ExhibitText"/>
              <w:jc w:val="right"/>
              <w:rPr>
                <w:lang w:val="en-GB"/>
              </w:rPr>
            </w:pPr>
            <w:r w:rsidRPr="00B81524">
              <w:rPr>
                <w:lang w:val="en-GB"/>
              </w:rPr>
              <w:t xml:space="preserve">1,000 </w:t>
            </w:r>
          </w:p>
        </w:tc>
        <w:tc>
          <w:tcPr>
            <w:tcW w:w="1080" w:type="dxa"/>
            <w:vAlign w:val="center"/>
          </w:tcPr>
          <w:p w14:paraId="1F989AB8" w14:textId="2D052CB4" w:rsidR="00AF04D6" w:rsidRPr="00B81524" w:rsidRDefault="00AF04D6" w:rsidP="005F7A9F">
            <w:pPr>
              <w:pStyle w:val="ExhibitText"/>
              <w:jc w:val="right"/>
              <w:rPr>
                <w:lang w:val="en-GB"/>
              </w:rPr>
            </w:pPr>
            <w:r w:rsidRPr="00B81524">
              <w:rPr>
                <w:lang w:val="en-GB"/>
              </w:rPr>
              <w:t>10,000</w:t>
            </w:r>
          </w:p>
        </w:tc>
        <w:tc>
          <w:tcPr>
            <w:tcW w:w="972" w:type="dxa"/>
            <w:vAlign w:val="center"/>
          </w:tcPr>
          <w:p w14:paraId="534DC031" w14:textId="3A90D23A" w:rsidR="00AF04D6" w:rsidRPr="00B81524" w:rsidRDefault="00AF04D6" w:rsidP="005F7A9F">
            <w:pPr>
              <w:pStyle w:val="ExhibitText"/>
              <w:jc w:val="right"/>
              <w:rPr>
                <w:lang w:val="en-GB"/>
              </w:rPr>
            </w:pPr>
            <w:r w:rsidRPr="00B81524">
              <w:rPr>
                <w:lang w:val="en-GB"/>
              </w:rPr>
              <w:t>10,000</w:t>
            </w:r>
          </w:p>
        </w:tc>
        <w:tc>
          <w:tcPr>
            <w:tcW w:w="828" w:type="dxa"/>
            <w:vAlign w:val="center"/>
          </w:tcPr>
          <w:p w14:paraId="7F731369" w14:textId="1F48DAAB" w:rsidR="00AF04D6" w:rsidRPr="00B81524" w:rsidRDefault="00AF04D6" w:rsidP="005F7A9F">
            <w:pPr>
              <w:pStyle w:val="ExhibitText"/>
              <w:jc w:val="right"/>
              <w:rPr>
                <w:lang w:val="en-GB"/>
              </w:rPr>
            </w:pPr>
            <w:r w:rsidRPr="00B81524">
              <w:rPr>
                <w:lang w:val="en-GB"/>
              </w:rPr>
              <w:t>21,000</w:t>
            </w:r>
          </w:p>
        </w:tc>
      </w:tr>
      <w:tr w:rsidR="00AF04D6" w:rsidRPr="00B81524" w14:paraId="2E93F51C" w14:textId="77777777" w:rsidTr="005F7A9F">
        <w:trPr>
          <w:jc w:val="center"/>
        </w:trPr>
        <w:tc>
          <w:tcPr>
            <w:tcW w:w="2250" w:type="dxa"/>
            <w:vAlign w:val="center"/>
          </w:tcPr>
          <w:p w14:paraId="6B9141FA" w14:textId="77777777" w:rsidR="00AF04D6" w:rsidRPr="00B81524" w:rsidRDefault="00AF04D6" w:rsidP="005F7A9F">
            <w:pPr>
              <w:pStyle w:val="ExhibitText"/>
              <w:jc w:val="left"/>
              <w:rPr>
                <w:lang w:val="en-GB"/>
              </w:rPr>
            </w:pPr>
            <w:r w:rsidRPr="00B81524">
              <w:rPr>
                <w:lang w:val="en-GB"/>
              </w:rPr>
              <w:t>2017</w:t>
            </w:r>
          </w:p>
        </w:tc>
        <w:tc>
          <w:tcPr>
            <w:tcW w:w="1260" w:type="dxa"/>
            <w:vAlign w:val="center"/>
          </w:tcPr>
          <w:p w14:paraId="3E9CFF58" w14:textId="77777777" w:rsidR="00AF04D6" w:rsidRPr="00B81524" w:rsidRDefault="00AF04D6" w:rsidP="00AF04D6">
            <w:pPr>
              <w:pStyle w:val="ExhibitText"/>
              <w:jc w:val="right"/>
              <w:rPr>
                <w:lang w:val="en-GB"/>
              </w:rPr>
            </w:pPr>
            <w:r w:rsidRPr="00B81524">
              <w:rPr>
                <w:lang w:val="en-GB"/>
              </w:rPr>
              <w:t>15,000</w:t>
            </w:r>
          </w:p>
        </w:tc>
        <w:tc>
          <w:tcPr>
            <w:tcW w:w="990" w:type="dxa"/>
            <w:vAlign w:val="center"/>
          </w:tcPr>
          <w:p w14:paraId="27FC9F9F" w14:textId="496A1E25" w:rsidR="00AF04D6" w:rsidRPr="00B81524" w:rsidRDefault="00AF04D6" w:rsidP="00AF04D6">
            <w:pPr>
              <w:pStyle w:val="ExhibitText"/>
              <w:jc w:val="right"/>
              <w:rPr>
                <w:lang w:val="en-GB"/>
              </w:rPr>
            </w:pPr>
            <w:r w:rsidRPr="00B81524">
              <w:rPr>
                <w:lang w:val="en-GB"/>
              </w:rPr>
              <w:t>15,000</w:t>
            </w:r>
          </w:p>
        </w:tc>
        <w:tc>
          <w:tcPr>
            <w:tcW w:w="1080" w:type="dxa"/>
            <w:vAlign w:val="center"/>
          </w:tcPr>
          <w:p w14:paraId="218469A2" w14:textId="77777777" w:rsidR="00AF04D6" w:rsidRPr="00B81524" w:rsidRDefault="00AF04D6" w:rsidP="00AF04D6">
            <w:pPr>
              <w:pStyle w:val="ExhibitText"/>
              <w:jc w:val="right"/>
              <w:rPr>
                <w:lang w:val="en-GB"/>
              </w:rPr>
            </w:pPr>
            <w:r w:rsidRPr="00B81524">
              <w:rPr>
                <w:lang w:val="en-GB"/>
              </w:rPr>
              <w:t>15,000</w:t>
            </w:r>
          </w:p>
        </w:tc>
        <w:tc>
          <w:tcPr>
            <w:tcW w:w="972" w:type="dxa"/>
            <w:vAlign w:val="center"/>
          </w:tcPr>
          <w:p w14:paraId="6FD541A4" w14:textId="77777777" w:rsidR="00AF04D6" w:rsidRPr="00B81524" w:rsidRDefault="00AF04D6" w:rsidP="00AF04D6">
            <w:pPr>
              <w:pStyle w:val="ExhibitText"/>
              <w:jc w:val="right"/>
              <w:rPr>
                <w:lang w:val="en-GB"/>
              </w:rPr>
            </w:pPr>
            <w:r w:rsidRPr="00B81524">
              <w:rPr>
                <w:lang w:val="en-GB"/>
              </w:rPr>
              <w:t>15,000</w:t>
            </w:r>
          </w:p>
        </w:tc>
        <w:tc>
          <w:tcPr>
            <w:tcW w:w="828" w:type="dxa"/>
            <w:vAlign w:val="center"/>
          </w:tcPr>
          <w:p w14:paraId="49F09BC0" w14:textId="34E7524F" w:rsidR="00AF04D6" w:rsidRPr="00B81524" w:rsidRDefault="00AF04D6" w:rsidP="00526354">
            <w:pPr>
              <w:pStyle w:val="ExhibitText"/>
              <w:jc w:val="right"/>
              <w:rPr>
                <w:lang w:val="en-GB"/>
              </w:rPr>
            </w:pPr>
            <w:r w:rsidRPr="00B81524">
              <w:rPr>
                <w:lang w:val="en-GB"/>
              </w:rPr>
              <w:t>60,000</w:t>
            </w:r>
          </w:p>
        </w:tc>
      </w:tr>
      <w:bookmarkEnd w:id="5"/>
    </w:tbl>
    <w:p w14:paraId="7D2EFD46" w14:textId="77777777" w:rsidR="003F044B" w:rsidRPr="00B81524" w:rsidRDefault="003F044B" w:rsidP="00AF04D6">
      <w:pPr>
        <w:pStyle w:val="BodyTextMain"/>
        <w:rPr>
          <w:lang w:val="en-GB"/>
        </w:rPr>
      </w:pPr>
    </w:p>
    <w:p w14:paraId="293B6E4D" w14:textId="77777777" w:rsidR="00AF04D6" w:rsidRPr="00B81524" w:rsidRDefault="00AF04D6" w:rsidP="00AF04D6">
      <w:pPr>
        <w:pStyle w:val="Footnote"/>
        <w:rPr>
          <w:lang w:val="en-GB"/>
        </w:rPr>
      </w:pPr>
      <w:r w:rsidRPr="00B81524">
        <w:rPr>
          <w:lang w:val="en-GB"/>
        </w:rPr>
        <w:t>Source: Company documents.</w:t>
      </w:r>
    </w:p>
    <w:p w14:paraId="1E56B7A6" w14:textId="77777777" w:rsidR="00AF04D6" w:rsidRPr="00B81524" w:rsidRDefault="00AF04D6" w:rsidP="00AF04D6">
      <w:pPr>
        <w:pStyle w:val="BodyTextMain"/>
        <w:rPr>
          <w:lang w:val="en-GB"/>
        </w:rPr>
      </w:pPr>
    </w:p>
    <w:p w14:paraId="3C9E46E0" w14:textId="77777777" w:rsidR="00AF04D6" w:rsidRPr="00B81524" w:rsidRDefault="00AF04D6" w:rsidP="00AF04D6">
      <w:pPr>
        <w:pStyle w:val="BodyTextMain"/>
        <w:rPr>
          <w:lang w:val="en-GB"/>
        </w:rPr>
      </w:pPr>
    </w:p>
    <w:p w14:paraId="50B1C206" w14:textId="77777777" w:rsidR="007456A6" w:rsidRPr="00B81524" w:rsidRDefault="007456A6">
      <w:pPr>
        <w:spacing w:after="200" w:line="276" w:lineRule="auto"/>
        <w:rPr>
          <w:rFonts w:ascii="Arial" w:hAnsi="Arial" w:cs="Arial"/>
          <w:b/>
          <w:caps/>
          <w:lang w:val="en-GB"/>
        </w:rPr>
      </w:pPr>
      <w:r w:rsidRPr="00B81524">
        <w:rPr>
          <w:lang w:val="en-GB"/>
        </w:rPr>
        <w:br w:type="page"/>
      </w:r>
    </w:p>
    <w:p w14:paraId="0EB758EC" w14:textId="6A55B56C" w:rsidR="003F044B" w:rsidRPr="00B81524" w:rsidRDefault="003F044B" w:rsidP="00AF04D6">
      <w:pPr>
        <w:pStyle w:val="ExhibitHeading"/>
        <w:rPr>
          <w:lang w:val="en-GB"/>
        </w:rPr>
      </w:pPr>
      <w:r w:rsidRPr="00B81524">
        <w:rPr>
          <w:lang w:val="en-GB"/>
        </w:rPr>
        <w:t xml:space="preserve">Exhibit 3: </w:t>
      </w:r>
      <w:r w:rsidR="004C4F2C" w:rsidRPr="00B81524">
        <w:rPr>
          <w:lang w:val="en-GB"/>
        </w:rPr>
        <w:t xml:space="preserve">naledo </w:t>
      </w:r>
      <w:r w:rsidR="00852193" w:rsidRPr="00B81524">
        <w:rPr>
          <w:lang w:val="en-GB"/>
        </w:rPr>
        <w:t xml:space="preserve">Statement of </w:t>
      </w:r>
      <w:r w:rsidR="00E75088">
        <w:rPr>
          <w:lang w:val="en-GB"/>
        </w:rPr>
        <w:t>income</w:t>
      </w:r>
      <w:r w:rsidR="00852193" w:rsidRPr="00B81524">
        <w:rPr>
          <w:lang w:val="en-GB"/>
        </w:rPr>
        <w:t xml:space="preserve"> (Loss) And Retained (Deficit)/</w:t>
      </w:r>
      <w:r w:rsidR="00106CA4" w:rsidRPr="00B81524">
        <w:rPr>
          <w:lang w:val="en-GB"/>
        </w:rPr>
        <w:t>EARNINGS (</w:t>
      </w:r>
      <w:r w:rsidR="0027258E" w:rsidRPr="00B81524">
        <w:rPr>
          <w:lang w:val="en-GB"/>
        </w:rPr>
        <w:t>CA</w:t>
      </w:r>
      <w:r w:rsidRPr="00B81524">
        <w:rPr>
          <w:lang w:val="en-GB"/>
        </w:rPr>
        <w:t>$)</w:t>
      </w:r>
      <w:r w:rsidR="007456A6" w:rsidRPr="00B81524">
        <w:rPr>
          <w:lang w:val="en-GB"/>
        </w:rPr>
        <w:t xml:space="preserve"> for the year ended december 31, 2017</w:t>
      </w:r>
    </w:p>
    <w:p w14:paraId="55EDB7EC" w14:textId="77777777" w:rsidR="00A827BF" w:rsidRPr="00B81524" w:rsidRDefault="00A827BF" w:rsidP="00AF04D6">
      <w:pPr>
        <w:pStyle w:val="Footnote"/>
        <w:rPr>
          <w:lang w:val="en-GB"/>
        </w:rPr>
      </w:pPr>
    </w:p>
    <w:tbl>
      <w:tblPr>
        <w:tblStyle w:val="TableGrid1"/>
        <w:tblW w:w="7548" w:type="dxa"/>
        <w:jc w:val="center"/>
        <w:tblLook w:val="04A0" w:firstRow="1" w:lastRow="0" w:firstColumn="1" w:lastColumn="0" w:noHBand="0" w:noVBand="1"/>
      </w:tblPr>
      <w:tblGrid>
        <w:gridCol w:w="222"/>
        <w:gridCol w:w="14"/>
        <w:gridCol w:w="5069"/>
        <w:gridCol w:w="1170"/>
        <w:gridCol w:w="1073"/>
      </w:tblGrid>
      <w:tr w:rsidR="00A827BF" w:rsidRPr="00B81524" w14:paraId="06AB5295" w14:textId="77777777" w:rsidTr="00A827BF">
        <w:trPr>
          <w:trHeight w:val="287"/>
          <w:jc w:val="center"/>
        </w:trPr>
        <w:tc>
          <w:tcPr>
            <w:tcW w:w="5305" w:type="dxa"/>
            <w:gridSpan w:val="3"/>
            <w:noWrap/>
            <w:hideMark/>
          </w:tcPr>
          <w:p w14:paraId="1BB5AC95" w14:textId="77777777" w:rsidR="00A827BF" w:rsidRPr="00B81524" w:rsidRDefault="00A827BF" w:rsidP="00E47DD6">
            <w:pPr>
              <w:pStyle w:val="Footnote"/>
              <w:rPr>
                <w:sz w:val="20"/>
                <w:szCs w:val="20"/>
                <w:lang w:val="en-GB"/>
              </w:rPr>
            </w:pPr>
          </w:p>
        </w:tc>
        <w:tc>
          <w:tcPr>
            <w:tcW w:w="1170" w:type="dxa"/>
            <w:vAlign w:val="center"/>
            <w:hideMark/>
          </w:tcPr>
          <w:p w14:paraId="61003209" w14:textId="5395ED62" w:rsidR="00A827BF" w:rsidRPr="00B81524" w:rsidRDefault="00A827BF" w:rsidP="00A827BF">
            <w:pPr>
              <w:pStyle w:val="Footnote"/>
              <w:jc w:val="center"/>
              <w:rPr>
                <w:rFonts w:eastAsiaTheme="minorHAnsi"/>
                <w:sz w:val="20"/>
                <w:szCs w:val="20"/>
                <w:lang w:val="en-GB"/>
              </w:rPr>
            </w:pPr>
            <w:r w:rsidRPr="00B81524">
              <w:rPr>
                <w:b/>
                <w:bCs/>
                <w:sz w:val="20"/>
                <w:szCs w:val="20"/>
                <w:lang w:val="en-GB"/>
              </w:rPr>
              <w:t>2017</w:t>
            </w:r>
          </w:p>
        </w:tc>
        <w:tc>
          <w:tcPr>
            <w:tcW w:w="1073" w:type="dxa"/>
            <w:vAlign w:val="center"/>
            <w:hideMark/>
          </w:tcPr>
          <w:p w14:paraId="2C20F031" w14:textId="71EF52AC" w:rsidR="00A827BF" w:rsidRPr="00B81524" w:rsidRDefault="00A827BF" w:rsidP="00A827BF">
            <w:pPr>
              <w:jc w:val="center"/>
              <w:rPr>
                <w:rFonts w:ascii="Arial" w:eastAsiaTheme="minorHAnsi" w:hAnsi="Arial" w:cs="Arial"/>
                <w:b/>
                <w:lang w:val="en-GB"/>
              </w:rPr>
            </w:pPr>
            <w:r w:rsidRPr="00B81524">
              <w:rPr>
                <w:rFonts w:ascii="Arial" w:eastAsiaTheme="minorHAnsi" w:hAnsi="Arial" w:cs="Arial"/>
                <w:b/>
                <w:lang w:val="en-GB"/>
              </w:rPr>
              <w:t>2016</w:t>
            </w:r>
          </w:p>
        </w:tc>
      </w:tr>
      <w:tr w:rsidR="00A827BF" w:rsidRPr="00B81524" w14:paraId="4C5EDA19" w14:textId="77777777" w:rsidTr="00A827BF">
        <w:trPr>
          <w:trHeight w:val="315"/>
          <w:jc w:val="center"/>
        </w:trPr>
        <w:tc>
          <w:tcPr>
            <w:tcW w:w="7548" w:type="dxa"/>
            <w:gridSpan w:val="5"/>
            <w:tcBorders>
              <w:bottom w:val="single" w:sz="4" w:space="0" w:color="auto"/>
            </w:tcBorders>
            <w:noWrap/>
            <w:vAlign w:val="center"/>
            <w:hideMark/>
          </w:tcPr>
          <w:p w14:paraId="58D3B1F5" w14:textId="122892DB" w:rsidR="00A827BF" w:rsidRPr="00B81524" w:rsidRDefault="00A827BF" w:rsidP="00A827BF">
            <w:pPr>
              <w:rPr>
                <w:rFonts w:ascii="Arial" w:eastAsiaTheme="minorHAnsi" w:hAnsi="Arial" w:cs="Arial"/>
                <w:lang w:val="en-GB"/>
              </w:rPr>
            </w:pPr>
            <w:r w:rsidRPr="00B81524">
              <w:rPr>
                <w:rFonts w:ascii="Arial" w:hAnsi="Arial" w:cs="Arial"/>
                <w:b/>
                <w:bCs/>
                <w:lang w:val="en-GB"/>
              </w:rPr>
              <w:t>Revenue</w:t>
            </w:r>
            <w:r w:rsidRPr="00B81524">
              <w:rPr>
                <w:rFonts w:ascii="Arial" w:hAnsi="Arial" w:cs="Arial"/>
                <w:lang w:val="en-GB"/>
              </w:rPr>
              <w:t> </w:t>
            </w:r>
          </w:p>
        </w:tc>
      </w:tr>
      <w:tr w:rsidR="00A827BF" w:rsidRPr="00B81524" w14:paraId="4F3BEA48" w14:textId="77777777" w:rsidTr="00A827BF">
        <w:trPr>
          <w:trHeight w:val="270"/>
          <w:jc w:val="center"/>
        </w:trPr>
        <w:tc>
          <w:tcPr>
            <w:tcW w:w="236" w:type="dxa"/>
            <w:gridSpan w:val="2"/>
            <w:tcBorders>
              <w:right w:val="nil"/>
            </w:tcBorders>
            <w:noWrap/>
            <w:hideMark/>
          </w:tcPr>
          <w:p w14:paraId="6DE1BF9B" w14:textId="77777777" w:rsidR="00A827BF" w:rsidRPr="00B81524" w:rsidRDefault="00A827BF" w:rsidP="00E47DD6">
            <w:pPr>
              <w:pStyle w:val="Footnote"/>
              <w:rPr>
                <w:sz w:val="20"/>
                <w:szCs w:val="20"/>
                <w:lang w:val="en-GB"/>
              </w:rPr>
            </w:pPr>
          </w:p>
        </w:tc>
        <w:tc>
          <w:tcPr>
            <w:tcW w:w="5069" w:type="dxa"/>
            <w:tcBorders>
              <w:left w:val="nil"/>
            </w:tcBorders>
            <w:noWrap/>
            <w:hideMark/>
          </w:tcPr>
          <w:p w14:paraId="4578A6C1" w14:textId="774FA109" w:rsidR="00A827BF" w:rsidRPr="00B81524" w:rsidRDefault="00A827BF" w:rsidP="00E47DD6">
            <w:pPr>
              <w:pStyle w:val="Footnote"/>
              <w:rPr>
                <w:b/>
                <w:bCs/>
                <w:sz w:val="20"/>
                <w:szCs w:val="20"/>
                <w:lang w:val="en-GB"/>
              </w:rPr>
            </w:pPr>
            <w:r w:rsidRPr="00B81524">
              <w:rPr>
                <w:b/>
                <w:bCs/>
                <w:sz w:val="20"/>
                <w:szCs w:val="20"/>
                <w:lang w:val="en-GB"/>
              </w:rPr>
              <w:t>Sales</w:t>
            </w:r>
          </w:p>
        </w:tc>
        <w:tc>
          <w:tcPr>
            <w:tcW w:w="1170" w:type="dxa"/>
            <w:noWrap/>
            <w:vAlign w:val="center"/>
            <w:hideMark/>
          </w:tcPr>
          <w:p w14:paraId="27374E8B" w14:textId="38AF2817" w:rsidR="00A827BF" w:rsidRPr="00B81524" w:rsidRDefault="00A827BF" w:rsidP="00F93C52">
            <w:pPr>
              <w:pStyle w:val="Footnote"/>
              <w:jc w:val="right"/>
              <w:rPr>
                <w:rFonts w:eastAsiaTheme="minorHAnsi"/>
                <w:sz w:val="20"/>
                <w:szCs w:val="20"/>
                <w:lang w:val="en-GB"/>
              </w:rPr>
            </w:pPr>
            <w:r w:rsidRPr="00B81524">
              <w:rPr>
                <w:sz w:val="20"/>
                <w:szCs w:val="20"/>
                <w:lang w:val="en-GB"/>
              </w:rPr>
              <w:t>$251,360</w:t>
            </w:r>
          </w:p>
        </w:tc>
        <w:tc>
          <w:tcPr>
            <w:tcW w:w="1073" w:type="dxa"/>
            <w:noWrap/>
            <w:vAlign w:val="center"/>
            <w:hideMark/>
          </w:tcPr>
          <w:p w14:paraId="45BF1957" w14:textId="278DB2EA" w:rsidR="00A827BF" w:rsidRPr="00B81524" w:rsidRDefault="00A827BF" w:rsidP="00A827BF">
            <w:pPr>
              <w:jc w:val="right"/>
              <w:rPr>
                <w:rFonts w:ascii="Arial" w:eastAsiaTheme="minorHAnsi" w:hAnsi="Arial" w:cs="Arial"/>
                <w:lang w:val="en-GB"/>
              </w:rPr>
            </w:pPr>
            <w:r w:rsidRPr="00B81524">
              <w:rPr>
                <w:rFonts w:ascii="Arial" w:eastAsiaTheme="minorHAnsi" w:hAnsi="Arial" w:cs="Arial"/>
                <w:lang w:val="en-GB"/>
              </w:rPr>
              <w:t xml:space="preserve">$61,314 </w:t>
            </w:r>
          </w:p>
        </w:tc>
      </w:tr>
      <w:tr w:rsidR="00A827BF" w:rsidRPr="00B81524" w14:paraId="175BB3E8" w14:textId="77777777" w:rsidTr="00A827BF">
        <w:trPr>
          <w:trHeight w:val="255"/>
          <w:jc w:val="center"/>
        </w:trPr>
        <w:tc>
          <w:tcPr>
            <w:tcW w:w="7548" w:type="dxa"/>
            <w:gridSpan w:val="5"/>
            <w:noWrap/>
            <w:vAlign w:val="center"/>
            <w:hideMark/>
          </w:tcPr>
          <w:p w14:paraId="5D86CC62" w14:textId="77777777" w:rsidR="00A827BF" w:rsidRPr="00B81524" w:rsidRDefault="00A827BF" w:rsidP="00A827BF">
            <w:pPr>
              <w:jc w:val="right"/>
              <w:rPr>
                <w:rFonts w:ascii="Arial" w:eastAsiaTheme="minorHAnsi" w:hAnsi="Arial" w:cs="Arial"/>
                <w:lang w:val="en-GB"/>
              </w:rPr>
            </w:pPr>
          </w:p>
        </w:tc>
      </w:tr>
      <w:tr w:rsidR="00A827BF" w:rsidRPr="00B81524" w14:paraId="348BDE18" w14:textId="77777777" w:rsidTr="00A827BF">
        <w:trPr>
          <w:trHeight w:val="315"/>
          <w:jc w:val="center"/>
        </w:trPr>
        <w:tc>
          <w:tcPr>
            <w:tcW w:w="5305" w:type="dxa"/>
            <w:gridSpan w:val="3"/>
            <w:tcBorders>
              <w:bottom w:val="single" w:sz="4" w:space="0" w:color="auto"/>
            </w:tcBorders>
            <w:noWrap/>
            <w:hideMark/>
          </w:tcPr>
          <w:p w14:paraId="341178C4" w14:textId="19FC1227" w:rsidR="00A827BF" w:rsidRPr="00B81524" w:rsidRDefault="00A827BF" w:rsidP="00E47DD6">
            <w:pPr>
              <w:pStyle w:val="Footnote"/>
              <w:rPr>
                <w:b/>
                <w:bCs/>
                <w:sz w:val="20"/>
                <w:szCs w:val="20"/>
                <w:lang w:val="en-GB"/>
              </w:rPr>
            </w:pPr>
            <w:r w:rsidRPr="00B81524">
              <w:rPr>
                <w:b/>
                <w:bCs/>
                <w:sz w:val="20"/>
                <w:szCs w:val="20"/>
                <w:lang w:val="en-GB"/>
              </w:rPr>
              <w:t>Cost of Goods Sold</w:t>
            </w:r>
          </w:p>
        </w:tc>
        <w:tc>
          <w:tcPr>
            <w:tcW w:w="1170" w:type="dxa"/>
            <w:noWrap/>
            <w:vAlign w:val="center"/>
            <w:hideMark/>
          </w:tcPr>
          <w:p w14:paraId="08E335F2" w14:textId="77777777" w:rsidR="00A827BF" w:rsidRPr="00B81524" w:rsidRDefault="00A827BF" w:rsidP="00A827BF">
            <w:pPr>
              <w:pStyle w:val="Footnote"/>
              <w:jc w:val="right"/>
              <w:rPr>
                <w:sz w:val="20"/>
                <w:szCs w:val="20"/>
                <w:lang w:val="en-GB"/>
              </w:rPr>
            </w:pPr>
          </w:p>
        </w:tc>
        <w:tc>
          <w:tcPr>
            <w:tcW w:w="1073" w:type="dxa"/>
            <w:noWrap/>
            <w:vAlign w:val="center"/>
            <w:hideMark/>
          </w:tcPr>
          <w:p w14:paraId="03998B91" w14:textId="77777777" w:rsidR="00A827BF" w:rsidRPr="00B81524" w:rsidRDefault="00A827BF" w:rsidP="00A827BF">
            <w:pPr>
              <w:jc w:val="right"/>
              <w:rPr>
                <w:rFonts w:ascii="Arial" w:eastAsiaTheme="minorHAnsi" w:hAnsi="Arial" w:cs="Arial"/>
                <w:lang w:val="en-GB"/>
              </w:rPr>
            </w:pPr>
          </w:p>
        </w:tc>
      </w:tr>
      <w:tr w:rsidR="00A827BF" w:rsidRPr="00B81524" w14:paraId="2B4E36F2" w14:textId="77777777" w:rsidTr="00A827BF">
        <w:trPr>
          <w:trHeight w:val="255"/>
          <w:jc w:val="center"/>
        </w:trPr>
        <w:tc>
          <w:tcPr>
            <w:tcW w:w="236" w:type="dxa"/>
            <w:gridSpan w:val="2"/>
            <w:tcBorders>
              <w:right w:val="nil"/>
            </w:tcBorders>
            <w:noWrap/>
          </w:tcPr>
          <w:p w14:paraId="3ACDC4EF" w14:textId="77777777" w:rsidR="00A827BF" w:rsidRPr="00B81524" w:rsidRDefault="00A827BF" w:rsidP="00E47DD6">
            <w:pPr>
              <w:pStyle w:val="Footnote"/>
              <w:rPr>
                <w:sz w:val="20"/>
                <w:szCs w:val="20"/>
                <w:lang w:val="en-GB"/>
              </w:rPr>
            </w:pPr>
          </w:p>
        </w:tc>
        <w:tc>
          <w:tcPr>
            <w:tcW w:w="5069" w:type="dxa"/>
            <w:tcBorders>
              <w:left w:val="nil"/>
            </w:tcBorders>
            <w:noWrap/>
            <w:hideMark/>
          </w:tcPr>
          <w:p w14:paraId="03E60D5E" w14:textId="751DE93E" w:rsidR="00A827BF" w:rsidRPr="00B81524" w:rsidRDefault="00A827BF" w:rsidP="00E47DD6">
            <w:pPr>
              <w:pStyle w:val="Footnote"/>
              <w:rPr>
                <w:sz w:val="20"/>
                <w:szCs w:val="20"/>
                <w:lang w:val="en-GB"/>
              </w:rPr>
            </w:pPr>
            <w:r w:rsidRPr="00B81524">
              <w:rPr>
                <w:sz w:val="20"/>
                <w:szCs w:val="20"/>
                <w:lang w:val="en-GB"/>
              </w:rPr>
              <w:t>Purchases/materials</w:t>
            </w:r>
            <w:r w:rsidRPr="00B81524">
              <w:rPr>
                <w:rFonts w:eastAsiaTheme="minorHAnsi"/>
                <w:sz w:val="20"/>
                <w:szCs w:val="20"/>
                <w:lang w:val="en-GB"/>
              </w:rPr>
              <w:t xml:space="preserve"> (</w:t>
            </w:r>
            <w:r w:rsidR="00E75088">
              <w:rPr>
                <w:rFonts w:eastAsiaTheme="minorHAnsi"/>
                <w:sz w:val="20"/>
                <w:szCs w:val="20"/>
                <w:lang w:val="en-GB"/>
              </w:rPr>
              <w:t>see note 1)</w:t>
            </w:r>
          </w:p>
        </w:tc>
        <w:tc>
          <w:tcPr>
            <w:tcW w:w="1170" w:type="dxa"/>
            <w:noWrap/>
            <w:vAlign w:val="center"/>
            <w:hideMark/>
          </w:tcPr>
          <w:p w14:paraId="0908D01F" w14:textId="694E65D7" w:rsidR="00A827BF" w:rsidRPr="00B81524" w:rsidRDefault="00A827BF" w:rsidP="00A827BF">
            <w:pPr>
              <w:pStyle w:val="Footnote"/>
              <w:jc w:val="right"/>
              <w:rPr>
                <w:sz w:val="20"/>
                <w:szCs w:val="20"/>
                <w:lang w:val="en-GB"/>
              </w:rPr>
            </w:pPr>
            <w:r w:rsidRPr="00B81524">
              <w:rPr>
                <w:sz w:val="20"/>
                <w:szCs w:val="20"/>
                <w:lang w:val="en-GB"/>
              </w:rPr>
              <w:t>73,877</w:t>
            </w:r>
          </w:p>
        </w:tc>
        <w:tc>
          <w:tcPr>
            <w:tcW w:w="1073" w:type="dxa"/>
            <w:noWrap/>
            <w:vAlign w:val="center"/>
            <w:hideMark/>
          </w:tcPr>
          <w:p w14:paraId="4C0307C7" w14:textId="13C8A42C" w:rsidR="00A827BF" w:rsidRPr="00B81524" w:rsidRDefault="00A827BF" w:rsidP="00A827BF">
            <w:pPr>
              <w:jc w:val="right"/>
              <w:rPr>
                <w:rFonts w:ascii="Arial" w:eastAsiaTheme="minorHAnsi" w:hAnsi="Arial" w:cs="Arial"/>
                <w:lang w:val="en-GB"/>
              </w:rPr>
            </w:pPr>
            <w:r w:rsidRPr="00B81524">
              <w:rPr>
                <w:rFonts w:ascii="Arial" w:eastAsiaTheme="minorHAnsi" w:hAnsi="Arial" w:cs="Arial"/>
                <w:lang w:val="en-GB"/>
              </w:rPr>
              <w:t>73,091</w:t>
            </w:r>
          </w:p>
        </w:tc>
      </w:tr>
      <w:tr w:rsidR="00A827BF" w:rsidRPr="00B81524" w14:paraId="0BBAEC4F" w14:textId="77777777" w:rsidTr="00A827BF">
        <w:trPr>
          <w:trHeight w:val="255"/>
          <w:jc w:val="center"/>
        </w:trPr>
        <w:tc>
          <w:tcPr>
            <w:tcW w:w="236" w:type="dxa"/>
            <w:gridSpan w:val="2"/>
            <w:tcBorders>
              <w:right w:val="nil"/>
            </w:tcBorders>
            <w:noWrap/>
          </w:tcPr>
          <w:p w14:paraId="3238F39C" w14:textId="77777777" w:rsidR="00A827BF" w:rsidRPr="00B81524" w:rsidRDefault="00A827BF" w:rsidP="00A827BF">
            <w:pPr>
              <w:pStyle w:val="Footnote"/>
              <w:rPr>
                <w:sz w:val="20"/>
                <w:szCs w:val="20"/>
                <w:lang w:val="en-GB"/>
              </w:rPr>
            </w:pPr>
          </w:p>
        </w:tc>
        <w:tc>
          <w:tcPr>
            <w:tcW w:w="5069" w:type="dxa"/>
            <w:tcBorders>
              <w:left w:val="nil"/>
            </w:tcBorders>
            <w:noWrap/>
          </w:tcPr>
          <w:p w14:paraId="4DE67FC9" w14:textId="77777777" w:rsidR="00A827BF" w:rsidRPr="00B81524" w:rsidRDefault="00A827BF" w:rsidP="00A827BF">
            <w:pPr>
              <w:pStyle w:val="Footnote"/>
              <w:rPr>
                <w:b/>
                <w:bCs/>
                <w:sz w:val="20"/>
                <w:szCs w:val="20"/>
                <w:lang w:val="en-GB"/>
              </w:rPr>
            </w:pPr>
          </w:p>
        </w:tc>
        <w:tc>
          <w:tcPr>
            <w:tcW w:w="1170" w:type="dxa"/>
            <w:noWrap/>
            <w:vAlign w:val="center"/>
          </w:tcPr>
          <w:p w14:paraId="74D7703E" w14:textId="77777777" w:rsidR="00A827BF" w:rsidRPr="00B81524" w:rsidRDefault="00A827BF" w:rsidP="00A827BF">
            <w:pPr>
              <w:pStyle w:val="Footnote"/>
              <w:jc w:val="right"/>
              <w:rPr>
                <w:sz w:val="20"/>
                <w:szCs w:val="20"/>
                <w:lang w:val="en-GB"/>
              </w:rPr>
            </w:pPr>
          </w:p>
        </w:tc>
        <w:tc>
          <w:tcPr>
            <w:tcW w:w="1073" w:type="dxa"/>
            <w:noWrap/>
            <w:vAlign w:val="center"/>
          </w:tcPr>
          <w:p w14:paraId="190C663D" w14:textId="77777777" w:rsidR="00A827BF" w:rsidRPr="00B81524" w:rsidRDefault="00A827BF" w:rsidP="00A827BF">
            <w:pPr>
              <w:jc w:val="right"/>
              <w:rPr>
                <w:rFonts w:ascii="Arial" w:eastAsiaTheme="minorHAnsi" w:hAnsi="Arial" w:cs="Arial"/>
                <w:lang w:val="en-GB"/>
              </w:rPr>
            </w:pPr>
          </w:p>
        </w:tc>
      </w:tr>
      <w:tr w:rsidR="00A827BF" w:rsidRPr="00B81524" w14:paraId="55E23855" w14:textId="77777777" w:rsidTr="00A827BF">
        <w:trPr>
          <w:trHeight w:val="255"/>
          <w:jc w:val="center"/>
        </w:trPr>
        <w:tc>
          <w:tcPr>
            <w:tcW w:w="236" w:type="dxa"/>
            <w:gridSpan w:val="2"/>
            <w:tcBorders>
              <w:right w:val="nil"/>
            </w:tcBorders>
            <w:noWrap/>
            <w:hideMark/>
          </w:tcPr>
          <w:p w14:paraId="729EB562" w14:textId="77777777" w:rsidR="00A827BF" w:rsidRPr="00B81524" w:rsidRDefault="00A827BF" w:rsidP="00A827BF">
            <w:pPr>
              <w:pStyle w:val="Footnote"/>
              <w:rPr>
                <w:sz w:val="20"/>
                <w:szCs w:val="20"/>
                <w:lang w:val="en-GB"/>
              </w:rPr>
            </w:pPr>
          </w:p>
        </w:tc>
        <w:tc>
          <w:tcPr>
            <w:tcW w:w="5069" w:type="dxa"/>
            <w:tcBorders>
              <w:left w:val="nil"/>
            </w:tcBorders>
            <w:noWrap/>
            <w:hideMark/>
          </w:tcPr>
          <w:p w14:paraId="4DA157C7" w14:textId="1E014F76" w:rsidR="00A827BF" w:rsidRPr="00B81524" w:rsidRDefault="00B81524" w:rsidP="00A827BF">
            <w:pPr>
              <w:pStyle w:val="Footnote"/>
              <w:rPr>
                <w:b/>
                <w:bCs/>
                <w:sz w:val="20"/>
                <w:szCs w:val="20"/>
                <w:lang w:val="en-GB"/>
              </w:rPr>
            </w:pPr>
            <w:r>
              <w:rPr>
                <w:b/>
                <w:bCs/>
                <w:sz w:val="20"/>
                <w:szCs w:val="20"/>
                <w:lang w:val="en-GB"/>
              </w:rPr>
              <w:t xml:space="preserve">  </w:t>
            </w:r>
            <w:r w:rsidR="00A827BF" w:rsidRPr="00B81524">
              <w:rPr>
                <w:b/>
                <w:bCs/>
                <w:sz w:val="20"/>
                <w:szCs w:val="20"/>
                <w:lang w:val="en-GB"/>
              </w:rPr>
              <w:t>Gross Profit (Loss)</w:t>
            </w:r>
          </w:p>
        </w:tc>
        <w:tc>
          <w:tcPr>
            <w:tcW w:w="1170" w:type="dxa"/>
            <w:noWrap/>
            <w:vAlign w:val="center"/>
            <w:hideMark/>
          </w:tcPr>
          <w:p w14:paraId="49B4ED01" w14:textId="32A1DD69" w:rsidR="00A827BF" w:rsidRPr="00B81524" w:rsidRDefault="00A827BF" w:rsidP="00F93C52">
            <w:pPr>
              <w:pStyle w:val="Footnote"/>
              <w:jc w:val="right"/>
              <w:rPr>
                <w:rFonts w:eastAsiaTheme="minorHAnsi"/>
                <w:sz w:val="20"/>
                <w:szCs w:val="20"/>
                <w:lang w:val="en-GB"/>
              </w:rPr>
            </w:pPr>
            <w:r w:rsidRPr="00B81524">
              <w:rPr>
                <w:sz w:val="20"/>
                <w:szCs w:val="20"/>
                <w:lang w:val="en-GB"/>
              </w:rPr>
              <w:t>177,483</w:t>
            </w:r>
          </w:p>
        </w:tc>
        <w:tc>
          <w:tcPr>
            <w:tcW w:w="1073" w:type="dxa"/>
            <w:noWrap/>
            <w:vAlign w:val="center"/>
            <w:hideMark/>
          </w:tcPr>
          <w:p w14:paraId="23B79BD6" w14:textId="77777777" w:rsidR="00A827BF" w:rsidRPr="00B81524" w:rsidRDefault="00A827BF" w:rsidP="00A827BF">
            <w:pPr>
              <w:jc w:val="right"/>
              <w:rPr>
                <w:rFonts w:ascii="Arial" w:eastAsiaTheme="minorHAnsi" w:hAnsi="Arial" w:cs="Arial"/>
                <w:lang w:val="en-GB"/>
              </w:rPr>
            </w:pPr>
            <w:r w:rsidRPr="00B81524">
              <w:rPr>
                <w:rFonts w:ascii="Arial" w:eastAsiaTheme="minorHAnsi" w:hAnsi="Arial" w:cs="Arial"/>
                <w:lang w:val="en-GB"/>
              </w:rPr>
              <w:t>(11,777)</w:t>
            </w:r>
          </w:p>
        </w:tc>
      </w:tr>
      <w:tr w:rsidR="00A827BF" w:rsidRPr="00B81524" w14:paraId="6DEB14EF" w14:textId="77777777" w:rsidTr="000F2CD2">
        <w:trPr>
          <w:trHeight w:val="255"/>
          <w:jc w:val="center"/>
        </w:trPr>
        <w:tc>
          <w:tcPr>
            <w:tcW w:w="7548" w:type="dxa"/>
            <w:gridSpan w:val="5"/>
            <w:noWrap/>
            <w:hideMark/>
          </w:tcPr>
          <w:p w14:paraId="17D55358" w14:textId="77777777" w:rsidR="00A827BF" w:rsidRPr="00B81524" w:rsidRDefault="00A827BF" w:rsidP="00A827BF">
            <w:pPr>
              <w:jc w:val="right"/>
              <w:rPr>
                <w:rFonts w:ascii="Arial" w:eastAsiaTheme="minorHAnsi" w:hAnsi="Arial" w:cs="Arial"/>
                <w:lang w:val="en-GB"/>
              </w:rPr>
            </w:pPr>
          </w:p>
        </w:tc>
      </w:tr>
      <w:tr w:rsidR="00A827BF" w:rsidRPr="00B81524" w14:paraId="08BD7561" w14:textId="77777777" w:rsidTr="005A1EBA">
        <w:trPr>
          <w:trHeight w:val="315"/>
          <w:jc w:val="center"/>
        </w:trPr>
        <w:tc>
          <w:tcPr>
            <w:tcW w:w="7548" w:type="dxa"/>
            <w:gridSpan w:val="5"/>
            <w:noWrap/>
            <w:hideMark/>
          </w:tcPr>
          <w:p w14:paraId="73AB2BD5" w14:textId="1C9F7266" w:rsidR="00A827BF" w:rsidRPr="00B81524" w:rsidRDefault="00A827BF" w:rsidP="00A827BF">
            <w:pPr>
              <w:pStyle w:val="Footnote"/>
              <w:rPr>
                <w:rFonts w:eastAsiaTheme="minorHAnsi"/>
                <w:sz w:val="20"/>
                <w:szCs w:val="20"/>
                <w:lang w:val="en-GB"/>
              </w:rPr>
            </w:pPr>
            <w:r w:rsidRPr="00B81524">
              <w:rPr>
                <w:b/>
                <w:bCs/>
                <w:sz w:val="20"/>
                <w:szCs w:val="20"/>
                <w:lang w:val="en-GB"/>
              </w:rPr>
              <w:t>Expenses</w:t>
            </w:r>
            <w:r w:rsidRPr="00B81524">
              <w:rPr>
                <w:sz w:val="20"/>
                <w:szCs w:val="20"/>
                <w:lang w:val="en-GB"/>
              </w:rPr>
              <w:t> </w:t>
            </w:r>
          </w:p>
        </w:tc>
      </w:tr>
      <w:tr w:rsidR="00A827BF" w:rsidRPr="00B81524" w14:paraId="24479B59" w14:textId="77777777" w:rsidTr="00F93C52">
        <w:trPr>
          <w:trHeight w:val="255"/>
          <w:jc w:val="center"/>
        </w:trPr>
        <w:tc>
          <w:tcPr>
            <w:tcW w:w="222" w:type="dxa"/>
            <w:tcBorders>
              <w:right w:val="nil"/>
            </w:tcBorders>
            <w:noWrap/>
            <w:hideMark/>
          </w:tcPr>
          <w:p w14:paraId="674CCC66"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2597AF21" w14:textId="6AD2C04D" w:rsidR="00A827BF" w:rsidRPr="00B81524" w:rsidRDefault="00A827BF" w:rsidP="00A827BF">
            <w:pPr>
              <w:pStyle w:val="Footnote"/>
              <w:rPr>
                <w:sz w:val="20"/>
                <w:szCs w:val="20"/>
                <w:lang w:val="en-GB"/>
              </w:rPr>
            </w:pPr>
            <w:r w:rsidRPr="00B81524">
              <w:rPr>
                <w:sz w:val="20"/>
                <w:szCs w:val="20"/>
                <w:lang w:val="en-GB"/>
              </w:rPr>
              <w:t>Advertising</w:t>
            </w:r>
          </w:p>
        </w:tc>
        <w:tc>
          <w:tcPr>
            <w:tcW w:w="1170" w:type="dxa"/>
            <w:noWrap/>
            <w:vAlign w:val="center"/>
            <w:hideMark/>
          </w:tcPr>
          <w:p w14:paraId="23D4B66D" w14:textId="06B7E3EF" w:rsidR="00A827BF" w:rsidRPr="00B81524" w:rsidRDefault="00A827BF" w:rsidP="00F93C52">
            <w:pPr>
              <w:pStyle w:val="Footnote"/>
              <w:jc w:val="right"/>
              <w:rPr>
                <w:rFonts w:eastAsiaTheme="minorHAnsi"/>
                <w:sz w:val="20"/>
                <w:szCs w:val="20"/>
                <w:lang w:val="en-GB"/>
              </w:rPr>
            </w:pPr>
            <w:r w:rsidRPr="00B81524">
              <w:rPr>
                <w:sz w:val="20"/>
                <w:szCs w:val="20"/>
                <w:lang w:val="en-GB"/>
              </w:rPr>
              <w:t>8,820</w:t>
            </w:r>
          </w:p>
        </w:tc>
        <w:tc>
          <w:tcPr>
            <w:tcW w:w="1073" w:type="dxa"/>
            <w:noWrap/>
            <w:vAlign w:val="center"/>
            <w:hideMark/>
          </w:tcPr>
          <w:p w14:paraId="3C6C5D64" w14:textId="0CBAD89C"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8,878</w:t>
            </w:r>
          </w:p>
        </w:tc>
      </w:tr>
      <w:tr w:rsidR="00A827BF" w:rsidRPr="00B81524" w14:paraId="5DD35EC7" w14:textId="77777777" w:rsidTr="00F93C52">
        <w:trPr>
          <w:trHeight w:val="255"/>
          <w:jc w:val="center"/>
        </w:trPr>
        <w:tc>
          <w:tcPr>
            <w:tcW w:w="222" w:type="dxa"/>
            <w:tcBorders>
              <w:right w:val="nil"/>
            </w:tcBorders>
            <w:noWrap/>
            <w:hideMark/>
          </w:tcPr>
          <w:p w14:paraId="6A1F6CE3"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0C29F51A" w14:textId="533B99E6" w:rsidR="00A827BF" w:rsidRPr="00B81524" w:rsidRDefault="00A827BF" w:rsidP="00A827BF">
            <w:pPr>
              <w:pStyle w:val="Footnote"/>
              <w:rPr>
                <w:sz w:val="20"/>
                <w:szCs w:val="20"/>
                <w:lang w:val="en-GB"/>
              </w:rPr>
            </w:pPr>
            <w:r w:rsidRPr="00B81524">
              <w:rPr>
                <w:sz w:val="20"/>
                <w:szCs w:val="20"/>
                <w:lang w:val="en-GB"/>
              </w:rPr>
              <w:t>Amortization</w:t>
            </w:r>
          </w:p>
        </w:tc>
        <w:tc>
          <w:tcPr>
            <w:tcW w:w="1170" w:type="dxa"/>
            <w:noWrap/>
            <w:vAlign w:val="center"/>
            <w:hideMark/>
          </w:tcPr>
          <w:p w14:paraId="3A688F96" w14:textId="57AFF2AF" w:rsidR="00A827BF" w:rsidRPr="00B81524" w:rsidRDefault="00A827BF" w:rsidP="00F93C52">
            <w:pPr>
              <w:pStyle w:val="Footnote"/>
              <w:jc w:val="right"/>
              <w:rPr>
                <w:rFonts w:eastAsiaTheme="minorHAnsi"/>
                <w:sz w:val="20"/>
                <w:szCs w:val="20"/>
                <w:lang w:val="en-GB"/>
              </w:rPr>
            </w:pPr>
            <w:r w:rsidRPr="00B81524">
              <w:rPr>
                <w:sz w:val="20"/>
                <w:szCs w:val="20"/>
                <w:lang w:val="en-GB"/>
              </w:rPr>
              <w:t>515</w:t>
            </w:r>
          </w:p>
        </w:tc>
        <w:tc>
          <w:tcPr>
            <w:tcW w:w="1073" w:type="dxa"/>
            <w:noWrap/>
            <w:vAlign w:val="center"/>
            <w:hideMark/>
          </w:tcPr>
          <w:p w14:paraId="724F0DDA" w14:textId="77148015"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294</w:t>
            </w:r>
          </w:p>
        </w:tc>
      </w:tr>
      <w:tr w:rsidR="00A827BF" w:rsidRPr="00B81524" w14:paraId="6AF1A5CF" w14:textId="77777777" w:rsidTr="00F93C52">
        <w:trPr>
          <w:trHeight w:val="255"/>
          <w:jc w:val="center"/>
        </w:trPr>
        <w:tc>
          <w:tcPr>
            <w:tcW w:w="222" w:type="dxa"/>
            <w:tcBorders>
              <w:right w:val="nil"/>
            </w:tcBorders>
            <w:noWrap/>
            <w:hideMark/>
          </w:tcPr>
          <w:p w14:paraId="10E7D86E"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62746262" w14:textId="33521A11" w:rsidR="00A827BF" w:rsidRPr="00B81524" w:rsidRDefault="00A827BF" w:rsidP="00A827BF">
            <w:pPr>
              <w:pStyle w:val="Footnote"/>
              <w:rPr>
                <w:sz w:val="20"/>
                <w:szCs w:val="20"/>
                <w:lang w:val="en-GB"/>
              </w:rPr>
            </w:pPr>
            <w:r w:rsidRPr="00B81524">
              <w:rPr>
                <w:sz w:val="20"/>
                <w:szCs w:val="20"/>
                <w:lang w:val="en-GB"/>
              </w:rPr>
              <w:t xml:space="preserve">Business </w:t>
            </w:r>
            <w:r w:rsidR="00E75088">
              <w:rPr>
                <w:sz w:val="20"/>
                <w:szCs w:val="20"/>
                <w:lang w:val="en-GB"/>
              </w:rPr>
              <w:t>licence</w:t>
            </w:r>
          </w:p>
        </w:tc>
        <w:tc>
          <w:tcPr>
            <w:tcW w:w="1170" w:type="dxa"/>
            <w:noWrap/>
            <w:vAlign w:val="center"/>
            <w:hideMark/>
          </w:tcPr>
          <w:p w14:paraId="65293573" w14:textId="13FDF985" w:rsidR="00A827BF" w:rsidRPr="00B81524" w:rsidRDefault="00A827BF" w:rsidP="00F93C52">
            <w:pPr>
              <w:pStyle w:val="Footnote"/>
              <w:jc w:val="right"/>
              <w:rPr>
                <w:rFonts w:eastAsiaTheme="minorHAnsi"/>
                <w:sz w:val="20"/>
                <w:szCs w:val="20"/>
                <w:lang w:val="en-GB"/>
              </w:rPr>
            </w:pPr>
            <w:r w:rsidRPr="00B81524">
              <w:rPr>
                <w:sz w:val="20"/>
                <w:szCs w:val="20"/>
                <w:lang w:val="en-GB"/>
              </w:rPr>
              <w:t>247</w:t>
            </w:r>
          </w:p>
        </w:tc>
        <w:tc>
          <w:tcPr>
            <w:tcW w:w="1073" w:type="dxa"/>
            <w:noWrap/>
            <w:vAlign w:val="center"/>
            <w:hideMark/>
          </w:tcPr>
          <w:p w14:paraId="53AB3A8A" w14:textId="6882944C"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870</w:t>
            </w:r>
          </w:p>
        </w:tc>
      </w:tr>
      <w:tr w:rsidR="00A827BF" w:rsidRPr="00B81524" w14:paraId="4F0F34D1" w14:textId="77777777" w:rsidTr="00F93C52">
        <w:trPr>
          <w:trHeight w:val="255"/>
          <w:jc w:val="center"/>
        </w:trPr>
        <w:tc>
          <w:tcPr>
            <w:tcW w:w="222" w:type="dxa"/>
            <w:tcBorders>
              <w:right w:val="nil"/>
            </w:tcBorders>
            <w:noWrap/>
            <w:hideMark/>
          </w:tcPr>
          <w:p w14:paraId="5372E2B2"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4A844580" w14:textId="7510641F" w:rsidR="00A827BF" w:rsidRPr="00B81524" w:rsidRDefault="00A827BF" w:rsidP="00A827BF">
            <w:pPr>
              <w:pStyle w:val="Footnote"/>
              <w:rPr>
                <w:sz w:val="20"/>
                <w:szCs w:val="20"/>
                <w:lang w:val="en-GB"/>
              </w:rPr>
            </w:pPr>
            <w:r w:rsidRPr="00B81524">
              <w:rPr>
                <w:sz w:val="20"/>
                <w:szCs w:val="20"/>
                <w:lang w:val="en-GB"/>
              </w:rPr>
              <w:t>Interest and bank charges</w:t>
            </w:r>
          </w:p>
        </w:tc>
        <w:tc>
          <w:tcPr>
            <w:tcW w:w="1170" w:type="dxa"/>
            <w:noWrap/>
            <w:vAlign w:val="center"/>
            <w:hideMark/>
          </w:tcPr>
          <w:p w14:paraId="5B7B677B" w14:textId="115A23E8" w:rsidR="00A827BF" w:rsidRPr="00B81524" w:rsidRDefault="00A827BF" w:rsidP="00F93C52">
            <w:pPr>
              <w:pStyle w:val="Footnote"/>
              <w:jc w:val="right"/>
              <w:rPr>
                <w:rFonts w:eastAsiaTheme="minorHAnsi"/>
                <w:sz w:val="20"/>
                <w:szCs w:val="20"/>
                <w:lang w:val="en-GB"/>
              </w:rPr>
            </w:pPr>
            <w:r w:rsidRPr="00B81524">
              <w:rPr>
                <w:sz w:val="20"/>
                <w:szCs w:val="20"/>
                <w:lang w:val="en-GB"/>
              </w:rPr>
              <w:t>4,702</w:t>
            </w:r>
          </w:p>
        </w:tc>
        <w:tc>
          <w:tcPr>
            <w:tcW w:w="1073" w:type="dxa"/>
            <w:noWrap/>
            <w:vAlign w:val="center"/>
            <w:hideMark/>
          </w:tcPr>
          <w:p w14:paraId="660B0016" w14:textId="74800C63"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2,489</w:t>
            </w:r>
          </w:p>
        </w:tc>
      </w:tr>
      <w:tr w:rsidR="00A827BF" w:rsidRPr="00B81524" w14:paraId="6C6A1F26" w14:textId="77777777" w:rsidTr="00F93C52">
        <w:trPr>
          <w:trHeight w:val="255"/>
          <w:jc w:val="center"/>
        </w:trPr>
        <w:tc>
          <w:tcPr>
            <w:tcW w:w="222" w:type="dxa"/>
            <w:tcBorders>
              <w:right w:val="nil"/>
            </w:tcBorders>
            <w:noWrap/>
            <w:hideMark/>
          </w:tcPr>
          <w:p w14:paraId="156A1430"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75350950" w14:textId="5F3851F1" w:rsidR="00A827BF" w:rsidRPr="00B81524" w:rsidRDefault="00A827BF" w:rsidP="00A827BF">
            <w:pPr>
              <w:pStyle w:val="Footnote"/>
              <w:rPr>
                <w:sz w:val="20"/>
                <w:szCs w:val="20"/>
                <w:lang w:val="en-GB"/>
              </w:rPr>
            </w:pPr>
            <w:r w:rsidRPr="00B81524">
              <w:rPr>
                <w:sz w:val="20"/>
                <w:szCs w:val="20"/>
                <w:lang w:val="en-GB"/>
              </w:rPr>
              <w:t>Gifts</w:t>
            </w:r>
          </w:p>
        </w:tc>
        <w:tc>
          <w:tcPr>
            <w:tcW w:w="1170" w:type="dxa"/>
            <w:noWrap/>
            <w:vAlign w:val="center"/>
            <w:hideMark/>
          </w:tcPr>
          <w:p w14:paraId="09D4AC90" w14:textId="77777777" w:rsidR="00A827BF" w:rsidRPr="00B81524" w:rsidRDefault="00A827BF" w:rsidP="00A827BF">
            <w:pPr>
              <w:pStyle w:val="Footnote"/>
              <w:jc w:val="right"/>
              <w:rPr>
                <w:rFonts w:eastAsiaTheme="minorHAnsi"/>
                <w:sz w:val="20"/>
                <w:szCs w:val="20"/>
                <w:lang w:val="en-GB"/>
              </w:rPr>
            </w:pPr>
            <w:r w:rsidRPr="00B81524">
              <w:rPr>
                <w:sz w:val="20"/>
                <w:szCs w:val="20"/>
                <w:lang w:val="en-GB"/>
              </w:rPr>
              <w:t> </w:t>
            </w:r>
          </w:p>
        </w:tc>
        <w:tc>
          <w:tcPr>
            <w:tcW w:w="1073" w:type="dxa"/>
            <w:noWrap/>
            <w:vAlign w:val="center"/>
            <w:hideMark/>
          </w:tcPr>
          <w:p w14:paraId="1CE08564" w14:textId="6F681791"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78</w:t>
            </w:r>
          </w:p>
        </w:tc>
      </w:tr>
      <w:tr w:rsidR="00A827BF" w:rsidRPr="00B81524" w14:paraId="4D104220" w14:textId="77777777" w:rsidTr="00F93C52">
        <w:trPr>
          <w:trHeight w:val="255"/>
          <w:jc w:val="center"/>
        </w:trPr>
        <w:tc>
          <w:tcPr>
            <w:tcW w:w="222" w:type="dxa"/>
            <w:tcBorders>
              <w:right w:val="nil"/>
            </w:tcBorders>
            <w:noWrap/>
            <w:hideMark/>
          </w:tcPr>
          <w:p w14:paraId="3E39DC22"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4E67F19D" w14:textId="0237EF41" w:rsidR="00A827BF" w:rsidRPr="00B81524" w:rsidRDefault="00A827BF" w:rsidP="00A827BF">
            <w:pPr>
              <w:pStyle w:val="Footnote"/>
              <w:rPr>
                <w:sz w:val="20"/>
                <w:szCs w:val="20"/>
                <w:lang w:val="en-GB"/>
              </w:rPr>
            </w:pPr>
            <w:r w:rsidRPr="00B81524">
              <w:rPr>
                <w:sz w:val="20"/>
                <w:szCs w:val="20"/>
                <w:lang w:val="en-GB"/>
              </w:rPr>
              <w:t>Meals and entertainment</w:t>
            </w:r>
          </w:p>
        </w:tc>
        <w:tc>
          <w:tcPr>
            <w:tcW w:w="1170" w:type="dxa"/>
            <w:noWrap/>
            <w:vAlign w:val="center"/>
            <w:hideMark/>
          </w:tcPr>
          <w:p w14:paraId="7B2E2506" w14:textId="4A2044C9" w:rsidR="00A827BF" w:rsidRPr="00B81524" w:rsidRDefault="00A827BF" w:rsidP="00F93C52">
            <w:pPr>
              <w:pStyle w:val="Footnote"/>
              <w:jc w:val="right"/>
              <w:rPr>
                <w:rFonts w:eastAsiaTheme="minorHAnsi"/>
                <w:sz w:val="20"/>
                <w:szCs w:val="20"/>
                <w:lang w:val="en-GB"/>
              </w:rPr>
            </w:pPr>
            <w:r w:rsidRPr="00B81524">
              <w:rPr>
                <w:sz w:val="20"/>
                <w:szCs w:val="20"/>
                <w:lang w:val="en-GB"/>
              </w:rPr>
              <w:t>1,990</w:t>
            </w:r>
          </w:p>
        </w:tc>
        <w:tc>
          <w:tcPr>
            <w:tcW w:w="1073" w:type="dxa"/>
            <w:noWrap/>
            <w:vAlign w:val="center"/>
            <w:hideMark/>
          </w:tcPr>
          <w:p w14:paraId="6214A524" w14:textId="075CFB35"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5,384</w:t>
            </w:r>
          </w:p>
        </w:tc>
      </w:tr>
      <w:tr w:rsidR="00A827BF" w:rsidRPr="00B81524" w14:paraId="4B885017" w14:textId="77777777" w:rsidTr="00F93C52">
        <w:trPr>
          <w:trHeight w:val="255"/>
          <w:jc w:val="center"/>
        </w:trPr>
        <w:tc>
          <w:tcPr>
            <w:tcW w:w="222" w:type="dxa"/>
            <w:tcBorders>
              <w:right w:val="nil"/>
            </w:tcBorders>
            <w:noWrap/>
            <w:hideMark/>
          </w:tcPr>
          <w:p w14:paraId="03C59C9F"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210EE477" w14:textId="374D76DD" w:rsidR="00A827BF" w:rsidRPr="00B81524" w:rsidRDefault="00A827BF" w:rsidP="00A827BF">
            <w:pPr>
              <w:pStyle w:val="Footnote"/>
              <w:rPr>
                <w:sz w:val="20"/>
                <w:szCs w:val="20"/>
                <w:lang w:val="en-GB"/>
              </w:rPr>
            </w:pPr>
            <w:r w:rsidRPr="00B81524">
              <w:rPr>
                <w:sz w:val="20"/>
                <w:szCs w:val="20"/>
                <w:lang w:val="en-GB"/>
              </w:rPr>
              <w:t>Professional development</w:t>
            </w:r>
          </w:p>
        </w:tc>
        <w:tc>
          <w:tcPr>
            <w:tcW w:w="1170" w:type="dxa"/>
            <w:noWrap/>
            <w:vAlign w:val="center"/>
            <w:hideMark/>
          </w:tcPr>
          <w:p w14:paraId="0E5467D5" w14:textId="77777777" w:rsidR="00A827BF" w:rsidRPr="00B81524" w:rsidRDefault="00A827BF" w:rsidP="00A827BF">
            <w:pPr>
              <w:pStyle w:val="Footnote"/>
              <w:jc w:val="right"/>
              <w:rPr>
                <w:rFonts w:eastAsiaTheme="minorHAnsi"/>
                <w:sz w:val="20"/>
                <w:szCs w:val="20"/>
                <w:lang w:val="en-GB"/>
              </w:rPr>
            </w:pPr>
            <w:r w:rsidRPr="00B81524">
              <w:rPr>
                <w:sz w:val="20"/>
                <w:szCs w:val="20"/>
                <w:lang w:val="en-GB"/>
              </w:rPr>
              <w:t> </w:t>
            </w:r>
          </w:p>
        </w:tc>
        <w:tc>
          <w:tcPr>
            <w:tcW w:w="1073" w:type="dxa"/>
            <w:noWrap/>
            <w:vAlign w:val="center"/>
            <w:hideMark/>
          </w:tcPr>
          <w:p w14:paraId="036EC500" w14:textId="151DD887"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410</w:t>
            </w:r>
          </w:p>
        </w:tc>
      </w:tr>
      <w:tr w:rsidR="00A827BF" w:rsidRPr="00B81524" w14:paraId="471B0F63" w14:textId="77777777" w:rsidTr="00F93C52">
        <w:trPr>
          <w:trHeight w:val="255"/>
          <w:jc w:val="center"/>
        </w:trPr>
        <w:tc>
          <w:tcPr>
            <w:tcW w:w="222" w:type="dxa"/>
            <w:tcBorders>
              <w:right w:val="nil"/>
            </w:tcBorders>
            <w:noWrap/>
            <w:hideMark/>
          </w:tcPr>
          <w:p w14:paraId="477559F2"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6D187169" w14:textId="2D11DEB2" w:rsidR="00A827BF" w:rsidRPr="00B81524" w:rsidRDefault="00A827BF" w:rsidP="00A827BF">
            <w:pPr>
              <w:pStyle w:val="Footnote"/>
              <w:rPr>
                <w:sz w:val="20"/>
                <w:szCs w:val="20"/>
                <w:lang w:val="en-GB"/>
              </w:rPr>
            </w:pPr>
            <w:r w:rsidRPr="00B81524">
              <w:rPr>
                <w:sz w:val="20"/>
                <w:szCs w:val="20"/>
                <w:lang w:val="en-GB"/>
              </w:rPr>
              <w:t>Professional fees</w:t>
            </w:r>
          </w:p>
        </w:tc>
        <w:tc>
          <w:tcPr>
            <w:tcW w:w="1170" w:type="dxa"/>
            <w:noWrap/>
            <w:vAlign w:val="center"/>
            <w:hideMark/>
          </w:tcPr>
          <w:p w14:paraId="37A65465" w14:textId="52FBB420" w:rsidR="00A827BF" w:rsidRPr="00B81524" w:rsidRDefault="00A827BF" w:rsidP="00F93C52">
            <w:pPr>
              <w:pStyle w:val="Footnote"/>
              <w:jc w:val="right"/>
              <w:rPr>
                <w:rFonts w:eastAsiaTheme="minorHAnsi"/>
                <w:sz w:val="20"/>
                <w:szCs w:val="20"/>
                <w:lang w:val="en-GB"/>
              </w:rPr>
            </w:pPr>
            <w:r w:rsidRPr="00B81524">
              <w:rPr>
                <w:sz w:val="20"/>
                <w:szCs w:val="20"/>
                <w:lang w:val="en-GB"/>
              </w:rPr>
              <w:t>4,417</w:t>
            </w:r>
          </w:p>
        </w:tc>
        <w:tc>
          <w:tcPr>
            <w:tcW w:w="1073" w:type="dxa"/>
            <w:noWrap/>
            <w:vAlign w:val="center"/>
            <w:hideMark/>
          </w:tcPr>
          <w:p w14:paraId="444FDE97" w14:textId="35087654"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3,333</w:t>
            </w:r>
          </w:p>
        </w:tc>
      </w:tr>
      <w:tr w:rsidR="00A827BF" w:rsidRPr="00B81524" w14:paraId="45F1CB5F" w14:textId="77777777" w:rsidTr="00F93C52">
        <w:trPr>
          <w:trHeight w:val="255"/>
          <w:jc w:val="center"/>
        </w:trPr>
        <w:tc>
          <w:tcPr>
            <w:tcW w:w="222" w:type="dxa"/>
            <w:tcBorders>
              <w:right w:val="nil"/>
            </w:tcBorders>
            <w:noWrap/>
            <w:hideMark/>
          </w:tcPr>
          <w:p w14:paraId="742A3336"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7A8A8CBE" w14:textId="611FA274" w:rsidR="00A827BF" w:rsidRPr="00B81524" w:rsidRDefault="00A827BF" w:rsidP="00A827BF">
            <w:pPr>
              <w:pStyle w:val="Footnote"/>
              <w:rPr>
                <w:sz w:val="20"/>
                <w:szCs w:val="20"/>
                <w:lang w:val="en-GB"/>
              </w:rPr>
            </w:pPr>
            <w:r w:rsidRPr="00B81524">
              <w:rPr>
                <w:sz w:val="20"/>
                <w:szCs w:val="20"/>
                <w:lang w:val="en-GB"/>
              </w:rPr>
              <w:t>Rent</w:t>
            </w:r>
          </w:p>
        </w:tc>
        <w:tc>
          <w:tcPr>
            <w:tcW w:w="1170" w:type="dxa"/>
            <w:noWrap/>
            <w:vAlign w:val="center"/>
            <w:hideMark/>
          </w:tcPr>
          <w:p w14:paraId="155A4295" w14:textId="1D3A190D" w:rsidR="00A827BF" w:rsidRPr="00B81524" w:rsidRDefault="00A827BF" w:rsidP="00F93C52">
            <w:pPr>
              <w:pStyle w:val="Footnote"/>
              <w:jc w:val="right"/>
              <w:rPr>
                <w:rFonts w:eastAsiaTheme="minorHAnsi"/>
                <w:sz w:val="20"/>
                <w:szCs w:val="20"/>
                <w:lang w:val="en-GB"/>
              </w:rPr>
            </w:pPr>
            <w:r w:rsidRPr="00B81524">
              <w:rPr>
                <w:sz w:val="20"/>
                <w:szCs w:val="20"/>
                <w:lang w:val="en-GB"/>
              </w:rPr>
              <w:t>6,223</w:t>
            </w:r>
          </w:p>
        </w:tc>
        <w:tc>
          <w:tcPr>
            <w:tcW w:w="1073" w:type="dxa"/>
            <w:noWrap/>
            <w:vAlign w:val="center"/>
            <w:hideMark/>
          </w:tcPr>
          <w:p w14:paraId="4E9F078F" w14:textId="20B052B4"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6,990</w:t>
            </w:r>
          </w:p>
        </w:tc>
      </w:tr>
      <w:tr w:rsidR="00A827BF" w:rsidRPr="00B81524" w14:paraId="4747E77A" w14:textId="77777777" w:rsidTr="00F93C52">
        <w:trPr>
          <w:trHeight w:val="255"/>
          <w:jc w:val="center"/>
        </w:trPr>
        <w:tc>
          <w:tcPr>
            <w:tcW w:w="222" w:type="dxa"/>
            <w:tcBorders>
              <w:right w:val="nil"/>
            </w:tcBorders>
            <w:noWrap/>
            <w:hideMark/>
          </w:tcPr>
          <w:p w14:paraId="6813CDDB"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0E8F257A" w14:textId="6D90F5A3" w:rsidR="00A827BF" w:rsidRPr="00B81524" w:rsidRDefault="00A827BF" w:rsidP="00A827BF">
            <w:pPr>
              <w:pStyle w:val="Footnote"/>
              <w:rPr>
                <w:sz w:val="20"/>
                <w:szCs w:val="20"/>
                <w:lang w:val="en-GB"/>
              </w:rPr>
            </w:pPr>
            <w:r w:rsidRPr="00B81524">
              <w:rPr>
                <w:sz w:val="20"/>
                <w:szCs w:val="20"/>
                <w:lang w:val="en-GB"/>
              </w:rPr>
              <w:t>Supplies</w:t>
            </w:r>
          </w:p>
        </w:tc>
        <w:tc>
          <w:tcPr>
            <w:tcW w:w="1170" w:type="dxa"/>
            <w:noWrap/>
            <w:vAlign w:val="center"/>
            <w:hideMark/>
          </w:tcPr>
          <w:p w14:paraId="44C89246" w14:textId="58DFD100" w:rsidR="00A827BF" w:rsidRPr="00B81524" w:rsidRDefault="00A827BF" w:rsidP="00F93C52">
            <w:pPr>
              <w:pStyle w:val="Footnote"/>
              <w:jc w:val="right"/>
              <w:rPr>
                <w:rFonts w:eastAsiaTheme="minorHAnsi"/>
                <w:sz w:val="20"/>
                <w:szCs w:val="20"/>
                <w:lang w:val="en-GB"/>
              </w:rPr>
            </w:pPr>
            <w:r w:rsidRPr="00B81524">
              <w:rPr>
                <w:sz w:val="20"/>
                <w:szCs w:val="20"/>
                <w:lang w:val="en-GB"/>
              </w:rPr>
              <w:t>1,784</w:t>
            </w:r>
          </w:p>
        </w:tc>
        <w:tc>
          <w:tcPr>
            <w:tcW w:w="1073" w:type="dxa"/>
            <w:noWrap/>
            <w:vAlign w:val="center"/>
            <w:hideMark/>
          </w:tcPr>
          <w:p w14:paraId="6EC2EE96" w14:textId="2761833B"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3,596</w:t>
            </w:r>
          </w:p>
        </w:tc>
      </w:tr>
      <w:tr w:rsidR="00A827BF" w:rsidRPr="00B81524" w14:paraId="033FC29C" w14:textId="77777777" w:rsidTr="00F93C52">
        <w:trPr>
          <w:trHeight w:val="255"/>
          <w:jc w:val="center"/>
        </w:trPr>
        <w:tc>
          <w:tcPr>
            <w:tcW w:w="222" w:type="dxa"/>
            <w:tcBorders>
              <w:right w:val="nil"/>
            </w:tcBorders>
            <w:noWrap/>
            <w:hideMark/>
          </w:tcPr>
          <w:p w14:paraId="2C881E3F"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13AB7624" w14:textId="31183E14" w:rsidR="00A827BF" w:rsidRPr="00B81524" w:rsidRDefault="00A827BF" w:rsidP="00A827BF">
            <w:pPr>
              <w:pStyle w:val="Footnote"/>
              <w:rPr>
                <w:sz w:val="20"/>
                <w:szCs w:val="20"/>
                <w:lang w:val="en-GB"/>
              </w:rPr>
            </w:pPr>
            <w:r w:rsidRPr="00B81524">
              <w:rPr>
                <w:sz w:val="20"/>
                <w:szCs w:val="20"/>
                <w:lang w:val="en-GB"/>
              </w:rPr>
              <w:t>Telephone</w:t>
            </w:r>
          </w:p>
        </w:tc>
        <w:tc>
          <w:tcPr>
            <w:tcW w:w="1170" w:type="dxa"/>
            <w:noWrap/>
            <w:vAlign w:val="center"/>
            <w:hideMark/>
          </w:tcPr>
          <w:p w14:paraId="31953C2C" w14:textId="1D61DF91" w:rsidR="00A827BF" w:rsidRPr="00B81524" w:rsidRDefault="00A827BF" w:rsidP="00F93C52">
            <w:pPr>
              <w:pStyle w:val="Footnote"/>
              <w:jc w:val="right"/>
              <w:rPr>
                <w:rFonts w:eastAsiaTheme="minorHAnsi"/>
                <w:sz w:val="20"/>
                <w:szCs w:val="20"/>
                <w:lang w:val="en-GB"/>
              </w:rPr>
            </w:pPr>
            <w:r w:rsidRPr="00B81524">
              <w:rPr>
                <w:sz w:val="20"/>
                <w:szCs w:val="20"/>
                <w:lang w:val="en-GB"/>
              </w:rPr>
              <w:t>812</w:t>
            </w:r>
          </w:p>
        </w:tc>
        <w:tc>
          <w:tcPr>
            <w:tcW w:w="1073" w:type="dxa"/>
            <w:noWrap/>
            <w:vAlign w:val="center"/>
            <w:hideMark/>
          </w:tcPr>
          <w:p w14:paraId="33E214AB" w14:textId="62F43EFB"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2,032</w:t>
            </w:r>
          </w:p>
        </w:tc>
      </w:tr>
      <w:tr w:rsidR="00A827BF" w:rsidRPr="00B81524" w14:paraId="4F10AFE1" w14:textId="77777777" w:rsidTr="00F93C52">
        <w:trPr>
          <w:trHeight w:val="255"/>
          <w:jc w:val="center"/>
        </w:trPr>
        <w:tc>
          <w:tcPr>
            <w:tcW w:w="222" w:type="dxa"/>
            <w:tcBorders>
              <w:right w:val="nil"/>
            </w:tcBorders>
            <w:noWrap/>
            <w:hideMark/>
          </w:tcPr>
          <w:p w14:paraId="40199005"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1911A4FB" w14:textId="508D42AF" w:rsidR="00A827BF" w:rsidRPr="00B81524" w:rsidRDefault="00A827BF" w:rsidP="00A827BF">
            <w:pPr>
              <w:pStyle w:val="Footnote"/>
              <w:rPr>
                <w:sz w:val="20"/>
                <w:szCs w:val="20"/>
                <w:lang w:val="en-GB"/>
              </w:rPr>
            </w:pPr>
            <w:r w:rsidRPr="00B81524">
              <w:rPr>
                <w:sz w:val="20"/>
                <w:szCs w:val="20"/>
                <w:lang w:val="en-GB"/>
              </w:rPr>
              <w:t>Travel</w:t>
            </w:r>
          </w:p>
        </w:tc>
        <w:tc>
          <w:tcPr>
            <w:tcW w:w="1170" w:type="dxa"/>
            <w:noWrap/>
            <w:vAlign w:val="center"/>
            <w:hideMark/>
          </w:tcPr>
          <w:p w14:paraId="0948AA62" w14:textId="4ECA8D19" w:rsidR="00A827BF" w:rsidRPr="00B81524" w:rsidRDefault="00A827BF" w:rsidP="00F93C52">
            <w:pPr>
              <w:pStyle w:val="Footnote"/>
              <w:jc w:val="right"/>
              <w:rPr>
                <w:rFonts w:eastAsiaTheme="minorHAnsi"/>
                <w:sz w:val="20"/>
                <w:szCs w:val="20"/>
                <w:lang w:val="en-GB"/>
              </w:rPr>
            </w:pPr>
            <w:r w:rsidRPr="00B81524">
              <w:rPr>
                <w:sz w:val="20"/>
                <w:szCs w:val="20"/>
                <w:lang w:val="en-GB"/>
              </w:rPr>
              <w:t>16,713</w:t>
            </w:r>
          </w:p>
        </w:tc>
        <w:tc>
          <w:tcPr>
            <w:tcW w:w="1073" w:type="dxa"/>
            <w:noWrap/>
            <w:vAlign w:val="center"/>
            <w:hideMark/>
          </w:tcPr>
          <w:p w14:paraId="4B77D419" w14:textId="4F210723"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11,756</w:t>
            </w:r>
          </w:p>
        </w:tc>
      </w:tr>
      <w:tr w:rsidR="00A827BF" w:rsidRPr="00B81524" w14:paraId="61BFAFB2" w14:textId="77777777" w:rsidTr="00F93C52">
        <w:trPr>
          <w:trHeight w:val="255"/>
          <w:jc w:val="center"/>
        </w:trPr>
        <w:tc>
          <w:tcPr>
            <w:tcW w:w="222" w:type="dxa"/>
            <w:tcBorders>
              <w:right w:val="nil"/>
            </w:tcBorders>
            <w:noWrap/>
            <w:hideMark/>
          </w:tcPr>
          <w:p w14:paraId="4E381AB0"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0507EF83" w14:textId="6FBEBA7E" w:rsidR="00A827BF" w:rsidRPr="00B81524" w:rsidRDefault="00A827BF" w:rsidP="00A827BF">
            <w:pPr>
              <w:pStyle w:val="Footnote"/>
              <w:rPr>
                <w:sz w:val="20"/>
                <w:szCs w:val="20"/>
                <w:lang w:val="en-GB"/>
              </w:rPr>
            </w:pPr>
            <w:r w:rsidRPr="00B81524">
              <w:rPr>
                <w:sz w:val="20"/>
                <w:szCs w:val="20"/>
                <w:lang w:val="en-GB"/>
              </w:rPr>
              <w:t xml:space="preserve">Vehicle </w:t>
            </w:r>
            <w:r w:rsidR="00E75088">
              <w:rPr>
                <w:sz w:val="20"/>
                <w:szCs w:val="20"/>
                <w:lang w:val="en-GB"/>
              </w:rPr>
              <w:t>expenses</w:t>
            </w:r>
          </w:p>
        </w:tc>
        <w:tc>
          <w:tcPr>
            <w:tcW w:w="1170" w:type="dxa"/>
            <w:noWrap/>
            <w:vAlign w:val="center"/>
            <w:hideMark/>
          </w:tcPr>
          <w:p w14:paraId="6472AAD1" w14:textId="4B93E69A" w:rsidR="00A827BF" w:rsidRPr="00B81524" w:rsidRDefault="00A827BF" w:rsidP="00F93C52">
            <w:pPr>
              <w:pStyle w:val="Footnote"/>
              <w:jc w:val="right"/>
              <w:rPr>
                <w:rFonts w:eastAsiaTheme="minorHAnsi"/>
                <w:sz w:val="20"/>
                <w:szCs w:val="20"/>
                <w:lang w:val="en-GB"/>
              </w:rPr>
            </w:pPr>
            <w:r w:rsidRPr="00B81524">
              <w:rPr>
                <w:sz w:val="20"/>
                <w:szCs w:val="20"/>
                <w:lang w:val="en-GB"/>
              </w:rPr>
              <w:t>6,234</w:t>
            </w:r>
          </w:p>
        </w:tc>
        <w:tc>
          <w:tcPr>
            <w:tcW w:w="1073" w:type="dxa"/>
            <w:noWrap/>
            <w:vAlign w:val="center"/>
            <w:hideMark/>
          </w:tcPr>
          <w:p w14:paraId="6737C64F" w14:textId="411BAF65"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4,151</w:t>
            </w:r>
          </w:p>
        </w:tc>
      </w:tr>
      <w:tr w:rsidR="00A827BF" w:rsidRPr="00B81524" w14:paraId="049D53FE" w14:textId="77777777" w:rsidTr="00F93C52">
        <w:trPr>
          <w:trHeight w:val="270"/>
          <w:jc w:val="center"/>
        </w:trPr>
        <w:tc>
          <w:tcPr>
            <w:tcW w:w="222" w:type="dxa"/>
            <w:tcBorders>
              <w:right w:val="nil"/>
            </w:tcBorders>
            <w:noWrap/>
            <w:hideMark/>
          </w:tcPr>
          <w:p w14:paraId="11C42831"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2D46A230" w14:textId="7EC42317" w:rsidR="00A827BF" w:rsidRPr="00B81524" w:rsidRDefault="00B81524" w:rsidP="00A827BF">
            <w:pPr>
              <w:pStyle w:val="Footnote"/>
              <w:rPr>
                <w:b/>
                <w:bCs/>
                <w:sz w:val="20"/>
                <w:szCs w:val="20"/>
                <w:lang w:val="en-GB"/>
              </w:rPr>
            </w:pPr>
            <w:r>
              <w:rPr>
                <w:b/>
                <w:bCs/>
                <w:sz w:val="20"/>
                <w:szCs w:val="20"/>
                <w:lang w:val="en-GB"/>
              </w:rPr>
              <w:t xml:space="preserve">  </w:t>
            </w:r>
            <w:r w:rsidR="00A827BF" w:rsidRPr="00B81524">
              <w:rPr>
                <w:b/>
                <w:bCs/>
                <w:sz w:val="20"/>
                <w:szCs w:val="20"/>
                <w:lang w:val="en-GB"/>
              </w:rPr>
              <w:t>Total Expenses</w:t>
            </w:r>
          </w:p>
        </w:tc>
        <w:tc>
          <w:tcPr>
            <w:tcW w:w="1170" w:type="dxa"/>
            <w:noWrap/>
            <w:vAlign w:val="center"/>
            <w:hideMark/>
          </w:tcPr>
          <w:p w14:paraId="7AAEEADC" w14:textId="040278B7" w:rsidR="00A827BF" w:rsidRPr="00B81524" w:rsidRDefault="00A827BF" w:rsidP="00F93C52">
            <w:pPr>
              <w:pStyle w:val="Footnote"/>
              <w:jc w:val="right"/>
              <w:rPr>
                <w:rFonts w:eastAsiaTheme="minorHAnsi"/>
                <w:sz w:val="20"/>
                <w:szCs w:val="20"/>
                <w:lang w:val="en-GB"/>
              </w:rPr>
            </w:pPr>
            <w:r w:rsidRPr="00B81524">
              <w:rPr>
                <w:sz w:val="20"/>
                <w:szCs w:val="20"/>
                <w:lang w:val="en-GB"/>
              </w:rPr>
              <w:t>52,457</w:t>
            </w:r>
          </w:p>
        </w:tc>
        <w:tc>
          <w:tcPr>
            <w:tcW w:w="1073" w:type="dxa"/>
            <w:noWrap/>
            <w:vAlign w:val="center"/>
            <w:hideMark/>
          </w:tcPr>
          <w:p w14:paraId="579B872B" w14:textId="5E247BD3" w:rsidR="00A827BF" w:rsidRPr="00B81524" w:rsidRDefault="00A827BF" w:rsidP="00F93C52">
            <w:pPr>
              <w:jc w:val="right"/>
              <w:rPr>
                <w:rFonts w:ascii="Arial" w:eastAsiaTheme="minorHAnsi" w:hAnsi="Arial" w:cs="Arial"/>
                <w:lang w:val="en-GB"/>
              </w:rPr>
            </w:pPr>
            <w:r w:rsidRPr="00B81524">
              <w:rPr>
                <w:rFonts w:ascii="Arial" w:eastAsiaTheme="minorHAnsi" w:hAnsi="Arial" w:cs="Arial"/>
                <w:lang w:val="en-GB"/>
              </w:rPr>
              <w:t>50,261</w:t>
            </w:r>
          </w:p>
        </w:tc>
      </w:tr>
      <w:tr w:rsidR="00F93C52" w:rsidRPr="00B81524" w14:paraId="39447F33" w14:textId="77777777" w:rsidTr="00A00BB0">
        <w:trPr>
          <w:trHeight w:val="255"/>
          <w:jc w:val="center"/>
        </w:trPr>
        <w:tc>
          <w:tcPr>
            <w:tcW w:w="7548" w:type="dxa"/>
            <w:gridSpan w:val="5"/>
            <w:noWrap/>
            <w:hideMark/>
          </w:tcPr>
          <w:p w14:paraId="3C84447F" w14:textId="77777777" w:rsidR="00F93C52" w:rsidRPr="00B81524" w:rsidRDefault="00F93C52" w:rsidP="00A827BF">
            <w:pPr>
              <w:jc w:val="right"/>
              <w:rPr>
                <w:rFonts w:ascii="Arial" w:eastAsiaTheme="minorHAnsi" w:hAnsi="Arial" w:cs="Arial"/>
                <w:lang w:val="en-GB"/>
              </w:rPr>
            </w:pPr>
          </w:p>
        </w:tc>
      </w:tr>
      <w:tr w:rsidR="00A827BF" w:rsidRPr="00B81524" w14:paraId="0981B22F" w14:textId="77777777" w:rsidTr="00F93C52">
        <w:trPr>
          <w:trHeight w:val="255"/>
          <w:jc w:val="center"/>
        </w:trPr>
        <w:tc>
          <w:tcPr>
            <w:tcW w:w="222" w:type="dxa"/>
            <w:tcBorders>
              <w:right w:val="nil"/>
            </w:tcBorders>
            <w:noWrap/>
            <w:hideMark/>
          </w:tcPr>
          <w:p w14:paraId="13D090CF" w14:textId="77777777" w:rsidR="00A827BF" w:rsidRPr="00B81524" w:rsidRDefault="00A827BF" w:rsidP="00A827BF">
            <w:pPr>
              <w:pStyle w:val="Footnote"/>
              <w:rPr>
                <w:sz w:val="20"/>
                <w:szCs w:val="20"/>
                <w:lang w:val="en-GB"/>
              </w:rPr>
            </w:pPr>
          </w:p>
        </w:tc>
        <w:tc>
          <w:tcPr>
            <w:tcW w:w="5083" w:type="dxa"/>
            <w:gridSpan w:val="2"/>
            <w:tcBorders>
              <w:left w:val="nil"/>
            </w:tcBorders>
            <w:noWrap/>
            <w:hideMark/>
          </w:tcPr>
          <w:p w14:paraId="43502167" w14:textId="5300E5A8" w:rsidR="00A827BF" w:rsidRPr="00B81524" w:rsidRDefault="00B81524" w:rsidP="00A827BF">
            <w:pPr>
              <w:pStyle w:val="Footnote"/>
              <w:rPr>
                <w:b/>
                <w:bCs/>
                <w:sz w:val="20"/>
                <w:szCs w:val="20"/>
                <w:lang w:val="en-GB"/>
              </w:rPr>
            </w:pPr>
            <w:r>
              <w:rPr>
                <w:b/>
                <w:bCs/>
                <w:sz w:val="20"/>
                <w:szCs w:val="20"/>
                <w:lang w:val="en-GB"/>
              </w:rPr>
              <w:t xml:space="preserve">  </w:t>
            </w:r>
            <w:r w:rsidR="00A827BF" w:rsidRPr="00B81524">
              <w:rPr>
                <w:b/>
                <w:bCs/>
                <w:sz w:val="20"/>
                <w:szCs w:val="20"/>
                <w:lang w:val="en-GB"/>
              </w:rPr>
              <w:t>Net Operating Income</w:t>
            </w:r>
          </w:p>
        </w:tc>
        <w:tc>
          <w:tcPr>
            <w:tcW w:w="1170" w:type="dxa"/>
            <w:noWrap/>
            <w:vAlign w:val="center"/>
            <w:hideMark/>
          </w:tcPr>
          <w:p w14:paraId="46EA95A0" w14:textId="6DDDC4FE" w:rsidR="00A827BF" w:rsidRPr="00B81524" w:rsidRDefault="00A827BF" w:rsidP="00F93C52">
            <w:pPr>
              <w:pStyle w:val="Footnote"/>
              <w:jc w:val="right"/>
              <w:rPr>
                <w:rFonts w:eastAsiaTheme="minorHAnsi"/>
                <w:sz w:val="20"/>
                <w:szCs w:val="20"/>
                <w:lang w:val="en-GB"/>
              </w:rPr>
            </w:pPr>
            <w:r w:rsidRPr="00B81524">
              <w:rPr>
                <w:sz w:val="20"/>
                <w:szCs w:val="20"/>
                <w:lang w:val="en-GB"/>
              </w:rPr>
              <w:t>125,026</w:t>
            </w:r>
          </w:p>
        </w:tc>
        <w:tc>
          <w:tcPr>
            <w:tcW w:w="1073" w:type="dxa"/>
            <w:noWrap/>
            <w:vAlign w:val="center"/>
            <w:hideMark/>
          </w:tcPr>
          <w:p w14:paraId="77A17E93" w14:textId="77777777" w:rsidR="00A827BF" w:rsidRPr="00B81524" w:rsidRDefault="00A827BF" w:rsidP="00A827BF">
            <w:pPr>
              <w:jc w:val="right"/>
              <w:rPr>
                <w:rFonts w:ascii="Arial" w:eastAsiaTheme="minorHAnsi" w:hAnsi="Arial" w:cs="Arial"/>
                <w:lang w:val="en-GB"/>
              </w:rPr>
            </w:pPr>
            <w:r w:rsidRPr="00B81524">
              <w:rPr>
                <w:rFonts w:ascii="Arial" w:eastAsiaTheme="minorHAnsi" w:hAnsi="Arial" w:cs="Arial"/>
                <w:lang w:val="en-GB"/>
              </w:rPr>
              <w:t>(62,038)</w:t>
            </w:r>
          </w:p>
        </w:tc>
      </w:tr>
      <w:tr w:rsidR="00F93C52" w:rsidRPr="00B81524" w14:paraId="2449FDD3" w14:textId="77777777" w:rsidTr="000B241F">
        <w:trPr>
          <w:trHeight w:val="255"/>
          <w:jc w:val="center"/>
        </w:trPr>
        <w:tc>
          <w:tcPr>
            <w:tcW w:w="7548" w:type="dxa"/>
            <w:gridSpan w:val="5"/>
            <w:noWrap/>
            <w:hideMark/>
          </w:tcPr>
          <w:p w14:paraId="7B34666B" w14:textId="77777777" w:rsidR="00F93C52" w:rsidRPr="00B81524" w:rsidRDefault="00F93C52" w:rsidP="00A827BF">
            <w:pPr>
              <w:jc w:val="right"/>
              <w:rPr>
                <w:rFonts w:ascii="Arial" w:eastAsiaTheme="minorHAnsi" w:hAnsi="Arial" w:cs="Arial"/>
                <w:lang w:val="en-GB"/>
              </w:rPr>
            </w:pPr>
          </w:p>
        </w:tc>
      </w:tr>
      <w:tr w:rsidR="00F93C52" w:rsidRPr="00B81524" w14:paraId="212BFEB9" w14:textId="77777777" w:rsidTr="00F93C52">
        <w:trPr>
          <w:trHeight w:val="255"/>
          <w:jc w:val="center"/>
        </w:trPr>
        <w:tc>
          <w:tcPr>
            <w:tcW w:w="222" w:type="dxa"/>
            <w:tcBorders>
              <w:right w:val="nil"/>
            </w:tcBorders>
            <w:noWrap/>
            <w:hideMark/>
          </w:tcPr>
          <w:p w14:paraId="459B514F" w14:textId="77777777" w:rsidR="00F93C52" w:rsidRPr="00B81524" w:rsidRDefault="00F93C52" w:rsidP="00A827BF">
            <w:pPr>
              <w:pStyle w:val="Footnote"/>
              <w:rPr>
                <w:sz w:val="20"/>
                <w:szCs w:val="20"/>
                <w:lang w:val="en-GB"/>
              </w:rPr>
            </w:pPr>
          </w:p>
        </w:tc>
        <w:tc>
          <w:tcPr>
            <w:tcW w:w="5083" w:type="dxa"/>
            <w:gridSpan w:val="2"/>
            <w:tcBorders>
              <w:left w:val="nil"/>
            </w:tcBorders>
            <w:noWrap/>
            <w:hideMark/>
          </w:tcPr>
          <w:p w14:paraId="5B66C66B" w14:textId="12197AFC" w:rsidR="00F93C52" w:rsidRPr="00B81524" w:rsidRDefault="00F93C52" w:rsidP="00A827BF">
            <w:pPr>
              <w:pStyle w:val="Footnote"/>
              <w:rPr>
                <w:b/>
                <w:bCs/>
                <w:sz w:val="20"/>
                <w:szCs w:val="20"/>
                <w:lang w:val="en-GB"/>
              </w:rPr>
            </w:pPr>
            <w:r w:rsidRPr="00B81524">
              <w:rPr>
                <w:b/>
                <w:bCs/>
                <w:sz w:val="20"/>
                <w:szCs w:val="20"/>
                <w:lang w:val="en-GB"/>
              </w:rPr>
              <w:t>Current Income Taxes</w:t>
            </w:r>
          </w:p>
        </w:tc>
        <w:tc>
          <w:tcPr>
            <w:tcW w:w="1170" w:type="dxa"/>
            <w:noWrap/>
            <w:vAlign w:val="center"/>
            <w:hideMark/>
          </w:tcPr>
          <w:p w14:paraId="1F75C0BC" w14:textId="6FDB2D2C" w:rsidR="00F93C52" w:rsidRPr="00B81524" w:rsidRDefault="00F93C52" w:rsidP="00F93C52">
            <w:pPr>
              <w:pStyle w:val="Footnote"/>
              <w:jc w:val="right"/>
              <w:rPr>
                <w:rFonts w:eastAsiaTheme="minorHAnsi"/>
                <w:sz w:val="20"/>
                <w:szCs w:val="20"/>
                <w:lang w:val="en-GB"/>
              </w:rPr>
            </w:pPr>
            <w:r w:rsidRPr="00B81524">
              <w:rPr>
                <w:sz w:val="20"/>
                <w:szCs w:val="20"/>
                <w:lang w:val="en-GB"/>
              </w:rPr>
              <w:t>6,680</w:t>
            </w:r>
          </w:p>
        </w:tc>
        <w:tc>
          <w:tcPr>
            <w:tcW w:w="1073" w:type="dxa"/>
            <w:noWrap/>
            <w:vAlign w:val="center"/>
            <w:hideMark/>
          </w:tcPr>
          <w:p w14:paraId="6F761C63" w14:textId="77777777" w:rsidR="00F93C52" w:rsidRPr="00B81524" w:rsidRDefault="00F93C52" w:rsidP="00A827BF">
            <w:pPr>
              <w:jc w:val="right"/>
              <w:rPr>
                <w:rFonts w:ascii="Arial" w:eastAsiaTheme="minorHAnsi" w:hAnsi="Arial" w:cs="Arial"/>
                <w:lang w:val="en-GB"/>
              </w:rPr>
            </w:pPr>
            <w:r w:rsidRPr="00B81524">
              <w:rPr>
                <w:rFonts w:ascii="Arial" w:eastAsiaTheme="minorHAnsi" w:hAnsi="Arial" w:cs="Arial"/>
                <w:lang w:val="en-GB"/>
              </w:rPr>
              <w:t> </w:t>
            </w:r>
          </w:p>
        </w:tc>
      </w:tr>
      <w:tr w:rsidR="00F93C52" w:rsidRPr="00B81524" w14:paraId="0B4EC821" w14:textId="77777777" w:rsidTr="00F93C52">
        <w:trPr>
          <w:trHeight w:val="255"/>
          <w:jc w:val="center"/>
        </w:trPr>
        <w:tc>
          <w:tcPr>
            <w:tcW w:w="222" w:type="dxa"/>
            <w:tcBorders>
              <w:right w:val="nil"/>
            </w:tcBorders>
            <w:noWrap/>
            <w:hideMark/>
          </w:tcPr>
          <w:p w14:paraId="2FD7C351" w14:textId="77777777" w:rsidR="00F93C52" w:rsidRPr="00B81524" w:rsidRDefault="00F93C52" w:rsidP="00A827BF">
            <w:pPr>
              <w:pStyle w:val="Footnote"/>
              <w:rPr>
                <w:sz w:val="20"/>
                <w:szCs w:val="20"/>
                <w:lang w:val="en-GB"/>
              </w:rPr>
            </w:pPr>
          </w:p>
        </w:tc>
        <w:tc>
          <w:tcPr>
            <w:tcW w:w="5083" w:type="dxa"/>
            <w:gridSpan w:val="2"/>
            <w:tcBorders>
              <w:left w:val="nil"/>
            </w:tcBorders>
            <w:noWrap/>
            <w:hideMark/>
          </w:tcPr>
          <w:p w14:paraId="01BBDF02" w14:textId="3E3AFBB0" w:rsidR="00F93C52" w:rsidRPr="00B81524" w:rsidRDefault="00F93C52" w:rsidP="00A827BF">
            <w:pPr>
              <w:pStyle w:val="Footnote"/>
              <w:rPr>
                <w:sz w:val="20"/>
                <w:szCs w:val="20"/>
                <w:lang w:val="en-GB"/>
              </w:rPr>
            </w:pPr>
            <w:r w:rsidRPr="00B81524">
              <w:rPr>
                <w:sz w:val="20"/>
                <w:szCs w:val="20"/>
                <w:lang w:val="en-GB"/>
              </w:rPr>
              <w:t>Foreign Exchange Gain</w:t>
            </w:r>
          </w:p>
        </w:tc>
        <w:tc>
          <w:tcPr>
            <w:tcW w:w="1170" w:type="dxa"/>
            <w:noWrap/>
            <w:vAlign w:val="center"/>
            <w:hideMark/>
          </w:tcPr>
          <w:p w14:paraId="4D2C5C7D" w14:textId="4660D636" w:rsidR="00F93C52" w:rsidRPr="00B81524" w:rsidRDefault="00F93C52" w:rsidP="00F93C52">
            <w:pPr>
              <w:pStyle w:val="Footnote"/>
              <w:jc w:val="right"/>
              <w:rPr>
                <w:rFonts w:eastAsiaTheme="minorHAnsi"/>
                <w:sz w:val="20"/>
                <w:szCs w:val="20"/>
                <w:lang w:val="en-GB"/>
              </w:rPr>
            </w:pPr>
            <w:r w:rsidRPr="00B81524">
              <w:rPr>
                <w:sz w:val="20"/>
                <w:szCs w:val="20"/>
                <w:lang w:val="en-GB"/>
              </w:rPr>
              <w:t>237</w:t>
            </w:r>
          </w:p>
        </w:tc>
        <w:tc>
          <w:tcPr>
            <w:tcW w:w="1073" w:type="dxa"/>
            <w:noWrap/>
            <w:vAlign w:val="center"/>
            <w:hideMark/>
          </w:tcPr>
          <w:p w14:paraId="216DC5ED" w14:textId="77777777" w:rsidR="00F93C52" w:rsidRPr="00B81524" w:rsidRDefault="00F93C52" w:rsidP="00A827BF">
            <w:pPr>
              <w:jc w:val="right"/>
              <w:rPr>
                <w:rFonts w:ascii="Arial" w:eastAsiaTheme="minorHAnsi" w:hAnsi="Arial" w:cs="Arial"/>
                <w:lang w:val="en-GB"/>
              </w:rPr>
            </w:pPr>
            <w:r w:rsidRPr="00B81524">
              <w:rPr>
                <w:rFonts w:ascii="Arial" w:eastAsiaTheme="minorHAnsi" w:hAnsi="Arial" w:cs="Arial"/>
                <w:lang w:val="en-GB"/>
              </w:rPr>
              <w:t> </w:t>
            </w:r>
          </w:p>
        </w:tc>
      </w:tr>
      <w:tr w:rsidR="00F93C52" w:rsidRPr="00B81524" w14:paraId="79C08E15" w14:textId="77777777" w:rsidTr="00832A06">
        <w:trPr>
          <w:trHeight w:val="255"/>
          <w:jc w:val="center"/>
        </w:trPr>
        <w:tc>
          <w:tcPr>
            <w:tcW w:w="7548" w:type="dxa"/>
            <w:gridSpan w:val="5"/>
            <w:noWrap/>
            <w:hideMark/>
          </w:tcPr>
          <w:p w14:paraId="296DF0ED" w14:textId="77777777" w:rsidR="00F93C52" w:rsidRPr="00B81524" w:rsidRDefault="00F93C52" w:rsidP="00A827BF">
            <w:pPr>
              <w:jc w:val="right"/>
              <w:rPr>
                <w:rFonts w:ascii="Arial" w:eastAsiaTheme="minorHAnsi" w:hAnsi="Arial" w:cs="Arial"/>
                <w:lang w:val="en-GB"/>
              </w:rPr>
            </w:pPr>
          </w:p>
        </w:tc>
      </w:tr>
      <w:tr w:rsidR="00A827BF" w:rsidRPr="00B81524" w14:paraId="4749134F" w14:textId="77777777" w:rsidTr="00F93C52">
        <w:trPr>
          <w:trHeight w:val="270"/>
          <w:jc w:val="center"/>
        </w:trPr>
        <w:tc>
          <w:tcPr>
            <w:tcW w:w="236" w:type="dxa"/>
            <w:gridSpan w:val="2"/>
            <w:tcBorders>
              <w:right w:val="nil"/>
            </w:tcBorders>
            <w:noWrap/>
            <w:hideMark/>
          </w:tcPr>
          <w:p w14:paraId="6B17C199" w14:textId="77777777" w:rsidR="00A827BF" w:rsidRPr="00B81524" w:rsidRDefault="00A827BF" w:rsidP="00A827BF">
            <w:pPr>
              <w:pStyle w:val="Footnote"/>
              <w:rPr>
                <w:sz w:val="20"/>
                <w:szCs w:val="20"/>
                <w:lang w:val="en-GB"/>
              </w:rPr>
            </w:pPr>
          </w:p>
        </w:tc>
        <w:tc>
          <w:tcPr>
            <w:tcW w:w="5069" w:type="dxa"/>
            <w:tcBorders>
              <w:left w:val="nil"/>
            </w:tcBorders>
            <w:noWrap/>
            <w:hideMark/>
          </w:tcPr>
          <w:p w14:paraId="096B0219" w14:textId="4DD50A1B" w:rsidR="00A827BF" w:rsidRPr="00B81524" w:rsidRDefault="00B81524" w:rsidP="00A827BF">
            <w:pPr>
              <w:pStyle w:val="Footnote"/>
              <w:rPr>
                <w:b/>
                <w:bCs/>
                <w:sz w:val="20"/>
                <w:szCs w:val="20"/>
                <w:lang w:val="en-GB"/>
              </w:rPr>
            </w:pPr>
            <w:r>
              <w:rPr>
                <w:b/>
                <w:bCs/>
                <w:sz w:val="20"/>
                <w:szCs w:val="20"/>
                <w:lang w:val="en-GB"/>
              </w:rPr>
              <w:t xml:space="preserve">  </w:t>
            </w:r>
            <w:r w:rsidR="00A827BF" w:rsidRPr="00B81524">
              <w:rPr>
                <w:b/>
                <w:bCs/>
                <w:sz w:val="20"/>
                <w:szCs w:val="20"/>
                <w:lang w:val="en-GB"/>
              </w:rPr>
              <w:t>Net Income (Loss)</w:t>
            </w:r>
          </w:p>
        </w:tc>
        <w:tc>
          <w:tcPr>
            <w:tcW w:w="1170" w:type="dxa"/>
            <w:noWrap/>
            <w:vAlign w:val="center"/>
            <w:hideMark/>
          </w:tcPr>
          <w:p w14:paraId="42E84E3E" w14:textId="0C06BEBF" w:rsidR="00A827BF" w:rsidRPr="00B81524" w:rsidRDefault="00A827BF" w:rsidP="00F93C52">
            <w:pPr>
              <w:pStyle w:val="Footnote"/>
              <w:jc w:val="right"/>
              <w:rPr>
                <w:rFonts w:eastAsiaTheme="minorHAnsi"/>
                <w:sz w:val="20"/>
                <w:szCs w:val="20"/>
                <w:lang w:val="en-GB"/>
              </w:rPr>
            </w:pPr>
            <w:r w:rsidRPr="00B81524">
              <w:rPr>
                <w:sz w:val="20"/>
                <w:szCs w:val="20"/>
                <w:lang w:val="en-GB"/>
              </w:rPr>
              <w:t>$118,109</w:t>
            </w:r>
          </w:p>
        </w:tc>
        <w:tc>
          <w:tcPr>
            <w:tcW w:w="1073" w:type="dxa"/>
            <w:noWrap/>
            <w:vAlign w:val="center"/>
            <w:hideMark/>
          </w:tcPr>
          <w:p w14:paraId="7A19B531" w14:textId="021585F1" w:rsidR="00A827BF" w:rsidRPr="00B81524" w:rsidRDefault="00A827BF" w:rsidP="00A827BF">
            <w:pPr>
              <w:jc w:val="right"/>
              <w:rPr>
                <w:rFonts w:ascii="Arial" w:eastAsiaTheme="minorHAnsi" w:hAnsi="Arial" w:cs="Arial"/>
                <w:lang w:val="en-GB"/>
              </w:rPr>
            </w:pPr>
            <w:r w:rsidRPr="00B81524">
              <w:rPr>
                <w:rFonts w:ascii="Arial" w:eastAsiaTheme="minorHAnsi" w:hAnsi="Arial" w:cs="Arial"/>
                <w:lang w:val="en-GB"/>
              </w:rPr>
              <w:t>$(62,038)</w:t>
            </w:r>
          </w:p>
        </w:tc>
      </w:tr>
    </w:tbl>
    <w:p w14:paraId="69868A48" w14:textId="1C8FBAD0" w:rsidR="000657F2" w:rsidRPr="000657F2" w:rsidRDefault="007456A6" w:rsidP="00AF04D6">
      <w:pPr>
        <w:pStyle w:val="Footnote"/>
        <w:rPr>
          <w:rFonts w:asciiTheme="minorHAnsi" w:eastAsiaTheme="minorHAnsi" w:hAnsiTheme="minorHAnsi" w:cstheme="minorBidi"/>
          <w:sz w:val="22"/>
          <w:szCs w:val="22"/>
          <w:lang w:val="en-GB"/>
        </w:rPr>
      </w:pPr>
      <w:r w:rsidRPr="00B81524">
        <w:rPr>
          <w:lang w:val="en-GB"/>
        </w:rPr>
        <w:fldChar w:fldCharType="begin"/>
      </w:r>
      <w:r w:rsidRPr="00B81524">
        <w:rPr>
          <w:lang w:val="en-GB"/>
        </w:rPr>
        <w:instrText xml:space="preserve"> LINK </w:instrText>
      </w:r>
      <w:r w:rsidR="000657F2">
        <w:rPr>
          <w:lang w:val="en-GB"/>
        </w:rPr>
        <w:instrText xml:space="preserve">Excel.Sheet.8 "\\\\biz-info.ivey.ca\\IveyPubs\\shared\\CASES\\A-CasesPending\\Naledo Truly Turmeric\\Income Statement.xls" "Income Statement!R2C2:R33C8" </w:instrText>
      </w:r>
      <w:r w:rsidRPr="00B81524">
        <w:rPr>
          <w:lang w:val="en-GB"/>
        </w:rPr>
        <w:instrText xml:space="preserve">\a \f 5 \h  \* MERGEFORMAT </w:instrText>
      </w:r>
      <w:r w:rsidRPr="00B81524">
        <w:rPr>
          <w:lang w:val="en-GB"/>
        </w:rPr>
        <w:fldChar w:fldCharType="separate"/>
      </w:r>
    </w:p>
    <w:p w14:paraId="0E073F36" w14:textId="11CA2CDD" w:rsidR="007456A6" w:rsidRPr="00B81524" w:rsidRDefault="007456A6" w:rsidP="00AF04D6">
      <w:pPr>
        <w:pStyle w:val="Footnote"/>
        <w:rPr>
          <w:lang w:val="en-GB"/>
        </w:rPr>
      </w:pPr>
      <w:r w:rsidRPr="00B81524">
        <w:rPr>
          <w:lang w:val="en-GB"/>
        </w:rPr>
        <w:fldChar w:fldCharType="end"/>
      </w:r>
      <w:r w:rsidR="0027258E" w:rsidRPr="00B81524">
        <w:rPr>
          <w:lang w:val="en-GB"/>
        </w:rPr>
        <w:t xml:space="preserve">Note: </w:t>
      </w:r>
      <w:r w:rsidR="004C4F2C" w:rsidRPr="00B81524">
        <w:rPr>
          <w:lang w:val="en-GB"/>
        </w:rPr>
        <w:t>*</w:t>
      </w:r>
      <w:proofErr w:type="spellStart"/>
      <w:r w:rsidR="00D62D82" w:rsidRPr="00B81524">
        <w:rPr>
          <w:lang w:val="en-GB"/>
        </w:rPr>
        <w:t>Naledo</w:t>
      </w:r>
      <w:proofErr w:type="spellEnd"/>
      <w:r w:rsidR="00D62D82" w:rsidRPr="00B81524">
        <w:rPr>
          <w:lang w:val="en-GB"/>
        </w:rPr>
        <w:t xml:space="preserve"> Canada pa</w:t>
      </w:r>
      <w:r w:rsidR="004C4F2C" w:rsidRPr="00B81524">
        <w:rPr>
          <w:lang w:val="en-GB"/>
        </w:rPr>
        <w:t>id</w:t>
      </w:r>
      <w:r w:rsidR="00D62D82" w:rsidRPr="00B81524">
        <w:rPr>
          <w:lang w:val="en-GB"/>
        </w:rPr>
        <w:t xml:space="preserve"> Naledo Belize to produce the product</w:t>
      </w:r>
      <w:r w:rsidR="005815A0" w:rsidRPr="00B81524">
        <w:rPr>
          <w:lang w:val="en-GB"/>
        </w:rPr>
        <w:t xml:space="preserve"> on a per</w:t>
      </w:r>
      <w:r w:rsidR="004C4F2C" w:rsidRPr="00B81524">
        <w:rPr>
          <w:lang w:val="en-GB"/>
        </w:rPr>
        <w:t>-</w:t>
      </w:r>
      <w:r w:rsidR="005815A0" w:rsidRPr="00B81524">
        <w:rPr>
          <w:lang w:val="en-GB"/>
        </w:rPr>
        <w:t xml:space="preserve">unit basis. </w:t>
      </w:r>
      <w:r w:rsidR="00D62D82" w:rsidRPr="00B81524">
        <w:rPr>
          <w:lang w:val="en-GB"/>
        </w:rPr>
        <w:t xml:space="preserve">Direct labour is included in the unit price. </w:t>
      </w:r>
    </w:p>
    <w:p w14:paraId="388BA6DF" w14:textId="4710A208" w:rsidR="003F044B" w:rsidRPr="00B81524" w:rsidRDefault="003F044B" w:rsidP="00AF04D6">
      <w:pPr>
        <w:pStyle w:val="Footnote"/>
        <w:rPr>
          <w:lang w:val="en-GB"/>
        </w:rPr>
      </w:pPr>
      <w:r w:rsidRPr="00B81524">
        <w:rPr>
          <w:lang w:val="en-GB"/>
        </w:rPr>
        <w:t>Source: Company documents</w:t>
      </w:r>
      <w:r w:rsidR="00AF04D6" w:rsidRPr="00B81524">
        <w:rPr>
          <w:lang w:val="en-GB"/>
        </w:rPr>
        <w:t>.</w:t>
      </w:r>
    </w:p>
    <w:p w14:paraId="5B817309" w14:textId="77777777" w:rsidR="00AF04D6" w:rsidRPr="00B81524" w:rsidRDefault="00AF04D6">
      <w:pPr>
        <w:spacing w:after="200" w:line="276" w:lineRule="auto"/>
        <w:rPr>
          <w:rFonts w:asciiTheme="minorHAnsi" w:hAnsiTheme="minorHAnsi"/>
          <w:color w:val="1F497D" w:themeColor="text2"/>
          <w:sz w:val="24"/>
          <w:lang w:val="en-GB"/>
        </w:rPr>
      </w:pPr>
      <w:r w:rsidRPr="00B81524">
        <w:rPr>
          <w:rFonts w:asciiTheme="minorHAnsi" w:hAnsiTheme="minorHAnsi"/>
          <w:color w:val="1F497D" w:themeColor="text2"/>
          <w:sz w:val="24"/>
          <w:lang w:val="en-GB"/>
        </w:rPr>
        <w:br w:type="page"/>
      </w:r>
    </w:p>
    <w:p w14:paraId="608D9A1E" w14:textId="317C09D3" w:rsidR="003F044B" w:rsidRPr="00B81524" w:rsidRDefault="003F044B" w:rsidP="00AF04D6">
      <w:pPr>
        <w:pStyle w:val="ExhibitHeading"/>
        <w:rPr>
          <w:lang w:val="en-GB"/>
        </w:rPr>
      </w:pPr>
      <w:r w:rsidRPr="00B81524">
        <w:rPr>
          <w:lang w:val="en-GB"/>
        </w:rPr>
        <w:t xml:space="preserve">Exhibit 4: </w:t>
      </w:r>
      <w:r w:rsidR="004C4F2C" w:rsidRPr="00B81524">
        <w:rPr>
          <w:lang w:val="en-GB"/>
        </w:rPr>
        <w:t>truly tu</w:t>
      </w:r>
      <w:r w:rsidR="009D50D9">
        <w:rPr>
          <w:lang w:val="en-GB"/>
        </w:rPr>
        <w:t>r</w:t>
      </w:r>
      <w:bookmarkStart w:id="6" w:name="_GoBack"/>
      <w:bookmarkEnd w:id="6"/>
      <w:r w:rsidR="004C4F2C" w:rsidRPr="00B81524">
        <w:rPr>
          <w:lang w:val="en-GB"/>
        </w:rPr>
        <w:t xml:space="preserve">meric </w:t>
      </w:r>
      <w:r w:rsidRPr="00B81524">
        <w:rPr>
          <w:lang w:val="en-GB"/>
        </w:rPr>
        <w:t>Production Process</w:t>
      </w:r>
    </w:p>
    <w:p w14:paraId="335E5A53" w14:textId="77777777" w:rsidR="003F044B" w:rsidRPr="00B81524" w:rsidRDefault="003F044B" w:rsidP="00AF04D6">
      <w:pPr>
        <w:pStyle w:val="BodyTextMain"/>
        <w:rPr>
          <w:lang w:val="en-GB"/>
        </w:rPr>
      </w:pPr>
    </w:p>
    <w:p w14:paraId="5543CD86" w14:textId="77777777" w:rsidR="003F044B" w:rsidRPr="00B81524" w:rsidRDefault="003F044B" w:rsidP="00AF04D6">
      <w:pPr>
        <w:jc w:val="center"/>
        <w:rPr>
          <w:rFonts w:asciiTheme="minorHAnsi" w:hAnsiTheme="minorHAnsi"/>
          <w:color w:val="1F497D" w:themeColor="text2"/>
          <w:sz w:val="24"/>
          <w:lang w:val="en-GB"/>
        </w:rPr>
      </w:pPr>
      <w:r w:rsidRPr="00B81524">
        <w:rPr>
          <w:rFonts w:asciiTheme="minorHAnsi" w:hAnsiTheme="minorHAnsi"/>
          <w:noProof/>
          <w:color w:val="1F497D" w:themeColor="text2"/>
          <w:sz w:val="24"/>
        </w:rPr>
        <w:drawing>
          <wp:inline distT="0" distB="0" distL="0" distR="0" wp14:anchorId="637C99BA" wp14:editId="4AA01989">
            <wp:extent cx="5276412" cy="529556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jpg"/>
                    <pic:cNvPicPr/>
                  </pic:nvPicPr>
                  <pic:blipFill rotWithShape="1">
                    <a:blip r:embed="rId11">
                      <a:grayscl/>
                    </a:blip>
                    <a:srcRect l="13780" t="4337" r="9830" b="33532"/>
                    <a:stretch/>
                  </pic:blipFill>
                  <pic:spPr bwMode="auto">
                    <a:xfrm>
                      <a:off x="0" y="0"/>
                      <a:ext cx="5298618" cy="5317855"/>
                    </a:xfrm>
                    <a:prstGeom prst="rect">
                      <a:avLst/>
                    </a:prstGeom>
                    <a:ln>
                      <a:noFill/>
                    </a:ln>
                    <a:extLst>
                      <a:ext uri="{53640926-AAD7-44D8-BBD7-CCE9431645EC}">
                        <a14:shadowObscured xmlns:a14="http://schemas.microsoft.com/office/drawing/2010/main"/>
                      </a:ext>
                    </a:extLst>
                  </pic:spPr>
                </pic:pic>
              </a:graphicData>
            </a:graphic>
          </wp:inline>
        </w:drawing>
      </w:r>
    </w:p>
    <w:p w14:paraId="41351DDF" w14:textId="77777777" w:rsidR="00AF04D6" w:rsidRPr="00B81524" w:rsidRDefault="00AF04D6" w:rsidP="00AF04D6">
      <w:pPr>
        <w:pStyle w:val="Footnote"/>
        <w:rPr>
          <w:lang w:val="en-GB"/>
        </w:rPr>
      </w:pPr>
    </w:p>
    <w:p w14:paraId="25308378" w14:textId="4D1AC8E5" w:rsidR="003F044B" w:rsidRPr="00B81524" w:rsidRDefault="003F044B" w:rsidP="00AF04D6">
      <w:pPr>
        <w:pStyle w:val="Footnote"/>
        <w:rPr>
          <w:lang w:val="en-GB"/>
        </w:rPr>
      </w:pPr>
      <w:r w:rsidRPr="00B81524">
        <w:rPr>
          <w:lang w:val="en-GB"/>
        </w:rPr>
        <w:t>Source: Company documents</w:t>
      </w:r>
      <w:r w:rsidR="00AF04D6" w:rsidRPr="00B81524">
        <w:rPr>
          <w:lang w:val="en-GB"/>
        </w:rPr>
        <w:t>.</w:t>
      </w:r>
    </w:p>
    <w:p w14:paraId="51305AC0" w14:textId="77777777" w:rsidR="003F044B" w:rsidRPr="00B81524" w:rsidRDefault="003F044B" w:rsidP="003F044B">
      <w:pPr>
        <w:rPr>
          <w:rFonts w:asciiTheme="minorHAnsi" w:hAnsiTheme="minorHAnsi"/>
          <w:color w:val="1F497D" w:themeColor="text2"/>
          <w:sz w:val="24"/>
          <w:lang w:val="en-GB"/>
        </w:rPr>
      </w:pPr>
      <w:r w:rsidRPr="00B81524">
        <w:rPr>
          <w:rFonts w:asciiTheme="minorHAnsi" w:hAnsiTheme="minorHAnsi"/>
          <w:color w:val="1F497D" w:themeColor="text2"/>
          <w:sz w:val="24"/>
          <w:lang w:val="en-GB"/>
        </w:rPr>
        <w:br w:type="page"/>
      </w:r>
    </w:p>
    <w:p w14:paraId="47164E84" w14:textId="44C56BAC" w:rsidR="003F044B" w:rsidRPr="00B81524" w:rsidRDefault="003F044B" w:rsidP="00AF04D6">
      <w:pPr>
        <w:pStyle w:val="ExhibitHeading"/>
        <w:rPr>
          <w:lang w:val="en-GB"/>
        </w:rPr>
      </w:pPr>
      <w:r w:rsidRPr="00B81524">
        <w:rPr>
          <w:lang w:val="en-GB"/>
        </w:rPr>
        <w:t>Exhibit 5</w:t>
      </w:r>
      <w:r w:rsidR="00AF04D6" w:rsidRPr="00B81524">
        <w:rPr>
          <w:lang w:val="en-GB"/>
        </w:rPr>
        <w:t>:</w:t>
      </w:r>
      <w:r w:rsidRPr="00B81524">
        <w:rPr>
          <w:lang w:val="en-GB"/>
        </w:rPr>
        <w:t xml:space="preserve"> </w:t>
      </w:r>
      <w:r w:rsidR="004C4F2C" w:rsidRPr="00B81524">
        <w:rPr>
          <w:lang w:val="en-GB"/>
        </w:rPr>
        <w:t xml:space="preserve">naledo </w:t>
      </w:r>
      <w:r w:rsidRPr="00B81524">
        <w:rPr>
          <w:lang w:val="en-GB"/>
        </w:rPr>
        <w:t>Instagram Post</w:t>
      </w:r>
      <w:r w:rsidR="004C4F2C" w:rsidRPr="00B81524">
        <w:rPr>
          <w:lang w:val="en-GB"/>
        </w:rPr>
        <w:t>,</w:t>
      </w:r>
      <w:r w:rsidRPr="00B81524">
        <w:rPr>
          <w:lang w:val="en-GB"/>
        </w:rPr>
        <w:t xml:space="preserve"> April 15, 2018</w:t>
      </w:r>
    </w:p>
    <w:p w14:paraId="3DCF04D5" w14:textId="77777777" w:rsidR="003F044B" w:rsidRPr="00B81524" w:rsidRDefault="003F044B" w:rsidP="00AF04D6">
      <w:pPr>
        <w:pStyle w:val="BodyTextMain"/>
        <w:rPr>
          <w:lang w:val="en-GB"/>
        </w:rPr>
      </w:pPr>
    </w:p>
    <w:p w14:paraId="49F921EA" w14:textId="77777777" w:rsidR="003F044B" w:rsidRPr="00B81524" w:rsidRDefault="003F044B" w:rsidP="003F044B">
      <w:pPr>
        <w:jc w:val="both"/>
        <w:rPr>
          <w:rFonts w:asciiTheme="minorHAnsi" w:hAnsiTheme="minorHAnsi"/>
          <w:color w:val="1F497D" w:themeColor="text2"/>
          <w:sz w:val="24"/>
          <w:lang w:val="en-GB"/>
        </w:rPr>
      </w:pPr>
      <w:r w:rsidRPr="00B81524">
        <w:rPr>
          <w:rFonts w:ascii="Calibri" w:hAnsi="Calibri"/>
          <w:noProof/>
          <w:color w:val="1F497D" w:themeColor="text2"/>
          <w:sz w:val="24"/>
        </w:rPr>
        <w:drawing>
          <wp:inline distT="0" distB="0" distL="0" distR="0" wp14:anchorId="4540C2A7" wp14:editId="6707E8A1">
            <wp:extent cx="5943600" cy="360235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5943600" cy="3602355"/>
                    </a:xfrm>
                    <a:prstGeom prst="rect">
                      <a:avLst/>
                    </a:prstGeom>
                    <a:ln w="22225">
                      <a:solidFill>
                        <a:schemeClr val="bg1"/>
                      </a:solidFill>
                    </a:ln>
                  </pic:spPr>
                </pic:pic>
              </a:graphicData>
            </a:graphic>
          </wp:inline>
        </w:drawing>
      </w:r>
    </w:p>
    <w:p w14:paraId="7596F33C" w14:textId="77777777" w:rsidR="003F044B" w:rsidRPr="00B81524" w:rsidRDefault="003F044B" w:rsidP="00AF04D6">
      <w:pPr>
        <w:pStyle w:val="Footnote"/>
        <w:rPr>
          <w:lang w:val="en-GB"/>
        </w:rPr>
      </w:pPr>
    </w:p>
    <w:p w14:paraId="192B1A01" w14:textId="35746386" w:rsidR="000472CF" w:rsidRPr="00B81524" w:rsidRDefault="003F044B" w:rsidP="00AF04D6">
      <w:pPr>
        <w:pStyle w:val="Footnote"/>
        <w:rPr>
          <w:lang w:val="en-GB"/>
        </w:rPr>
      </w:pPr>
      <w:r w:rsidRPr="00B81524">
        <w:rPr>
          <w:szCs w:val="20"/>
          <w:lang w:val="en-GB"/>
        </w:rPr>
        <w:t>Source: Company documents</w:t>
      </w:r>
      <w:r w:rsidR="00AF04D6" w:rsidRPr="00B81524">
        <w:rPr>
          <w:szCs w:val="20"/>
          <w:lang w:val="en-GB"/>
        </w:rPr>
        <w:t>.</w:t>
      </w:r>
    </w:p>
    <w:sectPr w:rsidR="000472CF" w:rsidRPr="00B81524"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7907A2" w16cid:durableId="20729A3E"/>
  <w16cid:commentId w16cid:paraId="70E8EB4D" w16cid:durableId="20729A95"/>
  <w16cid:commentId w16cid:paraId="5BC5FD49" w16cid:durableId="20729B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98905" w14:textId="77777777" w:rsidR="000E1485" w:rsidRDefault="000E1485" w:rsidP="00D75295">
      <w:r>
        <w:separator/>
      </w:r>
    </w:p>
  </w:endnote>
  <w:endnote w:type="continuationSeparator" w:id="0">
    <w:p w14:paraId="6B487FEA" w14:textId="77777777" w:rsidR="000E1485" w:rsidRDefault="000E14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A8BE5" w14:textId="77777777" w:rsidR="000E1485" w:rsidRDefault="000E1485" w:rsidP="00D75295">
      <w:r>
        <w:separator/>
      </w:r>
    </w:p>
  </w:footnote>
  <w:footnote w:type="continuationSeparator" w:id="0">
    <w:p w14:paraId="4859622A" w14:textId="77777777" w:rsidR="000E1485" w:rsidRDefault="000E1485" w:rsidP="00D75295">
      <w:r>
        <w:continuationSeparator/>
      </w:r>
    </w:p>
  </w:footnote>
  <w:footnote w:id="1">
    <w:p w14:paraId="4F90E574" w14:textId="00F17C7D"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The company name was derived from the first two letters of the name Nareena and the last four letters of Toledo, the district in Belize where </w:t>
      </w:r>
      <w:r w:rsidR="004904FC">
        <w:rPr>
          <w:lang w:val="en-GB"/>
        </w:rPr>
        <w:t>Umeeda</w:t>
      </w:r>
      <w:r w:rsidR="004904FC" w:rsidRPr="00FB540A">
        <w:rPr>
          <w:lang w:val="en-GB"/>
        </w:rPr>
        <w:t xml:space="preserve"> </w:t>
      </w:r>
      <w:r w:rsidRPr="00FB540A">
        <w:rPr>
          <w:lang w:val="en-GB"/>
        </w:rPr>
        <w:t xml:space="preserve">Switlo first discovered the wild turmeric that led to the formation of the business. </w:t>
      </w:r>
    </w:p>
  </w:footnote>
  <w:footnote w:id="2">
    <w:p w14:paraId="678BBED1" w14:textId="2DEC0172" w:rsidR="00321050" w:rsidRPr="00FB540A" w:rsidRDefault="00321050" w:rsidP="00644C5E">
      <w:pPr>
        <w:pStyle w:val="Footnote"/>
        <w:rPr>
          <w:lang w:val="en-GB"/>
        </w:rPr>
      </w:pPr>
      <w:r w:rsidRPr="00FB540A">
        <w:rPr>
          <w:rStyle w:val="FootnoteReference"/>
          <w:lang w:val="en-GB"/>
        </w:rPr>
        <w:footnoteRef/>
      </w:r>
      <w:r w:rsidRPr="00FB540A">
        <w:rPr>
          <w:lang w:val="en-GB"/>
        </w:rPr>
        <w:t xml:space="preserve"> All dollar amounts are in Canadian dollars unless specified otherwise.</w:t>
      </w:r>
    </w:p>
  </w:footnote>
  <w:footnote w:id="3">
    <w:p w14:paraId="04BF84BC" w14:textId="4B41703F"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The first migrants from East India arrived in Belize in 1858, followed by others who came to Belize via Jamaica and Guatemala in the 1860s and 1870s. East Indians made up about 4 per cent of the population of Belize, and the only remnants of their culture were the use of turmeric in their cooking and the observance of Hosay/Muharram</w:t>
      </w:r>
      <w:r w:rsidR="00AE258F" w:rsidRPr="00FB540A">
        <w:rPr>
          <w:lang w:val="en-GB"/>
        </w:rPr>
        <w:t>;</w:t>
      </w:r>
      <w:r w:rsidRPr="00FB540A">
        <w:rPr>
          <w:lang w:val="en-GB"/>
        </w:rPr>
        <w:t xml:space="preserve"> “International Conference on the Indian Diaspora in Belize and the Wider Caribbean,” Global Research Forum on Diaspora and Transnationalism, accessed January 18, 2017, www.grfdt.com/EventDetails.aspx?Type=Conferences&amp;TabId=71.</w:t>
      </w:r>
    </w:p>
  </w:footnote>
  <w:footnote w:id="4">
    <w:p w14:paraId="4253E1DC" w14:textId="58054D8A"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Wildcrafted referred to plants that were not cultivated but rather harvested in the wild.</w:t>
      </w:r>
    </w:p>
  </w:footnote>
  <w:footnote w:id="5">
    <w:p w14:paraId="270C8C4A" w14:textId="12C13AA0"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w:t>
      </w:r>
      <w:bookmarkStart w:id="0" w:name="_Hlk518671025"/>
      <w:r w:rsidRPr="00FB540A">
        <w:rPr>
          <w:lang w:val="en-GB"/>
        </w:rPr>
        <w:t>US$</w:t>
      </w:r>
      <w:r w:rsidR="003B767A" w:rsidRPr="00FB540A">
        <w:rPr>
          <w:lang w:val="en-GB"/>
        </w:rPr>
        <w:t>1</w:t>
      </w:r>
      <w:r w:rsidRPr="00FB540A">
        <w:rPr>
          <w:lang w:val="en-GB"/>
        </w:rPr>
        <w:t xml:space="preserve"> = CA$1.2309 on January 31, 2018. </w:t>
      </w:r>
      <w:bookmarkEnd w:id="0"/>
    </w:p>
  </w:footnote>
  <w:footnote w:id="6">
    <w:p w14:paraId="276EC4C8" w14:textId="15281304"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Deborah Weinswig, “Wellness Is the New Luxury: Is Healthy and Happy the Future of Retail?,” </w:t>
      </w:r>
      <w:r w:rsidRPr="00FB540A">
        <w:rPr>
          <w:i/>
          <w:lang w:val="en-GB"/>
        </w:rPr>
        <w:t>Forbes</w:t>
      </w:r>
      <w:r w:rsidRPr="00FB540A">
        <w:rPr>
          <w:lang w:val="en-GB"/>
        </w:rPr>
        <w:t>, June 30, 2017, accessed January 14, 2018, www.forbes.com/sites/deborahweinswig/2017/06/30/wellness-is-the-new-luxury-is-healthy-and-happy-the-future-of-retail/#4f3558bb8323.</w:t>
      </w:r>
    </w:p>
  </w:footnote>
  <w:footnote w:id="7">
    <w:p w14:paraId="5F7FF496" w14:textId="4A910330"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w:t>
      </w:r>
      <w:bookmarkStart w:id="1" w:name="_Hlk503693862"/>
      <w:r w:rsidRPr="00FB540A">
        <w:rPr>
          <w:lang w:val="en-GB"/>
        </w:rPr>
        <w:t xml:space="preserve">Euromonitor International, </w:t>
      </w:r>
      <w:r w:rsidRPr="0091148D">
        <w:rPr>
          <w:i/>
          <w:lang w:val="en-GB"/>
        </w:rPr>
        <w:t>Country Report:</w:t>
      </w:r>
      <w:r w:rsidRPr="00FB540A">
        <w:rPr>
          <w:lang w:val="en-GB"/>
        </w:rPr>
        <w:t xml:space="preserve"> </w:t>
      </w:r>
      <w:r w:rsidRPr="00FB540A">
        <w:rPr>
          <w:i/>
          <w:lang w:val="en-GB"/>
        </w:rPr>
        <w:t>Health and Wellness in Canada</w:t>
      </w:r>
      <w:r w:rsidRPr="00FB540A">
        <w:rPr>
          <w:lang w:val="en-GB"/>
        </w:rPr>
        <w:t>, July 2018, accessed January 14, 2018, www.euromonitor.com/health-and-wellness-in-canada/report</w:t>
      </w:r>
      <w:bookmarkEnd w:id="1"/>
      <w:r w:rsidRPr="00FB540A">
        <w:rPr>
          <w:lang w:val="en-GB"/>
        </w:rPr>
        <w:t>.</w:t>
      </w:r>
    </w:p>
  </w:footnote>
  <w:footnote w:id="8">
    <w:p w14:paraId="4AD706B8" w14:textId="76848AA1"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Business Development Bank of Canada, </w:t>
      </w:r>
      <w:r w:rsidRPr="00FB540A">
        <w:rPr>
          <w:i/>
          <w:lang w:val="en-GB"/>
        </w:rPr>
        <w:t>Mapping Your Future Growth: Five Game-Changing Consumer Trends</w:t>
      </w:r>
      <w:r w:rsidRPr="00FB540A">
        <w:rPr>
          <w:lang w:val="en-GB"/>
        </w:rPr>
        <w:t>, October 2013, accessed January 13, 2018, www.bdc.ca/Resources%20Manager/study_2013/consumer_trends_BDC_report.pdf.</w:t>
      </w:r>
    </w:p>
  </w:footnote>
  <w:footnote w:id="9">
    <w:p w14:paraId="36298DB9" w14:textId="1DB92B48"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Euromonitor International, op. cit.</w:t>
      </w:r>
    </w:p>
  </w:footnote>
  <w:footnote w:id="10">
    <w:p w14:paraId="732EB39E" w14:textId="49CC3E78"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“Health &amp; Personal Care,” Amazon.ca, accessed January 14, 2018, www.amazon.ca/Health-Personal-Care/b/ref=sd_allcat_hpc?ie=UTF8&amp;node=6205177011.</w:t>
      </w:r>
    </w:p>
  </w:footnote>
  <w:footnote w:id="11">
    <w:p w14:paraId="0266BAED" w14:textId="734CE5EC" w:rsidR="002C7B05" w:rsidRPr="00FB540A" w:rsidRDefault="00321050" w:rsidP="000472CF">
      <w:pPr>
        <w:pStyle w:val="Footnote"/>
        <w:rPr>
          <w:lang w:val="en-GB"/>
        </w:rPr>
      </w:pPr>
      <w:r w:rsidRPr="00FB540A">
        <w:rPr>
          <w:rStyle w:val="FootnoteReference"/>
          <w:lang w:val="en-GB"/>
        </w:rPr>
        <w:footnoteRef/>
      </w:r>
      <w:r w:rsidRPr="00FB540A">
        <w:rPr>
          <w:lang w:val="en-GB"/>
        </w:rPr>
        <w:t xml:space="preserve"> Lydia Gordon, Euromonitor Communications, “Authenticity and Wellness as a Status Symbol among the Top 10 Global Consumer Trends for 2017,” Euromonitor International, accessed </w:t>
      </w:r>
      <w:r w:rsidR="000C711A" w:rsidRPr="00FB540A">
        <w:rPr>
          <w:lang w:val="en-GB"/>
        </w:rPr>
        <w:t>March 11</w:t>
      </w:r>
      <w:r w:rsidRPr="00FB540A">
        <w:rPr>
          <w:lang w:val="en-GB"/>
        </w:rPr>
        <w:t xml:space="preserve">, </w:t>
      </w:r>
      <w:r w:rsidR="000C711A" w:rsidRPr="00FB540A">
        <w:rPr>
          <w:lang w:val="en-GB"/>
        </w:rPr>
        <w:t>2019</w:t>
      </w:r>
      <w:r w:rsidRPr="00FB540A">
        <w:rPr>
          <w:lang w:val="en-GB"/>
        </w:rPr>
        <w:t xml:space="preserve">, </w:t>
      </w:r>
      <w:r w:rsidR="002C7B05" w:rsidRPr="00FB540A">
        <w:rPr>
          <w:lang w:val="en-GB"/>
        </w:rPr>
        <w:t>https://blog.euromonitor.com/</w:t>
      </w:r>
      <w:r w:rsidRPr="00FB540A">
        <w:rPr>
          <w:lang w:val="en-GB"/>
        </w:rPr>
        <w:t>2017/11/</w:t>
      </w:r>
    </w:p>
    <w:p w14:paraId="61ADA431" w14:textId="3A1DD33D" w:rsidR="00321050" w:rsidRPr="00FB540A" w:rsidRDefault="00321050" w:rsidP="000472CF">
      <w:pPr>
        <w:pStyle w:val="Footnote"/>
        <w:rPr>
          <w:lang w:val="en-GB"/>
        </w:rPr>
      </w:pPr>
      <w:r w:rsidRPr="00FB540A">
        <w:rPr>
          <w:lang w:val="en-GB"/>
        </w:rPr>
        <w:t>wellness-status-symbol-top-consumer-trend-2017.html.</w:t>
      </w:r>
    </w:p>
  </w:footnote>
  <w:footnote w:id="12">
    <w:p w14:paraId="5D80C5F0" w14:textId="7BC317D7"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Ibid. </w:t>
      </w:r>
    </w:p>
  </w:footnote>
  <w:footnote w:id="13">
    <w:p w14:paraId="303675BC" w14:textId="3AFBC416"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Eddie Yoon, “The Grocery Industry Confronts a New Problem: Only 10% of American Love Cooking,” </w:t>
      </w:r>
      <w:r w:rsidRPr="00FB540A">
        <w:rPr>
          <w:i/>
          <w:lang w:val="en-GB"/>
        </w:rPr>
        <w:t>Harvard Business Review</w:t>
      </w:r>
      <w:r w:rsidRPr="00FB540A">
        <w:rPr>
          <w:lang w:val="en-GB"/>
        </w:rPr>
        <w:t xml:space="preserve">, September 22, 2017, accessed January 14, 2018, </w:t>
      </w:r>
      <w:hyperlink r:id="rId1" w:history="1">
        <w:r w:rsidRPr="00FB540A">
          <w:rPr>
            <w:lang w:val="en-GB"/>
          </w:rPr>
          <w:t>https://hbr.org/2017/09/the-grocery-industry-confronts-a-new-problem-only-10-of-americans-love-cooking</w:t>
        </w:r>
      </w:hyperlink>
      <w:r w:rsidRPr="00FB540A">
        <w:rPr>
          <w:lang w:val="en-GB"/>
        </w:rPr>
        <w:t>. Available from Ivey Publishing, product no. H03WSY.</w:t>
      </w:r>
    </w:p>
  </w:footnote>
  <w:footnote w:id="14">
    <w:p w14:paraId="344F7634" w14:textId="5E5DFED1" w:rsidR="00321050" w:rsidRPr="00FB540A" w:rsidRDefault="00321050" w:rsidP="000472CF">
      <w:pPr>
        <w:pStyle w:val="Footnote"/>
        <w:rPr>
          <w:lang w:val="en-GB"/>
        </w:rPr>
      </w:pPr>
      <w:r w:rsidRPr="00FB540A">
        <w:rPr>
          <w:rStyle w:val="FootnoteReference"/>
          <w:lang w:val="en-GB"/>
        </w:rPr>
        <w:footnoteRef/>
      </w:r>
      <w:r w:rsidRPr="00FB540A">
        <w:rPr>
          <w:lang w:val="en-GB"/>
        </w:rPr>
        <w:t xml:space="preserve"> Kit Smith, “121 Amazing Social Media Statistics and Facts,” Brandwatch, October 2, 2018, accessed January 14, 2018, www.brandwatch.com/blog/96-amazing-social-media-statistics-and-facts-for-2016/.</w:t>
      </w:r>
    </w:p>
  </w:footnote>
  <w:footnote w:id="15">
    <w:p w14:paraId="6776789D" w14:textId="5DA22DA7" w:rsidR="00321050" w:rsidRPr="00FB540A" w:rsidRDefault="00321050" w:rsidP="003F044B">
      <w:pPr>
        <w:pStyle w:val="Footnote"/>
        <w:rPr>
          <w:lang w:val="en-GB"/>
        </w:rPr>
      </w:pPr>
      <w:r w:rsidRPr="00FB540A">
        <w:rPr>
          <w:rStyle w:val="FootnoteReference"/>
          <w:lang w:val="en-GB"/>
        </w:rPr>
        <w:footnoteRef/>
      </w:r>
      <w:r w:rsidRPr="00FB540A">
        <w:rPr>
          <w:lang w:val="en-GB"/>
        </w:rPr>
        <w:t xml:space="preserve"> “Why Social Media Is So Sweet for Wellness Businesses,” Wellpreneur, accessed January 14, 2018, http://wellpreneuronline.com/social-media-and-wellness/.</w:t>
      </w:r>
    </w:p>
  </w:footnote>
  <w:footnote w:id="16">
    <w:p w14:paraId="46FE0310" w14:textId="68573E85" w:rsidR="00321050" w:rsidRPr="00FB540A" w:rsidRDefault="00321050" w:rsidP="003F044B">
      <w:pPr>
        <w:pStyle w:val="Footnote"/>
        <w:rPr>
          <w:lang w:val="en-GB"/>
        </w:rPr>
      </w:pPr>
      <w:r w:rsidRPr="00FB540A">
        <w:rPr>
          <w:rStyle w:val="FootnoteReference"/>
          <w:lang w:val="en-GB"/>
        </w:rPr>
        <w:footnoteRef/>
      </w:r>
      <w:r w:rsidRPr="00FB540A">
        <w:rPr>
          <w:lang w:val="en-GB"/>
        </w:rPr>
        <w:t xml:space="preserve"> New World Encyclopedia, </w:t>
      </w:r>
      <w:r w:rsidR="002670AA" w:rsidRPr="00FB540A">
        <w:rPr>
          <w:lang w:val="en-GB"/>
        </w:rPr>
        <w:t xml:space="preserve">s.v., </w:t>
      </w:r>
      <w:r w:rsidRPr="00FB540A">
        <w:rPr>
          <w:lang w:val="en-GB"/>
        </w:rPr>
        <w:t>“Turmeric,” December 2015, accessed August 28, 2017, www.newworldencyclopedia.org/entry/Turmeric</w:t>
      </w:r>
      <w:r w:rsidR="005F7A9F" w:rsidRPr="00FB540A">
        <w:rPr>
          <w:lang w:val="en-GB"/>
        </w:rPr>
        <w:t>.</w:t>
      </w:r>
    </w:p>
  </w:footnote>
  <w:footnote w:id="17">
    <w:p w14:paraId="19C86976" w14:textId="287BFA81" w:rsidR="00321050" w:rsidRPr="00FB540A" w:rsidRDefault="00321050" w:rsidP="003F044B">
      <w:pPr>
        <w:pStyle w:val="Footnote"/>
        <w:rPr>
          <w:lang w:val="en-GB"/>
        </w:rPr>
      </w:pPr>
      <w:r w:rsidRPr="00FB540A">
        <w:rPr>
          <w:rStyle w:val="FootnoteReference"/>
          <w:lang w:val="en-GB"/>
        </w:rPr>
        <w:footnoteRef/>
      </w:r>
      <w:r w:rsidRPr="00FB540A">
        <w:rPr>
          <w:lang w:val="en-GB"/>
        </w:rPr>
        <w:t xml:space="preserve"> Health Canada, </w:t>
      </w:r>
      <w:r w:rsidRPr="00893EC1">
        <w:rPr>
          <w:i/>
          <w:lang w:val="en-GB"/>
        </w:rPr>
        <w:t>Natural Health Product: Turmeric – Curcuma Longa</w:t>
      </w:r>
      <w:r w:rsidRPr="00FB540A">
        <w:rPr>
          <w:lang w:val="en-GB"/>
        </w:rPr>
        <w:t>, February 25, 2010, accessed August 28, 2017, http://webprod.hc-sc.gc.ca/nhpid-bdipsn/monoReq.do?id=216.</w:t>
      </w:r>
    </w:p>
  </w:footnote>
  <w:footnote w:id="18">
    <w:p w14:paraId="04BCB38E" w14:textId="0F059CC6" w:rsidR="00321050" w:rsidRPr="00FB540A" w:rsidRDefault="00321050" w:rsidP="003F044B">
      <w:pPr>
        <w:pStyle w:val="Footnote"/>
        <w:rPr>
          <w:spacing w:val="-2"/>
          <w:lang w:val="en-GB"/>
        </w:rPr>
      </w:pPr>
      <w:r w:rsidRPr="00FB540A">
        <w:rPr>
          <w:rStyle w:val="FootnoteReference"/>
          <w:spacing w:val="-2"/>
          <w:lang w:val="en-GB"/>
        </w:rPr>
        <w:footnoteRef/>
      </w:r>
      <w:r w:rsidRPr="00FB540A">
        <w:rPr>
          <w:spacing w:val="-2"/>
          <w:lang w:val="en-GB"/>
        </w:rPr>
        <w:t xml:space="preserve"> Lan Sluder, “Summary of Key Information from Belize 2010 Census,” AmbergrisCaye.com, May 5, 2011, accessed September 6, 2017, https://ambergriscaye.com/forum/ubbthreads.php/topics/407013/Summary_of_Key_Data_in_Belize_.html.</w:t>
      </w:r>
    </w:p>
  </w:footnote>
  <w:footnote w:id="19">
    <w:p w14:paraId="564107C1" w14:textId="39F8C9E6" w:rsidR="00321050" w:rsidRPr="00FB540A" w:rsidRDefault="00321050" w:rsidP="003F044B">
      <w:pPr>
        <w:pStyle w:val="Footnote"/>
        <w:rPr>
          <w:lang w:val="en-GB"/>
        </w:rPr>
      </w:pPr>
      <w:r w:rsidRPr="00FB540A">
        <w:rPr>
          <w:rStyle w:val="FootnoteReference"/>
          <w:lang w:val="en-GB"/>
        </w:rPr>
        <w:footnoteRef/>
      </w:r>
      <w:r w:rsidRPr="00FB540A">
        <w:rPr>
          <w:lang w:val="en-GB"/>
        </w:rPr>
        <w:t xml:space="preserve"> Three employees opened small businesses of their own; one </w:t>
      </w:r>
      <w:r w:rsidR="002670AA" w:rsidRPr="00FB540A">
        <w:rPr>
          <w:lang w:val="en-GB"/>
        </w:rPr>
        <w:t xml:space="preserve">ran </w:t>
      </w:r>
      <w:r w:rsidRPr="00FB540A">
        <w:rPr>
          <w:lang w:val="en-GB"/>
        </w:rPr>
        <w:t>a haircutting business, and two others expanded their farming operations.</w:t>
      </w:r>
      <w:r w:rsidR="00B81524" w:rsidRPr="00FB540A">
        <w:rPr>
          <w:lang w:val="en-GB"/>
        </w:rPr>
        <w:t xml:space="preserve"> </w:t>
      </w:r>
    </w:p>
  </w:footnote>
  <w:footnote w:id="20">
    <w:p w14:paraId="3CE69553" w14:textId="7117E108" w:rsidR="00321050" w:rsidRPr="00FB540A" w:rsidRDefault="00321050" w:rsidP="003F044B">
      <w:pPr>
        <w:pStyle w:val="Footnote"/>
        <w:rPr>
          <w:lang w:val="en-GB"/>
        </w:rPr>
      </w:pPr>
      <w:r w:rsidRPr="00FB540A">
        <w:rPr>
          <w:rStyle w:val="FootnoteReference"/>
          <w:lang w:val="en-GB"/>
        </w:rPr>
        <w:footnoteRef/>
      </w:r>
      <w:r w:rsidRPr="00FB540A">
        <w:rPr>
          <w:lang w:val="en-GB"/>
        </w:rPr>
        <w:t xml:space="preserve"> “About Us,” Well.ca, accessed January 13, 2018, https://well.ca/about.</w:t>
      </w:r>
    </w:p>
  </w:footnote>
  <w:footnote w:id="21">
    <w:p w14:paraId="74FB5DCD" w14:textId="553E0436" w:rsidR="00321050" w:rsidRPr="00FB540A" w:rsidRDefault="00321050" w:rsidP="003F044B">
      <w:pPr>
        <w:pStyle w:val="Footnote"/>
        <w:rPr>
          <w:lang w:val="en-GB"/>
        </w:rPr>
      </w:pPr>
      <w:r w:rsidRPr="00FB540A">
        <w:rPr>
          <w:rStyle w:val="FootnoteReference"/>
          <w:lang w:val="en-GB"/>
        </w:rPr>
        <w:footnoteRef/>
      </w:r>
      <w:r w:rsidRPr="00FB540A">
        <w:rPr>
          <w:lang w:val="en-GB"/>
        </w:rPr>
        <w:t xml:space="preserve"> “About Us,” Vegan Supply Co., accessed January 13, 2018, https://vegansupply.ca/.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658966D" w:rsidR="00321050" w:rsidRPr="00C92CC4" w:rsidRDefault="0032105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D50D9">
      <w:rPr>
        <w:rFonts w:ascii="Arial" w:hAnsi="Arial"/>
        <w:b/>
        <w:noProof/>
      </w:rPr>
      <w:t>9</w:t>
    </w:r>
    <w:r>
      <w:rPr>
        <w:rFonts w:ascii="Arial" w:hAnsi="Arial"/>
        <w:b/>
      </w:rPr>
      <w:fldChar w:fldCharType="end"/>
    </w:r>
    <w:r>
      <w:rPr>
        <w:rFonts w:ascii="Arial" w:hAnsi="Arial"/>
        <w:b/>
      </w:rPr>
      <w:tab/>
    </w:r>
    <w:r w:rsidR="000657F2">
      <w:rPr>
        <w:rFonts w:ascii="Arial" w:hAnsi="Arial"/>
        <w:b/>
      </w:rPr>
      <w:t>9B19M037</w:t>
    </w:r>
  </w:p>
  <w:p w14:paraId="2B53C0A0" w14:textId="77777777" w:rsidR="00321050" w:rsidRDefault="00321050" w:rsidP="00D13667">
    <w:pPr>
      <w:pStyle w:val="Header"/>
      <w:tabs>
        <w:tab w:val="clear" w:pos="4680"/>
      </w:tabs>
      <w:rPr>
        <w:sz w:val="18"/>
        <w:szCs w:val="18"/>
      </w:rPr>
    </w:pPr>
  </w:p>
  <w:p w14:paraId="47119730" w14:textId="77777777" w:rsidR="00321050" w:rsidRPr="00C92CC4" w:rsidRDefault="0032105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3627C"/>
    <w:rsid w:val="00044ECC"/>
    <w:rsid w:val="000472CF"/>
    <w:rsid w:val="000531D3"/>
    <w:rsid w:val="0005646B"/>
    <w:rsid w:val="000657F2"/>
    <w:rsid w:val="0008102D"/>
    <w:rsid w:val="00086B26"/>
    <w:rsid w:val="00094C0E"/>
    <w:rsid w:val="00096391"/>
    <w:rsid w:val="0009704B"/>
    <w:rsid w:val="000A146D"/>
    <w:rsid w:val="000B25A3"/>
    <w:rsid w:val="000C5F75"/>
    <w:rsid w:val="000C711A"/>
    <w:rsid w:val="000D2A2F"/>
    <w:rsid w:val="000D7091"/>
    <w:rsid w:val="000E1485"/>
    <w:rsid w:val="000F0C22"/>
    <w:rsid w:val="000F6B09"/>
    <w:rsid w:val="000F6FDC"/>
    <w:rsid w:val="00104567"/>
    <w:rsid w:val="00104916"/>
    <w:rsid w:val="00104AA7"/>
    <w:rsid w:val="00106CA4"/>
    <w:rsid w:val="0012732D"/>
    <w:rsid w:val="00143F25"/>
    <w:rsid w:val="00152682"/>
    <w:rsid w:val="00154FC9"/>
    <w:rsid w:val="0016287F"/>
    <w:rsid w:val="00164B85"/>
    <w:rsid w:val="00184AC9"/>
    <w:rsid w:val="0019241A"/>
    <w:rsid w:val="00192A18"/>
    <w:rsid w:val="00193C94"/>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670AA"/>
    <w:rsid w:val="0027258E"/>
    <w:rsid w:val="002873B6"/>
    <w:rsid w:val="00294378"/>
    <w:rsid w:val="002A0622"/>
    <w:rsid w:val="002C067A"/>
    <w:rsid w:val="002C4E29"/>
    <w:rsid w:val="002C7B05"/>
    <w:rsid w:val="002F460C"/>
    <w:rsid w:val="002F48D6"/>
    <w:rsid w:val="003057AA"/>
    <w:rsid w:val="00310274"/>
    <w:rsid w:val="00317391"/>
    <w:rsid w:val="00321050"/>
    <w:rsid w:val="00326216"/>
    <w:rsid w:val="00336580"/>
    <w:rsid w:val="00343DFD"/>
    <w:rsid w:val="0034511A"/>
    <w:rsid w:val="00352465"/>
    <w:rsid w:val="00354899"/>
    <w:rsid w:val="00355FD6"/>
    <w:rsid w:val="00364A5C"/>
    <w:rsid w:val="00373FB1"/>
    <w:rsid w:val="00396C76"/>
    <w:rsid w:val="003B30D8"/>
    <w:rsid w:val="003B587F"/>
    <w:rsid w:val="003B767A"/>
    <w:rsid w:val="003B7EF2"/>
    <w:rsid w:val="003C3FA4"/>
    <w:rsid w:val="003D0BA1"/>
    <w:rsid w:val="003D43BA"/>
    <w:rsid w:val="003E6D5D"/>
    <w:rsid w:val="003F044B"/>
    <w:rsid w:val="003F2B0C"/>
    <w:rsid w:val="0040193E"/>
    <w:rsid w:val="004105B2"/>
    <w:rsid w:val="0041145A"/>
    <w:rsid w:val="00412900"/>
    <w:rsid w:val="004221E4"/>
    <w:rsid w:val="004273F8"/>
    <w:rsid w:val="004355A3"/>
    <w:rsid w:val="00446546"/>
    <w:rsid w:val="00452769"/>
    <w:rsid w:val="00454FA7"/>
    <w:rsid w:val="00465348"/>
    <w:rsid w:val="004735D9"/>
    <w:rsid w:val="004904FC"/>
    <w:rsid w:val="004979A5"/>
    <w:rsid w:val="004A25E0"/>
    <w:rsid w:val="004B1CCB"/>
    <w:rsid w:val="004B632F"/>
    <w:rsid w:val="004C4F2C"/>
    <w:rsid w:val="004D0702"/>
    <w:rsid w:val="004D3FB1"/>
    <w:rsid w:val="004D6F21"/>
    <w:rsid w:val="004D73A5"/>
    <w:rsid w:val="005051FF"/>
    <w:rsid w:val="005160F1"/>
    <w:rsid w:val="00524757"/>
    <w:rsid w:val="00524F2F"/>
    <w:rsid w:val="00526354"/>
    <w:rsid w:val="00527E5C"/>
    <w:rsid w:val="00532CF5"/>
    <w:rsid w:val="0054701D"/>
    <w:rsid w:val="005528CB"/>
    <w:rsid w:val="00566771"/>
    <w:rsid w:val="005815A0"/>
    <w:rsid w:val="00581E2E"/>
    <w:rsid w:val="00584F15"/>
    <w:rsid w:val="0059514B"/>
    <w:rsid w:val="005A1B0F"/>
    <w:rsid w:val="005B5EFE"/>
    <w:rsid w:val="005F4D79"/>
    <w:rsid w:val="005F7A9F"/>
    <w:rsid w:val="006163F7"/>
    <w:rsid w:val="00627C63"/>
    <w:rsid w:val="0063350B"/>
    <w:rsid w:val="00644C5E"/>
    <w:rsid w:val="00652606"/>
    <w:rsid w:val="006621EA"/>
    <w:rsid w:val="00685D1A"/>
    <w:rsid w:val="006946EE"/>
    <w:rsid w:val="006977EE"/>
    <w:rsid w:val="006A58A9"/>
    <w:rsid w:val="006A606D"/>
    <w:rsid w:val="006B6578"/>
    <w:rsid w:val="006C0371"/>
    <w:rsid w:val="006C08B6"/>
    <w:rsid w:val="006C0B1A"/>
    <w:rsid w:val="006C6065"/>
    <w:rsid w:val="006C7F9F"/>
    <w:rsid w:val="006E2F6D"/>
    <w:rsid w:val="006E58F6"/>
    <w:rsid w:val="006E77E1"/>
    <w:rsid w:val="006F131D"/>
    <w:rsid w:val="0070437B"/>
    <w:rsid w:val="0071034A"/>
    <w:rsid w:val="00711642"/>
    <w:rsid w:val="007456A6"/>
    <w:rsid w:val="00747530"/>
    <w:rsid w:val="007475D0"/>
    <w:rsid w:val="007507C6"/>
    <w:rsid w:val="00751E0B"/>
    <w:rsid w:val="00752BCD"/>
    <w:rsid w:val="00766DA1"/>
    <w:rsid w:val="00780D94"/>
    <w:rsid w:val="007866A6"/>
    <w:rsid w:val="007A130D"/>
    <w:rsid w:val="007D1A2D"/>
    <w:rsid w:val="007D272F"/>
    <w:rsid w:val="007D4102"/>
    <w:rsid w:val="007E54A7"/>
    <w:rsid w:val="007F43B7"/>
    <w:rsid w:val="00821FFC"/>
    <w:rsid w:val="008271CA"/>
    <w:rsid w:val="008467D5"/>
    <w:rsid w:val="00852193"/>
    <w:rsid w:val="00893EC1"/>
    <w:rsid w:val="008A4DC4"/>
    <w:rsid w:val="008B438C"/>
    <w:rsid w:val="008B687B"/>
    <w:rsid w:val="008D06CA"/>
    <w:rsid w:val="008D3A46"/>
    <w:rsid w:val="008F2385"/>
    <w:rsid w:val="009067A4"/>
    <w:rsid w:val="00906B07"/>
    <w:rsid w:val="0091148D"/>
    <w:rsid w:val="00930885"/>
    <w:rsid w:val="009335B9"/>
    <w:rsid w:val="00933D68"/>
    <w:rsid w:val="009340DB"/>
    <w:rsid w:val="00935F2C"/>
    <w:rsid w:val="009432FC"/>
    <w:rsid w:val="0094618C"/>
    <w:rsid w:val="0095684B"/>
    <w:rsid w:val="0096301C"/>
    <w:rsid w:val="00967862"/>
    <w:rsid w:val="00972498"/>
    <w:rsid w:val="0097481F"/>
    <w:rsid w:val="00974CC6"/>
    <w:rsid w:val="00976AD4"/>
    <w:rsid w:val="00992C35"/>
    <w:rsid w:val="00995547"/>
    <w:rsid w:val="00996730"/>
    <w:rsid w:val="009A312F"/>
    <w:rsid w:val="009A5348"/>
    <w:rsid w:val="009B0AB7"/>
    <w:rsid w:val="009C76D5"/>
    <w:rsid w:val="009D50D9"/>
    <w:rsid w:val="009F7AA4"/>
    <w:rsid w:val="00A10AD7"/>
    <w:rsid w:val="00A559DB"/>
    <w:rsid w:val="00A569EA"/>
    <w:rsid w:val="00A605A4"/>
    <w:rsid w:val="00A676A0"/>
    <w:rsid w:val="00A722F3"/>
    <w:rsid w:val="00A827BF"/>
    <w:rsid w:val="00A90ABE"/>
    <w:rsid w:val="00AC7381"/>
    <w:rsid w:val="00AD46B4"/>
    <w:rsid w:val="00AE258F"/>
    <w:rsid w:val="00AF04D6"/>
    <w:rsid w:val="00AF35FC"/>
    <w:rsid w:val="00AF5556"/>
    <w:rsid w:val="00B03639"/>
    <w:rsid w:val="00B0652A"/>
    <w:rsid w:val="00B40937"/>
    <w:rsid w:val="00B423EF"/>
    <w:rsid w:val="00B453DE"/>
    <w:rsid w:val="00B54DB3"/>
    <w:rsid w:val="00B62497"/>
    <w:rsid w:val="00B662E7"/>
    <w:rsid w:val="00B72597"/>
    <w:rsid w:val="00B81524"/>
    <w:rsid w:val="00B87DC0"/>
    <w:rsid w:val="00B901F9"/>
    <w:rsid w:val="00BC4D98"/>
    <w:rsid w:val="00BD6EFB"/>
    <w:rsid w:val="00BE3DF5"/>
    <w:rsid w:val="00BF5EAB"/>
    <w:rsid w:val="00C02410"/>
    <w:rsid w:val="00C02ED6"/>
    <w:rsid w:val="00C1584D"/>
    <w:rsid w:val="00C15BE2"/>
    <w:rsid w:val="00C3447F"/>
    <w:rsid w:val="00C44714"/>
    <w:rsid w:val="00C50B93"/>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37D4"/>
    <w:rsid w:val="00D36DD3"/>
    <w:rsid w:val="00D62D82"/>
    <w:rsid w:val="00D63150"/>
    <w:rsid w:val="00D636BA"/>
    <w:rsid w:val="00D64A32"/>
    <w:rsid w:val="00D64EFC"/>
    <w:rsid w:val="00D75295"/>
    <w:rsid w:val="00D76CE9"/>
    <w:rsid w:val="00D97F12"/>
    <w:rsid w:val="00DA543B"/>
    <w:rsid w:val="00DA6095"/>
    <w:rsid w:val="00DB4214"/>
    <w:rsid w:val="00DB42E7"/>
    <w:rsid w:val="00DC09D8"/>
    <w:rsid w:val="00DE01A6"/>
    <w:rsid w:val="00DE7A98"/>
    <w:rsid w:val="00DF32C2"/>
    <w:rsid w:val="00E471A7"/>
    <w:rsid w:val="00E635CF"/>
    <w:rsid w:val="00E75088"/>
    <w:rsid w:val="00EB1E3B"/>
    <w:rsid w:val="00EC6E0A"/>
    <w:rsid w:val="00ED4E18"/>
    <w:rsid w:val="00ED7922"/>
    <w:rsid w:val="00EE02C4"/>
    <w:rsid w:val="00EE1F37"/>
    <w:rsid w:val="00EE5B16"/>
    <w:rsid w:val="00EE78E3"/>
    <w:rsid w:val="00EF2FF5"/>
    <w:rsid w:val="00F0159C"/>
    <w:rsid w:val="00F105B7"/>
    <w:rsid w:val="00F13220"/>
    <w:rsid w:val="00F17A21"/>
    <w:rsid w:val="00F37B27"/>
    <w:rsid w:val="00F40EFD"/>
    <w:rsid w:val="00F410DB"/>
    <w:rsid w:val="00F46556"/>
    <w:rsid w:val="00F50E91"/>
    <w:rsid w:val="00F57D29"/>
    <w:rsid w:val="00F60786"/>
    <w:rsid w:val="00F63EA5"/>
    <w:rsid w:val="00F865E5"/>
    <w:rsid w:val="00F91BC7"/>
    <w:rsid w:val="00F93C52"/>
    <w:rsid w:val="00F96201"/>
    <w:rsid w:val="00FA1BBC"/>
    <w:rsid w:val="00FB30FE"/>
    <w:rsid w:val="00FB540A"/>
    <w:rsid w:val="00FD0B18"/>
    <w:rsid w:val="00FD2FAD"/>
    <w:rsid w:val="00FE70BA"/>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Style1">
    <w:name w:val="Style1"/>
    <w:basedOn w:val="FootnoteText"/>
    <w:link w:val="Style1Char"/>
    <w:qFormat/>
    <w:rsid w:val="000472CF"/>
    <w:rPr>
      <w:rFonts w:ascii="Calibri" w:hAnsi="Calibri"/>
      <w:color w:val="1F497D" w:themeColor="text2"/>
    </w:rPr>
  </w:style>
  <w:style w:type="character" w:customStyle="1" w:styleId="Style1Char">
    <w:name w:val="Style1 Char"/>
    <w:basedOn w:val="FootnoteTextChar"/>
    <w:link w:val="Style1"/>
    <w:rsid w:val="000472CF"/>
    <w:rPr>
      <w:rFonts w:ascii="Calibri" w:eastAsia="Times New Roman" w:hAnsi="Calibri" w:cs="Times New Roman"/>
      <w:color w:val="1F497D" w:themeColor="text2"/>
      <w:sz w:val="20"/>
      <w:szCs w:val="20"/>
    </w:rPr>
  </w:style>
  <w:style w:type="table" w:customStyle="1" w:styleId="TableGrid1">
    <w:name w:val="Table Grid1"/>
    <w:basedOn w:val="TableNormal"/>
    <w:next w:val="TableGrid"/>
    <w:uiPriority w:val="39"/>
    <w:rsid w:val="003F044B"/>
    <w:pPr>
      <w:spacing w:after="0" w:line="240" w:lineRule="auto"/>
    </w:pPr>
    <w:rPr>
      <w:rFonts w:ascii="Calibri" w:eastAsia="Times New Roman" w:hAnsi="Calibri" w:cs="Calibri"/>
      <w:sz w:val="20"/>
      <w:szCs w:val="20"/>
      <w:lang w:val="en-CA"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92774">
      <w:bodyDiv w:val="1"/>
      <w:marLeft w:val="0"/>
      <w:marRight w:val="0"/>
      <w:marTop w:val="0"/>
      <w:marBottom w:val="0"/>
      <w:divBdr>
        <w:top w:val="none" w:sz="0" w:space="0" w:color="auto"/>
        <w:left w:val="none" w:sz="0" w:space="0" w:color="auto"/>
        <w:bottom w:val="none" w:sz="0" w:space="0" w:color="auto"/>
        <w:right w:val="none" w:sz="0" w:space="0" w:color="auto"/>
      </w:divBdr>
    </w:div>
    <w:div w:id="794183120">
      <w:bodyDiv w:val="1"/>
      <w:marLeft w:val="0"/>
      <w:marRight w:val="0"/>
      <w:marTop w:val="0"/>
      <w:marBottom w:val="0"/>
      <w:divBdr>
        <w:top w:val="none" w:sz="0" w:space="0" w:color="auto"/>
        <w:left w:val="none" w:sz="0" w:space="0" w:color="auto"/>
        <w:bottom w:val="none" w:sz="0" w:space="0" w:color="auto"/>
        <w:right w:val="none" w:sz="0" w:space="0" w:color="auto"/>
      </w:divBdr>
    </w:div>
    <w:div w:id="1247963031">
      <w:bodyDiv w:val="1"/>
      <w:marLeft w:val="0"/>
      <w:marRight w:val="0"/>
      <w:marTop w:val="0"/>
      <w:marBottom w:val="0"/>
      <w:divBdr>
        <w:top w:val="none" w:sz="0" w:space="0" w:color="auto"/>
        <w:left w:val="none" w:sz="0" w:space="0" w:color="auto"/>
        <w:bottom w:val="none" w:sz="0" w:space="0" w:color="auto"/>
        <w:right w:val="none" w:sz="0" w:space="0" w:color="auto"/>
      </w:divBdr>
    </w:div>
    <w:div w:id="127489955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83049671">
      <w:bodyDiv w:val="1"/>
      <w:marLeft w:val="0"/>
      <w:marRight w:val="0"/>
      <w:marTop w:val="0"/>
      <w:marBottom w:val="0"/>
      <w:divBdr>
        <w:top w:val="none" w:sz="0" w:space="0" w:color="auto"/>
        <w:left w:val="none" w:sz="0" w:space="0" w:color="auto"/>
        <w:bottom w:val="none" w:sz="0" w:space="0" w:color="auto"/>
        <w:right w:val="none" w:sz="0" w:space="0" w:color="auto"/>
      </w:divBdr>
    </w:div>
    <w:div w:id="1786584665">
      <w:bodyDiv w:val="1"/>
      <w:marLeft w:val="0"/>
      <w:marRight w:val="0"/>
      <w:marTop w:val="0"/>
      <w:marBottom w:val="0"/>
      <w:divBdr>
        <w:top w:val="none" w:sz="0" w:space="0" w:color="auto"/>
        <w:left w:val="none" w:sz="0" w:space="0" w:color="auto"/>
        <w:bottom w:val="none" w:sz="0" w:space="0" w:color="auto"/>
        <w:right w:val="none" w:sz="0" w:space="0" w:color="auto"/>
      </w:divBdr>
    </w:div>
    <w:div w:id="203542366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br.org/2017/09/the-grocery-industry-confronts-a-new-problem-only-10-of-americans-love-c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1B28D-43D6-4669-8FDF-0E30FB92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2019-05-10T16:49:00Z</dcterms:created>
  <dcterms:modified xsi:type="dcterms:W3CDTF">2019-05-10T16:49:00Z</dcterms:modified>
</cp:coreProperties>
</file>