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5D125E" w:rsidRPr="005D125E" w14:paraId="1F903DE1" w14:textId="77777777" w:rsidTr="006708E1">
        <w:tc>
          <w:tcPr>
            <w:tcW w:w="4680" w:type="dxa"/>
          </w:tcPr>
          <w:p w14:paraId="631AC0C7" w14:textId="77777777" w:rsidR="005D125E" w:rsidRPr="005D125E" w:rsidRDefault="005D125E" w:rsidP="005D125E">
            <w:pPr>
              <w:tabs>
                <w:tab w:val="left" w:pos="-1440"/>
                <w:tab w:val="left" w:pos="-720"/>
                <w:tab w:val="left" w:pos="1"/>
              </w:tabs>
              <w:jc w:val="both"/>
              <w:rPr>
                <w:rFonts w:ascii="Arial" w:hAnsi="Arial"/>
                <w:b/>
                <w:sz w:val="24"/>
              </w:rPr>
            </w:pPr>
            <w:r w:rsidRPr="005D125E">
              <w:rPr>
                <w:rFonts w:ascii="Arial" w:hAnsi="Arial"/>
                <w:b/>
                <w:noProof/>
                <w:sz w:val="24"/>
              </w:rPr>
              <w:drawing>
                <wp:inline distT="0" distB="0" distL="0" distR="0" wp14:anchorId="450544C7" wp14:editId="762C5F74">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146270DB" w14:textId="77777777" w:rsidR="005D125E" w:rsidRPr="005D125E" w:rsidRDefault="005D125E" w:rsidP="005D125E">
            <w:pPr>
              <w:tabs>
                <w:tab w:val="left" w:pos="-1440"/>
                <w:tab w:val="left" w:pos="-720"/>
                <w:tab w:val="left" w:pos="1"/>
              </w:tabs>
              <w:jc w:val="right"/>
              <w:rPr>
                <w:rFonts w:ascii="Arial" w:hAnsi="Arial"/>
                <w:b/>
                <w:sz w:val="24"/>
              </w:rPr>
            </w:pPr>
            <w:r w:rsidRPr="005D125E">
              <w:rPr>
                <w:rFonts w:ascii="IveyVHWLogos" w:eastAsia="SimSun" w:hAnsi="IveyVHWLogos"/>
                <w:noProof/>
                <w:sz w:val="44"/>
                <w:szCs w:val="44"/>
              </w:rPr>
              <w:drawing>
                <wp:inline distT="0" distB="0" distL="0" distR="0" wp14:anchorId="1F56EB31" wp14:editId="648968A0">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7BA29CAD" w14:textId="77777777" w:rsidR="005D125E" w:rsidRPr="005D125E" w:rsidRDefault="005D125E" w:rsidP="005D125E">
      <w:pPr>
        <w:pBdr>
          <w:bottom w:val="single" w:sz="18" w:space="1" w:color="auto"/>
        </w:pBdr>
        <w:tabs>
          <w:tab w:val="left" w:pos="-1440"/>
          <w:tab w:val="left" w:pos="-720"/>
          <w:tab w:val="left" w:pos="1"/>
        </w:tabs>
        <w:jc w:val="both"/>
        <w:rPr>
          <w:rFonts w:ascii="Arial" w:hAnsi="Arial"/>
          <w:b/>
          <w:sz w:val="2"/>
          <w:szCs w:val="2"/>
        </w:rPr>
      </w:pPr>
    </w:p>
    <w:p w14:paraId="2861A50A" w14:textId="6D1B5006" w:rsidR="005D125E" w:rsidRPr="005D125E" w:rsidRDefault="005D125E" w:rsidP="005D125E">
      <w:pPr>
        <w:jc w:val="right"/>
        <w:rPr>
          <w:rFonts w:ascii="Arial" w:hAnsi="Arial"/>
          <w:b/>
          <w:caps/>
          <w:sz w:val="24"/>
        </w:rPr>
      </w:pPr>
      <w:r>
        <w:rPr>
          <w:rFonts w:ascii="Arial" w:hAnsi="Arial"/>
          <w:b/>
          <w:caps/>
          <w:sz w:val="24"/>
        </w:rPr>
        <w:t>9</w:t>
      </w:r>
      <w:bookmarkStart w:id="0" w:name="_GoBack"/>
      <w:bookmarkEnd w:id="0"/>
      <w:r w:rsidRPr="005D125E">
        <w:rPr>
          <w:rFonts w:ascii="Arial" w:hAnsi="Arial"/>
          <w:b/>
          <w:caps/>
          <w:sz w:val="24"/>
        </w:rPr>
        <w:t>B19M039</w:t>
      </w:r>
    </w:p>
    <w:p w14:paraId="717E157D" w14:textId="77777777" w:rsidR="00066A98" w:rsidRPr="004B063A" w:rsidRDefault="00066A98" w:rsidP="00066A98">
      <w:pPr>
        <w:jc w:val="right"/>
        <w:rPr>
          <w:rFonts w:ascii="Arial" w:hAnsi="Arial"/>
          <w:b/>
          <w:sz w:val="28"/>
          <w:szCs w:val="28"/>
          <w:lang w:val="en-GB"/>
        </w:rPr>
      </w:pPr>
    </w:p>
    <w:p w14:paraId="0D0B43AA" w14:textId="77777777" w:rsidR="00066A98" w:rsidRPr="004B063A" w:rsidRDefault="00066A98" w:rsidP="00066A98">
      <w:pPr>
        <w:jc w:val="right"/>
        <w:rPr>
          <w:rFonts w:ascii="Arial" w:hAnsi="Arial"/>
          <w:b/>
          <w:sz w:val="28"/>
          <w:szCs w:val="28"/>
          <w:lang w:val="en-GB"/>
        </w:rPr>
      </w:pPr>
    </w:p>
    <w:p w14:paraId="2F03D26A" w14:textId="12848588" w:rsidR="00013360" w:rsidRPr="004B063A" w:rsidRDefault="00E55448" w:rsidP="00013360">
      <w:pPr>
        <w:pStyle w:val="CaseTitle"/>
        <w:spacing w:after="0" w:line="240" w:lineRule="auto"/>
        <w:rPr>
          <w:sz w:val="20"/>
          <w:szCs w:val="20"/>
          <w:lang w:val="en-GB"/>
        </w:rPr>
      </w:pPr>
      <w:r w:rsidRPr="004B063A">
        <w:rPr>
          <w:rFonts w:eastAsia="Times New Roman"/>
          <w:lang w:val="en-GB"/>
        </w:rPr>
        <w:t>UNICOMMERCE</w:t>
      </w:r>
      <w:r w:rsidR="00E73DC2">
        <w:rPr>
          <w:rFonts w:eastAsia="Times New Roman"/>
          <w:lang w:val="en-GB"/>
        </w:rPr>
        <w:t xml:space="preserve"> </w:t>
      </w:r>
      <w:r w:rsidR="00E73DC2">
        <w:rPr>
          <w:spacing w:val="-2"/>
          <w:lang w:val="en-GB"/>
        </w:rPr>
        <w:t>eSolutions</w:t>
      </w:r>
      <w:r w:rsidRPr="004B063A">
        <w:rPr>
          <w:rFonts w:eastAsia="Times New Roman"/>
          <w:lang w:val="en-GB"/>
        </w:rPr>
        <w:t>: THE EXIT DECISION</w:t>
      </w:r>
    </w:p>
    <w:p w14:paraId="202F1085" w14:textId="3FE261B6" w:rsidR="00013360" w:rsidRPr="004B063A" w:rsidRDefault="00013360" w:rsidP="00013360">
      <w:pPr>
        <w:pStyle w:val="CaseTitle"/>
        <w:spacing w:after="0" w:line="240" w:lineRule="auto"/>
        <w:rPr>
          <w:sz w:val="20"/>
          <w:szCs w:val="20"/>
          <w:lang w:val="en-GB"/>
        </w:rPr>
      </w:pPr>
    </w:p>
    <w:p w14:paraId="042F8FED" w14:textId="77777777" w:rsidR="00066A98" w:rsidRPr="004B063A" w:rsidRDefault="00066A98" w:rsidP="00013360">
      <w:pPr>
        <w:pStyle w:val="CaseTitle"/>
        <w:spacing w:after="0" w:line="240" w:lineRule="auto"/>
        <w:rPr>
          <w:sz w:val="20"/>
          <w:szCs w:val="20"/>
          <w:lang w:val="en-GB"/>
        </w:rPr>
      </w:pPr>
    </w:p>
    <w:p w14:paraId="58B0C73F" w14:textId="12A3CE96" w:rsidR="00086B26" w:rsidRPr="004B063A" w:rsidRDefault="00E55448" w:rsidP="00086B26">
      <w:pPr>
        <w:pStyle w:val="StyleCopyrightStatementAfter0ptBottomSinglesolidline1"/>
        <w:rPr>
          <w:lang w:val="en-GB"/>
        </w:rPr>
      </w:pPr>
      <w:proofErr w:type="spellStart"/>
      <w:r w:rsidRPr="004B063A">
        <w:rPr>
          <w:lang w:val="en-GB"/>
        </w:rPr>
        <w:t>Nilesh</w:t>
      </w:r>
      <w:proofErr w:type="spellEnd"/>
      <w:r w:rsidRPr="004B063A">
        <w:rPr>
          <w:lang w:val="en-GB"/>
        </w:rPr>
        <w:t xml:space="preserve"> Gupta and </w:t>
      </w:r>
      <w:proofErr w:type="spellStart"/>
      <w:r w:rsidRPr="004B063A">
        <w:rPr>
          <w:lang w:val="en-GB"/>
        </w:rPr>
        <w:t>Shantam</w:t>
      </w:r>
      <w:proofErr w:type="spellEnd"/>
      <w:r w:rsidRPr="004B063A">
        <w:rPr>
          <w:lang w:val="en-GB"/>
        </w:rPr>
        <w:t xml:space="preserve"> Shukla</w:t>
      </w:r>
      <w:r w:rsidR="00ED7922" w:rsidRPr="004B063A">
        <w:rPr>
          <w:rFonts w:cs="Arial"/>
          <w:szCs w:val="16"/>
          <w:lang w:val="en-GB"/>
        </w:rPr>
        <w:t xml:space="preserve"> </w:t>
      </w:r>
      <w:r w:rsidR="00086B26" w:rsidRPr="004B063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866EA2F" w14:textId="24FCD745" w:rsidR="00E55448" w:rsidRPr="004B063A" w:rsidRDefault="00E55448" w:rsidP="00086B26">
      <w:pPr>
        <w:pStyle w:val="StyleCopyrightStatementAfter0ptBottomSinglesolidline1"/>
        <w:rPr>
          <w:lang w:val="en-GB"/>
        </w:rPr>
      </w:pPr>
    </w:p>
    <w:p w14:paraId="545BD10E" w14:textId="77777777" w:rsidR="005531E1" w:rsidRDefault="005531E1" w:rsidP="005531E1">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616FDD00" w14:textId="77777777" w:rsidR="005531E1" w:rsidRDefault="005531E1" w:rsidP="005531E1">
      <w:pPr>
        <w:pStyle w:val="StyleCopyrightStatementAfter0ptBottomSinglesolidline1"/>
        <w:pBdr>
          <w:top w:val="none" w:sz="0" w:space="0" w:color="auto"/>
        </w:pBdr>
      </w:pPr>
    </w:p>
    <w:p w14:paraId="3922E14F" w14:textId="5A5456D8" w:rsidR="00751E0B" w:rsidRPr="004B063A" w:rsidRDefault="005531E1" w:rsidP="005531E1">
      <w:pPr>
        <w:pStyle w:val="StyleStyleCopyrightStatementAfter0ptBottomSinglesolid"/>
        <w:rPr>
          <w:rFonts w:cs="Arial"/>
          <w:szCs w:val="16"/>
          <w:lang w:val="en-GB"/>
        </w:rPr>
      </w:pPr>
      <w:r>
        <w:t>Copyright © 2019, Ivey School of Business Foundation</w:t>
      </w:r>
      <w:r>
        <w:tab/>
        <w:t>Version: 2019-05-27</w:t>
      </w:r>
    </w:p>
    <w:p w14:paraId="2C183161" w14:textId="2D5F6727" w:rsidR="00B87DC0" w:rsidRPr="004B063A" w:rsidRDefault="00B87DC0" w:rsidP="004B632F">
      <w:pPr>
        <w:pStyle w:val="StyleCopyrightStatementAfter0ptBottomSinglesolidline1"/>
        <w:rPr>
          <w:rFonts w:ascii="Times New Roman" w:hAnsi="Times New Roman"/>
          <w:sz w:val="20"/>
          <w:lang w:val="en-GB"/>
        </w:rPr>
      </w:pPr>
    </w:p>
    <w:p w14:paraId="78D6A53E" w14:textId="77777777" w:rsidR="00066A98" w:rsidRPr="004B063A" w:rsidRDefault="00066A98" w:rsidP="004B632F">
      <w:pPr>
        <w:pStyle w:val="StyleCopyrightStatementAfter0ptBottomSinglesolidline1"/>
        <w:rPr>
          <w:rFonts w:ascii="Times New Roman" w:hAnsi="Times New Roman"/>
          <w:sz w:val="20"/>
          <w:lang w:val="en-GB"/>
        </w:rPr>
      </w:pPr>
    </w:p>
    <w:p w14:paraId="51829925" w14:textId="246D9B86" w:rsidR="00E55448" w:rsidRPr="004B063A" w:rsidRDefault="00514D1F" w:rsidP="00E55448">
      <w:pPr>
        <w:pStyle w:val="BodyTextMain"/>
        <w:rPr>
          <w:lang w:val="en-GB"/>
        </w:rPr>
      </w:pPr>
      <w:r>
        <w:rPr>
          <w:lang w:val="en-GB"/>
        </w:rPr>
        <w:t>On a</w:t>
      </w:r>
      <w:r w:rsidR="00FE6CDA" w:rsidRPr="004B063A">
        <w:rPr>
          <w:lang w:val="en-GB"/>
        </w:rPr>
        <w:t xml:space="preserve"> late evening in December 2014</w:t>
      </w:r>
      <w:r>
        <w:rPr>
          <w:lang w:val="en-GB"/>
        </w:rPr>
        <w:t xml:space="preserve">, </w:t>
      </w:r>
      <w:r w:rsidR="00FE6CDA" w:rsidRPr="004B063A">
        <w:rPr>
          <w:lang w:val="en-GB"/>
        </w:rPr>
        <w:t>Ankit</w:t>
      </w:r>
      <w:r w:rsidR="00881C8E">
        <w:rPr>
          <w:lang w:val="en-GB"/>
        </w:rPr>
        <w:t xml:space="preserve"> </w:t>
      </w:r>
      <w:proofErr w:type="spellStart"/>
      <w:r w:rsidR="00881C8E">
        <w:rPr>
          <w:lang w:val="en-GB"/>
        </w:rPr>
        <w:t>Pruthi</w:t>
      </w:r>
      <w:proofErr w:type="spellEnd"/>
      <w:r w:rsidR="00FE6CDA" w:rsidRPr="004B063A">
        <w:rPr>
          <w:lang w:val="en-GB"/>
        </w:rPr>
        <w:t xml:space="preserve"> called </w:t>
      </w:r>
      <w:proofErr w:type="spellStart"/>
      <w:r w:rsidR="00FE6CDA" w:rsidRPr="004B063A">
        <w:rPr>
          <w:lang w:val="en-GB"/>
        </w:rPr>
        <w:t>Vibhu</w:t>
      </w:r>
      <w:proofErr w:type="spellEnd"/>
      <w:r w:rsidR="00881C8E">
        <w:rPr>
          <w:lang w:val="en-GB"/>
        </w:rPr>
        <w:t xml:space="preserve"> Garg</w:t>
      </w:r>
      <w:r w:rsidR="00FE6CDA" w:rsidRPr="004B063A">
        <w:rPr>
          <w:lang w:val="en-GB"/>
        </w:rPr>
        <w:t xml:space="preserve"> and Karun</w:t>
      </w:r>
      <w:r w:rsidR="00881C8E">
        <w:rPr>
          <w:lang w:val="en-GB"/>
        </w:rPr>
        <w:t xml:space="preserve"> </w:t>
      </w:r>
      <w:proofErr w:type="spellStart"/>
      <w:r w:rsidR="00881C8E">
        <w:rPr>
          <w:lang w:val="en-GB"/>
        </w:rPr>
        <w:t>Singla</w:t>
      </w:r>
      <w:proofErr w:type="spellEnd"/>
      <w:r w:rsidR="00FE6CDA" w:rsidRPr="004B063A">
        <w:rPr>
          <w:lang w:val="en-GB"/>
        </w:rPr>
        <w:t xml:space="preserve"> for a meeting. It was the </w:t>
      </w:r>
      <w:r w:rsidR="00263EC6">
        <w:rPr>
          <w:lang w:val="en-GB"/>
        </w:rPr>
        <w:t>10</w:t>
      </w:r>
      <w:r w:rsidR="00FE6CDA" w:rsidRPr="004B063A">
        <w:rPr>
          <w:lang w:val="en-GB"/>
        </w:rPr>
        <w:t xml:space="preserve">th time over </w:t>
      </w:r>
      <w:r w:rsidR="00A21675">
        <w:rPr>
          <w:lang w:val="en-GB"/>
        </w:rPr>
        <w:t xml:space="preserve">the </w:t>
      </w:r>
      <w:r w:rsidR="00FE6CDA" w:rsidRPr="004B063A">
        <w:rPr>
          <w:lang w:val="en-GB"/>
        </w:rPr>
        <w:t xml:space="preserve">last three days that the three co-founders had met to discuss the future of </w:t>
      </w:r>
      <w:r w:rsidR="00AD6E4F">
        <w:rPr>
          <w:lang w:val="en-GB"/>
        </w:rPr>
        <w:t xml:space="preserve">their </w:t>
      </w:r>
      <w:proofErr w:type="gramStart"/>
      <w:r w:rsidR="00AD6E4F">
        <w:rPr>
          <w:lang w:val="en-GB"/>
        </w:rPr>
        <w:t>company</w:t>
      </w:r>
      <w:proofErr w:type="gramEnd"/>
      <w:r w:rsidR="00AD6E4F">
        <w:rPr>
          <w:lang w:val="en-GB"/>
        </w:rPr>
        <w:t xml:space="preserve">, </w:t>
      </w:r>
      <w:proofErr w:type="spellStart"/>
      <w:r w:rsidR="005B26DF" w:rsidRPr="004B063A">
        <w:rPr>
          <w:spacing w:val="-2"/>
          <w:lang w:val="en-GB"/>
        </w:rPr>
        <w:t>Unicommerce</w:t>
      </w:r>
      <w:proofErr w:type="spellEnd"/>
      <w:r w:rsidR="005B26DF" w:rsidRPr="004B063A">
        <w:rPr>
          <w:spacing w:val="-2"/>
          <w:lang w:val="en-GB"/>
        </w:rPr>
        <w:t xml:space="preserve"> </w:t>
      </w:r>
      <w:proofErr w:type="spellStart"/>
      <w:r w:rsidR="005B26DF" w:rsidRPr="004B063A">
        <w:rPr>
          <w:spacing w:val="-2"/>
          <w:lang w:val="en-GB"/>
        </w:rPr>
        <w:t>eSolutions</w:t>
      </w:r>
      <w:proofErr w:type="spellEnd"/>
      <w:r w:rsidR="005B26DF" w:rsidRPr="004B063A">
        <w:rPr>
          <w:spacing w:val="-2"/>
          <w:lang w:val="en-GB"/>
        </w:rPr>
        <w:t xml:space="preserve"> </w:t>
      </w:r>
      <w:proofErr w:type="spellStart"/>
      <w:r w:rsidR="005B26DF" w:rsidRPr="004B063A">
        <w:rPr>
          <w:spacing w:val="-2"/>
          <w:lang w:val="en-GB"/>
        </w:rPr>
        <w:t>Pvt.</w:t>
      </w:r>
      <w:proofErr w:type="spellEnd"/>
      <w:r w:rsidR="005B26DF" w:rsidRPr="004B063A">
        <w:rPr>
          <w:spacing w:val="-2"/>
          <w:lang w:val="en-GB"/>
        </w:rPr>
        <w:t xml:space="preserve"> </w:t>
      </w:r>
      <w:r w:rsidR="005B26DF">
        <w:rPr>
          <w:spacing w:val="-2"/>
          <w:lang w:val="en-GB"/>
        </w:rPr>
        <w:t>Ltd.</w:t>
      </w:r>
      <w:r w:rsidR="005B26DF" w:rsidRPr="004B063A">
        <w:rPr>
          <w:spacing w:val="-2"/>
          <w:lang w:val="en-GB"/>
        </w:rPr>
        <w:t xml:space="preserve"> </w:t>
      </w:r>
      <w:r w:rsidR="005B26DF">
        <w:rPr>
          <w:spacing w:val="-2"/>
          <w:lang w:val="en-GB"/>
        </w:rPr>
        <w:t>(</w:t>
      </w:r>
      <w:proofErr w:type="spellStart"/>
      <w:r w:rsidR="005B26DF">
        <w:rPr>
          <w:spacing w:val="-2"/>
          <w:lang w:val="en-GB"/>
        </w:rPr>
        <w:t>Unicommerce</w:t>
      </w:r>
      <w:proofErr w:type="spellEnd"/>
      <w:r w:rsidR="005B26DF">
        <w:rPr>
          <w:spacing w:val="-2"/>
          <w:lang w:val="en-GB"/>
        </w:rPr>
        <w:t>)</w:t>
      </w:r>
      <w:r w:rsidR="00FE6CDA" w:rsidRPr="004B063A">
        <w:rPr>
          <w:lang w:val="en-GB"/>
        </w:rPr>
        <w:t xml:space="preserve">. </w:t>
      </w:r>
      <w:proofErr w:type="spellStart"/>
      <w:r w:rsidR="00FE6CDA" w:rsidRPr="004B063A">
        <w:rPr>
          <w:lang w:val="en-GB"/>
        </w:rPr>
        <w:t>Unicommerce</w:t>
      </w:r>
      <w:proofErr w:type="spellEnd"/>
      <w:r w:rsidR="00FE6CDA" w:rsidRPr="004B063A">
        <w:rPr>
          <w:lang w:val="en-GB"/>
        </w:rPr>
        <w:t xml:space="preserve"> needed investments to scale up their existing business to service 10,000 or more clients. </w:t>
      </w:r>
      <w:r w:rsidR="00A21675">
        <w:rPr>
          <w:lang w:val="en-GB"/>
        </w:rPr>
        <w:t>A</w:t>
      </w:r>
      <w:r w:rsidR="00FE6CDA" w:rsidRPr="004B063A">
        <w:rPr>
          <w:lang w:val="en-GB"/>
        </w:rPr>
        <w:t xml:space="preserve"> couple of months ago, they </w:t>
      </w:r>
      <w:r w:rsidR="00A21675">
        <w:rPr>
          <w:lang w:val="en-GB"/>
        </w:rPr>
        <w:t xml:space="preserve">had </w:t>
      </w:r>
      <w:r w:rsidR="00FE6CDA" w:rsidRPr="004B063A">
        <w:rPr>
          <w:lang w:val="en-GB"/>
        </w:rPr>
        <w:t xml:space="preserve">received an offer for </w:t>
      </w:r>
      <w:r w:rsidR="00C34E68">
        <w:rPr>
          <w:lang w:val="en-GB"/>
        </w:rPr>
        <w:t>US</w:t>
      </w:r>
      <w:r w:rsidR="00FE6CDA" w:rsidRPr="004B063A">
        <w:rPr>
          <w:lang w:val="en-GB"/>
        </w:rPr>
        <w:t>$10</w:t>
      </w:r>
      <w:r w:rsidR="00A21675">
        <w:rPr>
          <w:lang w:val="en-GB"/>
        </w:rPr>
        <w:t xml:space="preserve"> million</w:t>
      </w:r>
      <w:r w:rsidR="00C34E68">
        <w:rPr>
          <w:rStyle w:val="FootnoteReference"/>
          <w:lang w:val="en-GB"/>
        </w:rPr>
        <w:footnoteReference w:id="1"/>
      </w:r>
      <w:r w:rsidR="00FE6CDA" w:rsidRPr="004B063A">
        <w:rPr>
          <w:lang w:val="en-GB"/>
        </w:rPr>
        <w:t xml:space="preserve"> </w:t>
      </w:r>
      <w:r w:rsidR="00AD6E4F">
        <w:rPr>
          <w:lang w:val="en-GB"/>
        </w:rPr>
        <w:t xml:space="preserve">in </w:t>
      </w:r>
      <w:r w:rsidR="00335B7E">
        <w:rPr>
          <w:lang w:val="en-GB"/>
        </w:rPr>
        <w:t>series-B</w:t>
      </w:r>
      <w:r w:rsidR="00FE6CDA" w:rsidRPr="004B063A">
        <w:rPr>
          <w:lang w:val="en-GB"/>
        </w:rPr>
        <w:t xml:space="preserve"> funding from Tiger Global</w:t>
      </w:r>
      <w:r w:rsidR="009301A9">
        <w:rPr>
          <w:lang w:val="en-GB"/>
        </w:rPr>
        <w:t xml:space="preserve"> Management (Tiger Global)</w:t>
      </w:r>
      <w:r w:rsidR="00FE6CDA" w:rsidRPr="004B063A">
        <w:rPr>
          <w:lang w:val="en-GB"/>
        </w:rPr>
        <w:t>. The offer seemed fair</w:t>
      </w:r>
      <w:r w:rsidR="00335B7E">
        <w:rPr>
          <w:lang w:val="en-GB"/>
        </w:rPr>
        <w:t>,</w:t>
      </w:r>
      <w:r w:rsidR="00FE6CDA" w:rsidRPr="004B063A">
        <w:rPr>
          <w:lang w:val="en-GB"/>
        </w:rPr>
        <w:t xml:space="preserve"> and the </w:t>
      </w:r>
      <w:r w:rsidR="00AD6E4F">
        <w:rPr>
          <w:lang w:val="en-GB"/>
        </w:rPr>
        <w:t>co-founders</w:t>
      </w:r>
      <w:r w:rsidR="00FE6CDA" w:rsidRPr="004B063A">
        <w:rPr>
          <w:lang w:val="en-GB"/>
        </w:rPr>
        <w:t xml:space="preserve"> w</w:t>
      </w:r>
      <w:r w:rsidR="00266FA4">
        <w:rPr>
          <w:lang w:val="en-GB"/>
        </w:rPr>
        <w:t>ere</w:t>
      </w:r>
      <w:r w:rsidR="00FE6CDA" w:rsidRPr="004B063A">
        <w:rPr>
          <w:lang w:val="en-GB"/>
        </w:rPr>
        <w:t xml:space="preserve"> inclined to pursue </w:t>
      </w:r>
      <w:r w:rsidR="00AD6E4F">
        <w:rPr>
          <w:lang w:val="en-GB"/>
        </w:rPr>
        <w:t>the deal</w:t>
      </w:r>
      <w:r w:rsidR="00FE6CDA" w:rsidRPr="004B063A">
        <w:rPr>
          <w:lang w:val="en-GB"/>
        </w:rPr>
        <w:t xml:space="preserve">. However, </w:t>
      </w:r>
      <w:r w:rsidR="00263EC6">
        <w:rPr>
          <w:lang w:val="en-GB"/>
        </w:rPr>
        <w:t>15</w:t>
      </w:r>
      <w:r w:rsidR="00FE6CDA" w:rsidRPr="004B063A">
        <w:rPr>
          <w:lang w:val="en-GB"/>
        </w:rPr>
        <w:t xml:space="preserve"> days </w:t>
      </w:r>
      <w:r w:rsidR="00066A98" w:rsidRPr="004B063A">
        <w:rPr>
          <w:lang w:val="en-GB"/>
        </w:rPr>
        <w:t>earlier</w:t>
      </w:r>
      <w:r w:rsidR="00FE6CDA" w:rsidRPr="004B063A">
        <w:rPr>
          <w:lang w:val="en-GB"/>
        </w:rPr>
        <w:t xml:space="preserve">, they </w:t>
      </w:r>
      <w:r w:rsidR="00335B7E">
        <w:rPr>
          <w:lang w:val="en-GB"/>
        </w:rPr>
        <w:t xml:space="preserve">had </w:t>
      </w:r>
      <w:r w:rsidR="00FE6CDA" w:rsidRPr="004B063A">
        <w:rPr>
          <w:lang w:val="en-GB"/>
        </w:rPr>
        <w:t xml:space="preserve">received an unexpected offer from </w:t>
      </w:r>
      <w:proofErr w:type="spellStart"/>
      <w:r w:rsidR="00335B7E">
        <w:rPr>
          <w:lang w:val="en-GB"/>
        </w:rPr>
        <w:t>Snapdeal</w:t>
      </w:r>
      <w:proofErr w:type="spellEnd"/>
      <w:r w:rsidR="00FE6CDA" w:rsidRPr="004B063A">
        <w:rPr>
          <w:lang w:val="en-GB"/>
        </w:rPr>
        <w:t xml:space="preserve">, a leading e-commerce firm, for a buyout. In the last week, the team had discussed and debated their options several times without </w:t>
      </w:r>
      <w:r w:rsidR="00713A8C">
        <w:rPr>
          <w:lang w:val="en-GB"/>
        </w:rPr>
        <w:t>coming to an agreement</w:t>
      </w:r>
      <w:r w:rsidR="00FE6CDA" w:rsidRPr="004B063A">
        <w:rPr>
          <w:lang w:val="en-GB"/>
        </w:rPr>
        <w:t xml:space="preserve">. While walking to the </w:t>
      </w:r>
      <w:r w:rsidR="00C32C59">
        <w:rPr>
          <w:lang w:val="en-GB"/>
        </w:rPr>
        <w:t xml:space="preserve">meeting </w:t>
      </w:r>
      <w:r w:rsidR="00FE6CDA" w:rsidRPr="004B063A">
        <w:rPr>
          <w:lang w:val="en-GB"/>
        </w:rPr>
        <w:t xml:space="preserve">room, </w:t>
      </w:r>
      <w:proofErr w:type="spellStart"/>
      <w:r w:rsidR="00881C8E">
        <w:rPr>
          <w:lang w:val="en-GB"/>
        </w:rPr>
        <w:t>Pruthi</w:t>
      </w:r>
      <w:proofErr w:type="spellEnd"/>
      <w:r w:rsidR="00FE6CDA" w:rsidRPr="004B063A">
        <w:rPr>
          <w:lang w:val="en-GB"/>
        </w:rPr>
        <w:t xml:space="preserve"> knew </w:t>
      </w:r>
      <w:r w:rsidR="00335B7E">
        <w:rPr>
          <w:lang w:val="en-GB"/>
        </w:rPr>
        <w:t xml:space="preserve">that </w:t>
      </w:r>
      <w:r w:rsidR="00FE6CDA" w:rsidRPr="004B063A">
        <w:rPr>
          <w:lang w:val="en-GB"/>
        </w:rPr>
        <w:t xml:space="preserve">the time for deliberations was over. By 9:00 </w:t>
      </w:r>
      <w:r w:rsidR="00263EC6">
        <w:rPr>
          <w:lang w:val="en-GB"/>
        </w:rPr>
        <w:t>a.m.</w:t>
      </w:r>
      <w:r w:rsidR="00FE6CDA" w:rsidRPr="004B063A">
        <w:rPr>
          <w:lang w:val="en-GB"/>
        </w:rPr>
        <w:t xml:space="preserve"> </w:t>
      </w:r>
      <w:r w:rsidR="00AD6E4F">
        <w:rPr>
          <w:lang w:val="en-GB"/>
        </w:rPr>
        <w:t>the next day</w:t>
      </w:r>
      <w:r w:rsidR="00FE6CDA" w:rsidRPr="004B063A">
        <w:rPr>
          <w:lang w:val="en-GB"/>
        </w:rPr>
        <w:t xml:space="preserve">, he would have to call </w:t>
      </w:r>
      <w:proofErr w:type="spellStart"/>
      <w:r w:rsidR="00FE6CDA" w:rsidRPr="004B063A">
        <w:rPr>
          <w:lang w:val="en-GB"/>
        </w:rPr>
        <w:t>Snapdeal</w:t>
      </w:r>
      <w:proofErr w:type="spellEnd"/>
      <w:r w:rsidR="00FE6CDA" w:rsidRPr="004B063A">
        <w:rPr>
          <w:lang w:val="en-GB"/>
        </w:rPr>
        <w:t xml:space="preserve"> and </w:t>
      </w:r>
      <w:r w:rsidR="00AD6E4F">
        <w:rPr>
          <w:lang w:val="en-GB"/>
        </w:rPr>
        <w:t>communicate</w:t>
      </w:r>
      <w:r w:rsidR="00FE6CDA" w:rsidRPr="004B063A">
        <w:rPr>
          <w:lang w:val="en-GB"/>
        </w:rPr>
        <w:t xml:space="preserve"> </w:t>
      </w:r>
      <w:proofErr w:type="spellStart"/>
      <w:r w:rsidR="00335B7E">
        <w:rPr>
          <w:lang w:val="en-GB"/>
        </w:rPr>
        <w:t>Unicommerce’s</w:t>
      </w:r>
      <w:proofErr w:type="spellEnd"/>
      <w:r w:rsidR="00335B7E" w:rsidRPr="004B063A">
        <w:rPr>
          <w:lang w:val="en-GB"/>
        </w:rPr>
        <w:t xml:space="preserve"> </w:t>
      </w:r>
      <w:r w:rsidR="00FE6CDA" w:rsidRPr="004B063A">
        <w:rPr>
          <w:lang w:val="en-GB"/>
        </w:rPr>
        <w:t>decision.</w:t>
      </w:r>
    </w:p>
    <w:p w14:paraId="1A3A1329" w14:textId="77777777" w:rsidR="00E55448" w:rsidRPr="004B063A" w:rsidRDefault="00E55448" w:rsidP="00E55448">
      <w:pPr>
        <w:pStyle w:val="BodyTextMain"/>
        <w:rPr>
          <w:lang w:val="en-GB"/>
        </w:rPr>
      </w:pPr>
    </w:p>
    <w:p w14:paraId="5D8E35F4" w14:textId="77777777" w:rsidR="00066A98" w:rsidRPr="004B063A" w:rsidRDefault="00066A98" w:rsidP="00E55448">
      <w:pPr>
        <w:pStyle w:val="BodyTextMain"/>
        <w:rPr>
          <w:lang w:val="en-GB"/>
        </w:rPr>
      </w:pPr>
    </w:p>
    <w:p w14:paraId="78B7CCD2" w14:textId="77777777" w:rsidR="00E55448" w:rsidRPr="004B063A" w:rsidRDefault="00E55448" w:rsidP="00E55448">
      <w:pPr>
        <w:pStyle w:val="Casehead1"/>
        <w:rPr>
          <w:lang w:val="en-GB"/>
        </w:rPr>
      </w:pPr>
      <w:r w:rsidRPr="004B063A">
        <w:rPr>
          <w:lang w:val="en-GB"/>
        </w:rPr>
        <w:t>Company History</w:t>
      </w:r>
    </w:p>
    <w:p w14:paraId="40FDC2E4" w14:textId="77777777" w:rsidR="00E55448" w:rsidRPr="004B063A" w:rsidRDefault="00E55448" w:rsidP="00E55448">
      <w:pPr>
        <w:pStyle w:val="BodyTextMain"/>
        <w:rPr>
          <w:lang w:val="en-GB"/>
        </w:rPr>
      </w:pPr>
    </w:p>
    <w:p w14:paraId="02644E9A" w14:textId="5B8A6ED2" w:rsidR="00E55448" w:rsidRPr="004B063A" w:rsidRDefault="006B5B38" w:rsidP="00E55448">
      <w:pPr>
        <w:pStyle w:val="BodyTextMain"/>
        <w:rPr>
          <w:spacing w:val="-2"/>
          <w:lang w:val="en-GB"/>
        </w:rPr>
      </w:pPr>
      <w:proofErr w:type="spellStart"/>
      <w:r>
        <w:rPr>
          <w:spacing w:val="-2"/>
          <w:lang w:val="en-GB"/>
        </w:rPr>
        <w:t>Unicommerce</w:t>
      </w:r>
      <w:proofErr w:type="spellEnd"/>
      <w:r w:rsidR="005B26DF" w:rsidRPr="004B063A">
        <w:rPr>
          <w:spacing w:val="-2"/>
          <w:lang w:val="en-GB"/>
        </w:rPr>
        <w:t xml:space="preserve"> </w:t>
      </w:r>
      <w:r w:rsidR="000C483D" w:rsidRPr="004B063A">
        <w:rPr>
          <w:spacing w:val="-2"/>
          <w:lang w:val="en-GB"/>
        </w:rPr>
        <w:t xml:space="preserve">was set up in 2012 as </w:t>
      </w:r>
      <w:r>
        <w:rPr>
          <w:spacing w:val="-2"/>
          <w:lang w:val="en-GB"/>
        </w:rPr>
        <w:t>a software-as-a-service</w:t>
      </w:r>
      <w:r w:rsidR="000C483D" w:rsidRPr="004B063A">
        <w:rPr>
          <w:spacing w:val="-2"/>
          <w:lang w:val="en-GB"/>
        </w:rPr>
        <w:t xml:space="preserve"> solution provider for </w:t>
      </w:r>
      <w:r w:rsidR="00C34E68">
        <w:rPr>
          <w:spacing w:val="-2"/>
          <w:lang w:val="en-GB"/>
        </w:rPr>
        <w:t>order-</w:t>
      </w:r>
      <w:r w:rsidR="00C34E68" w:rsidRPr="004B063A">
        <w:rPr>
          <w:spacing w:val="-2"/>
          <w:lang w:val="en-GB"/>
        </w:rPr>
        <w:t xml:space="preserve"> </w:t>
      </w:r>
      <w:r w:rsidR="000C483D" w:rsidRPr="004B063A">
        <w:rPr>
          <w:spacing w:val="-2"/>
          <w:lang w:val="en-GB"/>
        </w:rPr>
        <w:t xml:space="preserve">and </w:t>
      </w:r>
      <w:r w:rsidR="00C34E68">
        <w:rPr>
          <w:spacing w:val="-2"/>
          <w:lang w:val="en-GB"/>
        </w:rPr>
        <w:t>warehouse-management</w:t>
      </w:r>
      <w:r w:rsidR="000C483D" w:rsidRPr="004B063A">
        <w:rPr>
          <w:spacing w:val="-2"/>
          <w:lang w:val="en-GB"/>
        </w:rPr>
        <w:t xml:space="preserve"> activities in the e-commerce industry. </w:t>
      </w:r>
      <w:proofErr w:type="spellStart"/>
      <w:r w:rsidR="00881C8E">
        <w:rPr>
          <w:spacing w:val="-2"/>
          <w:lang w:val="en-GB"/>
        </w:rPr>
        <w:t>Pruthi</w:t>
      </w:r>
      <w:proofErr w:type="spellEnd"/>
      <w:r w:rsidR="000C483D" w:rsidRPr="004B063A">
        <w:rPr>
          <w:spacing w:val="-2"/>
          <w:lang w:val="en-GB"/>
        </w:rPr>
        <w:t xml:space="preserve">, </w:t>
      </w:r>
      <w:proofErr w:type="spellStart"/>
      <w:r w:rsidR="00881C8E">
        <w:rPr>
          <w:spacing w:val="-2"/>
          <w:lang w:val="en-GB"/>
        </w:rPr>
        <w:t>Singla</w:t>
      </w:r>
      <w:proofErr w:type="spellEnd"/>
      <w:r>
        <w:rPr>
          <w:spacing w:val="-2"/>
          <w:lang w:val="en-GB"/>
        </w:rPr>
        <w:t>,</w:t>
      </w:r>
      <w:r w:rsidR="000C483D" w:rsidRPr="004B063A">
        <w:rPr>
          <w:spacing w:val="-2"/>
          <w:lang w:val="en-GB"/>
        </w:rPr>
        <w:t xml:space="preserve"> and </w:t>
      </w:r>
      <w:r w:rsidR="00881C8E">
        <w:rPr>
          <w:spacing w:val="-2"/>
          <w:lang w:val="en-GB"/>
        </w:rPr>
        <w:t>Garg</w:t>
      </w:r>
      <w:r w:rsidR="00E7654B">
        <w:rPr>
          <w:spacing w:val="-2"/>
          <w:lang w:val="en-GB"/>
        </w:rPr>
        <w:t xml:space="preserve"> had been</w:t>
      </w:r>
      <w:r w:rsidR="000C483D" w:rsidRPr="004B063A">
        <w:rPr>
          <w:spacing w:val="-2"/>
          <w:lang w:val="en-GB"/>
        </w:rPr>
        <w:t xml:space="preserve"> </w:t>
      </w:r>
      <w:r>
        <w:rPr>
          <w:spacing w:val="-2"/>
          <w:lang w:val="en-GB"/>
        </w:rPr>
        <w:t>classmates</w:t>
      </w:r>
      <w:r w:rsidR="000C483D" w:rsidRPr="004B063A">
        <w:rPr>
          <w:spacing w:val="-2"/>
          <w:lang w:val="en-GB"/>
        </w:rPr>
        <w:t xml:space="preserve"> from the </w:t>
      </w:r>
      <w:r>
        <w:rPr>
          <w:spacing w:val="-2"/>
          <w:lang w:val="en-GB"/>
        </w:rPr>
        <w:t>Indian Institute of Technology Delhi (</w:t>
      </w:r>
      <w:r w:rsidR="000C483D" w:rsidRPr="004B063A">
        <w:rPr>
          <w:spacing w:val="-2"/>
          <w:lang w:val="en-GB"/>
        </w:rPr>
        <w:t>IIT Delhi</w:t>
      </w:r>
      <w:r>
        <w:rPr>
          <w:spacing w:val="-2"/>
          <w:lang w:val="en-GB"/>
        </w:rPr>
        <w:t>)</w:t>
      </w:r>
      <w:r w:rsidR="00C34E68">
        <w:rPr>
          <w:spacing w:val="-2"/>
          <w:lang w:val="en-GB"/>
        </w:rPr>
        <w:t>,</w:t>
      </w:r>
      <w:r w:rsidR="000C483D" w:rsidRPr="004B063A">
        <w:rPr>
          <w:spacing w:val="-2"/>
          <w:lang w:val="en-GB"/>
        </w:rPr>
        <w:t xml:space="preserve"> </w:t>
      </w:r>
      <w:r>
        <w:rPr>
          <w:spacing w:val="-2"/>
          <w:lang w:val="en-GB"/>
        </w:rPr>
        <w:t>class</w:t>
      </w:r>
      <w:r w:rsidRPr="004B063A">
        <w:rPr>
          <w:spacing w:val="-2"/>
          <w:lang w:val="en-GB"/>
        </w:rPr>
        <w:t xml:space="preserve"> </w:t>
      </w:r>
      <w:r w:rsidR="002B584C">
        <w:rPr>
          <w:spacing w:val="-2"/>
          <w:lang w:val="en-GB"/>
        </w:rPr>
        <w:t>of 2007</w:t>
      </w:r>
      <w:r w:rsidR="00E7654B">
        <w:rPr>
          <w:spacing w:val="-2"/>
          <w:lang w:val="en-GB"/>
        </w:rPr>
        <w:t xml:space="preserve">. They </w:t>
      </w:r>
      <w:r w:rsidR="000C483D" w:rsidRPr="004B063A">
        <w:rPr>
          <w:spacing w:val="-2"/>
          <w:lang w:val="en-GB"/>
        </w:rPr>
        <w:t xml:space="preserve">came together to </w:t>
      </w:r>
      <w:r w:rsidR="00C34E68">
        <w:rPr>
          <w:spacing w:val="-2"/>
          <w:lang w:val="en-GB"/>
        </w:rPr>
        <w:t>found</w:t>
      </w:r>
      <w:r w:rsidR="000C483D" w:rsidRPr="004B063A">
        <w:rPr>
          <w:spacing w:val="-2"/>
          <w:lang w:val="en-GB"/>
        </w:rPr>
        <w:t xml:space="preserve"> a </w:t>
      </w:r>
      <w:r w:rsidR="002B584C">
        <w:rPr>
          <w:spacing w:val="-2"/>
          <w:lang w:val="en-GB"/>
        </w:rPr>
        <w:t>start-up</w:t>
      </w:r>
      <w:r w:rsidR="000C483D" w:rsidRPr="004B063A">
        <w:rPr>
          <w:spacing w:val="-2"/>
          <w:lang w:val="en-GB"/>
        </w:rPr>
        <w:t xml:space="preserve"> in the rapidly growing e-commerce industry. Since their undergraduate days, they had dream</w:t>
      </w:r>
      <w:r w:rsidR="00263EC6">
        <w:rPr>
          <w:spacing w:val="-2"/>
          <w:lang w:val="en-GB"/>
        </w:rPr>
        <w:t>ed</w:t>
      </w:r>
      <w:r w:rsidR="000C483D" w:rsidRPr="004B063A">
        <w:rPr>
          <w:spacing w:val="-2"/>
          <w:lang w:val="en-GB"/>
        </w:rPr>
        <w:t xml:space="preserve"> of working together and starting their own business</w:t>
      </w:r>
      <w:r w:rsidR="00E7654B">
        <w:rPr>
          <w:spacing w:val="-2"/>
          <w:lang w:val="en-GB"/>
        </w:rPr>
        <w:t>.</w:t>
      </w:r>
      <w:r w:rsidR="000C483D" w:rsidRPr="004B063A">
        <w:rPr>
          <w:spacing w:val="-2"/>
          <w:lang w:val="en-GB"/>
        </w:rPr>
        <w:t xml:space="preserve"> Pioneers of </w:t>
      </w:r>
      <w:r w:rsidR="002B584C">
        <w:rPr>
          <w:spacing w:val="-2"/>
          <w:lang w:val="en-GB"/>
        </w:rPr>
        <w:t xml:space="preserve">the </w:t>
      </w:r>
      <w:r w:rsidR="000C483D" w:rsidRPr="004B063A">
        <w:rPr>
          <w:spacing w:val="-2"/>
          <w:lang w:val="en-GB"/>
        </w:rPr>
        <w:t>e-commerce industry in India</w:t>
      </w:r>
      <w:r w:rsidR="002B584C">
        <w:rPr>
          <w:spacing w:val="-2"/>
          <w:lang w:val="en-GB"/>
        </w:rPr>
        <w:t>—</w:t>
      </w:r>
      <w:r w:rsidR="000C483D" w:rsidRPr="004B063A">
        <w:rPr>
          <w:spacing w:val="-2"/>
          <w:lang w:val="en-GB"/>
        </w:rPr>
        <w:t xml:space="preserve">Sachin and </w:t>
      </w:r>
      <w:proofErr w:type="spellStart"/>
      <w:r w:rsidR="000C483D" w:rsidRPr="004B063A">
        <w:rPr>
          <w:spacing w:val="-2"/>
          <w:lang w:val="en-GB"/>
        </w:rPr>
        <w:t>Binny</w:t>
      </w:r>
      <w:proofErr w:type="spellEnd"/>
      <w:r w:rsidR="000C483D" w:rsidRPr="004B063A">
        <w:rPr>
          <w:spacing w:val="-2"/>
          <w:lang w:val="en-GB"/>
        </w:rPr>
        <w:t xml:space="preserve"> Bansal of Flipkart</w:t>
      </w:r>
      <w:r w:rsidR="002B584C">
        <w:rPr>
          <w:spacing w:val="-2"/>
          <w:lang w:val="en-GB"/>
        </w:rPr>
        <w:t xml:space="preserve"> </w:t>
      </w:r>
      <w:proofErr w:type="spellStart"/>
      <w:r w:rsidR="002B584C">
        <w:rPr>
          <w:spacing w:val="-2"/>
          <w:lang w:val="en-GB"/>
        </w:rPr>
        <w:t>Pvt.</w:t>
      </w:r>
      <w:proofErr w:type="spellEnd"/>
      <w:r w:rsidR="002B584C">
        <w:rPr>
          <w:spacing w:val="-2"/>
          <w:lang w:val="en-GB"/>
        </w:rPr>
        <w:t xml:space="preserve"> Ltd. (Flipkart)</w:t>
      </w:r>
      <w:r w:rsidR="000C483D" w:rsidRPr="004B063A">
        <w:rPr>
          <w:spacing w:val="-2"/>
          <w:lang w:val="en-GB"/>
        </w:rPr>
        <w:t xml:space="preserve">, </w:t>
      </w:r>
      <w:proofErr w:type="spellStart"/>
      <w:r w:rsidR="000C483D" w:rsidRPr="004B063A">
        <w:rPr>
          <w:spacing w:val="-2"/>
          <w:lang w:val="en-GB"/>
        </w:rPr>
        <w:t>Rohit</w:t>
      </w:r>
      <w:proofErr w:type="spellEnd"/>
      <w:r w:rsidR="000C483D" w:rsidRPr="004B063A">
        <w:rPr>
          <w:spacing w:val="-2"/>
          <w:lang w:val="en-GB"/>
        </w:rPr>
        <w:t xml:space="preserve"> Bansal of </w:t>
      </w:r>
      <w:proofErr w:type="spellStart"/>
      <w:r w:rsidR="000C483D" w:rsidRPr="004B063A">
        <w:rPr>
          <w:spacing w:val="-2"/>
          <w:lang w:val="en-GB"/>
        </w:rPr>
        <w:t>Snapdeal</w:t>
      </w:r>
      <w:proofErr w:type="spellEnd"/>
      <w:r w:rsidR="002B584C">
        <w:rPr>
          <w:spacing w:val="-2"/>
          <w:lang w:val="en-GB"/>
        </w:rPr>
        <w:t>,</w:t>
      </w:r>
      <w:r w:rsidR="000C483D" w:rsidRPr="004B063A">
        <w:rPr>
          <w:spacing w:val="-2"/>
          <w:lang w:val="en-GB"/>
        </w:rPr>
        <w:t xml:space="preserve"> and </w:t>
      </w:r>
      <w:proofErr w:type="spellStart"/>
      <w:r w:rsidR="000C483D" w:rsidRPr="004B063A">
        <w:rPr>
          <w:spacing w:val="-2"/>
          <w:lang w:val="en-GB"/>
        </w:rPr>
        <w:t>Deepinder</w:t>
      </w:r>
      <w:proofErr w:type="spellEnd"/>
      <w:r w:rsidR="000C483D" w:rsidRPr="004B063A">
        <w:rPr>
          <w:spacing w:val="-2"/>
          <w:lang w:val="en-GB"/>
        </w:rPr>
        <w:t xml:space="preserve"> Goyal of </w:t>
      </w:r>
      <w:proofErr w:type="spellStart"/>
      <w:r w:rsidR="000C483D" w:rsidRPr="004B063A">
        <w:rPr>
          <w:spacing w:val="-2"/>
          <w:lang w:val="en-GB"/>
        </w:rPr>
        <w:t>Zomato</w:t>
      </w:r>
      <w:proofErr w:type="spellEnd"/>
      <w:r w:rsidR="002B584C">
        <w:rPr>
          <w:spacing w:val="-2"/>
          <w:lang w:val="en-GB"/>
        </w:rPr>
        <w:t>—</w:t>
      </w:r>
      <w:r w:rsidR="000C483D" w:rsidRPr="004B063A">
        <w:rPr>
          <w:spacing w:val="-2"/>
          <w:lang w:val="en-GB"/>
        </w:rPr>
        <w:t xml:space="preserve">had their roots in IIT Delhi. However, unlike their alumni, </w:t>
      </w:r>
      <w:proofErr w:type="spellStart"/>
      <w:r w:rsidR="00881C8E">
        <w:rPr>
          <w:spacing w:val="-2"/>
          <w:lang w:val="en-GB"/>
        </w:rPr>
        <w:t>Pruthi</w:t>
      </w:r>
      <w:proofErr w:type="spellEnd"/>
      <w:r w:rsidR="000C483D" w:rsidRPr="004B063A">
        <w:rPr>
          <w:spacing w:val="-2"/>
          <w:lang w:val="en-GB"/>
        </w:rPr>
        <w:t xml:space="preserve">, </w:t>
      </w:r>
      <w:r w:rsidR="00881C8E">
        <w:rPr>
          <w:spacing w:val="-2"/>
          <w:lang w:val="en-GB"/>
        </w:rPr>
        <w:t>Garg</w:t>
      </w:r>
      <w:r w:rsidR="000C483D" w:rsidRPr="004B063A">
        <w:rPr>
          <w:spacing w:val="-2"/>
          <w:lang w:val="en-GB"/>
        </w:rPr>
        <w:t xml:space="preserve">, and </w:t>
      </w:r>
      <w:proofErr w:type="spellStart"/>
      <w:r w:rsidR="00881C8E">
        <w:rPr>
          <w:spacing w:val="-2"/>
          <w:lang w:val="en-GB"/>
        </w:rPr>
        <w:t>Singla</w:t>
      </w:r>
      <w:proofErr w:type="spellEnd"/>
      <w:r w:rsidR="000C483D" w:rsidRPr="004B063A">
        <w:rPr>
          <w:spacing w:val="-2"/>
          <w:lang w:val="en-GB"/>
        </w:rPr>
        <w:t xml:space="preserve"> wished to be technology providers</w:t>
      </w:r>
      <w:r w:rsidR="00263EC6">
        <w:rPr>
          <w:spacing w:val="-2"/>
          <w:lang w:val="en-GB"/>
        </w:rPr>
        <w:t>,</w:t>
      </w:r>
      <w:r w:rsidR="000C483D" w:rsidRPr="004B063A">
        <w:rPr>
          <w:spacing w:val="-2"/>
          <w:lang w:val="en-GB"/>
        </w:rPr>
        <w:t xml:space="preserve"> rather than front-end customer-facing retail platforms. They envisioned </w:t>
      </w:r>
      <w:proofErr w:type="spellStart"/>
      <w:r w:rsidR="000C483D" w:rsidRPr="004B063A">
        <w:rPr>
          <w:spacing w:val="-2"/>
          <w:lang w:val="en-GB"/>
        </w:rPr>
        <w:t>Unicommerce</w:t>
      </w:r>
      <w:proofErr w:type="spellEnd"/>
      <w:r w:rsidR="000C483D" w:rsidRPr="004B063A">
        <w:rPr>
          <w:spacing w:val="-2"/>
          <w:lang w:val="en-GB"/>
        </w:rPr>
        <w:t xml:space="preserve"> </w:t>
      </w:r>
      <w:r w:rsidR="002B584C">
        <w:rPr>
          <w:spacing w:val="-2"/>
          <w:lang w:val="en-GB"/>
        </w:rPr>
        <w:t>as</w:t>
      </w:r>
      <w:r w:rsidR="000C483D" w:rsidRPr="004B063A">
        <w:rPr>
          <w:spacing w:val="-2"/>
          <w:lang w:val="en-GB"/>
        </w:rPr>
        <w:t xml:space="preserve"> the core platform for information exchange between e-commerce sellers and e-commerce companies. They dream</w:t>
      </w:r>
      <w:r w:rsidR="00263EC6">
        <w:rPr>
          <w:spacing w:val="-2"/>
          <w:lang w:val="en-GB"/>
        </w:rPr>
        <w:t>ed</w:t>
      </w:r>
      <w:r w:rsidR="000C483D" w:rsidRPr="004B063A">
        <w:rPr>
          <w:spacing w:val="-2"/>
          <w:lang w:val="en-GB"/>
        </w:rPr>
        <w:t xml:space="preserve"> that every retailer, every distributor, every warehouse</w:t>
      </w:r>
      <w:r w:rsidR="002B584C">
        <w:rPr>
          <w:spacing w:val="-2"/>
          <w:lang w:val="en-GB"/>
        </w:rPr>
        <w:t>,</w:t>
      </w:r>
      <w:r w:rsidR="000C483D" w:rsidRPr="004B063A">
        <w:rPr>
          <w:spacing w:val="-2"/>
          <w:lang w:val="en-GB"/>
        </w:rPr>
        <w:t xml:space="preserve"> </w:t>
      </w:r>
      <w:r w:rsidR="00E7654B">
        <w:rPr>
          <w:spacing w:val="-2"/>
          <w:lang w:val="en-GB"/>
        </w:rPr>
        <w:t>and</w:t>
      </w:r>
      <w:r w:rsidR="000C483D" w:rsidRPr="004B063A">
        <w:rPr>
          <w:spacing w:val="-2"/>
          <w:lang w:val="en-GB"/>
        </w:rPr>
        <w:t xml:space="preserve"> every e-commerce firm </w:t>
      </w:r>
      <w:r w:rsidR="00C64FEA">
        <w:rPr>
          <w:spacing w:val="-2"/>
          <w:lang w:val="en-GB"/>
        </w:rPr>
        <w:t>would</w:t>
      </w:r>
      <w:r w:rsidR="00C64FEA" w:rsidRPr="004B063A">
        <w:rPr>
          <w:spacing w:val="-2"/>
          <w:lang w:val="en-GB"/>
        </w:rPr>
        <w:t xml:space="preserve"> </w:t>
      </w:r>
      <w:r w:rsidR="000C483D" w:rsidRPr="004B063A">
        <w:rPr>
          <w:spacing w:val="-2"/>
          <w:lang w:val="en-GB"/>
        </w:rPr>
        <w:t xml:space="preserve">engage with </w:t>
      </w:r>
      <w:proofErr w:type="spellStart"/>
      <w:r w:rsidR="000C483D" w:rsidRPr="004B063A">
        <w:rPr>
          <w:spacing w:val="-2"/>
          <w:lang w:val="en-GB"/>
        </w:rPr>
        <w:t>Unicommerce</w:t>
      </w:r>
      <w:proofErr w:type="spellEnd"/>
      <w:r w:rsidR="000C483D" w:rsidRPr="004B063A">
        <w:rPr>
          <w:spacing w:val="-2"/>
          <w:lang w:val="en-GB"/>
        </w:rPr>
        <w:t xml:space="preserve"> for their </w:t>
      </w:r>
      <w:r w:rsidR="00C64FEA">
        <w:rPr>
          <w:spacing w:val="-2"/>
          <w:lang w:val="en-GB"/>
        </w:rPr>
        <w:t>warehouse-</w:t>
      </w:r>
      <w:r w:rsidR="00C64FEA" w:rsidRPr="004B063A">
        <w:rPr>
          <w:spacing w:val="-2"/>
          <w:lang w:val="en-GB"/>
        </w:rPr>
        <w:t xml:space="preserve"> </w:t>
      </w:r>
      <w:r w:rsidR="000C483D" w:rsidRPr="004B063A">
        <w:rPr>
          <w:spacing w:val="-2"/>
          <w:lang w:val="en-GB"/>
        </w:rPr>
        <w:t xml:space="preserve">and </w:t>
      </w:r>
      <w:r w:rsidR="00C64FEA">
        <w:rPr>
          <w:spacing w:val="-2"/>
          <w:lang w:val="en-GB"/>
        </w:rPr>
        <w:t>order-management</w:t>
      </w:r>
      <w:r w:rsidR="000C483D" w:rsidRPr="004B063A">
        <w:rPr>
          <w:spacing w:val="-2"/>
          <w:lang w:val="en-GB"/>
        </w:rPr>
        <w:t xml:space="preserve"> needs.</w:t>
      </w:r>
    </w:p>
    <w:p w14:paraId="0A9F6438" w14:textId="77777777" w:rsidR="00406C55" w:rsidRPr="004B063A" w:rsidRDefault="00406C55" w:rsidP="00E55448">
      <w:pPr>
        <w:pStyle w:val="BodyTextMain"/>
        <w:rPr>
          <w:lang w:val="en-GB"/>
        </w:rPr>
      </w:pPr>
    </w:p>
    <w:p w14:paraId="69422FC8" w14:textId="1396D5A6" w:rsidR="00E55448" w:rsidRPr="004B063A" w:rsidRDefault="00406C55" w:rsidP="00E55448">
      <w:pPr>
        <w:pStyle w:val="BodyTextMain"/>
        <w:rPr>
          <w:lang w:val="en-GB"/>
        </w:rPr>
      </w:pPr>
      <w:r w:rsidRPr="004B063A">
        <w:rPr>
          <w:lang w:val="en-GB"/>
        </w:rPr>
        <w:t xml:space="preserve">In the past three years, </w:t>
      </w:r>
      <w:proofErr w:type="spellStart"/>
      <w:r w:rsidRPr="004B063A">
        <w:rPr>
          <w:lang w:val="en-GB"/>
        </w:rPr>
        <w:t>Unicommerce</w:t>
      </w:r>
      <w:proofErr w:type="spellEnd"/>
      <w:r w:rsidRPr="004B063A">
        <w:rPr>
          <w:lang w:val="en-GB"/>
        </w:rPr>
        <w:t xml:space="preserve"> had witnessed phenomenal growth</w:t>
      </w:r>
      <w:r w:rsidR="00C64FEA">
        <w:rPr>
          <w:lang w:val="en-GB"/>
        </w:rPr>
        <w:t>,</w:t>
      </w:r>
      <w:r w:rsidRPr="004B063A">
        <w:rPr>
          <w:lang w:val="en-GB"/>
        </w:rPr>
        <w:t xml:space="preserve"> </w:t>
      </w:r>
      <w:r w:rsidR="00C64FEA">
        <w:rPr>
          <w:lang w:val="en-GB"/>
        </w:rPr>
        <w:t>emerging</w:t>
      </w:r>
      <w:r w:rsidRPr="004B063A">
        <w:rPr>
          <w:lang w:val="en-GB"/>
        </w:rPr>
        <w:t xml:space="preserve"> as </w:t>
      </w:r>
      <w:r w:rsidR="00BF4DE2" w:rsidRPr="004B063A">
        <w:rPr>
          <w:lang w:val="en-GB"/>
        </w:rPr>
        <w:t xml:space="preserve">the </w:t>
      </w:r>
      <w:r w:rsidRPr="004B063A">
        <w:rPr>
          <w:lang w:val="en-GB"/>
        </w:rPr>
        <w:t xml:space="preserve">leading </w:t>
      </w:r>
      <w:r w:rsidR="00671A40">
        <w:rPr>
          <w:lang w:val="en-GB"/>
        </w:rPr>
        <w:t>warehouse-</w:t>
      </w:r>
      <w:r w:rsidR="00671A40" w:rsidRPr="004B063A">
        <w:rPr>
          <w:lang w:val="en-GB"/>
        </w:rPr>
        <w:t xml:space="preserve"> </w:t>
      </w:r>
      <w:r w:rsidRPr="004B063A">
        <w:rPr>
          <w:lang w:val="en-GB"/>
        </w:rPr>
        <w:t xml:space="preserve">and </w:t>
      </w:r>
      <w:r w:rsidR="00671A40">
        <w:rPr>
          <w:lang w:val="en-GB"/>
        </w:rPr>
        <w:t>order-management</w:t>
      </w:r>
      <w:r w:rsidR="0024493F" w:rsidRPr="004B063A">
        <w:rPr>
          <w:lang w:val="en-GB"/>
        </w:rPr>
        <w:t xml:space="preserve"> solution provider</w:t>
      </w:r>
      <w:r w:rsidRPr="004B063A">
        <w:rPr>
          <w:lang w:val="en-GB"/>
        </w:rPr>
        <w:t xml:space="preserve"> to sellers of goods on online platforms in India. Keeping up with the frantic pace of e-commerce growth in India, they grew from five clients in June 2012 </w:t>
      </w:r>
      <w:r w:rsidRPr="004B063A">
        <w:rPr>
          <w:lang w:val="en-GB"/>
        </w:rPr>
        <w:lastRenderedPageBreak/>
        <w:t xml:space="preserve">to nearly </w:t>
      </w:r>
      <w:r w:rsidR="00263EC6">
        <w:rPr>
          <w:lang w:val="en-GB"/>
        </w:rPr>
        <w:t>1,000</w:t>
      </w:r>
      <w:r w:rsidRPr="004B063A">
        <w:rPr>
          <w:lang w:val="en-GB"/>
        </w:rPr>
        <w:t xml:space="preserve"> by the end of 2014. </w:t>
      </w:r>
      <w:r w:rsidR="00E7654B">
        <w:rPr>
          <w:lang w:val="en-GB"/>
        </w:rPr>
        <w:t>In 2012, t</w:t>
      </w:r>
      <w:r w:rsidRPr="004B063A">
        <w:rPr>
          <w:lang w:val="en-GB"/>
        </w:rPr>
        <w:t>hey were financially sustainable</w:t>
      </w:r>
      <w:r w:rsidR="00C64FEA">
        <w:rPr>
          <w:lang w:val="en-GB"/>
        </w:rPr>
        <w:t>,</w:t>
      </w:r>
      <w:r w:rsidRPr="004B063A">
        <w:rPr>
          <w:lang w:val="en-GB"/>
        </w:rPr>
        <w:t xml:space="preserve"> </w:t>
      </w:r>
      <w:r w:rsidR="00263EC6">
        <w:rPr>
          <w:lang w:val="en-GB"/>
        </w:rPr>
        <w:t>enjoying</w:t>
      </w:r>
      <w:r w:rsidR="00C64FEA">
        <w:rPr>
          <w:lang w:val="en-GB"/>
        </w:rPr>
        <w:t xml:space="preserve"> </w:t>
      </w:r>
      <w:r w:rsidRPr="004B063A">
        <w:rPr>
          <w:lang w:val="en-GB"/>
        </w:rPr>
        <w:t xml:space="preserve">a very </w:t>
      </w:r>
      <w:r w:rsidR="00D2396E">
        <w:rPr>
          <w:lang w:val="en-GB"/>
        </w:rPr>
        <w:t>slow</w:t>
      </w:r>
      <w:r w:rsidR="00D2396E" w:rsidRPr="004B063A">
        <w:rPr>
          <w:lang w:val="en-GB"/>
        </w:rPr>
        <w:t xml:space="preserve"> </w:t>
      </w:r>
      <w:r w:rsidRPr="004B063A">
        <w:rPr>
          <w:lang w:val="en-GB"/>
        </w:rPr>
        <w:t>burn rate</w:t>
      </w:r>
      <w:r w:rsidR="00A270DA" w:rsidRPr="004B063A">
        <w:rPr>
          <w:rStyle w:val="FootnoteReference"/>
          <w:lang w:val="en-GB"/>
        </w:rPr>
        <w:footnoteReference w:id="2"/>
      </w:r>
      <w:r w:rsidRPr="004B063A">
        <w:rPr>
          <w:lang w:val="en-GB"/>
        </w:rPr>
        <w:t xml:space="preserve"> within a year of operation</w:t>
      </w:r>
      <w:r w:rsidR="00671A40">
        <w:rPr>
          <w:lang w:val="en-GB"/>
        </w:rPr>
        <w:t>—</w:t>
      </w:r>
      <w:r w:rsidRPr="004B063A">
        <w:rPr>
          <w:lang w:val="en-GB"/>
        </w:rPr>
        <w:t>a feat unheard of in the e-commerce industry.</w:t>
      </w:r>
    </w:p>
    <w:p w14:paraId="311194C3" w14:textId="3EA2C356" w:rsidR="00E55448" w:rsidRDefault="00E55448" w:rsidP="00E55448">
      <w:pPr>
        <w:pStyle w:val="BodyTextMain"/>
        <w:rPr>
          <w:lang w:val="en-GB"/>
        </w:rPr>
      </w:pPr>
    </w:p>
    <w:p w14:paraId="70948E5B" w14:textId="77777777" w:rsidR="005531E1" w:rsidRDefault="005531E1" w:rsidP="00E55448">
      <w:pPr>
        <w:pStyle w:val="BodyTextMain"/>
        <w:rPr>
          <w:lang w:val="en-GB"/>
        </w:rPr>
      </w:pPr>
    </w:p>
    <w:p w14:paraId="7F579C45" w14:textId="651DD2B8" w:rsidR="00E55448" w:rsidRPr="004B063A" w:rsidRDefault="00C64FEA" w:rsidP="00E55448">
      <w:pPr>
        <w:pStyle w:val="Casehead1"/>
        <w:rPr>
          <w:lang w:val="en-GB"/>
        </w:rPr>
      </w:pPr>
      <w:r>
        <w:rPr>
          <w:lang w:val="en-GB"/>
        </w:rPr>
        <w:t xml:space="preserve">The </w:t>
      </w:r>
      <w:r w:rsidR="00E55448" w:rsidRPr="004B063A">
        <w:rPr>
          <w:lang w:val="en-GB"/>
        </w:rPr>
        <w:t>E-Commerce Industry in India</w:t>
      </w:r>
    </w:p>
    <w:p w14:paraId="6C9FEFF7" w14:textId="77777777" w:rsidR="00E55448" w:rsidRPr="004B063A" w:rsidRDefault="00E55448" w:rsidP="00E55448">
      <w:pPr>
        <w:pStyle w:val="BodyTextMain"/>
        <w:rPr>
          <w:lang w:val="en-GB"/>
        </w:rPr>
      </w:pPr>
    </w:p>
    <w:p w14:paraId="4EC5B4D7" w14:textId="76CC0C11" w:rsidR="00E55448" w:rsidRPr="004B063A" w:rsidRDefault="008A1568" w:rsidP="008A1568">
      <w:pPr>
        <w:pStyle w:val="BodyTextMain"/>
        <w:rPr>
          <w:lang w:val="en-GB"/>
        </w:rPr>
      </w:pPr>
      <w:r w:rsidRPr="004B063A">
        <w:rPr>
          <w:lang w:val="en-GB"/>
        </w:rPr>
        <w:t xml:space="preserve">E-commerce in India took off exponentially </w:t>
      </w:r>
      <w:r w:rsidR="001B3691" w:rsidRPr="004B063A">
        <w:rPr>
          <w:lang w:val="en-GB"/>
        </w:rPr>
        <w:t xml:space="preserve">in </w:t>
      </w:r>
      <w:r w:rsidR="00671A40">
        <w:rPr>
          <w:lang w:val="en-GB"/>
        </w:rPr>
        <w:t>the latter</w:t>
      </w:r>
      <w:r w:rsidR="00671A40" w:rsidRPr="004B063A">
        <w:rPr>
          <w:lang w:val="en-GB"/>
        </w:rPr>
        <w:t xml:space="preserve"> </w:t>
      </w:r>
      <w:r w:rsidR="001B3691" w:rsidRPr="004B063A">
        <w:rPr>
          <w:lang w:val="en-GB"/>
        </w:rPr>
        <w:t>half of the 2000s</w:t>
      </w:r>
      <w:r w:rsidRPr="004B063A">
        <w:rPr>
          <w:lang w:val="en-GB"/>
        </w:rPr>
        <w:t xml:space="preserve">. </w:t>
      </w:r>
      <w:r w:rsidR="001B3691" w:rsidRPr="004B063A">
        <w:rPr>
          <w:lang w:val="en-GB"/>
        </w:rPr>
        <w:t xml:space="preserve">A novelty and luxury for most, </w:t>
      </w:r>
      <w:r w:rsidR="00671A40">
        <w:rPr>
          <w:lang w:val="en-GB"/>
        </w:rPr>
        <w:t xml:space="preserve">Internet </w:t>
      </w:r>
      <w:r w:rsidR="001B3691" w:rsidRPr="004B063A">
        <w:rPr>
          <w:lang w:val="en-GB"/>
        </w:rPr>
        <w:t xml:space="preserve">access </w:t>
      </w:r>
      <w:r w:rsidR="00671A40">
        <w:rPr>
          <w:lang w:val="en-GB"/>
        </w:rPr>
        <w:t>was</w:t>
      </w:r>
      <w:r w:rsidR="00671A40" w:rsidRPr="004B063A">
        <w:rPr>
          <w:lang w:val="en-GB"/>
        </w:rPr>
        <w:t xml:space="preserve"> </w:t>
      </w:r>
      <w:r w:rsidR="001B3691" w:rsidRPr="004B063A">
        <w:rPr>
          <w:lang w:val="en-GB"/>
        </w:rPr>
        <w:t xml:space="preserve">available </w:t>
      </w:r>
      <w:r w:rsidR="00343973">
        <w:rPr>
          <w:lang w:val="en-GB"/>
        </w:rPr>
        <w:t>to</w:t>
      </w:r>
      <w:r w:rsidR="00C47280" w:rsidRPr="004B063A">
        <w:rPr>
          <w:lang w:val="en-GB"/>
        </w:rPr>
        <w:t xml:space="preserve"> </w:t>
      </w:r>
      <w:r w:rsidR="00343973">
        <w:rPr>
          <w:lang w:val="en-GB"/>
        </w:rPr>
        <w:t xml:space="preserve">only </w:t>
      </w:r>
      <w:r w:rsidR="00263EC6">
        <w:rPr>
          <w:lang w:val="en-GB"/>
        </w:rPr>
        <w:t>5</w:t>
      </w:r>
      <w:r w:rsidR="00671A40" w:rsidRPr="004B063A">
        <w:rPr>
          <w:lang w:val="en-GB"/>
        </w:rPr>
        <w:t xml:space="preserve"> </w:t>
      </w:r>
      <w:r w:rsidR="00C47280" w:rsidRPr="004B063A">
        <w:rPr>
          <w:lang w:val="en-GB"/>
        </w:rPr>
        <w:t>million users in 2000</w:t>
      </w:r>
      <w:r w:rsidR="00343973">
        <w:rPr>
          <w:lang w:val="en-GB"/>
        </w:rPr>
        <w:t>, a mere 0.5% of the population</w:t>
      </w:r>
      <w:r w:rsidR="00B33D6A">
        <w:rPr>
          <w:rStyle w:val="FootnoteReference"/>
          <w:lang w:val="en-GB"/>
        </w:rPr>
        <w:footnoteReference w:id="3"/>
      </w:r>
      <w:r w:rsidR="00343973">
        <w:rPr>
          <w:lang w:val="en-GB"/>
        </w:rPr>
        <w:t xml:space="preserve"> </w:t>
      </w:r>
      <w:r w:rsidR="001B3691" w:rsidRPr="004B063A">
        <w:rPr>
          <w:lang w:val="en-GB"/>
        </w:rPr>
        <w:t>.</w:t>
      </w:r>
      <w:r w:rsidR="00533C52" w:rsidRPr="004B063A">
        <w:rPr>
          <w:lang w:val="en-GB"/>
        </w:rPr>
        <w:t xml:space="preserve"> I</w:t>
      </w:r>
      <w:r w:rsidRPr="004B063A">
        <w:rPr>
          <w:lang w:val="en-GB"/>
        </w:rPr>
        <w:t>nternet connectivity was slow</w:t>
      </w:r>
      <w:r w:rsidR="00671A40">
        <w:rPr>
          <w:lang w:val="en-GB"/>
        </w:rPr>
        <w:t>,</w:t>
      </w:r>
      <w:r w:rsidRPr="004B063A">
        <w:rPr>
          <w:lang w:val="en-GB"/>
        </w:rPr>
        <w:t xml:space="preserve"> and </w:t>
      </w:r>
      <w:r w:rsidR="00934052" w:rsidRPr="004B063A">
        <w:rPr>
          <w:lang w:val="en-GB"/>
        </w:rPr>
        <w:t xml:space="preserve">it was used mostly for seeking information. </w:t>
      </w:r>
      <w:r w:rsidR="00671A40">
        <w:rPr>
          <w:lang w:val="en-GB"/>
        </w:rPr>
        <w:t>Using the Internet for the sale</w:t>
      </w:r>
      <w:r w:rsidRPr="004B063A">
        <w:rPr>
          <w:lang w:val="en-GB"/>
        </w:rPr>
        <w:t xml:space="preserve"> and purchase of goods </w:t>
      </w:r>
      <w:r w:rsidR="00671A40">
        <w:rPr>
          <w:lang w:val="en-GB"/>
        </w:rPr>
        <w:t>was</w:t>
      </w:r>
      <w:r w:rsidR="00671A40" w:rsidRPr="004B063A">
        <w:rPr>
          <w:lang w:val="en-GB"/>
        </w:rPr>
        <w:t xml:space="preserve"> </w:t>
      </w:r>
      <w:r w:rsidRPr="004B063A">
        <w:rPr>
          <w:lang w:val="en-GB"/>
        </w:rPr>
        <w:t>inconceivable for a large part of the population. Low demand</w:t>
      </w:r>
      <w:r w:rsidR="00263EC6">
        <w:rPr>
          <w:lang w:val="en-GB"/>
        </w:rPr>
        <w:t>,</w:t>
      </w:r>
      <w:r w:rsidRPr="004B063A">
        <w:rPr>
          <w:lang w:val="en-GB"/>
        </w:rPr>
        <w:t xml:space="preserve"> coupled with </w:t>
      </w:r>
      <w:r w:rsidR="007D72AA">
        <w:rPr>
          <w:lang w:val="en-GB"/>
        </w:rPr>
        <w:t xml:space="preserve">the </w:t>
      </w:r>
      <w:r w:rsidRPr="004B063A">
        <w:rPr>
          <w:lang w:val="en-GB"/>
        </w:rPr>
        <w:t xml:space="preserve">lack of </w:t>
      </w:r>
      <w:r w:rsidR="007D72AA">
        <w:rPr>
          <w:lang w:val="en-GB"/>
        </w:rPr>
        <w:t xml:space="preserve">a </w:t>
      </w:r>
      <w:r w:rsidRPr="004B063A">
        <w:rPr>
          <w:lang w:val="en-GB"/>
        </w:rPr>
        <w:t>supporting ecosystem</w:t>
      </w:r>
      <w:r w:rsidR="00263EC6">
        <w:rPr>
          <w:lang w:val="en-GB"/>
        </w:rPr>
        <w:t>,</w:t>
      </w:r>
      <w:r w:rsidRPr="004B063A">
        <w:rPr>
          <w:lang w:val="en-GB"/>
        </w:rPr>
        <w:t xml:space="preserve"> </w:t>
      </w:r>
      <w:r w:rsidR="00A5762A">
        <w:rPr>
          <w:lang w:val="en-GB"/>
        </w:rPr>
        <w:t xml:space="preserve">could have affected </w:t>
      </w:r>
      <w:r w:rsidR="00E3345B" w:rsidRPr="004B063A">
        <w:rPr>
          <w:lang w:val="en-GB"/>
        </w:rPr>
        <w:t>the viability</w:t>
      </w:r>
      <w:r w:rsidRPr="004B063A">
        <w:rPr>
          <w:lang w:val="en-GB"/>
        </w:rPr>
        <w:t xml:space="preserve"> of online businesses</w:t>
      </w:r>
      <w:r w:rsidR="00A5762A">
        <w:rPr>
          <w:lang w:val="en-GB"/>
        </w:rPr>
        <w:t xml:space="preserve"> that did not</w:t>
      </w:r>
      <w:r w:rsidRPr="004B063A">
        <w:rPr>
          <w:lang w:val="en-GB"/>
        </w:rPr>
        <w:t xml:space="preserve"> survive the </w:t>
      </w:r>
      <w:r w:rsidR="007D72AA">
        <w:rPr>
          <w:lang w:val="en-GB"/>
        </w:rPr>
        <w:t>dot-com</w:t>
      </w:r>
      <w:r w:rsidR="007D72AA" w:rsidRPr="004B063A">
        <w:rPr>
          <w:lang w:val="en-GB"/>
        </w:rPr>
        <w:t xml:space="preserve"> </w:t>
      </w:r>
      <w:r w:rsidRPr="004B063A">
        <w:rPr>
          <w:lang w:val="en-GB"/>
        </w:rPr>
        <w:t>bust of 2000.</w:t>
      </w:r>
    </w:p>
    <w:p w14:paraId="726C3882" w14:textId="77777777" w:rsidR="008A1568" w:rsidRPr="004B063A" w:rsidRDefault="008A1568" w:rsidP="008A1568">
      <w:pPr>
        <w:pStyle w:val="BodyTextMain"/>
        <w:rPr>
          <w:lang w:val="en-GB"/>
        </w:rPr>
      </w:pPr>
    </w:p>
    <w:p w14:paraId="11B77B58" w14:textId="6B1D6E1D" w:rsidR="00E55448" w:rsidRPr="004B063A" w:rsidRDefault="00491C54" w:rsidP="00491C54">
      <w:pPr>
        <w:pStyle w:val="BodyTextMain"/>
        <w:rPr>
          <w:spacing w:val="-2"/>
          <w:lang w:val="en-GB"/>
        </w:rPr>
      </w:pPr>
      <w:r w:rsidRPr="004B063A">
        <w:rPr>
          <w:spacing w:val="-2"/>
          <w:lang w:val="en-GB"/>
        </w:rPr>
        <w:t xml:space="preserve">The second wave for online retail was </w:t>
      </w:r>
      <w:r w:rsidR="001A67A5" w:rsidRPr="004B063A">
        <w:rPr>
          <w:spacing w:val="-2"/>
          <w:lang w:val="en-GB"/>
        </w:rPr>
        <w:t>enabled</w:t>
      </w:r>
      <w:r w:rsidRPr="004B063A">
        <w:rPr>
          <w:spacing w:val="-2"/>
          <w:lang w:val="en-GB"/>
        </w:rPr>
        <w:t xml:space="preserve"> by the advent of low-cost airlines in early 2000. As more Indians </w:t>
      </w:r>
      <w:r w:rsidR="007D72AA">
        <w:rPr>
          <w:spacing w:val="-2"/>
          <w:lang w:val="en-GB"/>
        </w:rPr>
        <w:t>had the</w:t>
      </w:r>
      <w:r w:rsidRPr="004B063A">
        <w:rPr>
          <w:spacing w:val="-2"/>
          <w:lang w:val="en-GB"/>
        </w:rPr>
        <w:t xml:space="preserve"> opportunity to fly, online travel agencies emerged as intermediaries to facilitate air travel</w:t>
      </w:r>
      <w:r w:rsidR="005567A2" w:rsidRPr="004B063A">
        <w:rPr>
          <w:spacing w:val="-2"/>
          <w:lang w:val="en-GB"/>
        </w:rPr>
        <w:t xml:space="preserve"> </w:t>
      </w:r>
      <w:r w:rsidRPr="004B063A">
        <w:rPr>
          <w:spacing w:val="-2"/>
          <w:lang w:val="en-GB"/>
        </w:rPr>
        <w:t>(</w:t>
      </w:r>
      <w:r w:rsidRPr="00560645">
        <w:rPr>
          <w:spacing w:val="-2"/>
          <w:lang w:val="en-GB"/>
        </w:rPr>
        <w:t xml:space="preserve">see </w:t>
      </w:r>
      <w:r w:rsidRPr="009E5B12">
        <w:rPr>
          <w:spacing w:val="-2"/>
          <w:lang w:val="en-GB"/>
        </w:rPr>
        <w:t>Exhibit 1</w:t>
      </w:r>
      <w:r w:rsidRPr="004B063A">
        <w:rPr>
          <w:spacing w:val="-2"/>
          <w:lang w:val="en-GB"/>
        </w:rPr>
        <w:t xml:space="preserve">). </w:t>
      </w:r>
      <w:r w:rsidR="007D72AA">
        <w:rPr>
          <w:spacing w:val="-2"/>
          <w:lang w:val="en-GB"/>
        </w:rPr>
        <w:t>E-tailing,</w:t>
      </w:r>
      <w:r w:rsidRPr="004B063A">
        <w:rPr>
          <w:spacing w:val="-2"/>
          <w:lang w:val="en-GB"/>
        </w:rPr>
        <w:t xml:space="preserve"> or </w:t>
      </w:r>
      <w:r w:rsidR="007D72AA">
        <w:rPr>
          <w:spacing w:val="-2"/>
          <w:lang w:val="en-GB"/>
        </w:rPr>
        <w:t xml:space="preserve">the </w:t>
      </w:r>
      <w:r w:rsidRPr="004B063A">
        <w:rPr>
          <w:spacing w:val="-2"/>
          <w:lang w:val="en-GB"/>
        </w:rPr>
        <w:t>sale of goods through online platform</w:t>
      </w:r>
      <w:r w:rsidR="007D72AA">
        <w:rPr>
          <w:spacing w:val="-2"/>
          <w:lang w:val="en-GB"/>
        </w:rPr>
        <w:t>s,</w:t>
      </w:r>
      <w:r w:rsidRPr="004B063A">
        <w:rPr>
          <w:spacing w:val="-2"/>
          <w:lang w:val="en-GB"/>
        </w:rPr>
        <w:t xml:space="preserve"> also started in early 2000</w:t>
      </w:r>
      <w:r w:rsidR="004906D7">
        <w:rPr>
          <w:spacing w:val="-2"/>
          <w:lang w:val="en-GB"/>
        </w:rPr>
        <w:t>,</w:t>
      </w:r>
      <w:r w:rsidRPr="004B063A">
        <w:rPr>
          <w:spacing w:val="-2"/>
          <w:lang w:val="en-GB"/>
        </w:rPr>
        <w:t xml:space="preserve"> with </w:t>
      </w:r>
      <w:proofErr w:type="spellStart"/>
      <w:r w:rsidRPr="004B063A">
        <w:rPr>
          <w:spacing w:val="-2"/>
          <w:lang w:val="en-GB"/>
        </w:rPr>
        <w:t>Indiaplaza</w:t>
      </w:r>
      <w:proofErr w:type="spellEnd"/>
      <w:r w:rsidRPr="004B063A">
        <w:rPr>
          <w:spacing w:val="-2"/>
          <w:lang w:val="en-GB"/>
        </w:rPr>
        <w:t xml:space="preserve">, </w:t>
      </w:r>
      <w:proofErr w:type="spellStart"/>
      <w:r w:rsidRPr="004B063A">
        <w:rPr>
          <w:spacing w:val="-2"/>
          <w:lang w:val="en-GB"/>
        </w:rPr>
        <w:t>Rediff</w:t>
      </w:r>
      <w:proofErr w:type="spellEnd"/>
      <w:r w:rsidRPr="004B063A">
        <w:rPr>
          <w:spacing w:val="-2"/>
          <w:lang w:val="en-GB"/>
        </w:rPr>
        <w:t xml:space="preserve"> Shopping, and </w:t>
      </w:r>
      <w:proofErr w:type="spellStart"/>
      <w:r w:rsidRPr="004B063A">
        <w:rPr>
          <w:spacing w:val="-2"/>
          <w:lang w:val="en-GB"/>
        </w:rPr>
        <w:t>Indiatimes</w:t>
      </w:r>
      <w:proofErr w:type="spellEnd"/>
      <w:r w:rsidR="00161659">
        <w:rPr>
          <w:rStyle w:val="CommentReference"/>
        </w:rPr>
        <w:t>.</w:t>
      </w:r>
      <w:r w:rsidR="00D2396E">
        <w:rPr>
          <w:spacing w:val="-2"/>
          <w:lang w:val="en-GB"/>
        </w:rPr>
        <w:t>com</w:t>
      </w:r>
      <w:r w:rsidRPr="004B063A">
        <w:rPr>
          <w:spacing w:val="-2"/>
          <w:lang w:val="en-GB"/>
        </w:rPr>
        <w:t xml:space="preserve"> being the early starters. However, it was much later</w:t>
      </w:r>
      <w:r w:rsidR="004906D7">
        <w:rPr>
          <w:spacing w:val="-2"/>
          <w:lang w:val="en-GB"/>
        </w:rPr>
        <w:t>,</w:t>
      </w:r>
      <w:r w:rsidRPr="004B063A">
        <w:rPr>
          <w:spacing w:val="-2"/>
          <w:lang w:val="en-GB"/>
        </w:rPr>
        <w:t xml:space="preserve"> in 2004</w:t>
      </w:r>
      <w:r w:rsidR="004906D7">
        <w:rPr>
          <w:spacing w:val="-2"/>
          <w:lang w:val="en-GB"/>
        </w:rPr>
        <w:t>,</w:t>
      </w:r>
      <w:r w:rsidRPr="004B063A">
        <w:rPr>
          <w:spacing w:val="-2"/>
          <w:lang w:val="en-GB"/>
        </w:rPr>
        <w:t xml:space="preserve"> with eBay</w:t>
      </w:r>
      <w:r w:rsidR="004906D7">
        <w:rPr>
          <w:spacing w:val="-2"/>
          <w:lang w:val="en-GB"/>
        </w:rPr>
        <w:t xml:space="preserve"> Inc.,</w:t>
      </w:r>
      <w:r w:rsidRPr="004B063A">
        <w:rPr>
          <w:spacing w:val="-2"/>
          <w:lang w:val="en-GB"/>
        </w:rPr>
        <w:t xml:space="preserve"> and then in 2007</w:t>
      </w:r>
      <w:r w:rsidR="004906D7">
        <w:rPr>
          <w:spacing w:val="-2"/>
          <w:lang w:val="en-GB"/>
        </w:rPr>
        <w:t>,</w:t>
      </w:r>
      <w:r w:rsidRPr="004B063A">
        <w:rPr>
          <w:spacing w:val="-2"/>
          <w:lang w:val="en-GB"/>
        </w:rPr>
        <w:t xml:space="preserve"> with Flipkart</w:t>
      </w:r>
      <w:r w:rsidR="004906D7">
        <w:rPr>
          <w:spacing w:val="-2"/>
          <w:lang w:val="en-GB"/>
        </w:rPr>
        <w:t>,</w:t>
      </w:r>
      <w:r w:rsidRPr="004B063A">
        <w:rPr>
          <w:spacing w:val="-2"/>
          <w:lang w:val="en-GB"/>
        </w:rPr>
        <w:t xml:space="preserve"> that e-tailing started emerging as a significant market for</w:t>
      </w:r>
      <w:r w:rsidR="00500F8A">
        <w:rPr>
          <w:spacing w:val="-2"/>
          <w:lang w:val="en-GB"/>
        </w:rPr>
        <w:t xml:space="preserve"> New Age </w:t>
      </w:r>
      <w:r w:rsidRPr="004B063A">
        <w:rPr>
          <w:spacing w:val="-2"/>
          <w:lang w:val="en-GB"/>
        </w:rPr>
        <w:t xml:space="preserve">entrepreneurs. In the first decade of </w:t>
      </w:r>
      <w:r w:rsidR="00F421FE">
        <w:rPr>
          <w:spacing w:val="-2"/>
          <w:lang w:val="en-GB"/>
        </w:rPr>
        <w:t xml:space="preserve">the </w:t>
      </w:r>
      <w:r w:rsidR="00263EC6">
        <w:rPr>
          <w:spacing w:val="-2"/>
          <w:lang w:val="en-GB"/>
        </w:rPr>
        <w:t>21</w:t>
      </w:r>
      <w:r w:rsidR="00C048A2">
        <w:rPr>
          <w:spacing w:val="-2"/>
          <w:lang w:val="en-GB"/>
        </w:rPr>
        <w:t>st century</w:t>
      </w:r>
      <w:r w:rsidRPr="004B063A">
        <w:rPr>
          <w:spacing w:val="-2"/>
          <w:lang w:val="en-GB"/>
        </w:rPr>
        <w:t xml:space="preserve">, </w:t>
      </w:r>
      <w:r w:rsidR="00C048A2">
        <w:rPr>
          <w:spacing w:val="-2"/>
          <w:lang w:val="en-GB"/>
        </w:rPr>
        <w:t>Internet</w:t>
      </w:r>
      <w:r w:rsidR="00C048A2" w:rsidRPr="004B063A">
        <w:rPr>
          <w:spacing w:val="-2"/>
          <w:lang w:val="en-GB"/>
        </w:rPr>
        <w:t xml:space="preserve"> </w:t>
      </w:r>
      <w:r w:rsidRPr="004B063A">
        <w:rPr>
          <w:spacing w:val="-2"/>
          <w:lang w:val="en-GB"/>
        </w:rPr>
        <w:t xml:space="preserve">penetration increased exponentially in India, with </w:t>
      </w:r>
      <w:r w:rsidR="00C048A2">
        <w:rPr>
          <w:spacing w:val="-2"/>
          <w:lang w:val="en-GB"/>
        </w:rPr>
        <w:t>the</w:t>
      </w:r>
      <w:r w:rsidR="00C048A2" w:rsidRPr="004B063A">
        <w:rPr>
          <w:spacing w:val="-2"/>
          <w:lang w:val="en-GB"/>
        </w:rPr>
        <w:t xml:space="preserve"> </w:t>
      </w:r>
      <w:r w:rsidRPr="004B063A">
        <w:rPr>
          <w:spacing w:val="-2"/>
          <w:lang w:val="en-GB"/>
        </w:rPr>
        <w:t xml:space="preserve">number of </w:t>
      </w:r>
      <w:r w:rsidR="00C048A2">
        <w:rPr>
          <w:spacing w:val="-2"/>
          <w:lang w:val="en-GB"/>
        </w:rPr>
        <w:t>Internet</w:t>
      </w:r>
      <w:r w:rsidR="00C048A2" w:rsidRPr="004B063A">
        <w:rPr>
          <w:spacing w:val="-2"/>
          <w:lang w:val="en-GB"/>
        </w:rPr>
        <w:t xml:space="preserve"> </w:t>
      </w:r>
      <w:r w:rsidRPr="004B063A">
        <w:rPr>
          <w:spacing w:val="-2"/>
          <w:lang w:val="en-GB"/>
        </w:rPr>
        <w:t xml:space="preserve">users growing from </w:t>
      </w:r>
      <w:r w:rsidR="00263EC6">
        <w:rPr>
          <w:spacing w:val="-2"/>
          <w:lang w:val="en-GB"/>
        </w:rPr>
        <w:t>5</w:t>
      </w:r>
      <w:r w:rsidR="00C048A2">
        <w:rPr>
          <w:spacing w:val="-2"/>
          <w:lang w:val="en-GB"/>
        </w:rPr>
        <w:t xml:space="preserve"> million</w:t>
      </w:r>
      <w:r w:rsidR="00C048A2" w:rsidRPr="004B063A">
        <w:rPr>
          <w:spacing w:val="-2"/>
          <w:lang w:val="en-GB"/>
        </w:rPr>
        <w:t xml:space="preserve"> </w:t>
      </w:r>
      <w:r w:rsidRPr="004B063A">
        <w:rPr>
          <w:spacing w:val="-2"/>
          <w:lang w:val="en-GB"/>
        </w:rPr>
        <w:t xml:space="preserve">in 2000 to nearly </w:t>
      </w:r>
      <w:r w:rsidR="00C048A2">
        <w:rPr>
          <w:spacing w:val="-2"/>
          <w:lang w:val="en-GB"/>
        </w:rPr>
        <w:t>90 million</w:t>
      </w:r>
      <w:r w:rsidR="00C048A2" w:rsidRPr="004B063A">
        <w:rPr>
          <w:spacing w:val="-2"/>
          <w:lang w:val="en-GB"/>
        </w:rPr>
        <w:t xml:space="preserve"> </w:t>
      </w:r>
      <w:r w:rsidRPr="004B063A">
        <w:rPr>
          <w:spacing w:val="-2"/>
          <w:lang w:val="en-GB"/>
        </w:rPr>
        <w:t>in 2010</w:t>
      </w:r>
      <w:r w:rsidR="00C048A2">
        <w:rPr>
          <w:spacing w:val="-2"/>
          <w:lang w:val="en-GB"/>
        </w:rPr>
        <w:t>.</w:t>
      </w:r>
      <w:r w:rsidR="006E01F7" w:rsidRPr="004B063A">
        <w:rPr>
          <w:spacing w:val="-2"/>
          <w:vertAlign w:val="superscript"/>
          <w:lang w:val="en-GB"/>
        </w:rPr>
        <w:footnoteReference w:id="4"/>
      </w:r>
      <w:r w:rsidRPr="004B063A">
        <w:rPr>
          <w:spacing w:val="-2"/>
          <w:lang w:val="en-GB"/>
        </w:rPr>
        <w:t xml:space="preserve"> This increase</w:t>
      </w:r>
      <w:r w:rsidR="001461A4">
        <w:rPr>
          <w:spacing w:val="-2"/>
          <w:lang w:val="en-GB"/>
        </w:rPr>
        <w:t xml:space="preserve"> was</w:t>
      </w:r>
      <w:r w:rsidRPr="004B063A">
        <w:rPr>
          <w:spacing w:val="-2"/>
          <w:lang w:val="en-GB"/>
        </w:rPr>
        <w:t xml:space="preserve"> reflected in the growth of the e-commerce sector (</w:t>
      </w:r>
      <w:r w:rsidRPr="009E5B12">
        <w:rPr>
          <w:spacing w:val="-2"/>
          <w:lang w:val="en-GB"/>
        </w:rPr>
        <w:t>see Exhibit 2</w:t>
      </w:r>
      <w:r w:rsidRPr="004B063A">
        <w:rPr>
          <w:spacing w:val="-2"/>
          <w:lang w:val="en-GB"/>
        </w:rPr>
        <w:t>)</w:t>
      </w:r>
      <w:r w:rsidR="001461A4">
        <w:rPr>
          <w:spacing w:val="-2"/>
          <w:lang w:val="en-GB"/>
        </w:rPr>
        <w:t>,</w:t>
      </w:r>
      <w:r w:rsidRPr="004B063A">
        <w:rPr>
          <w:spacing w:val="-2"/>
          <w:lang w:val="en-GB"/>
        </w:rPr>
        <w:t xml:space="preserve"> which grew from </w:t>
      </w:r>
      <w:r w:rsidR="00174C14">
        <w:rPr>
          <w:spacing w:val="-2"/>
          <w:lang w:val="en-GB"/>
        </w:rPr>
        <w:t>$300</w:t>
      </w:r>
      <w:r w:rsidRPr="004B063A">
        <w:rPr>
          <w:spacing w:val="-2"/>
          <w:lang w:val="en-GB"/>
        </w:rPr>
        <w:t xml:space="preserve"> </w:t>
      </w:r>
      <w:r w:rsidR="00822F10">
        <w:rPr>
          <w:spacing w:val="-2"/>
          <w:lang w:val="en-GB"/>
        </w:rPr>
        <w:t>million</w:t>
      </w:r>
      <w:r w:rsidR="00822F10" w:rsidRPr="004B063A">
        <w:rPr>
          <w:spacing w:val="-2"/>
          <w:lang w:val="en-GB"/>
        </w:rPr>
        <w:t xml:space="preserve"> </w:t>
      </w:r>
      <w:r w:rsidRPr="004B063A">
        <w:rPr>
          <w:spacing w:val="-2"/>
          <w:lang w:val="en-GB"/>
        </w:rPr>
        <w:t xml:space="preserve">in 2005 to </w:t>
      </w:r>
      <w:r w:rsidR="001461A4">
        <w:rPr>
          <w:spacing w:val="-2"/>
          <w:lang w:val="en-GB"/>
        </w:rPr>
        <w:t>$3.9 billion</w:t>
      </w:r>
      <w:r w:rsidRPr="004B063A">
        <w:rPr>
          <w:spacing w:val="-2"/>
          <w:lang w:val="en-GB"/>
        </w:rPr>
        <w:t xml:space="preserve"> in 2009</w:t>
      </w:r>
      <w:r w:rsidR="00174C14">
        <w:rPr>
          <w:spacing w:val="-2"/>
          <w:lang w:val="en-GB"/>
        </w:rPr>
        <w:t>. In the</w:t>
      </w:r>
      <w:r w:rsidR="00174C14" w:rsidRPr="004B063A">
        <w:rPr>
          <w:spacing w:val="-2"/>
          <w:lang w:val="en-GB"/>
        </w:rPr>
        <w:t xml:space="preserve"> </w:t>
      </w:r>
      <w:r w:rsidRPr="004B063A">
        <w:rPr>
          <w:spacing w:val="-2"/>
          <w:lang w:val="en-GB"/>
        </w:rPr>
        <w:t xml:space="preserve">next </w:t>
      </w:r>
      <w:r w:rsidR="001461A4">
        <w:rPr>
          <w:spacing w:val="-2"/>
          <w:lang w:val="en-GB"/>
        </w:rPr>
        <w:t>four</w:t>
      </w:r>
      <w:r w:rsidR="001461A4" w:rsidRPr="004B063A">
        <w:rPr>
          <w:spacing w:val="-2"/>
          <w:lang w:val="en-GB"/>
        </w:rPr>
        <w:t xml:space="preserve"> </w:t>
      </w:r>
      <w:r w:rsidRPr="004B063A">
        <w:rPr>
          <w:spacing w:val="-2"/>
          <w:lang w:val="en-GB"/>
        </w:rPr>
        <w:t>years</w:t>
      </w:r>
      <w:r w:rsidR="00263EC6">
        <w:rPr>
          <w:spacing w:val="-2"/>
          <w:lang w:val="en-GB"/>
        </w:rPr>
        <w:t>,</w:t>
      </w:r>
      <w:r w:rsidRPr="004B063A">
        <w:rPr>
          <w:spacing w:val="-2"/>
          <w:lang w:val="en-GB"/>
        </w:rPr>
        <w:t xml:space="preserve"> </w:t>
      </w:r>
      <w:r w:rsidR="00174C14">
        <w:rPr>
          <w:spacing w:val="-2"/>
          <w:lang w:val="en-GB"/>
        </w:rPr>
        <w:t xml:space="preserve">it </w:t>
      </w:r>
      <w:r w:rsidR="00174C14" w:rsidRPr="004B063A">
        <w:rPr>
          <w:spacing w:val="-2"/>
          <w:lang w:val="en-GB"/>
        </w:rPr>
        <w:t xml:space="preserve">quadrupled </w:t>
      </w:r>
      <w:r w:rsidRPr="004B063A">
        <w:rPr>
          <w:spacing w:val="-2"/>
          <w:lang w:val="en-GB"/>
        </w:rPr>
        <w:t xml:space="preserve">to reach </w:t>
      </w:r>
      <w:r w:rsidR="00174C14">
        <w:rPr>
          <w:spacing w:val="-2"/>
          <w:lang w:val="en-GB"/>
        </w:rPr>
        <w:t>$</w:t>
      </w:r>
      <w:r w:rsidR="001461A4">
        <w:rPr>
          <w:spacing w:val="-2"/>
          <w:lang w:val="en-GB"/>
        </w:rPr>
        <w:t>17 billion</w:t>
      </w:r>
      <w:r w:rsidR="001461A4" w:rsidRPr="004B063A">
        <w:rPr>
          <w:spacing w:val="-2"/>
          <w:lang w:val="en-GB"/>
        </w:rPr>
        <w:t xml:space="preserve"> </w:t>
      </w:r>
      <w:r w:rsidRPr="004B063A">
        <w:rPr>
          <w:spacing w:val="-2"/>
          <w:lang w:val="en-GB"/>
        </w:rPr>
        <w:t>in 2013</w:t>
      </w:r>
      <w:r w:rsidR="001461A4">
        <w:rPr>
          <w:spacing w:val="-2"/>
          <w:lang w:val="en-GB"/>
        </w:rPr>
        <w:t>,</w:t>
      </w:r>
      <w:r w:rsidR="004B063A">
        <w:rPr>
          <w:spacing w:val="-2"/>
          <w:lang w:val="en-GB"/>
        </w:rPr>
        <w:t xml:space="preserve"> </w:t>
      </w:r>
      <w:r w:rsidRPr="004B063A">
        <w:rPr>
          <w:spacing w:val="-2"/>
          <w:lang w:val="en-GB"/>
        </w:rPr>
        <w:t xml:space="preserve">with over </w:t>
      </w:r>
      <w:r w:rsidR="00263EC6">
        <w:rPr>
          <w:spacing w:val="-2"/>
          <w:lang w:val="en-GB"/>
        </w:rPr>
        <w:t>1</w:t>
      </w:r>
      <w:r w:rsidRPr="004B063A">
        <w:rPr>
          <w:spacing w:val="-2"/>
          <w:lang w:val="en-GB"/>
        </w:rPr>
        <w:t xml:space="preserve"> million large and small retailers selling products online</w:t>
      </w:r>
      <w:r w:rsidR="004A5005" w:rsidRPr="004B063A">
        <w:rPr>
          <w:spacing w:val="-2"/>
          <w:vertAlign w:val="superscript"/>
          <w:lang w:val="en-GB"/>
        </w:rPr>
        <w:footnoteReference w:id="5"/>
      </w:r>
      <w:r w:rsidRPr="004B063A">
        <w:rPr>
          <w:spacing w:val="-2"/>
          <w:lang w:val="en-GB"/>
        </w:rPr>
        <w:t xml:space="preserve">. </w:t>
      </w:r>
    </w:p>
    <w:p w14:paraId="248FB330" w14:textId="77777777" w:rsidR="00491C54" w:rsidRPr="004B063A" w:rsidRDefault="00491C54" w:rsidP="00491C54">
      <w:pPr>
        <w:pStyle w:val="BodyTextMain"/>
        <w:rPr>
          <w:spacing w:val="-2"/>
          <w:lang w:val="en-GB"/>
        </w:rPr>
      </w:pPr>
    </w:p>
    <w:p w14:paraId="47038D46" w14:textId="40051329" w:rsidR="00E55448" w:rsidRPr="004B063A" w:rsidRDefault="00DD2B25" w:rsidP="00E55448">
      <w:pPr>
        <w:pStyle w:val="BodyTextMain"/>
        <w:rPr>
          <w:lang w:val="en-GB"/>
        </w:rPr>
      </w:pPr>
      <w:r w:rsidRPr="004B063A">
        <w:rPr>
          <w:lang w:val="en-GB"/>
        </w:rPr>
        <w:t>Rapid growth heralded the third phase of the e-commerce sector in India from 2010</w:t>
      </w:r>
      <w:r w:rsidR="00C83170">
        <w:rPr>
          <w:lang w:val="en-GB"/>
        </w:rPr>
        <w:t xml:space="preserve"> onward</w:t>
      </w:r>
      <w:r w:rsidRPr="004B063A">
        <w:rPr>
          <w:lang w:val="en-GB"/>
        </w:rPr>
        <w:t>. The early success of</w:t>
      </w:r>
      <w:r w:rsidR="009E5B12">
        <w:rPr>
          <w:lang w:val="en-GB"/>
        </w:rPr>
        <w:t xml:space="preserve"> </w:t>
      </w:r>
      <w:r w:rsidRPr="004B063A">
        <w:rPr>
          <w:lang w:val="en-GB"/>
        </w:rPr>
        <w:t>Flipkart</w:t>
      </w:r>
      <w:r w:rsidR="009E5B12">
        <w:rPr>
          <w:lang w:val="en-GB"/>
        </w:rPr>
        <w:t xml:space="preserve"> </w:t>
      </w:r>
      <w:r w:rsidRPr="004B063A">
        <w:rPr>
          <w:lang w:val="en-GB"/>
        </w:rPr>
        <w:t>and</w:t>
      </w:r>
      <w:r w:rsidR="009E5B12">
        <w:rPr>
          <w:lang w:val="en-GB"/>
        </w:rPr>
        <w:t xml:space="preserve"> </w:t>
      </w:r>
      <w:proofErr w:type="spellStart"/>
      <w:r w:rsidRPr="004B063A">
        <w:rPr>
          <w:lang w:val="en-GB"/>
        </w:rPr>
        <w:t>Snapdeal</w:t>
      </w:r>
      <w:proofErr w:type="spellEnd"/>
      <w:r w:rsidR="009E5B12">
        <w:rPr>
          <w:lang w:val="en-GB"/>
        </w:rPr>
        <w:t xml:space="preserve"> </w:t>
      </w:r>
      <w:r w:rsidRPr="004B063A">
        <w:rPr>
          <w:lang w:val="en-GB"/>
        </w:rPr>
        <w:t>inspired many to join the e-commerce bandwagon. This</w:t>
      </w:r>
      <w:r w:rsidR="009E5B12">
        <w:rPr>
          <w:lang w:val="en-GB"/>
        </w:rPr>
        <w:t xml:space="preserve"> </w:t>
      </w:r>
      <w:r w:rsidRPr="004B063A">
        <w:rPr>
          <w:lang w:val="en-GB"/>
        </w:rPr>
        <w:t>was supported</w:t>
      </w:r>
      <w:r w:rsidR="009E5B12">
        <w:rPr>
          <w:lang w:val="en-GB"/>
        </w:rPr>
        <w:t xml:space="preserve"> </w:t>
      </w:r>
      <w:r w:rsidRPr="004B063A">
        <w:rPr>
          <w:lang w:val="en-GB"/>
        </w:rPr>
        <w:t>by venture capitalists</w:t>
      </w:r>
      <w:r w:rsidR="00FE65AD">
        <w:rPr>
          <w:lang w:val="en-GB"/>
        </w:rPr>
        <w:t xml:space="preserve"> </w:t>
      </w:r>
      <w:r w:rsidRPr="004B063A">
        <w:rPr>
          <w:lang w:val="en-GB"/>
        </w:rPr>
        <w:t xml:space="preserve">providing capital amounting </w:t>
      </w:r>
      <w:r w:rsidR="00174C14">
        <w:rPr>
          <w:lang w:val="en-GB"/>
        </w:rPr>
        <w:t xml:space="preserve">to </w:t>
      </w:r>
      <w:r w:rsidR="00C83170">
        <w:rPr>
          <w:lang w:val="en-GB"/>
        </w:rPr>
        <w:t>$691 million,</w:t>
      </w:r>
      <w:r w:rsidRPr="004B063A">
        <w:rPr>
          <w:lang w:val="en-GB"/>
        </w:rPr>
        <w:t xml:space="preserve"> $</w:t>
      </w:r>
      <w:r w:rsidR="00C83170" w:rsidRPr="004B063A">
        <w:rPr>
          <w:lang w:val="en-GB"/>
        </w:rPr>
        <w:t>760</w:t>
      </w:r>
      <w:r w:rsidR="00C83170">
        <w:rPr>
          <w:lang w:val="en-GB"/>
        </w:rPr>
        <w:t xml:space="preserve"> million,</w:t>
      </w:r>
      <w:r w:rsidR="009E5B12">
        <w:rPr>
          <w:lang w:val="en-GB"/>
        </w:rPr>
        <w:t xml:space="preserve"> </w:t>
      </w:r>
      <w:r w:rsidRPr="004B063A">
        <w:rPr>
          <w:lang w:val="en-GB"/>
        </w:rPr>
        <w:t>and $1.6</w:t>
      </w:r>
      <w:r w:rsidR="00C83170">
        <w:rPr>
          <w:lang w:val="en-GB"/>
        </w:rPr>
        <w:t xml:space="preserve"> billion</w:t>
      </w:r>
      <w:r w:rsidR="009E5B12">
        <w:rPr>
          <w:lang w:val="en-GB"/>
        </w:rPr>
        <w:t xml:space="preserve"> </w:t>
      </w:r>
      <w:r w:rsidR="00DA08A3" w:rsidRPr="004B063A">
        <w:rPr>
          <w:lang w:val="en-GB"/>
        </w:rPr>
        <w:t>for</w:t>
      </w:r>
      <w:r w:rsidRPr="004B063A">
        <w:rPr>
          <w:lang w:val="en-GB"/>
        </w:rPr>
        <w:t xml:space="preserve"> 2011, 2012</w:t>
      </w:r>
      <w:r w:rsidR="00FE65AD">
        <w:rPr>
          <w:lang w:val="en-GB"/>
        </w:rPr>
        <w:t>,</w:t>
      </w:r>
      <w:r w:rsidRPr="004B063A">
        <w:rPr>
          <w:lang w:val="en-GB"/>
        </w:rPr>
        <w:t xml:space="preserve"> and 2013, respectively.</w:t>
      </w:r>
      <w:r w:rsidR="00CD62F2">
        <w:rPr>
          <w:rStyle w:val="FootnoteReference"/>
          <w:lang w:val="en-GB"/>
        </w:rPr>
        <w:footnoteReference w:id="6"/>
      </w:r>
      <w:r w:rsidRPr="004B063A">
        <w:rPr>
          <w:lang w:val="en-GB"/>
        </w:rPr>
        <w:t xml:space="preserve"> For </w:t>
      </w:r>
      <w:r w:rsidR="00F85B44">
        <w:rPr>
          <w:lang w:val="en-GB"/>
        </w:rPr>
        <w:t>venture capitalists</w:t>
      </w:r>
      <w:r w:rsidRPr="004B063A">
        <w:rPr>
          <w:lang w:val="en-GB"/>
        </w:rPr>
        <w:t xml:space="preserve"> and founders, the early success of e-commerce firms was just the</w:t>
      </w:r>
      <w:r w:rsidR="007953BC">
        <w:rPr>
          <w:lang w:val="en-GB"/>
        </w:rPr>
        <w:t xml:space="preserve"> </w:t>
      </w:r>
      <w:r w:rsidR="00CD62F2">
        <w:rPr>
          <w:lang w:val="en-GB"/>
        </w:rPr>
        <w:t>beginning</w:t>
      </w:r>
      <w:r w:rsidR="00FE65AD">
        <w:rPr>
          <w:lang w:val="en-GB"/>
        </w:rPr>
        <w:t>,</w:t>
      </w:r>
      <w:r w:rsidR="009E5B12">
        <w:rPr>
          <w:lang w:val="en-GB"/>
        </w:rPr>
        <w:t xml:space="preserve"> </w:t>
      </w:r>
      <w:r w:rsidRPr="004B063A">
        <w:rPr>
          <w:lang w:val="en-GB"/>
        </w:rPr>
        <w:t>as a large number of potential users were still untapped. The phenomenal growth in e-tailing business</w:t>
      </w:r>
      <w:r w:rsidR="007953BC">
        <w:rPr>
          <w:lang w:val="en-GB"/>
        </w:rPr>
        <w:t xml:space="preserve"> </w:t>
      </w:r>
      <w:r w:rsidRPr="004B063A">
        <w:rPr>
          <w:lang w:val="en-GB"/>
        </w:rPr>
        <w:t>was supported</w:t>
      </w:r>
      <w:r w:rsidR="007953BC">
        <w:rPr>
          <w:lang w:val="en-GB"/>
        </w:rPr>
        <w:t xml:space="preserve"> </w:t>
      </w:r>
      <w:r w:rsidRPr="004B063A">
        <w:rPr>
          <w:lang w:val="en-GB"/>
        </w:rPr>
        <w:t xml:space="preserve">by </w:t>
      </w:r>
      <w:r w:rsidR="0027607E">
        <w:rPr>
          <w:lang w:val="en-GB"/>
        </w:rPr>
        <w:t xml:space="preserve">a </w:t>
      </w:r>
      <w:r w:rsidRPr="004B063A">
        <w:rPr>
          <w:lang w:val="en-GB"/>
        </w:rPr>
        <w:t xml:space="preserve">mere </w:t>
      </w:r>
      <w:r w:rsidR="00447C90">
        <w:rPr>
          <w:lang w:val="en-GB"/>
        </w:rPr>
        <w:t>1</w:t>
      </w:r>
      <w:r w:rsidR="0027607E">
        <w:rPr>
          <w:lang w:val="en-GB"/>
        </w:rPr>
        <w:t xml:space="preserve"> per cent</w:t>
      </w:r>
      <w:r w:rsidRPr="004B063A">
        <w:rPr>
          <w:lang w:val="en-GB"/>
        </w:rPr>
        <w:t xml:space="preserve"> of Indian </w:t>
      </w:r>
      <w:r w:rsidR="0027607E">
        <w:rPr>
          <w:lang w:val="en-GB"/>
        </w:rPr>
        <w:t>Internet</w:t>
      </w:r>
      <w:r w:rsidR="0027607E" w:rsidRPr="004B063A">
        <w:rPr>
          <w:lang w:val="en-GB"/>
        </w:rPr>
        <w:t xml:space="preserve"> </w:t>
      </w:r>
      <w:r w:rsidRPr="004B063A">
        <w:rPr>
          <w:lang w:val="en-GB"/>
        </w:rPr>
        <w:t xml:space="preserve">users who </w:t>
      </w:r>
      <w:r w:rsidR="00447C90">
        <w:rPr>
          <w:lang w:val="en-GB"/>
        </w:rPr>
        <w:t xml:space="preserve">engaged in e-commerce </w:t>
      </w:r>
      <w:proofErr w:type="spellStart"/>
      <w:r w:rsidR="00447C90">
        <w:rPr>
          <w:lang w:val="en-GB"/>
        </w:rPr>
        <w:t>actitvity</w:t>
      </w:r>
      <w:proofErr w:type="spellEnd"/>
      <w:r w:rsidR="00447C90">
        <w:rPr>
          <w:lang w:val="en-GB"/>
        </w:rPr>
        <w:t xml:space="preserve"> by end-</w:t>
      </w:r>
      <w:r w:rsidRPr="004B063A">
        <w:rPr>
          <w:lang w:val="en-GB"/>
        </w:rPr>
        <w:t>2012</w:t>
      </w:r>
      <w:r w:rsidR="00447C90">
        <w:rPr>
          <w:rStyle w:val="FootnoteReference"/>
          <w:lang w:val="en-GB"/>
        </w:rPr>
        <w:footnoteReference w:id="7"/>
      </w:r>
      <w:r w:rsidRPr="004B063A">
        <w:rPr>
          <w:lang w:val="en-GB"/>
        </w:rPr>
        <w:t xml:space="preserve">. Online retail made </w:t>
      </w:r>
      <w:r w:rsidR="0027607E">
        <w:rPr>
          <w:lang w:val="en-GB"/>
        </w:rPr>
        <w:t xml:space="preserve">up </w:t>
      </w:r>
      <w:r w:rsidRPr="004B063A">
        <w:rPr>
          <w:lang w:val="en-GB"/>
        </w:rPr>
        <w:t>less than 1</w:t>
      </w:r>
      <w:r w:rsidR="0027607E">
        <w:rPr>
          <w:lang w:val="en-GB"/>
        </w:rPr>
        <w:t xml:space="preserve"> per cent</w:t>
      </w:r>
      <w:r w:rsidR="0027607E" w:rsidRPr="004B063A">
        <w:rPr>
          <w:lang w:val="en-GB"/>
        </w:rPr>
        <w:t xml:space="preserve"> </w:t>
      </w:r>
      <w:r w:rsidRPr="004B063A">
        <w:rPr>
          <w:lang w:val="en-GB"/>
        </w:rPr>
        <w:t xml:space="preserve">of annual retail turnover in India </w:t>
      </w:r>
      <w:r w:rsidR="006E186B">
        <w:rPr>
          <w:lang w:val="en-GB"/>
        </w:rPr>
        <w:t>till as late as 2014</w:t>
      </w:r>
      <w:r w:rsidRPr="004B063A">
        <w:rPr>
          <w:lang w:val="en-GB"/>
        </w:rPr>
        <w:t>.</w:t>
      </w:r>
      <w:r w:rsidR="006E186B">
        <w:rPr>
          <w:rStyle w:val="FootnoteReference"/>
          <w:lang w:val="en-GB"/>
        </w:rPr>
        <w:footnoteReference w:id="8"/>
      </w:r>
    </w:p>
    <w:p w14:paraId="7788B9CF" w14:textId="77777777" w:rsidR="003F5FF5" w:rsidRPr="004B063A" w:rsidRDefault="003F5FF5" w:rsidP="00E55448">
      <w:pPr>
        <w:pStyle w:val="BodyTextMain"/>
        <w:rPr>
          <w:spacing w:val="-2"/>
          <w:lang w:val="en-GB"/>
        </w:rPr>
      </w:pPr>
    </w:p>
    <w:p w14:paraId="612D0309" w14:textId="7F51084E" w:rsidR="00DB764B" w:rsidRPr="005531E1" w:rsidRDefault="00A5762A" w:rsidP="00E55448">
      <w:pPr>
        <w:pStyle w:val="BodyTextMain"/>
        <w:rPr>
          <w:spacing w:val="-2"/>
          <w:lang w:val="en-GB"/>
        </w:rPr>
      </w:pPr>
      <w:r w:rsidRPr="005531E1">
        <w:rPr>
          <w:spacing w:val="-2"/>
          <w:lang w:val="en-GB"/>
        </w:rPr>
        <w:t xml:space="preserve">According to </w:t>
      </w:r>
      <w:proofErr w:type="spellStart"/>
      <w:r w:rsidRPr="005531E1">
        <w:rPr>
          <w:spacing w:val="-2"/>
          <w:lang w:val="en-GB"/>
        </w:rPr>
        <w:t>Unicommerce’s</w:t>
      </w:r>
      <w:proofErr w:type="spellEnd"/>
      <w:r w:rsidRPr="005531E1">
        <w:rPr>
          <w:spacing w:val="-2"/>
          <w:lang w:val="en-GB"/>
        </w:rPr>
        <w:t xml:space="preserve"> founders, f</w:t>
      </w:r>
      <w:r w:rsidR="00332045" w:rsidRPr="005531E1">
        <w:rPr>
          <w:spacing w:val="-2"/>
          <w:lang w:val="en-GB"/>
        </w:rPr>
        <w:t>or early e-commerce ventures, the challenge was twofold</w:t>
      </w:r>
      <w:r w:rsidR="0027607E" w:rsidRPr="005531E1">
        <w:rPr>
          <w:spacing w:val="-2"/>
          <w:lang w:val="en-GB"/>
        </w:rPr>
        <w:t>:</w:t>
      </w:r>
      <w:r w:rsidR="00332045" w:rsidRPr="005531E1">
        <w:rPr>
          <w:spacing w:val="-2"/>
          <w:lang w:val="en-GB"/>
        </w:rPr>
        <w:t xml:space="preserve"> </w:t>
      </w:r>
      <w:r w:rsidR="00174C14" w:rsidRPr="005531E1">
        <w:rPr>
          <w:spacing w:val="-2"/>
          <w:lang w:val="en-GB"/>
        </w:rPr>
        <w:t>the first</w:t>
      </w:r>
      <w:r w:rsidR="00332045" w:rsidRPr="005531E1">
        <w:rPr>
          <w:spacing w:val="-2"/>
          <w:lang w:val="en-GB"/>
        </w:rPr>
        <w:t xml:space="preserve"> was to build trust among </w:t>
      </w:r>
      <w:r w:rsidR="0027607E" w:rsidRPr="005531E1">
        <w:rPr>
          <w:spacing w:val="-2"/>
          <w:lang w:val="en-GB"/>
        </w:rPr>
        <w:t>apprehensive first-time</w:t>
      </w:r>
      <w:r w:rsidR="00332045" w:rsidRPr="005531E1">
        <w:rPr>
          <w:spacing w:val="-2"/>
          <w:lang w:val="en-GB"/>
        </w:rPr>
        <w:t xml:space="preserve"> buyers in India</w:t>
      </w:r>
      <w:r w:rsidR="0027607E" w:rsidRPr="005531E1">
        <w:rPr>
          <w:spacing w:val="-2"/>
          <w:lang w:val="en-GB"/>
        </w:rPr>
        <w:t>,</w:t>
      </w:r>
      <w:r w:rsidR="00332045" w:rsidRPr="005531E1">
        <w:rPr>
          <w:spacing w:val="-2"/>
          <w:lang w:val="en-GB"/>
        </w:rPr>
        <w:t xml:space="preserve"> and the second was to build a strong </w:t>
      </w:r>
      <w:r w:rsidR="0027607E" w:rsidRPr="005531E1">
        <w:rPr>
          <w:spacing w:val="-2"/>
          <w:lang w:val="en-GB"/>
        </w:rPr>
        <w:t xml:space="preserve">back-end </w:t>
      </w:r>
      <w:r w:rsidR="001F1375" w:rsidRPr="005531E1">
        <w:rPr>
          <w:spacing w:val="-2"/>
          <w:lang w:val="en-GB"/>
        </w:rPr>
        <w:t>infrastructure</w:t>
      </w:r>
      <w:r w:rsidR="00174C14" w:rsidRPr="005531E1">
        <w:rPr>
          <w:spacing w:val="-2"/>
          <w:lang w:val="en-GB"/>
        </w:rPr>
        <w:t xml:space="preserve"> that </w:t>
      </w:r>
      <w:r w:rsidR="00332045" w:rsidRPr="005531E1">
        <w:rPr>
          <w:spacing w:val="-2"/>
          <w:lang w:val="en-GB"/>
        </w:rPr>
        <w:t xml:space="preserve">could support the rapid growth and development of their business. </w:t>
      </w:r>
      <w:r w:rsidR="00DB764B" w:rsidRPr="005531E1">
        <w:rPr>
          <w:spacing w:val="-2"/>
          <w:lang w:val="en-GB"/>
        </w:rPr>
        <w:t xml:space="preserve">To build customer </w:t>
      </w:r>
      <w:r w:rsidR="00DB764B" w:rsidRPr="005531E1">
        <w:rPr>
          <w:spacing w:val="-2"/>
          <w:lang w:val="en-GB"/>
        </w:rPr>
        <w:lastRenderedPageBreak/>
        <w:t>confidence, early e-commerce start-ups introduced innovative schemes like cash on delivery</w:t>
      </w:r>
      <w:r w:rsidR="0027607E" w:rsidRPr="005531E1">
        <w:rPr>
          <w:spacing w:val="-2"/>
          <w:lang w:val="en-GB"/>
        </w:rPr>
        <w:t xml:space="preserve"> (COD)</w:t>
      </w:r>
      <w:r w:rsidR="00DB764B" w:rsidRPr="005531E1">
        <w:rPr>
          <w:spacing w:val="-2"/>
          <w:lang w:val="en-GB"/>
        </w:rPr>
        <w:t>, trial services at home</w:t>
      </w:r>
      <w:r w:rsidR="0027607E" w:rsidRPr="005531E1">
        <w:rPr>
          <w:spacing w:val="-2"/>
          <w:lang w:val="en-GB"/>
        </w:rPr>
        <w:t>,</w:t>
      </w:r>
      <w:r w:rsidR="00DB764B" w:rsidRPr="005531E1">
        <w:rPr>
          <w:spacing w:val="-2"/>
          <w:lang w:val="en-GB"/>
        </w:rPr>
        <w:t xml:space="preserve"> and easy return policies. In a country where less than a </w:t>
      </w:r>
      <w:r w:rsidR="005E33C5" w:rsidRPr="005531E1">
        <w:rPr>
          <w:spacing w:val="-2"/>
          <w:lang w:val="en-GB"/>
        </w:rPr>
        <w:t>quarter</w:t>
      </w:r>
      <w:r w:rsidR="00DB764B" w:rsidRPr="005531E1">
        <w:rPr>
          <w:spacing w:val="-2"/>
          <w:lang w:val="en-GB"/>
        </w:rPr>
        <w:t xml:space="preserve"> of the population had access to a debit card and less than </w:t>
      </w:r>
      <w:r w:rsidR="0027607E" w:rsidRPr="005531E1">
        <w:rPr>
          <w:spacing w:val="-2"/>
          <w:lang w:val="en-GB"/>
        </w:rPr>
        <w:t xml:space="preserve">20 million </w:t>
      </w:r>
      <w:r w:rsidR="00DB764B" w:rsidRPr="005531E1">
        <w:rPr>
          <w:spacing w:val="-2"/>
          <w:lang w:val="en-GB"/>
        </w:rPr>
        <w:t xml:space="preserve">had a credit card, online payments </w:t>
      </w:r>
      <w:r w:rsidR="0027607E" w:rsidRPr="005531E1">
        <w:rPr>
          <w:spacing w:val="-2"/>
          <w:lang w:val="en-GB"/>
        </w:rPr>
        <w:t>became</w:t>
      </w:r>
      <w:r w:rsidR="00DB764B" w:rsidRPr="005531E1">
        <w:rPr>
          <w:spacing w:val="-2"/>
          <w:lang w:val="en-GB"/>
        </w:rPr>
        <w:t xml:space="preserve"> a bottleneck for e-commerce growth. </w:t>
      </w:r>
      <w:r w:rsidR="0027607E" w:rsidRPr="005531E1">
        <w:rPr>
          <w:spacing w:val="-2"/>
          <w:lang w:val="en-GB"/>
        </w:rPr>
        <w:t>COD</w:t>
      </w:r>
      <w:r w:rsidR="00DB764B" w:rsidRPr="005531E1">
        <w:rPr>
          <w:spacing w:val="-2"/>
          <w:lang w:val="en-GB"/>
        </w:rPr>
        <w:t xml:space="preserve"> emerged as an instrument to address customer concerns regarding online payment.</w:t>
      </w:r>
      <w:r w:rsidR="004E3D49" w:rsidRPr="005531E1">
        <w:rPr>
          <w:spacing w:val="-2"/>
          <w:lang w:val="en-GB"/>
        </w:rPr>
        <w:t xml:space="preserve"> </w:t>
      </w:r>
    </w:p>
    <w:p w14:paraId="1EA10C98" w14:textId="77777777" w:rsidR="004E3D49" w:rsidRPr="004B063A" w:rsidRDefault="004E3D49" w:rsidP="00E55448">
      <w:pPr>
        <w:pStyle w:val="BodyTextMain"/>
        <w:rPr>
          <w:lang w:val="en-GB"/>
        </w:rPr>
      </w:pPr>
    </w:p>
    <w:p w14:paraId="7255BF61" w14:textId="6A82A779" w:rsidR="00CC6512" w:rsidRPr="004B063A" w:rsidRDefault="00332045" w:rsidP="00E55448">
      <w:pPr>
        <w:pStyle w:val="BodyTextMain"/>
        <w:rPr>
          <w:spacing w:val="-2"/>
          <w:lang w:val="en-GB"/>
        </w:rPr>
      </w:pPr>
      <w:r w:rsidRPr="004B063A">
        <w:rPr>
          <w:spacing w:val="-2"/>
          <w:lang w:val="en-GB"/>
        </w:rPr>
        <w:t xml:space="preserve">Reflecting on </w:t>
      </w:r>
      <w:r w:rsidR="001E6666">
        <w:rPr>
          <w:spacing w:val="-2"/>
          <w:lang w:val="en-GB"/>
        </w:rPr>
        <w:t xml:space="preserve">the </w:t>
      </w:r>
      <w:r w:rsidRPr="004B063A">
        <w:rPr>
          <w:spacing w:val="-2"/>
          <w:lang w:val="en-GB"/>
        </w:rPr>
        <w:t xml:space="preserve">early initiatives in establishing Flipkart, Sachin Bansal </w:t>
      </w:r>
      <w:r w:rsidR="001E6666">
        <w:rPr>
          <w:spacing w:val="-2"/>
          <w:lang w:val="en-GB"/>
        </w:rPr>
        <w:t>suggested that</w:t>
      </w:r>
      <w:r w:rsidRPr="004B063A">
        <w:rPr>
          <w:spacing w:val="-2"/>
          <w:lang w:val="en-GB"/>
        </w:rPr>
        <w:t xml:space="preserve"> “</w:t>
      </w:r>
      <w:r w:rsidR="001E6666">
        <w:rPr>
          <w:spacing w:val="-2"/>
          <w:lang w:val="en-GB"/>
        </w:rPr>
        <w:t>we</w:t>
      </w:r>
      <w:r w:rsidR="00CD62F2">
        <w:rPr>
          <w:spacing w:val="-2"/>
          <w:lang w:val="en-GB"/>
        </w:rPr>
        <w:t xml:space="preserve"> a</w:t>
      </w:r>
      <w:r w:rsidR="001E6666">
        <w:rPr>
          <w:spacing w:val="-2"/>
          <w:lang w:val="en-GB"/>
        </w:rPr>
        <w:t>re</w:t>
      </w:r>
      <w:r w:rsidRPr="004B063A">
        <w:rPr>
          <w:spacing w:val="-2"/>
          <w:lang w:val="en-GB"/>
        </w:rPr>
        <w:t xml:space="preserve"> building highways for the growth of e-commerce in India.” Though a blueprint for e-commerce existed in the </w:t>
      </w:r>
      <w:r w:rsidR="00B7566C">
        <w:rPr>
          <w:spacing w:val="-2"/>
          <w:lang w:val="en-GB"/>
        </w:rPr>
        <w:t>West</w:t>
      </w:r>
      <w:r w:rsidRPr="004B063A">
        <w:rPr>
          <w:spacing w:val="-2"/>
          <w:lang w:val="en-GB"/>
        </w:rPr>
        <w:t>, business processes such as online payment, logistics, quality monitoring</w:t>
      </w:r>
      <w:r w:rsidR="00B7566C">
        <w:rPr>
          <w:spacing w:val="-2"/>
          <w:lang w:val="en-GB"/>
        </w:rPr>
        <w:t>,</w:t>
      </w:r>
      <w:r w:rsidRPr="004B063A">
        <w:rPr>
          <w:spacing w:val="-2"/>
          <w:lang w:val="en-GB"/>
        </w:rPr>
        <w:t xml:space="preserve"> and feedback systems were significantly different. Sales from </w:t>
      </w:r>
      <w:r w:rsidR="00B7566C">
        <w:rPr>
          <w:spacing w:val="-2"/>
          <w:lang w:val="en-GB"/>
        </w:rPr>
        <w:t>Internet</w:t>
      </w:r>
      <w:r w:rsidR="00B7566C" w:rsidRPr="004B063A">
        <w:rPr>
          <w:spacing w:val="-2"/>
          <w:lang w:val="en-GB"/>
        </w:rPr>
        <w:t xml:space="preserve"> </w:t>
      </w:r>
      <w:r w:rsidRPr="004B063A">
        <w:rPr>
          <w:spacing w:val="-2"/>
          <w:lang w:val="en-GB"/>
        </w:rPr>
        <w:t xml:space="preserve">retailing in India grew from </w:t>
      </w:r>
      <w:r w:rsidR="00B7566C" w:rsidRPr="009E5B12">
        <w:rPr>
          <w:spacing w:val="-2"/>
          <w:sz w:val="20"/>
          <w:szCs w:val="20"/>
          <w:lang w:val="en-GB"/>
        </w:rPr>
        <w:t>₹</w:t>
      </w:r>
      <w:r w:rsidRPr="004B063A">
        <w:rPr>
          <w:spacing w:val="-2"/>
          <w:lang w:val="en-GB"/>
        </w:rPr>
        <w:t>82.</w:t>
      </w:r>
      <w:r w:rsidR="00B7566C" w:rsidRPr="004B063A">
        <w:rPr>
          <w:spacing w:val="-2"/>
          <w:lang w:val="en-GB"/>
        </w:rPr>
        <w:t>1</w:t>
      </w:r>
      <w:r w:rsidR="00B7566C">
        <w:rPr>
          <w:spacing w:val="-2"/>
          <w:lang w:val="en-GB"/>
        </w:rPr>
        <w:t xml:space="preserve"> billon</w:t>
      </w:r>
      <w:r w:rsidR="00B7566C">
        <w:rPr>
          <w:rStyle w:val="FootnoteReference"/>
          <w:spacing w:val="-2"/>
          <w:lang w:val="en-GB"/>
        </w:rPr>
        <w:footnoteReference w:id="9"/>
      </w:r>
      <w:r w:rsidR="00B7566C" w:rsidRPr="004B063A">
        <w:rPr>
          <w:spacing w:val="-2"/>
          <w:lang w:val="en-GB"/>
        </w:rPr>
        <w:t xml:space="preserve"> </w:t>
      </w:r>
      <w:r w:rsidRPr="004B063A">
        <w:rPr>
          <w:spacing w:val="-2"/>
          <w:lang w:val="en-GB"/>
        </w:rPr>
        <w:t xml:space="preserve">in 2010 to a projected value of </w:t>
      </w:r>
      <w:r w:rsidR="00B7566C" w:rsidRPr="009E5B12">
        <w:rPr>
          <w:spacing w:val="-2"/>
          <w:sz w:val="20"/>
          <w:szCs w:val="20"/>
          <w:lang w:val="en-GB"/>
        </w:rPr>
        <w:t>₹</w:t>
      </w:r>
      <w:r w:rsidRPr="004B063A">
        <w:rPr>
          <w:spacing w:val="-2"/>
          <w:lang w:val="en-GB"/>
        </w:rPr>
        <w:t>400</w:t>
      </w:r>
      <w:r w:rsidR="00B7566C">
        <w:rPr>
          <w:spacing w:val="-2"/>
          <w:lang w:val="en-GB"/>
        </w:rPr>
        <w:t xml:space="preserve"> billion</w:t>
      </w:r>
      <w:r w:rsidRPr="004B063A">
        <w:rPr>
          <w:spacing w:val="-2"/>
          <w:lang w:val="en-GB"/>
        </w:rPr>
        <w:t xml:space="preserve"> in 2015</w:t>
      </w:r>
      <w:r w:rsidR="00B7566C">
        <w:rPr>
          <w:spacing w:val="-2"/>
          <w:lang w:val="en-GB"/>
        </w:rPr>
        <w:t>—</w:t>
      </w:r>
      <w:r w:rsidRPr="004B063A">
        <w:rPr>
          <w:spacing w:val="-2"/>
          <w:lang w:val="en-GB"/>
        </w:rPr>
        <w:t xml:space="preserve">a projected </w:t>
      </w:r>
      <w:r w:rsidR="00B7566C">
        <w:rPr>
          <w:spacing w:val="-2"/>
          <w:lang w:val="en-GB"/>
        </w:rPr>
        <w:t xml:space="preserve">compound annual growth rate </w:t>
      </w:r>
      <w:r w:rsidRPr="004B063A">
        <w:rPr>
          <w:spacing w:val="-2"/>
          <w:lang w:val="en-GB"/>
        </w:rPr>
        <w:t>of 70</w:t>
      </w:r>
      <w:r w:rsidR="00B7566C">
        <w:rPr>
          <w:spacing w:val="-2"/>
          <w:lang w:val="en-GB"/>
        </w:rPr>
        <w:t xml:space="preserve"> per cent</w:t>
      </w:r>
      <w:r w:rsidRPr="004B063A">
        <w:rPr>
          <w:spacing w:val="-2"/>
          <w:lang w:val="en-GB"/>
        </w:rPr>
        <w:t xml:space="preserve"> over the </w:t>
      </w:r>
      <w:r w:rsidR="00D2396E">
        <w:rPr>
          <w:spacing w:val="-2"/>
          <w:lang w:val="en-GB"/>
        </w:rPr>
        <w:t>previous</w:t>
      </w:r>
      <w:r w:rsidR="00D2396E" w:rsidRPr="004B063A">
        <w:rPr>
          <w:spacing w:val="-2"/>
          <w:lang w:val="en-GB"/>
        </w:rPr>
        <w:t xml:space="preserve"> </w:t>
      </w:r>
      <w:r w:rsidRPr="004B063A">
        <w:rPr>
          <w:spacing w:val="-2"/>
          <w:lang w:val="en-GB"/>
        </w:rPr>
        <w:t>year</w:t>
      </w:r>
      <w:r w:rsidR="00B7566C">
        <w:rPr>
          <w:spacing w:val="-2"/>
          <w:lang w:val="en-GB"/>
        </w:rPr>
        <w:t>.</w:t>
      </w:r>
      <w:r w:rsidR="00E55448" w:rsidRPr="004B063A">
        <w:rPr>
          <w:rStyle w:val="FootnoteReference"/>
          <w:spacing w:val="-2"/>
          <w:lang w:val="en-GB"/>
        </w:rPr>
        <w:footnoteReference w:id="10"/>
      </w:r>
      <w:r w:rsidR="00E55448" w:rsidRPr="004B063A">
        <w:rPr>
          <w:spacing w:val="-2"/>
          <w:lang w:val="en-GB"/>
        </w:rPr>
        <w:t xml:space="preserve"> </w:t>
      </w:r>
      <w:r w:rsidR="00CC6512" w:rsidRPr="004B063A">
        <w:rPr>
          <w:spacing w:val="-2"/>
          <w:lang w:val="en-GB"/>
        </w:rPr>
        <w:t xml:space="preserve">Such steep growth put heavy strains on the infrastructure </w:t>
      </w:r>
      <w:r w:rsidR="00790CC4">
        <w:rPr>
          <w:spacing w:val="-2"/>
          <w:lang w:val="en-GB"/>
        </w:rPr>
        <w:t>supporting the</w:t>
      </w:r>
      <w:r w:rsidR="00790CC4" w:rsidRPr="004B063A">
        <w:rPr>
          <w:spacing w:val="-2"/>
          <w:lang w:val="en-GB"/>
        </w:rPr>
        <w:t xml:space="preserve"> </w:t>
      </w:r>
      <w:r w:rsidR="00CC6512" w:rsidRPr="004B063A">
        <w:rPr>
          <w:spacing w:val="-2"/>
          <w:lang w:val="en-GB"/>
        </w:rPr>
        <w:t>e-commerce ecosystem.</w:t>
      </w:r>
      <w:r w:rsidR="00752A09" w:rsidRPr="004B063A">
        <w:rPr>
          <w:spacing w:val="-2"/>
          <w:lang w:val="en-GB"/>
        </w:rPr>
        <w:t xml:space="preserve"> </w:t>
      </w:r>
      <w:r w:rsidR="0000584C" w:rsidRPr="004B063A">
        <w:rPr>
          <w:spacing w:val="-2"/>
          <w:lang w:val="en-GB"/>
        </w:rPr>
        <w:t>T</w:t>
      </w:r>
      <w:r w:rsidR="00752A09" w:rsidRPr="004B063A">
        <w:rPr>
          <w:spacing w:val="-2"/>
          <w:lang w:val="en-GB"/>
        </w:rPr>
        <w:t>he challenges in the industry were predominantly in the area of building infrastructure and deliver</w:t>
      </w:r>
      <w:r w:rsidR="0055337C" w:rsidRPr="004B063A">
        <w:rPr>
          <w:spacing w:val="-2"/>
          <w:lang w:val="en-GB"/>
        </w:rPr>
        <w:t>ing</w:t>
      </w:r>
      <w:r w:rsidR="00752A09" w:rsidRPr="004B063A">
        <w:rPr>
          <w:spacing w:val="-2"/>
          <w:lang w:val="en-GB"/>
        </w:rPr>
        <w:t xml:space="preserve"> a superior customer experience</w:t>
      </w:r>
      <w:r w:rsidR="00790CC4">
        <w:rPr>
          <w:spacing w:val="-2"/>
          <w:lang w:val="en-GB"/>
        </w:rPr>
        <w:t>—</w:t>
      </w:r>
      <w:r w:rsidR="00752A09" w:rsidRPr="004B063A">
        <w:rPr>
          <w:spacing w:val="-2"/>
          <w:lang w:val="en-GB"/>
        </w:rPr>
        <w:t>from payment gateways to efficient supply chain partners. A solution to these challenges would increase the number of customers transacting online</w:t>
      </w:r>
      <w:r w:rsidR="00E24654">
        <w:rPr>
          <w:spacing w:val="-2"/>
          <w:lang w:val="en-GB"/>
        </w:rPr>
        <w:t>.</w:t>
      </w:r>
      <w:r w:rsidR="00752A09" w:rsidRPr="004B063A">
        <w:rPr>
          <w:rStyle w:val="FootnoteAnchor"/>
          <w:iCs/>
          <w:spacing w:val="-2"/>
          <w:lang w:val="en-GB"/>
        </w:rPr>
        <w:footnoteReference w:id="11"/>
      </w:r>
      <w:r w:rsidR="00752A09" w:rsidRPr="004B063A">
        <w:rPr>
          <w:spacing w:val="-2"/>
          <w:lang w:val="en-GB"/>
        </w:rPr>
        <w:t xml:space="preserve"> </w:t>
      </w:r>
    </w:p>
    <w:p w14:paraId="714FD4DE" w14:textId="7907AEEC" w:rsidR="00C6736E" w:rsidRPr="004B063A" w:rsidRDefault="00C6736E" w:rsidP="00EE27A2">
      <w:pPr>
        <w:pStyle w:val="BodyTextMain"/>
        <w:rPr>
          <w:lang w:val="en-GB"/>
        </w:rPr>
      </w:pPr>
    </w:p>
    <w:p w14:paraId="53A52097" w14:textId="6E1255DD" w:rsidR="00E55448" w:rsidRPr="004B063A" w:rsidRDefault="00BA7D35" w:rsidP="00EE27A2">
      <w:pPr>
        <w:pStyle w:val="BodyTextMain"/>
        <w:rPr>
          <w:lang w:val="en-GB"/>
        </w:rPr>
      </w:pPr>
      <w:r w:rsidRPr="004B063A">
        <w:rPr>
          <w:lang w:val="en-GB"/>
        </w:rPr>
        <w:t xml:space="preserve">Most early e-commerce firms operated </w:t>
      </w:r>
      <w:r w:rsidR="00403DC9">
        <w:rPr>
          <w:lang w:val="en-GB"/>
        </w:rPr>
        <w:t>using</w:t>
      </w:r>
      <w:r w:rsidR="00DF1A04">
        <w:rPr>
          <w:lang w:val="en-GB"/>
        </w:rPr>
        <w:t xml:space="preserve"> </w:t>
      </w:r>
      <w:r w:rsidRPr="004B063A">
        <w:rPr>
          <w:lang w:val="en-GB"/>
        </w:rPr>
        <w:t xml:space="preserve">the </w:t>
      </w:r>
      <w:r w:rsidR="003B277E" w:rsidRPr="004B063A">
        <w:rPr>
          <w:lang w:val="en-GB"/>
        </w:rPr>
        <w:t>inventory model</w:t>
      </w:r>
      <w:r w:rsidR="00EF225A" w:rsidRPr="004B063A">
        <w:rPr>
          <w:lang w:val="en-GB"/>
        </w:rPr>
        <w:t xml:space="preserve">. This model </w:t>
      </w:r>
      <w:r w:rsidR="00394A73" w:rsidRPr="004B063A">
        <w:rPr>
          <w:lang w:val="en-GB"/>
        </w:rPr>
        <w:t xml:space="preserve">overcame </w:t>
      </w:r>
      <w:r w:rsidR="003B277E" w:rsidRPr="004B063A">
        <w:rPr>
          <w:lang w:val="en-GB"/>
        </w:rPr>
        <w:t xml:space="preserve">problems of trust between buyers and sellers. However, </w:t>
      </w:r>
      <w:r w:rsidR="00A5463D" w:rsidRPr="004B063A">
        <w:rPr>
          <w:lang w:val="en-GB"/>
        </w:rPr>
        <w:t>the</w:t>
      </w:r>
      <w:r w:rsidR="003B277E" w:rsidRPr="004B063A">
        <w:rPr>
          <w:lang w:val="en-GB"/>
        </w:rPr>
        <w:t xml:space="preserve"> inventory model tie</w:t>
      </w:r>
      <w:r w:rsidR="005E34C0" w:rsidRPr="004B063A">
        <w:rPr>
          <w:lang w:val="en-GB"/>
        </w:rPr>
        <w:t>d</w:t>
      </w:r>
      <w:r w:rsidR="003B277E" w:rsidRPr="004B063A">
        <w:rPr>
          <w:lang w:val="en-GB"/>
        </w:rPr>
        <w:t xml:space="preserve"> up capital in purchasing and stocking inventory, exposing the firm to </w:t>
      </w:r>
      <w:r w:rsidR="00E24654">
        <w:rPr>
          <w:lang w:val="en-GB"/>
        </w:rPr>
        <w:t>the risk of inventory markdown</w:t>
      </w:r>
      <w:r w:rsidR="003B277E" w:rsidRPr="004B063A">
        <w:rPr>
          <w:lang w:val="en-GB"/>
        </w:rPr>
        <w:t xml:space="preserve">. </w:t>
      </w:r>
      <w:r w:rsidR="00D930AA" w:rsidRPr="004B063A">
        <w:rPr>
          <w:lang w:val="en-GB"/>
        </w:rPr>
        <w:t xml:space="preserve">Both </w:t>
      </w:r>
      <w:r w:rsidR="007875A1">
        <w:rPr>
          <w:lang w:val="en-GB"/>
        </w:rPr>
        <w:t xml:space="preserve">of </w:t>
      </w:r>
      <w:r w:rsidR="00D930AA" w:rsidRPr="004B063A">
        <w:rPr>
          <w:lang w:val="en-GB"/>
        </w:rPr>
        <w:t>t</w:t>
      </w:r>
      <w:r w:rsidR="003B277E" w:rsidRPr="004B063A">
        <w:rPr>
          <w:lang w:val="en-GB"/>
        </w:rPr>
        <w:t>hese problems increase</w:t>
      </w:r>
      <w:r w:rsidR="00561CEF" w:rsidRPr="004B063A">
        <w:rPr>
          <w:lang w:val="en-GB"/>
        </w:rPr>
        <w:t>d</w:t>
      </w:r>
      <w:r w:rsidR="003B277E" w:rsidRPr="004B063A">
        <w:rPr>
          <w:lang w:val="en-GB"/>
        </w:rPr>
        <w:t xml:space="preserve"> exponentially with size. </w:t>
      </w:r>
      <w:r w:rsidR="007046E8" w:rsidRPr="004B063A">
        <w:rPr>
          <w:lang w:val="en-GB"/>
        </w:rPr>
        <w:t xml:space="preserve">Firms realized that </w:t>
      </w:r>
      <w:r w:rsidR="003B277E" w:rsidRPr="004B063A">
        <w:rPr>
          <w:lang w:val="en-GB"/>
        </w:rPr>
        <w:t xml:space="preserve">higher and higher capital </w:t>
      </w:r>
      <w:r w:rsidR="00F863EC" w:rsidRPr="004B063A">
        <w:rPr>
          <w:lang w:val="en-GB"/>
        </w:rPr>
        <w:t xml:space="preserve">would be needed </w:t>
      </w:r>
      <w:r w:rsidR="003B277E" w:rsidRPr="004B063A">
        <w:rPr>
          <w:lang w:val="en-GB"/>
        </w:rPr>
        <w:t xml:space="preserve">to maintain the same growth rate </w:t>
      </w:r>
      <w:r w:rsidR="005747B3" w:rsidRPr="004B063A">
        <w:rPr>
          <w:lang w:val="en-GB"/>
        </w:rPr>
        <w:t xml:space="preserve">if they continued with </w:t>
      </w:r>
      <w:r w:rsidR="007875A1">
        <w:rPr>
          <w:lang w:val="en-GB"/>
        </w:rPr>
        <w:t>the inventory-based</w:t>
      </w:r>
      <w:r w:rsidR="003B277E" w:rsidRPr="004B063A">
        <w:rPr>
          <w:lang w:val="en-GB"/>
        </w:rPr>
        <w:t xml:space="preserve"> model. Around the same time, the </w:t>
      </w:r>
      <w:r w:rsidR="00E72EAD">
        <w:rPr>
          <w:lang w:val="en-GB"/>
        </w:rPr>
        <w:t>inventory-based</w:t>
      </w:r>
      <w:r w:rsidR="003B277E" w:rsidRPr="004B063A">
        <w:rPr>
          <w:lang w:val="en-GB"/>
        </w:rPr>
        <w:t xml:space="preserve"> operating model was deemed to be at odds with </w:t>
      </w:r>
      <w:r w:rsidR="00E72EAD">
        <w:rPr>
          <w:lang w:val="en-GB"/>
        </w:rPr>
        <w:t xml:space="preserve">the norms of </w:t>
      </w:r>
      <w:r w:rsidR="003B277E" w:rsidRPr="004B063A">
        <w:rPr>
          <w:lang w:val="en-GB"/>
        </w:rPr>
        <w:t xml:space="preserve">Indian </w:t>
      </w:r>
      <w:r w:rsidR="00E72EAD">
        <w:rPr>
          <w:lang w:val="en-GB"/>
        </w:rPr>
        <w:t>foreign direct investment</w:t>
      </w:r>
      <w:r w:rsidR="00330A2A">
        <w:rPr>
          <w:lang w:val="en-GB"/>
        </w:rPr>
        <w:t xml:space="preserve"> (FDI)</w:t>
      </w:r>
      <w:r w:rsidR="00E72EAD">
        <w:rPr>
          <w:lang w:val="en-GB"/>
        </w:rPr>
        <w:t>.</w:t>
      </w:r>
      <w:r w:rsidR="00E508D1" w:rsidRPr="004B063A">
        <w:rPr>
          <w:rStyle w:val="FootnoteReference"/>
          <w:lang w:val="en-GB"/>
        </w:rPr>
        <w:footnoteReference w:id="12"/>
      </w:r>
      <w:r w:rsidR="00C3006A" w:rsidRPr="004B063A">
        <w:rPr>
          <w:lang w:val="en-GB"/>
        </w:rPr>
        <w:t xml:space="preserve"> </w:t>
      </w:r>
      <w:r w:rsidR="00CA74A8" w:rsidRPr="004B063A">
        <w:rPr>
          <w:lang w:val="en-GB"/>
        </w:rPr>
        <w:t xml:space="preserve">In addition, the Indian market had massive fragmentation </w:t>
      </w:r>
      <w:r w:rsidR="0032273C">
        <w:rPr>
          <w:lang w:val="en-GB"/>
        </w:rPr>
        <w:t xml:space="preserve">in </w:t>
      </w:r>
      <w:r w:rsidR="00E72EAD">
        <w:rPr>
          <w:lang w:val="en-GB"/>
        </w:rPr>
        <w:t>both</w:t>
      </w:r>
      <w:r w:rsidR="00CA74A8" w:rsidRPr="004B063A">
        <w:rPr>
          <w:lang w:val="en-GB"/>
        </w:rPr>
        <w:t xml:space="preserve"> supply </w:t>
      </w:r>
      <w:r w:rsidR="00E72EAD">
        <w:rPr>
          <w:lang w:val="en-GB"/>
        </w:rPr>
        <w:t>and</w:t>
      </w:r>
      <w:r w:rsidR="00CA74A8" w:rsidRPr="004B063A">
        <w:rPr>
          <w:lang w:val="en-GB"/>
        </w:rPr>
        <w:t xml:space="preserve"> </w:t>
      </w:r>
      <w:r w:rsidR="0032273C">
        <w:rPr>
          <w:lang w:val="en-GB"/>
        </w:rPr>
        <w:t>retail distribution</w:t>
      </w:r>
      <w:r w:rsidR="00CA74A8" w:rsidRPr="004B063A">
        <w:rPr>
          <w:lang w:val="en-GB"/>
        </w:rPr>
        <w:t xml:space="preserve">. </w:t>
      </w:r>
      <w:r w:rsidR="00596C88" w:rsidRPr="004B063A">
        <w:rPr>
          <w:lang w:val="en-GB"/>
        </w:rPr>
        <w:t>Less than 8</w:t>
      </w:r>
      <w:r w:rsidR="0032273C">
        <w:rPr>
          <w:lang w:val="en-GB"/>
        </w:rPr>
        <w:t xml:space="preserve"> per cent</w:t>
      </w:r>
      <w:r w:rsidR="00596C88" w:rsidRPr="004B063A">
        <w:rPr>
          <w:lang w:val="en-GB"/>
        </w:rPr>
        <w:t xml:space="preserve"> of retail in India was organized. </w:t>
      </w:r>
      <w:r w:rsidR="00A61F94" w:rsidRPr="004B063A">
        <w:rPr>
          <w:lang w:val="en-GB"/>
        </w:rPr>
        <w:t xml:space="preserve">There was a very, very long tail on the supply side. The only way to aggregate supply was to allow sellers to list on </w:t>
      </w:r>
      <w:r w:rsidR="00BA6D0D">
        <w:rPr>
          <w:lang w:val="en-GB"/>
        </w:rPr>
        <w:t>the</w:t>
      </w:r>
      <w:r w:rsidR="00BA6D0D" w:rsidRPr="004B063A">
        <w:rPr>
          <w:lang w:val="en-GB"/>
        </w:rPr>
        <w:t xml:space="preserve"> </w:t>
      </w:r>
      <w:r w:rsidR="00A61F94" w:rsidRPr="004B063A">
        <w:rPr>
          <w:lang w:val="en-GB"/>
        </w:rPr>
        <w:t>platform, which had a lot of demand</w:t>
      </w:r>
      <w:r w:rsidR="0032273C">
        <w:rPr>
          <w:lang w:val="en-GB"/>
        </w:rPr>
        <w:t>.</w:t>
      </w:r>
      <w:r w:rsidR="00A61F94" w:rsidRPr="004B063A">
        <w:rPr>
          <w:rStyle w:val="FootnoteAnchor"/>
          <w:lang w:val="en-GB"/>
        </w:rPr>
        <w:footnoteReference w:id="13"/>
      </w:r>
      <w:r w:rsidR="00A61F94" w:rsidRPr="004B063A">
        <w:rPr>
          <w:lang w:val="en-GB"/>
        </w:rPr>
        <w:t xml:space="preserve"> </w:t>
      </w:r>
      <w:r w:rsidR="00EA16F9" w:rsidRPr="004B063A">
        <w:rPr>
          <w:lang w:val="en-GB"/>
        </w:rPr>
        <w:t xml:space="preserve">Giving </w:t>
      </w:r>
      <w:r w:rsidR="00FC564C">
        <w:rPr>
          <w:lang w:val="en-GB"/>
        </w:rPr>
        <w:t>in to</w:t>
      </w:r>
      <w:r w:rsidR="00FC564C" w:rsidRPr="004B063A">
        <w:rPr>
          <w:lang w:val="en-GB"/>
        </w:rPr>
        <w:t xml:space="preserve"> </w:t>
      </w:r>
      <w:r w:rsidR="00EA16F9" w:rsidRPr="004B063A">
        <w:rPr>
          <w:lang w:val="en-GB"/>
        </w:rPr>
        <w:t xml:space="preserve">these </w:t>
      </w:r>
      <w:r w:rsidR="00E279E9" w:rsidRPr="004B063A">
        <w:rPr>
          <w:lang w:val="en-GB"/>
        </w:rPr>
        <w:t>pressures</w:t>
      </w:r>
      <w:r w:rsidR="00FC564C">
        <w:rPr>
          <w:lang w:val="en-GB"/>
        </w:rPr>
        <w:t>,</w:t>
      </w:r>
      <w:r w:rsidR="00E279E9" w:rsidRPr="004B063A">
        <w:rPr>
          <w:lang w:val="en-GB"/>
        </w:rPr>
        <w:t xml:space="preserve"> most of the </w:t>
      </w:r>
      <w:r w:rsidR="005F1E00" w:rsidRPr="004B063A">
        <w:rPr>
          <w:lang w:val="en-GB"/>
        </w:rPr>
        <w:t xml:space="preserve">e-commerce </w:t>
      </w:r>
      <w:r w:rsidR="00E279E9" w:rsidRPr="004B063A">
        <w:rPr>
          <w:lang w:val="en-GB"/>
        </w:rPr>
        <w:t xml:space="preserve">firms transitioned to the </w:t>
      </w:r>
      <w:r w:rsidR="00FC564C">
        <w:rPr>
          <w:lang w:val="en-GB"/>
        </w:rPr>
        <w:t>marketplace</w:t>
      </w:r>
      <w:r w:rsidR="00D81E36" w:rsidRPr="004B063A">
        <w:rPr>
          <w:lang w:val="en-GB"/>
        </w:rPr>
        <w:t xml:space="preserve"> model</w:t>
      </w:r>
      <w:r w:rsidR="00C3006A" w:rsidRPr="004B063A">
        <w:rPr>
          <w:lang w:val="en-GB"/>
        </w:rPr>
        <w:t>.</w:t>
      </w:r>
      <w:r w:rsidR="009E1444" w:rsidRPr="004B063A">
        <w:rPr>
          <w:lang w:val="en-GB"/>
        </w:rPr>
        <w:t xml:space="preserve"> </w:t>
      </w:r>
    </w:p>
    <w:p w14:paraId="64AFADAC" w14:textId="77777777" w:rsidR="00E55448" w:rsidRPr="004B063A" w:rsidRDefault="00E55448" w:rsidP="00066A98">
      <w:pPr>
        <w:pStyle w:val="BodyTextMain"/>
        <w:jc w:val="left"/>
        <w:rPr>
          <w:lang w:val="en-GB"/>
        </w:rPr>
      </w:pPr>
    </w:p>
    <w:p w14:paraId="0A52D5DB" w14:textId="77777777" w:rsidR="00066A98" w:rsidRPr="004B063A" w:rsidRDefault="00066A98" w:rsidP="00066A98">
      <w:pPr>
        <w:pStyle w:val="BodyTextMain"/>
        <w:jc w:val="left"/>
        <w:rPr>
          <w:lang w:val="en-GB"/>
        </w:rPr>
      </w:pPr>
    </w:p>
    <w:p w14:paraId="00E01C29" w14:textId="6C9E6B23" w:rsidR="00E55448" w:rsidRPr="004B063A" w:rsidRDefault="00A101AE" w:rsidP="00E55448">
      <w:pPr>
        <w:pStyle w:val="BodyTextMain"/>
        <w:rPr>
          <w:rFonts w:ascii="Arial" w:hAnsi="Arial" w:cs="Arial"/>
          <w:b/>
          <w:bCs/>
          <w:sz w:val="20"/>
          <w:szCs w:val="20"/>
          <w:lang w:val="en-GB"/>
        </w:rPr>
      </w:pPr>
      <w:r>
        <w:rPr>
          <w:rFonts w:ascii="Arial" w:hAnsi="Arial" w:cs="Arial"/>
          <w:b/>
          <w:bCs/>
          <w:sz w:val="20"/>
          <w:szCs w:val="20"/>
          <w:lang w:val="en-GB"/>
        </w:rPr>
        <w:t xml:space="preserve">A </w:t>
      </w:r>
      <w:r w:rsidR="00E55448" w:rsidRPr="004B063A">
        <w:rPr>
          <w:rFonts w:ascii="Arial" w:hAnsi="Arial" w:cs="Arial"/>
          <w:b/>
          <w:bCs/>
          <w:sz w:val="20"/>
          <w:szCs w:val="20"/>
          <w:lang w:val="en-GB"/>
        </w:rPr>
        <w:t>Need for Technology</w:t>
      </w:r>
      <w:r>
        <w:rPr>
          <w:rFonts w:ascii="Arial" w:hAnsi="Arial" w:cs="Arial"/>
          <w:b/>
          <w:bCs/>
          <w:sz w:val="20"/>
          <w:szCs w:val="20"/>
          <w:lang w:val="en-GB"/>
        </w:rPr>
        <w:t xml:space="preserve">: </w:t>
      </w:r>
      <w:r w:rsidR="00E55448" w:rsidRPr="004B063A">
        <w:rPr>
          <w:rFonts w:ascii="Arial" w:hAnsi="Arial" w:cs="Arial"/>
          <w:b/>
          <w:bCs/>
          <w:sz w:val="20"/>
          <w:szCs w:val="20"/>
          <w:lang w:val="en-GB"/>
        </w:rPr>
        <w:t xml:space="preserve">An Emerging Business Opportunity in </w:t>
      </w:r>
      <w:r>
        <w:rPr>
          <w:rFonts w:ascii="Arial" w:hAnsi="Arial" w:cs="Arial"/>
          <w:b/>
          <w:bCs/>
          <w:sz w:val="20"/>
          <w:szCs w:val="20"/>
          <w:lang w:val="en-GB"/>
        </w:rPr>
        <w:t xml:space="preserve">the </w:t>
      </w:r>
      <w:r w:rsidR="00E55448" w:rsidRPr="004B063A">
        <w:rPr>
          <w:rFonts w:ascii="Arial" w:hAnsi="Arial" w:cs="Arial"/>
          <w:b/>
          <w:bCs/>
          <w:sz w:val="20"/>
          <w:szCs w:val="20"/>
          <w:lang w:val="en-GB"/>
        </w:rPr>
        <w:t>E-commerce Industry</w:t>
      </w:r>
    </w:p>
    <w:p w14:paraId="0C156273" w14:textId="77777777" w:rsidR="00E55448" w:rsidRPr="004B063A" w:rsidRDefault="00E55448" w:rsidP="00E55448">
      <w:pPr>
        <w:pStyle w:val="BodyTextMain"/>
        <w:rPr>
          <w:i/>
          <w:lang w:val="en-GB"/>
        </w:rPr>
      </w:pPr>
    </w:p>
    <w:p w14:paraId="304A6B87" w14:textId="551CC4BF" w:rsidR="00DE3FDF" w:rsidRDefault="00E55448" w:rsidP="009E5B12">
      <w:pPr>
        <w:pStyle w:val="BodyTextMain"/>
        <w:jc w:val="right"/>
        <w:rPr>
          <w:rStyle w:val="FootnoteAnchor"/>
          <w:vertAlign w:val="baseline"/>
          <w:lang w:val="en-GB"/>
        </w:rPr>
      </w:pPr>
      <w:r w:rsidRPr="004B063A">
        <w:rPr>
          <w:lang w:val="en-GB"/>
        </w:rPr>
        <w:t>When e-commerce companies build scale, cost comes down. Companies that can handle scale and reduce</w:t>
      </w:r>
      <w:r w:rsidR="00CF7E17">
        <w:rPr>
          <w:lang w:val="en-GB"/>
        </w:rPr>
        <w:t xml:space="preserve"> </w:t>
      </w:r>
      <w:r w:rsidRPr="004B063A">
        <w:rPr>
          <w:lang w:val="en-GB"/>
        </w:rPr>
        <w:t>costs over time will win</w:t>
      </w:r>
      <w:r w:rsidR="005E33C5">
        <w:rPr>
          <w:lang w:val="en-GB"/>
        </w:rPr>
        <w:t>. . . .</w:t>
      </w:r>
      <w:r w:rsidR="00053A42">
        <w:rPr>
          <w:lang w:val="en-GB"/>
        </w:rPr>
        <w:t xml:space="preserve"> </w:t>
      </w:r>
      <w:r w:rsidRPr="004B063A">
        <w:rPr>
          <w:lang w:val="en-GB"/>
        </w:rPr>
        <w:t>Technology is the answer at large scale.</w:t>
      </w:r>
      <w:r w:rsidRPr="004B063A">
        <w:rPr>
          <w:rStyle w:val="FootnoteAnchor"/>
          <w:lang w:val="en-GB"/>
        </w:rPr>
        <w:footnoteReference w:id="14"/>
      </w:r>
    </w:p>
    <w:p w14:paraId="0CE615D1" w14:textId="77777777" w:rsidR="00DE3FDF" w:rsidRDefault="00DE3FDF" w:rsidP="009E5B12">
      <w:pPr>
        <w:pStyle w:val="BodyTextMain"/>
        <w:jc w:val="right"/>
        <w:rPr>
          <w:rStyle w:val="FootnoteAnchor"/>
          <w:sz w:val="20"/>
          <w:szCs w:val="20"/>
          <w:vertAlign w:val="baseline"/>
          <w:lang w:val="en-GB"/>
        </w:rPr>
      </w:pPr>
    </w:p>
    <w:p w14:paraId="7F937145" w14:textId="7FEEBC68" w:rsidR="005E3F8C" w:rsidRDefault="00DE3FDF" w:rsidP="009E5B12">
      <w:pPr>
        <w:pStyle w:val="BodyTextMain"/>
        <w:jc w:val="right"/>
        <w:rPr>
          <w:rStyle w:val="FootnoteAnchor"/>
          <w:vertAlign w:val="baseline"/>
          <w:lang w:val="en-GB"/>
        </w:rPr>
      </w:pPr>
      <w:r>
        <w:rPr>
          <w:rStyle w:val="FootnoteAnchor"/>
          <w:vertAlign w:val="baseline"/>
          <w:lang w:val="en-GB"/>
        </w:rPr>
        <w:t>Sachin Bansal, chief executive officer, Flipkart</w:t>
      </w:r>
    </w:p>
    <w:p w14:paraId="3DE31A6E" w14:textId="77777777" w:rsidR="005E3F8C" w:rsidRDefault="005E3F8C" w:rsidP="00E55448">
      <w:pPr>
        <w:pStyle w:val="BodyTextMain"/>
        <w:rPr>
          <w:rStyle w:val="FootnoteAnchor"/>
          <w:vertAlign w:val="baseline"/>
          <w:lang w:val="en-GB"/>
        </w:rPr>
      </w:pPr>
    </w:p>
    <w:p w14:paraId="44AB6D70" w14:textId="5962C34E" w:rsidR="00E55448" w:rsidRPr="00D36075" w:rsidRDefault="00225A13" w:rsidP="00E55448">
      <w:pPr>
        <w:pStyle w:val="BodyTextMain"/>
        <w:rPr>
          <w:spacing w:val="-2"/>
          <w:lang w:val="en-GB"/>
        </w:rPr>
      </w:pPr>
      <w:r w:rsidRPr="00D36075">
        <w:rPr>
          <w:rStyle w:val="FootnoteAnchor"/>
          <w:spacing w:val="-2"/>
          <w:vertAlign w:val="baseline"/>
          <w:lang w:val="en-GB"/>
        </w:rPr>
        <w:t xml:space="preserve">The </w:t>
      </w:r>
      <w:r w:rsidR="00053A42" w:rsidRPr="00D36075">
        <w:rPr>
          <w:rStyle w:val="FootnoteAnchor"/>
          <w:spacing w:val="-2"/>
          <w:vertAlign w:val="baseline"/>
          <w:lang w:val="en-GB"/>
        </w:rPr>
        <w:t>e-commerce</w:t>
      </w:r>
      <w:r w:rsidRPr="00D36075">
        <w:rPr>
          <w:rStyle w:val="FootnoteAnchor"/>
          <w:spacing w:val="-2"/>
          <w:vertAlign w:val="baseline"/>
          <w:lang w:val="en-GB"/>
        </w:rPr>
        <w:t xml:space="preserve"> industry witnessed an exponential growth from 2007</w:t>
      </w:r>
      <w:r w:rsidR="00053A42" w:rsidRPr="00D36075">
        <w:rPr>
          <w:rStyle w:val="FootnoteAnchor"/>
          <w:spacing w:val="-2"/>
          <w:vertAlign w:val="baseline"/>
          <w:lang w:val="en-GB"/>
        </w:rPr>
        <w:t xml:space="preserve"> to </w:t>
      </w:r>
      <w:r w:rsidRPr="00D36075">
        <w:rPr>
          <w:rStyle w:val="FootnoteAnchor"/>
          <w:spacing w:val="-2"/>
          <w:vertAlign w:val="baseline"/>
          <w:lang w:val="en-GB"/>
        </w:rPr>
        <w:t xml:space="preserve">2011, with the number of individuals transacting online increasing from </w:t>
      </w:r>
      <w:r w:rsidR="005E33C5" w:rsidRPr="00D36075">
        <w:rPr>
          <w:rStyle w:val="FootnoteAnchor"/>
          <w:spacing w:val="-2"/>
          <w:vertAlign w:val="baseline"/>
          <w:lang w:val="en-GB"/>
        </w:rPr>
        <w:t>3</w:t>
      </w:r>
      <w:r w:rsidR="00053A42" w:rsidRPr="00D36075">
        <w:rPr>
          <w:rStyle w:val="FootnoteAnchor"/>
          <w:spacing w:val="-2"/>
          <w:vertAlign w:val="baseline"/>
          <w:lang w:val="en-GB"/>
        </w:rPr>
        <w:t xml:space="preserve"> million </w:t>
      </w:r>
      <w:r w:rsidRPr="00D36075">
        <w:rPr>
          <w:rStyle w:val="FootnoteAnchor"/>
          <w:spacing w:val="-2"/>
          <w:vertAlign w:val="baseline"/>
          <w:lang w:val="en-GB"/>
        </w:rPr>
        <w:t xml:space="preserve">to </w:t>
      </w:r>
      <w:r w:rsidR="00053A42" w:rsidRPr="00D36075">
        <w:rPr>
          <w:rStyle w:val="FootnoteAnchor"/>
          <w:spacing w:val="-2"/>
          <w:vertAlign w:val="baseline"/>
          <w:lang w:val="en-GB"/>
        </w:rPr>
        <w:t>11 million—</w:t>
      </w:r>
      <w:r w:rsidRPr="00D36075">
        <w:rPr>
          <w:rStyle w:val="FootnoteAnchor"/>
          <w:spacing w:val="-2"/>
          <w:vertAlign w:val="baseline"/>
          <w:lang w:val="en-GB"/>
        </w:rPr>
        <w:t xml:space="preserve">a number that </w:t>
      </w:r>
      <w:r w:rsidR="0033085D" w:rsidRPr="00D36075">
        <w:rPr>
          <w:rStyle w:val="FootnoteAnchor"/>
          <w:spacing w:val="-2"/>
          <w:vertAlign w:val="baseline"/>
          <w:lang w:val="en-GB"/>
        </w:rPr>
        <w:t>was</w:t>
      </w:r>
      <w:r w:rsidRPr="00D36075">
        <w:rPr>
          <w:rStyle w:val="FootnoteAnchor"/>
          <w:spacing w:val="-2"/>
          <w:vertAlign w:val="baseline"/>
          <w:lang w:val="en-GB"/>
        </w:rPr>
        <w:t xml:space="preserve"> projected to rise to </w:t>
      </w:r>
      <w:r w:rsidR="00053A42" w:rsidRPr="00D36075">
        <w:rPr>
          <w:rStyle w:val="FootnoteAnchor"/>
          <w:spacing w:val="-2"/>
          <w:vertAlign w:val="baseline"/>
          <w:lang w:val="en-GB"/>
        </w:rPr>
        <w:t xml:space="preserve">40 million </w:t>
      </w:r>
      <w:r w:rsidRPr="00D36075">
        <w:rPr>
          <w:rStyle w:val="FootnoteAnchor"/>
          <w:spacing w:val="-2"/>
          <w:vertAlign w:val="baseline"/>
          <w:lang w:val="en-GB"/>
        </w:rPr>
        <w:t xml:space="preserve">by 2016. Managing </w:t>
      </w:r>
      <w:r w:rsidR="00053A42" w:rsidRPr="00D36075">
        <w:rPr>
          <w:rStyle w:val="FootnoteAnchor"/>
          <w:spacing w:val="-2"/>
          <w:vertAlign w:val="baseline"/>
          <w:lang w:val="en-GB"/>
        </w:rPr>
        <w:t xml:space="preserve">a </w:t>
      </w:r>
      <w:r w:rsidRPr="00D36075">
        <w:rPr>
          <w:rStyle w:val="FootnoteAnchor"/>
          <w:spacing w:val="-2"/>
          <w:vertAlign w:val="baseline"/>
          <w:lang w:val="en-GB"/>
        </w:rPr>
        <w:t xml:space="preserve">large and diverse customer and retailer base for </w:t>
      </w:r>
      <w:r w:rsidR="00053A42" w:rsidRPr="00D36075">
        <w:rPr>
          <w:rStyle w:val="FootnoteAnchor"/>
          <w:spacing w:val="-2"/>
          <w:vertAlign w:val="baseline"/>
          <w:lang w:val="en-GB"/>
        </w:rPr>
        <w:t xml:space="preserve">a </w:t>
      </w:r>
      <w:r w:rsidRPr="00D36075">
        <w:rPr>
          <w:rStyle w:val="FootnoteAnchor"/>
          <w:spacing w:val="-2"/>
          <w:vertAlign w:val="baseline"/>
          <w:lang w:val="en-GB"/>
        </w:rPr>
        <w:t xml:space="preserve">seamless shopping experience </w:t>
      </w:r>
      <w:r w:rsidR="00053A42" w:rsidRPr="00D36075">
        <w:rPr>
          <w:rStyle w:val="FootnoteAnchor"/>
          <w:spacing w:val="-2"/>
          <w:vertAlign w:val="baseline"/>
          <w:lang w:val="en-GB"/>
        </w:rPr>
        <w:t>was</w:t>
      </w:r>
      <w:r w:rsidRPr="00D36075">
        <w:rPr>
          <w:rStyle w:val="FootnoteAnchor"/>
          <w:spacing w:val="-2"/>
          <w:vertAlign w:val="baseline"/>
          <w:lang w:val="en-GB"/>
        </w:rPr>
        <w:t xml:space="preserve"> possible only through the committed use of technology. On the customer-facing end, there </w:t>
      </w:r>
      <w:r w:rsidR="00F0401C" w:rsidRPr="00D36075">
        <w:rPr>
          <w:rStyle w:val="FootnoteAnchor"/>
          <w:spacing w:val="-2"/>
          <w:vertAlign w:val="baseline"/>
          <w:lang w:val="en-GB"/>
        </w:rPr>
        <w:t>had</w:t>
      </w:r>
      <w:r w:rsidRPr="00D36075">
        <w:rPr>
          <w:rStyle w:val="FootnoteAnchor"/>
          <w:spacing w:val="-2"/>
          <w:vertAlign w:val="baseline"/>
          <w:lang w:val="en-GB"/>
        </w:rPr>
        <w:t xml:space="preserve"> been increasing use of recommender systems by e-commerce platforms to offer customized offerings to a diverse clientele. </w:t>
      </w:r>
      <w:r w:rsidR="009D03B5" w:rsidRPr="00D36075">
        <w:rPr>
          <w:rStyle w:val="FootnoteAnchor"/>
          <w:spacing w:val="-2"/>
          <w:vertAlign w:val="baseline"/>
          <w:lang w:val="en-GB"/>
        </w:rPr>
        <w:t xml:space="preserve">Recommender </w:t>
      </w:r>
      <w:r w:rsidRPr="00D36075">
        <w:rPr>
          <w:rStyle w:val="FootnoteAnchor"/>
          <w:spacing w:val="-2"/>
          <w:vertAlign w:val="baseline"/>
          <w:lang w:val="en-GB"/>
        </w:rPr>
        <w:t xml:space="preserve">systems </w:t>
      </w:r>
      <w:r w:rsidR="00CF7E17" w:rsidRPr="00D36075">
        <w:rPr>
          <w:rStyle w:val="FootnoteAnchor"/>
          <w:spacing w:val="-2"/>
          <w:vertAlign w:val="baseline"/>
          <w:lang w:val="en-GB"/>
        </w:rPr>
        <w:t xml:space="preserve">used </w:t>
      </w:r>
      <w:r w:rsidRPr="00D36075">
        <w:rPr>
          <w:rStyle w:val="FootnoteAnchor"/>
          <w:spacing w:val="-2"/>
          <w:vertAlign w:val="baseline"/>
          <w:lang w:val="en-GB"/>
        </w:rPr>
        <w:t xml:space="preserve">technology to identify </w:t>
      </w:r>
      <w:r w:rsidR="0026298B" w:rsidRPr="00D36075">
        <w:rPr>
          <w:rStyle w:val="FootnoteAnchor"/>
          <w:spacing w:val="-2"/>
          <w:vertAlign w:val="baseline"/>
          <w:lang w:val="en-GB"/>
        </w:rPr>
        <w:t>user buying</w:t>
      </w:r>
      <w:r w:rsidRPr="00D36075">
        <w:rPr>
          <w:rStyle w:val="FootnoteAnchor"/>
          <w:spacing w:val="-2"/>
          <w:vertAlign w:val="baseline"/>
          <w:lang w:val="en-GB"/>
        </w:rPr>
        <w:t xml:space="preserve"> patterns through detailed profiling, prior shopping experience, location</w:t>
      </w:r>
      <w:r w:rsidR="0026298B" w:rsidRPr="00D36075">
        <w:rPr>
          <w:rStyle w:val="FootnoteAnchor"/>
          <w:spacing w:val="-2"/>
          <w:vertAlign w:val="baseline"/>
          <w:lang w:val="en-GB"/>
        </w:rPr>
        <w:t>,</w:t>
      </w:r>
      <w:r w:rsidRPr="00D36075">
        <w:rPr>
          <w:rStyle w:val="FootnoteAnchor"/>
          <w:spacing w:val="-2"/>
          <w:vertAlign w:val="baseline"/>
          <w:lang w:val="en-GB"/>
        </w:rPr>
        <w:t xml:space="preserve"> and</w:t>
      </w:r>
      <w:r w:rsidR="00CF7E17" w:rsidRPr="00D36075">
        <w:rPr>
          <w:rStyle w:val="FootnoteAnchor"/>
          <w:spacing w:val="-2"/>
          <w:vertAlign w:val="baseline"/>
          <w:lang w:val="en-GB"/>
        </w:rPr>
        <w:t>,</w:t>
      </w:r>
      <w:r w:rsidRPr="00D36075">
        <w:rPr>
          <w:rStyle w:val="FootnoteAnchor"/>
          <w:spacing w:val="-2"/>
          <w:vertAlign w:val="baseline"/>
          <w:lang w:val="en-GB"/>
        </w:rPr>
        <w:t xml:space="preserve"> </w:t>
      </w:r>
      <w:r w:rsidR="0026298B" w:rsidRPr="00D36075">
        <w:rPr>
          <w:rStyle w:val="FootnoteAnchor"/>
          <w:spacing w:val="-2"/>
          <w:vertAlign w:val="baseline"/>
          <w:lang w:val="en-GB"/>
        </w:rPr>
        <w:t>social-platform</w:t>
      </w:r>
      <w:r w:rsidRPr="00D36075">
        <w:rPr>
          <w:rStyle w:val="FootnoteAnchor"/>
          <w:spacing w:val="-2"/>
          <w:vertAlign w:val="baseline"/>
          <w:lang w:val="en-GB"/>
        </w:rPr>
        <w:t xml:space="preserve"> interactions</w:t>
      </w:r>
      <w:r w:rsidR="0026298B" w:rsidRPr="00D36075">
        <w:rPr>
          <w:rStyle w:val="FootnoteAnchor"/>
          <w:spacing w:val="-2"/>
          <w:vertAlign w:val="baseline"/>
          <w:lang w:val="en-GB"/>
        </w:rPr>
        <w:t>,</w:t>
      </w:r>
      <w:r w:rsidRPr="00D36075">
        <w:rPr>
          <w:rStyle w:val="FootnoteAnchor"/>
          <w:spacing w:val="-2"/>
          <w:vertAlign w:val="baseline"/>
          <w:lang w:val="en-GB"/>
        </w:rPr>
        <w:t xml:space="preserve"> with a view to improving customer conversions</w:t>
      </w:r>
      <w:r w:rsidR="0026298B" w:rsidRPr="00D36075">
        <w:rPr>
          <w:rStyle w:val="FootnoteAnchor"/>
          <w:spacing w:val="-2"/>
          <w:vertAlign w:val="baseline"/>
          <w:lang w:val="en-GB"/>
        </w:rPr>
        <w:t>—</w:t>
      </w:r>
      <w:r w:rsidRPr="00D36075">
        <w:rPr>
          <w:rStyle w:val="FootnoteAnchor"/>
          <w:spacing w:val="-2"/>
          <w:vertAlign w:val="baseline"/>
          <w:lang w:val="en-GB"/>
        </w:rPr>
        <w:t xml:space="preserve">from visits to actual purchase. The </w:t>
      </w:r>
      <w:proofErr w:type="spellStart"/>
      <w:r w:rsidRPr="00D36075">
        <w:rPr>
          <w:rStyle w:val="FootnoteAnchor"/>
          <w:spacing w:val="-2"/>
          <w:vertAlign w:val="baseline"/>
          <w:lang w:val="en-GB"/>
        </w:rPr>
        <w:t>Unicommerce</w:t>
      </w:r>
      <w:proofErr w:type="spellEnd"/>
      <w:r w:rsidRPr="00D36075">
        <w:rPr>
          <w:rStyle w:val="FootnoteAnchor"/>
          <w:spacing w:val="-2"/>
          <w:vertAlign w:val="baseline"/>
          <w:lang w:val="en-GB"/>
        </w:rPr>
        <w:t xml:space="preserve"> team considered this as </w:t>
      </w:r>
      <w:r w:rsidR="00C20CE8" w:rsidRPr="00D36075">
        <w:rPr>
          <w:rStyle w:val="FootnoteAnchor"/>
          <w:spacing w:val="-2"/>
          <w:vertAlign w:val="baseline"/>
          <w:lang w:val="en-GB"/>
        </w:rPr>
        <w:t xml:space="preserve">a </w:t>
      </w:r>
      <w:r w:rsidRPr="00D36075">
        <w:rPr>
          <w:rStyle w:val="FootnoteAnchor"/>
          <w:spacing w:val="-2"/>
          <w:vertAlign w:val="baseline"/>
          <w:lang w:val="en-GB"/>
        </w:rPr>
        <w:t>possible technology offering in 2011</w:t>
      </w:r>
      <w:r w:rsidR="00C20CE8" w:rsidRPr="00D36075">
        <w:rPr>
          <w:rStyle w:val="FootnoteAnchor"/>
          <w:spacing w:val="-2"/>
          <w:vertAlign w:val="baseline"/>
          <w:lang w:val="en-GB"/>
        </w:rPr>
        <w:t>,</w:t>
      </w:r>
      <w:r w:rsidRPr="00D36075">
        <w:rPr>
          <w:rStyle w:val="FootnoteAnchor"/>
          <w:spacing w:val="-2"/>
          <w:vertAlign w:val="baseline"/>
          <w:lang w:val="en-GB"/>
        </w:rPr>
        <w:t xml:space="preserve"> but </w:t>
      </w:r>
      <w:r w:rsidR="00DF1A04" w:rsidRPr="00D36075">
        <w:rPr>
          <w:rStyle w:val="FootnoteAnchor"/>
          <w:spacing w:val="-2"/>
          <w:vertAlign w:val="baseline"/>
          <w:lang w:val="en-GB"/>
        </w:rPr>
        <w:t>the uptake of reco</w:t>
      </w:r>
      <w:r w:rsidR="00975433" w:rsidRPr="00D36075">
        <w:rPr>
          <w:rStyle w:val="FootnoteAnchor"/>
          <w:spacing w:val="-2"/>
          <w:vertAlign w:val="baseline"/>
          <w:lang w:val="en-GB"/>
        </w:rPr>
        <w:t>m</w:t>
      </w:r>
      <w:r w:rsidR="00DF1A04" w:rsidRPr="00D36075">
        <w:rPr>
          <w:rStyle w:val="FootnoteAnchor"/>
          <w:spacing w:val="-2"/>
          <w:vertAlign w:val="baseline"/>
          <w:lang w:val="en-GB"/>
        </w:rPr>
        <w:t xml:space="preserve">mender systems by </w:t>
      </w:r>
      <w:r w:rsidRPr="00D36075">
        <w:rPr>
          <w:rStyle w:val="FootnoteAnchor"/>
          <w:spacing w:val="-2"/>
          <w:vertAlign w:val="baseline"/>
          <w:lang w:val="en-GB"/>
        </w:rPr>
        <w:t>e-commerce platforms was in its nascent stage. Also,</w:t>
      </w:r>
      <w:r w:rsidR="00A5762A">
        <w:rPr>
          <w:rStyle w:val="FootnoteAnchor"/>
          <w:spacing w:val="-2"/>
          <w:vertAlign w:val="baseline"/>
          <w:lang w:val="en-GB"/>
        </w:rPr>
        <w:t xml:space="preserve"> </w:t>
      </w:r>
      <w:proofErr w:type="spellStart"/>
      <w:r w:rsidR="00A5762A">
        <w:rPr>
          <w:rStyle w:val="FootnoteAnchor"/>
          <w:spacing w:val="-2"/>
          <w:vertAlign w:val="baseline"/>
          <w:lang w:val="en-GB"/>
        </w:rPr>
        <w:t>Unicommerce’s</w:t>
      </w:r>
      <w:proofErr w:type="spellEnd"/>
      <w:r w:rsidR="00A5762A">
        <w:rPr>
          <w:rStyle w:val="FootnoteAnchor"/>
          <w:spacing w:val="-2"/>
          <w:vertAlign w:val="baseline"/>
          <w:lang w:val="en-GB"/>
        </w:rPr>
        <w:t xml:space="preserve"> founders believed that </w:t>
      </w:r>
      <w:r w:rsidRPr="00D36075">
        <w:rPr>
          <w:rStyle w:val="FootnoteAnchor"/>
          <w:spacing w:val="-2"/>
          <w:vertAlign w:val="baseline"/>
          <w:lang w:val="en-GB"/>
        </w:rPr>
        <w:t xml:space="preserve">e-commerce firms were of the opinion that </w:t>
      </w:r>
      <w:r w:rsidR="00C20CE8" w:rsidRPr="00D36075">
        <w:rPr>
          <w:rStyle w:val="FootnoteAnchor"/>
          <w:spacing w:val="-2"/>
          <w:vertAlign w:val="baseline"/>
          <w:lang w:val="en-GB"/>
        </w:rPr>
        <w:t xml:space="preserve">the </w:t>
      </w:r>
      <w:r w:rsidRPr="00D36075">
        <w:rPr>
          <w:rStyle w:val="FootnoteAnchor"/>
          <w:spacing w:val="-2"/>
          <w:vertAlign w:val="baseline"/>
          <w:lang w:val="en-GB"/>
        </w:rPr>
        <w:t xml:space="preserve">user recommender system and analytics </w:t>
      </w:r>
      <w:r w:rsidR="00C20CE8" w:rsidRPr="00D36075">
        <w:rPr>
          <w:rStyle w:val="FootnoteAnchor"/>
          <w:spacing w:val="-2"/>
          <w:vertAlign w:val="baseline"/>
          <w:lang w:val="en-GB"/>
        </w:rPr>
        <w:t xml:space="preserve">were </w:t>
      </w:r>
      <w:r w:rsidRPr="00D36075">
        <w:rPr>
          <w:rStyle w:val="FootnoteAnchor"/>
          <w:spacing w:val="-2"/>
          <w:vertAlign w:val="baseline"/>
          <w:lang w:val="en-GB"/>
        </w:rPr>
        <w:t xml:space="preserve">critical </w:t>
      </w:r>
      <w:r w:rsidR="00AD422E" w:rsidRPr="00D36075">
        <w:rPr>
          <w:rStyle w:val="FootnoteAnchor"/>
          <w:spacing w:val="-2"/>
          <w:vertAlign w:val="baseline"/>
          <w:lang w:val="en-GB"/>
        </w:rPr>
        <w:t>corporate knowledge</w:t>
      </w:r>
      <w:r w:rsidRPr="00D36075">
        <w:rPr>
          <w:rStyle w:val="FootnoteAnchor"/>
          <w:spacing w:val="-2"/>
          <w:vertAlign w:val="baseline"/>
          <w:lang w:val="en-GB"/>
        </w:rPr>
        <w:t xml:space="preserve"> that had to be kept in-house for their perceived long-term benefits.</w:t>
      </w:r>
    </w:p>
    <w:p w14:paraId="65C513F3" w14:textId="77777777" w:rsidR="00E55448" w:rsidRPr="004B063A" w:rsidRDefault="00E55448" w:rsidP="00E55448">
      <w:pPr>
        <w:pStyle w:val="BodyTextMain"/>
        <w:rPr>
          <w:lang w:val="en-GB"/>
        </w:rPr>
      </w:pPr>
    </w:p>
    <w:p w14:paraId="5F379EF2" w14:textId="76AC3ABB" w:rsidR="00EC7D70" w:rsidRDefault="004C22F0" w:rsidP="00E55448">
      <w:pPr>
        <w:pStyle w:val="BodyTextMain"/>
        <w:rPr>
          <w:lang w:val="en-GB"/>
        </w:rPr>
      </w:pPr>
      <w:r w:rsidRPr="004B063A">
        <w:rPr>
          <w:lang w:val="en-GB"/>
        </w:rPr>
        <w:t xml:space="preserve">On the seller side </w:t>
      </w:r>
      <w:r w:rsidR="00C20CE8">
        <w:rPr>
          <w:lang w:val="en-GB"/>
        </w:rPr>
        <w:t>(</w:t>
      </w:r>
      <w:r w:rsidRPr="004B063A">
        <w:rPr>
          <w:lang w:val="en-GB"/>
        </w:rPr>
        <w:t>i.e.</w:t>
      </w:r>
      <w:r w:rsidR="00C20CE8">
        <w:rPr>
          <w:lang w:val="en-GB"/>
        </w:rPr>
        <w:t>, the</w:t>
      </w:r>
      <w:r w:rsidRPr="004B063A">
        <w:rPr>
          <w:lang w:val="en-GB"/>
        </w:rPr>
        <w:t xml:space="preserve"> e-commerce platform and retailer end</w:t>
      </w:r>
      <w:r w:rsidR="00C20CE8">
        <w:rPr>
          <w:lang w:val="en-GB"/>
        </w:rPr>
        <w:t>)</w:t>
      </w:r>
      <w:r w:rsidRPr="004B063A">
        <w:rPr>
          <w:lang w:val="en-GB"/>
        </w:rPr>
        <w:t xml:space="preserve">, technology had a role in automating </w:t>
      </w:r>
      <w:r w:rsidR="00C20CE8">
        <w:rPr>
          <w:lang w:val="en-GB"/>
        </w:rPr>
        <w:t>order-processing</w:t>
      </w:r>
      <w:r w:rsidRPr="004B063A">
        <w:rPr>
          <w:lang w:val="en-GB"/>
        </w:rPr>
        <w:t xml:space="preserve"> systems. For instance, payments for online purchases were made through multiple </w:t>
      </w:r>
      <w:r w:rsidR="00C20CE8">
        <w:rPr>
          <w:lang w:val="en-GB"/>
        </w:rPr>
        <w:t>channel</w:t>
      </w:r>
      <w:r w:rsidR="00C20CE8" w:rsidRPr="004B063A">
        <w:rPr>
          <w:lang w:val="en-GB"/>
        </w:rPr>
        <w:t xml:space="preserve"> </w:t>
      </w:r>
      <w:r w:rsidRPr="004B063A">
        <w:rPr>
          <w:lang w:val="en-GB"/>
        </w:rPr>
        <w:t xml:space="preserve">partners such as credit and debit card companies, bank websites, </w:t>
      </w:r>
      <w:r w:rsidR="00244EB4">
        <w:rPr>
          <w:lang w:val="en-GB"/>
        </w:rPr>
        <w:t>digital wallets</w:t>
      </w:r>
      <w:r w:rsidR="00C20CE8">
        <w:rPr>
          <w:lang w:val="en-GB"/>
        </w:rPr>
        <w:t>,</w:t>
      </w:r>
      <w:r w:rsidRPr="004B063A">
        <w:rPr>
          <w:lang w:val="en-GB"/>
        </w:rPr>
        <w:t xml:space="preserve"> and </w:t>
      </w:r>
      <w:r w:rsidR="00DF1A04">
        <w:rPr>
          <w:lang w:val="en-GB"/>
        </w:rPr>
        <w:t>Inter</w:t>
      </w:r>
      <w:r w:rsidRPr="004B063A">
        <w:rPr>
          <w:lang w:val="en-GB"/>
        </w:rPr>
        <w:t xml:space="preserve">net banking systems. Not only </w:t>
      </w:r>
      <w:r w:rsidR="001C30F7">
        <w:rPr>
          <w:lang w:val="en-GB"/>
        </w:rPr>
        <w:t xml:space="preserve">did </w:t>
      </w:r>
      <w:r w:rsidRPr="004B063A">
        <w:rPr>
          <w:lang w:val="en-GB"/>
        </w:rPr>
        <w:t>these platforms</w:t>
      </w:r>
      <w:r w:rsidR="001C30F7">
        <w:rPr>
          <w:lang w:val="en-GB"/>
        </w:rPr>
        <w:t xml:space="preserve"> have</w:t>
      </w:r>
      <w:r w:rsidRPr="004B063A">
        <w:rPr>
          <w:lang w:val="en-GB"/>
        </w:rPr>
        <w:t xml:space="preserve"> differing protocols and processing guidelines, even their performance to complete a transaction was contingent on existing load, pending transactions</w:t>
      </w:r>
      <w:r w:rsidR="001C30F7">
        <w:rPr>
          <w:lang w:val="en-GB"/>
        </w:rPr>
        <w:t>,</w:t>
      </w:r>
      <w:r w:rsidRPr="004B063A">
        <w:rPr>
          <w:lang w:val="en-GB"/>
        </w:rPr>
        <w:t xml:space="preserve"> and system downtime. A good </w:t>
      </w:r>
      <w:r w:rsidR="001C30F7">
        <w:rPr>
          <w:lang w:val="en-GB"/>
        </w:rPr>
        <w:t>payment-gateway</w:t>
      </w:r>
      <w:r w:rsidRPr="004B063A">
        <w:rPr>
          <w:lang w:val="en-GB"/>
        </w:rPr>
        <w:t xml:space="preserve"> system </w:t>
      </w:r>
      <w:r w:rsidR="00EC7D70">
        <w:rPr>
          <w:lang w:val="en-GB"/>
        </w:rPr>
        <w:t>would</w:t>
      </w:r>
      <w:r w:rsidR="00EC7D70" w:rsidRPr="004B063A">
        <w:rPr>
          <w:lang w:val="en-GB"/>
        </w:rPr>
        <w:t xml:space="preserve"> </w:t>
      </w:r>
      <w:r w:rsidR="001C30F7">
        <w:rPr>
          <w:lang w:val="en-GB"/>
        </w:rPr>
        <w:t>be</w:t>
      </w:r>
      <w:r w:rsidRPr="004B063A">
        <w:rPr>
          <w:lang w:val="en-GB"/>
        </w:rPr>
        <w:t xml:space="preserve"> able to tell which channels </w:t>
      </w:r>
      <w:r w:rsidR="001C30F7">
        <w:rPr>
          <w:lang w:val="en-GB"/>
        </w:rPr>
        <w:t>faced</w:t>
      </w:r>
      <w:r w:rsidRPr="004B063A">
        <w:rPr>
          <w:lang w:val="en-GB"/>
        </w:rPr>
        <w:t xml:space="preserve"> heavy loads and recommend </w:t>
      </w:r>
      <w:r w:rsidR="001C30F7">
        <w:rPr>
          <w:lang w:val="en-GB"/>
        </w:rPr>
        <w:t xml:space="preserve">that </w:t>
      </w:r>
      <w:r w:rsidRPr="004B063A">
        <w:rPr>
          <w:lang w:val="en-GB"/>
        </w:rPr>
        <w:t>the customer choose an alternat</w:t>
      </w:r>
      <w:r w:rsidR="005E33C5">
        <w:rPr>
          <w:lang w:val="en-GB"/>
        </w:rPr>
        <w:t>iv</w:t>
      </w:r>
      <w:r w:rsidRPr="004B063A">
        <w:rPr>
          <w:lang w:val="en-GB"/>
        </w:rPr>
        <w:t xml:space="preserve">e channel. This </w:t>
      </w:r>
      <w:r w:rsidR="001C30F7">
        <w:rPr>
          <w:lang w:val="en-GB"/>
        </w:rPr>
        <w:t>ensured</w:t>
      </w:r>
      <w:r w:rsidR="001C30F7" w:rsidRPr="004B063A">
        <w:rPr>
          <w:lang w:val="en-GB"/>
        </w:rPr>
        <w:t xml:space="preserve"> </w:t>
      </w:r>
      <w:r w:rsidRPr="004B063A">
        <w:rPr>
          <w:lang w:val="en-GB"/>
        </w:rPr>
        <w:t xml:space="preserve">that fewer transactions </w:t>
      </w:r>
      <w:r w:rsidR="001C30F7">
        <w:rPr>
          <w:lang w:val="en-GB"/>
        </w:rPr>
        <w:t>were</w:t>
      </w:r>
      <w:r w:rsidR="001C30F7" w:rsidRPr="004B063A">
        <w:rPr>
          <w:lang w:val="en-GB"/>
        </w:rPr>
        <w:t xml:space="preserve"> </w:t>
      </w:r>
      <w:r w:rsidRPr="004B063A">
        <w:rPr>
          <w:lang w:val="en-GB"/>
        </w:rPr>
        <w:t xml:space="preserve">dropped or delayed due to authentication delays at banks or credit card companies. </w:t>
      </w:r>
    </w:p>
    <w:p w14:paraId="7BC58797" w14:textId="77777777" w:rsidR="00EC7D70" w:rsidRDefault="00EC7D70" w:rsidP="00E55448">
      <w:pPr>
        <w:pStyle w:val="BodyTextMain"/>
        <w:rPr>
          <w:lang w:val="en-GB"/>
        </w:rPr>
      </w:pPr>
    </w:p>
    <w:p w14:paraId="65555012" w14:textId="697B7455" w:rsidR="00E55448" w:rsidRPr="00D36075" w:rsidRDefault="004C22F0" w:rsidP="00E55448">
      <w:pPr>
        <w:pStyle w:val="BodyTextMain"/>
        <w:rPr>
          <w:spacing w:val="-2"/>
          <w:lang w:val="en-GB"/>
        </w:rPr>
      </w:pPr>
      <w:r w:rsidRPr="00D36075">
        <w:rPr>
          <w:spacing w:val="-2"/>
          <w:lang w:val="en-GB"/>
        </w:rPr>
        <w:t xml:space="preserve">Other than </w:t>
      </w:r>
      <w:r w:rsidR="001C30F7" w:rsidRPr="00D36075">
        <w:rPr>
          <w:spacing w:val="-2"/>
          <w:lang w:val="en-GB"/>
        </w:rPr>
        <w:t>payment-gateway</w:t>
      </w:r>
      <w:r w:rsidRPr="00D36075">
        <w:rPr>
          <w:spacing w:val="-2"/>
          <w:lang w:val="en-GB"/>
        </w:rPr>
        <w:t xml:space="preserve"> challenges, technology </w:t>
      </w:r>
      <w:r w:rsidR="00934354" w:rsidRPr="00D36075">
        <w:rPr>
          <w:spacing w:val="-2"/>
          <w:lang w:val="en-GB"/>
        </w:rPr>
        <w:t>was</w:t>
      </w:r>
      <w:r w:rsidRPr="00D36075">
        <w:rPr>
          <w:spacing w:val="-2"/>
          <w:lang w:val="en-GB"/>
        </w:rPr>
        <w:t xml:space="preserve"> also needed for e-commerce platforms in managing inventory and post-purchase activities. </w:t>
      </w:r>
      <w:r w:rsidR="00AF7DCC" w:rsidRPr="00D36075">
        <w:rPr>
          <w:spacing w:val="-2"/>
          <w:lang w:val="en-GB"/>
        </w:rPr>
        <w:t xml:space="preserve">After a customer </w:t>
      </w:r>
      <w:r w:rsidR="001C30F7" w:rsidRPr="00D36075">
        <w:rPr>
          <w:spacing w:val="-2"/>
          <w:lang w:val="en-GB"/>
        </w:rPr>
        <w:t xml:space="preserve">made </w:t>
      </w:r>
      <w:r w:rsidR="00AF7DCC" w:rsidRPr="00D36075">
        <w:rPr>
          <w:spacing w:val="-2"/>
          <w:lang w:val="en-GB"/>
        </w:rPr>
        <w:t xml:space="preserve">a </w:t>
      </w:r>
      <w:r w:rsidRPr="00D36075">
        <w:rPr>
          <w:spacing w:val="-2"/>
          <w:lang w:val="en-GB"/>
        </w:rPr>
        <w:t xml:space="preserve">confirmed purchase, </w:t>
      </w:r>
      <w:r w:rsidR="00911F2D" w:rsidRPr="00D36075">
        <w:rPr>
          <w:spacing w:val="-2"/>
          <w:lang w:val="en-GB"/>
        </w:rPr>
        <w:t>order-processing</w:t>
      </w:r>
      <w:r w:rsidRPr="00D36075">
        <w:rPr>
          <w:spacing w:val="-2"/>
          <w:lang w:val="en-GB"/>
        </w:rPr>
        <w:t xml:space="preserve"> engines and systems </w:t>
      </w:r>
      <w:r w:rsidR="00911F2D" w:rsidRPr="00D36075">
        <w:rPr>
          <w:spacing w:val="-2"/>
          <w:lang w:val="en-GB"/>
        </w:rPr>
        <w:t>took</w:t>
      </w:r>
      <w:r w:rsidRPr="00D36075">
        <w:rPr>
          <w:spacing w:val="-2"/>
          <w:lang w:val="en-GB"/>
        </w:rPr>
        <w:t xml:space="preserve"> over. These systems </w:t>
      </w:r>
      <w:r w:rsidR="00911F2D" w:rsidRPr="00D36075">
        <w:rPr>
          <w:spacing w:val="-2"/>
          <w:lang w:val="en-GB"/>
        </w:rPr>
        <w:t xml:space="preserve">managed </w:t>
      </w:r>
      <w:r w:rsidRPr="00D36075">
        <w:rPr>
          <w:spacing w:val="-2"/>
          <w:lang w:val="en-GB"/>
        </w:rPr>
        <w:t xml:space="preserve">the complete </w:t>
      </w:r>
      <w:r w:rsidR="00911F2D" w:rsidRPr="00D36075">
        <w:rPr>
          <w:spacing w:val="-2"/>
          <w:lang w:val="en-GB"/>
        </w:rPr>
        <w:t xml:space="preserve">life cycle </w:t>
      </w:r>
      <w:r w:rsidRPr="00D36075">
        <w:rPr>
          <w:spacing w:val="-2"/>
          <w:lang w:val="en-GB"/>
        </w:rPr>
        <w:t>of an order</w:t>
      </w:r>
      <w:r w:rsidR="00911F2D" w:rsidRPr="00D36075">
        <w:rPr>
          <w:spacing w:val="-2"/>
          <w:lang w:val="en-GB"/>
        </w:rPr>
        <w:t>—</w:t>
      </w:r>
      <w:r w:rsidRPr="00D36075">
        <w:rPr>
          <w:spacing w:val="-2"/>
          <w:lang w:val="en-GB"/>
        </w:rPr>
        <w:t xml:space="preserve">from purchase to delivery and returns (if present). A good </w:t>
      </w:r>
      <w:r w:rsidR="003E4BF9" w:rsidRPr="00D36075">
        <w:rPr>
          <w:spacing w:val="-2"/>
          <w:lang w:val="en-GB"/>
        </w:rPr>
        <w:t>inventory-management</w:t>
      </w:r>
      <w:r w:rsidRPr="00D36075">
        <w:rPr>
          <w:spacing w:val="-2"/>
          <w:lang w:val="en-GB"/>
        </w:rPr>
        <w:t xml:space="preserve"> system </w:t>
      </w:r>
      <w:r w:rsidR="003E4BF9" w:rsidRPr="00D36075">
        <w:rPr>
          <w:spacing w:val="-2"/>
          <w:lang w:val="en-GB"/>
        </w:rPr>
        <w:t xml:space="preserve">ensured </w:t>
      </w:r>
      <w:r w:rsidRPr="00D36075">
        <w:rPr>
          <w:spacing w:val="-2"/>
          <w:lang w:val="en-GB"/>
        </w:rPr>
        <w:t xml:space="preserve">that the number of units of product in the warehouse </w:t>
      </w:r>
      <w:r w:rsidR="003E4BF9" w:rsidRPr="00D36075">
        <w:rPr>
          <w:spacing w:val="-2"/>
          <w:lang w:val="en-GB"/>
        </w:rPr>
        <w:t xml:space="preserve">matched </w:t>
      </w:r>
      <w:r w:rsidRPr="00D36075">
        <w:rPr>
          <w:spacing w:val="-2"/>
          <w:lang w:val="en-GB"/>
        </w:rPr>
        <w:t xml:space="preserve">the number displayed online. A mismatch </w:t>
      </w:r>
      <w:r w:rsidR="005E33C5" w:rsidRPr="00D36075">
        <w:rPr>
          <w:spacing w:val="-2"/>
          <w:lang w:val="en-GB"/>
        </w:rPr>
        <w:t>could</w:t>
      </w:r>
      <w:r w:rsidRPr="00D36075">
        <w:rPr>
          <w:spacing w:val="-2"/>
          <w:lang w:val="en-GB"/>
        </w:rPr>
        <w:t xml:space="preserve"> </w:t>
      </w:r>
      <w:r w:rsidR="00ED33D4" w:rsidRPr="00D36075">
        <w:rPr>
          <w:spacing w:val="-2"/>
          <w:lang w:val="en-GB"/>
        </w:rPr>
        <w:t>either lead to</w:t>
      </w:r>
      <w:r w:rsidRPr="00D36075">
        <w:rPr>
          <w:spacing w:val="-2"/>
          <w:lang w:val="en-GB"/>
        </w:rPr>
        <w:t xml:space="preserve"> a failure or delay in processing the order</w:t>
      </w:r>
      <w:r w:rsidR="007B32AC" w:rsidRPr="00D36075">
        <w:rPr>
          <w:spacing w:val="-2"/>
          <w:lang w:val="en-GB"/>
        </w:rPr>
        <w:t>,</w:t>
      </w:r>
      <w:r w:rsidRPr="00D36075">
        <w:rPr>
          <w:spacing w:val="-2"/>
          <w:lang w:val="en-GB"/>
        </w:rPr>
        <w:t xml:space="preserve"> </w:t>
      </w:r>
      <w:r w:rsidR="00EC7D70" w:rsidRPr="00D36075">
        <w:rPr>
          <w:spacing w:val="-2"/>
          <w:lang w:val="en-GB"/>
        </w:rPr>
        <w:t xml:space="preserve">thus </w:t>
      </w:r>
      <w:r w:rsidRPr="00D36075">
        <w:rPr>
          <w:spacing w:val="-2"/>
          <w:lang w:val="en-GB"/>
        </w:rPr>
        <w:t xml:space="preserve">reducing customer satisfaction. A </w:t>
      </w:r>
      <w:r w:rsidR="003E4BF9" w:rsidRPr="00D36075">
        <w:rPr>
          <w:spacing w:val="-2"/>
          <w:lang w:val="en-GB"/>
        </w:rPr>
        <w:t>warehouse-management</w:t>
      </w:r>
      <w:r w:rsidRPr="00D36075">
        <w:rPr>
          <w:spacing w:val="-2"/>
          <w:lang w:val="en-GB"/>
        </w:rPr>
        <w:t xml:space="preserve"> system </w:t>
      </w:r>
      <w:r w:rsidR="003E4BF9" w:rsidRPr="00D36075">
        <w:rPr>
          <w:spacing w:val="-2"/>
          <w:lang w:val="en-GB"/>
        </w:rPr>
        <w:t>was</w:t>
      </w:r>
      <w:r w:rsidRPr="00D36075">
        <w:rPr>
          <w:spacing w:val="-2"/>
          <w:lang w:val="en-GB"/>
        </w:rPr>
        <w:t xml:space="preserve"> able to ensure that orders </w:t>
      </w:r>
      <w:r w:rsidR="003E4BF9" w:rsidRPr="00D36075">
        <w:rPr>
          <w:spacing w:val="-2"/>
          <w:lang w:val="en-GB"/>
        </w:rPr>
        <w:t>were</w:t>
      </w:r>
      <w:r w:rsidRPr="00D36075">
        <w:rPr>
          <w:spacing w:val="-2"/>
          <w:lang w:val="en-GB"/>
        </w:rPr>
        <w:t xml:space="preserve"> fetched and packaged as soon as possible. In a marketplace-oriented model, a </w:t>
      </w:r>
      <w:proofErr w:type="spellStart"/>
      <w:r w:rsidRPr="00D36075">
        <w:rPr>
          <w:spacing w:val="-2"/>
          <w:lang w:val="en-GB"/>
        </w:rPr>
        <w:t>fulfillment</w:t>
      </w:r>
      <w:proofErr w:type="spellEnd"/>
      <w:r w:rsidRPr="00D36075">
        <w:rPr>
          <w:spacing w:val="-2"/>
          <w:lang w:val="en-GB"/>
        </w:rPr>
        <w:t xml:space="preserve"> system was </w:t>
      </w:r>
      <w:r w:rsidR="00C62018" w:rsidRPr="00D36075">
        <w:rPr>
          <w:spacing w:val="-2"/>
          <w:lang w:val="en-GB"/>
        </w:rPr>
        <w:t xml:space="preserve">also </w:t>
      </w:r>
      <w:r w:rsidRPr="00D36075">
        <w:rPr>
          <w:spacing w:val="-2"/>
          <w:lang w:val="en-GB"/>
        </w:rPr>
        <w:t xml:space="preserve">needed </w:t>
      </w:r>
      <w:r w:rsidR="00EC7D70" w:rsidRPr="00D36075">
        <w:rPr>
          <w:spacing w:val="-2"/>
          <w:lang w:val="en-GB"/>
        </w:rPr>
        <w:t xml:space="preserve">that could interact </w:t>
      </w:r>
      <w:r w:rsidRPr="00D36075">
        <w:rPr>
          <w:spacing w:val="-2"/>
          <w:lang w:val="en-GB"/>
        </w:rPr>
        <w:t xml:space="preserve">with the seller and the courier system to ensure that the item </w:t>
      </w:r>
      <w:r w:rsidR="00EC7D70" w:rsidRPr="00D36075">
        <w:rPr>
          <w:spacing w:val="-2"/>
          <w:lang w:val="en-GB"/>
        </w:rPr>
        <w:t>was</w:t>
      </w:r>
      <w:r w:rsidRPr="00D36075">
        <w:rPr>
          <w:spacing w:val="-2"/>
          <w:lang w:val="en-GB"/>
        </w:rPr>
        <w:t xml:space="preserve"> packed, </w:t>
      </w:r>
      <w:r w:rsidR="00C83774" w:rsidRPr="00D36075">
        <w:rPr>
          <w:spacing w:val="-2"/>
          <w:lang w:val="en-GB"/>
        </w:rPr>
        <w:t>labelled</w:t>
      </w:r>
      <w:r w:rsidR="00E31104" w:rsidRPr="00D36075">
        <w:rPr>
          <w:spacing w:val="-2"/>
          <w:lang w:val="en-GB"/>
        </w:rPr>
        <w:t>,</w:t>
      </w:r>
      <w:r w:rsidR="00C83774" w:rsidRPr="00D36075">
        <w:rPr>
          <w:spacing w:val="-2"/>
          <w:lang w:val="en-GB"/>
        </w:rPr>
        <w:t xml:space="preserve"> </w:t>
      </w:r>
      <w:r w:rsidRPr="00D36075">
        <w:rPr>
          <w:spacing w:val="-2"/>
          <w:lang w:val="en-GB"/>
        </w:rPr>
        <w:t xml:space="preserve">and delivered to the customer. In the early days of the e-commerce industry, the online platforms had very little or no technological systems to manage their processes. E-commerce platforms had built excellent websites for </w:t>
      </w:r>
      <w:r w:rsidR="00E31104" w:rsidRPr="00D36075">
        <w:rPr>
          <w:spacing w:val="-2"/>
          <w:lang w:val="en-GB"/>
        </w:rPr>
        <w:t xml:space="preserve">the </w:t>
      </w:r>
      <w:r w:rsidRPr="00D36075">
        <w:rPr>
          <w:spacing w:val="-2"/>
          <w:lang w:val="en-GB"/>
        </w:rPr>
        <w:t xml:space="preserve">display and purchase of goods, but </w:t>
      </w:r>
      <w:r w:rsidR="00E31104" w:rsidRPr="00D36075">
        <w:rPr>
          <w:spacing w:val="-2"/>
          <w:lang w:val="en-GB"/>
        </w:rPr>
        <w:t xml:space="preserve">it </w:t>
      </w:r>
      <w:r w:rsidRPr="00D36075">
        <w:rPr>
          <w:spacing w:val="-2"/>
          <w:lang w:val="en-GB"/>
        </w:rPr>
        <w:t xml:space="preserve">took </w:t>
      </w:r>
      <w:r w:rsidR="00E31104" w:rsidRPr="00D36075">
        <w:rPr>
          <w:spacing w:val="-2"/>
          <w:lang w:val="en-GB"/>
        </w:rPr>
        <w:t>them much</w:t>
      </w:r>
      <w:r w:rsidRPr="00D36075">
        <w:rPr>
          <w:spacing w:val="-2"/>
          <w:lang w:val="en-GB"/>
        </w:rPr>
        <w:t xml:space="preserve"> longer to have software systems for their </w:t>
      </w:r>
      <w:r w:rsidR="00E31104" w:rsidRPr="00D36075">
        <w:rPr>
          <w:spacing w:val="-2"/>
          <w:lang w:val="en-GB"/>
        </w:rPr>
        <w:t xml:space="preserve">back-end </w:t>
      </w:r>
      <w:r w:rsidRPr="00D36075">
        <w:rPr>
          <w:spacing w:val="-2"/>
          <w:lang w:val="en-GB"/>
        </w:rPr>
        <w:t>processes. Once an order was received on the website, activities such as sourcing, packaging, delivery, tracking, and returns were done with manual intervention.</w:t>
      </w:r>
    </w:p>
    <w:p w14:paraId="1515B499" w14:textId="77777777" w:rsidR="00BD5DB4" w:rsidRPr="004B063A" w:rsidRDefault="00BD5DB4" w:rsidP="00E55448">
      <w:pPr>
        <w:pStyle w:val="BodyTextMain"/>
        <w:rPr>
          <w:lang w:val="en-GB"/>
        </w:rPr>
      </w:pPr>
    </w:p>
    <w:p w14:paraId="7BFC56BE" w14:textId="659A5E22" w:rsidR="00E55448" w:rsidRPr="004B063A" w:rsidRDefault="00BD5DB4" w:rsidP="00BD5DB4">
      <w:pPr>
        <w:pStyle w:val="BodyTextMain"/>
        <w:rPr>
          <w:spacing w:val="-4"/>
          <w:lang w:val="en-GB"/>
        </w:rPr>
      </w:pPr>
      <w:r w:rsidRPr="004B063A">
        <w:rPr>
          <w:spacing w:val="-4"/>
          <w:lang w:val="en-GB"/>
        </w:rPr>
        <w:t xml:space="preserve">In his earlier role as </w:t>
      </w:r>
      <w:r w:rsidR="00476624">
        <w:rPr>
          <w:spacing w:val="-4"/>
          <w:lang w:val="en-GB"/>
        </w:rPr>
        <w:t>chief technology officer</w:t>
      </w:r>
      <w:r w:rsidR="00476624" w:rsidRPr="004B063A">
        <w:rPr>
          <w:spacing w:val="-4"/>
          <w:lang w:val="en-GB"/>
        </w:rPr>
        <w:t xml:space="preserve"> </w:t>
      </w:r>
      <w:r w:rsidRPr="004B063A">
        <w:rPr>
          <w:spacing w:val="-4"/>
          <w:lang w:val="en-GB"/>
        </w:rPr>
        <w:t xml:space="preserve">of </w:t>
      </w:r>
      <w:proofErr w:type="spellStart"/>
      <w:r w:rsidRPr="004B063A">
        <w:rPr>
          <w:spacing w:val="-4"/>
          <w:lang w:val="en-GB"/>
        </w:rPr>
        <w:t>Snapdeal</w:t>
      </w:r>
      <w:proofErr w:type="spellEnd"/>
      <w:r w:rsidRPr="004B063A">
        <w:rPr>
          <w:spacing w:val="-4"/>
          <w:lang w:val="en-GB"/>
        </w:rPr>
        <w:t xml:space="preserve">, </w:t>
      </w:r>
      <w:proofErr w:type="spellStart"/>
      <w:r w:rsidR="00881C8E">
        <w:rPr>
          <w:spacing w:val="-4"/>
          <w:lang w:val="en-GB"/>
        </w:rPr>
        <w:t>Singla</w:t>
      </w:r>
      <w:proofErr w:type="spellEnd"/>
      <w:r w:rsidRPr="004B063A">
        <w:rPr>
          <w:spacing w:val="-4"/>
          <w:lang w:val="en-GB"/>
        </w:rPr>
        <w:t xml:space="preserve"> had realized the importance of technology for e-commerce players. He knew that as the number of transactions rose, firms would have a very difficult time in managing and scaling up their systems without excellent technology systems. </w:t>
      </w:r>
      <w:r w:rsidR="007F2F9C">
        <w:rPr>
          <w:spacing w:val="-4"/>
          <w:lang w:val="en-GB"/>
        </w:rPr>
        <w:t xml:space="preserve">After leaving their jobs in October 2011 </w:t>
      </w:r>
      <w:r w:rsidR="00CD62F2">
        <w:rPr>
          <w:spacing w:val="-4"/>
          <w:lang w:val="en-GB"/>
        </w:rPr>
        <w:t xml:space="preserve">and </w:t>
      </w:r>
      <w:r w:rsidR="007F2F9C">
        <w:rPr>
          <w:spacing w:val="-4"/>
          <w:lang w:val="en-GB"/>
        </w:rPr>
        <w:t xml:space="preserve">armed with this understanding, </w:t>
      </w:r>
      <w:proofErr w:type="spellStart"/>
      <w:r w:rsidR="00881C8E">
        <w:rPr>
          <w:spacing w:val="-4"/>
          <w:lang w:val="en-GB"/>
        </w:rPr>
        <w:t>Pruthi</w:t>
      </w:r>
      <w:proofErr w:type="spellEnd"/>
      <w:r w:rsidRPr="004B063A">
        <w:rPr>
          <w:spacing w:val="-4"/>
          <w:lang w:val="en-GB"/>
        </w:rPr>
        <w:t xml:space="preserve">, </w:t>
      </w:r>
      <w:proofErr w:type="spellStart"/>
      <w:r w:rsidR="00881C8E">
        <w:rPr>
          <w:spacing w:val="-4"/>
          <w:lang w:val="en-GB"/>
        </w:rPr>
        <w:t>Singla</w:t>
      </w:r>
      <w:proofErr w:type="spellEnd"/>
      <w:r w:rsidR="00476624">
        <w:rPr>
          <w:spacing w:val="-4"/>
          <w:lang w:val="en-GB"/>
        </w:rPr>
        <w:t>,</w:t>
      </w:r>
      <w:r w:rsidRPr="004B063A">
        <w:rPr>
          <w:spacing w:val="-4"/>
          <w:lang w:val="en-GB"/>
        </w:rPr>
        <w:t xml:space="preserve"> and </w:t>
      </w:r>
      <w:r w:rsidR="00881C8E">
        <w:rPr>
          <w:spacing w:val="-4"/>
          <w:lang w:val="en-GB"/>
        </w:rPr>
        <w:t>Garg</w:t>
      </w:r>
      <w:r w:rsidRPr="004B063A">
        <w:rPr>
          <w:spacing w:val="-4"/>
          <w:lang w:val="en-GB"/>
        </w:rPr>
        <w:t xml:space="preserve"> dug deeper </w:t>
      </w:r>
      <w:r w:rsidR="007F2F9C">
        <w:rPr>
          <w:spacing w:val="-4"/>
          <w:lang w:val="en-GB"/>
        </w:rPr>
        <w:t>into</w:t>
      </w:r>
      <w:r w:rsidR="007F2F9C" w:rsidRPr="004B063A">
        <w:rPr>
          <w:spacing w:val="-4"/>
          <w:lang w:val="en-GB"/>
        </w:rPr>
        <w:t xml:space="preserve"> </w:t>
      </w:r>
      <w:r w:rsidRPr="004B063A">
        <w:rPr>
          <w:spacing w:val="-4"/>
          <w:lang w:val="en-GB"/>
        </w:rPr>
        <w:t xml:space="preserve">opportunities for technology providers in the e-commerce industry. After discussions </w:t>
      </w:r>
      <w:r w:rsidR="00544E88">
        <w:rPr>
          <w:spacing w:val="-4"/>
          <w:lang w:val="en-GB"/>
        </w:rPr>
        <w:t xml:space="preserve">for three months </w:t>
      </w:r>
      <w:r w:rsidRPr="004B063A">
        <w:rPr>
          <w:spacing w:val="-4"/>
          <w:lang w:val="en-GB"/>
        </w:rPr>
        <w:t xml:space="preserve">on probable products, they settled on creating an </w:t>
      </w:r>
      <w:r w:rsidR="00544E88">
        <w:rPr>
          <w:spacing w:val="-4"/>
          <w:lang w:val="en-GB"/>
        </w:rPr>
        <w:t>order-</w:t>
      </w:r>
      <w:r w:rsidR="00544E88" w:rsidRPr="004B063A">
        <w:rPr>
          <w:spacing w:val="-4"/>
          <w:lang w:val="en-GB"/>
        </w:rPr>
        <w:t xml:space="preserve"> </w:t>
      </w:r>
      <w:r w:rsidRPr="004B063A">
        <w:rPr>
          <w:spacing w:val="-4"/>
          <w:lang w:val="en-GB"/>
        </w:rPr>
        <w:t xml:space="preserve">and </w:t>
      </w:r>
      <w:r w:rsidR="00544E88">
        <w:rPr>
          <w:spacing w:val="-4"/>
          <w:lang w:val="en-GB"/>
        </w:rPr>
        <w:t>warehouse-management</w:t>
      </w:r>
      <w:r w:rsidRPr="004B063A">
        <w:rPr>
          <w:spacing w:val="-4"/>
          <w:lang w:val="en-GB"/>
        </w:rPr>
        <w:t xml:space="preserve"> solution for India. Though </w:t>
      </w:r>
      <w:r w:rsidR="00544E88">
        <w:rPr>
          <w:spacing w:val="-4"/>
          <w:lang w:val="en-GB"/>
        </w:rPr>
        <w:t>customer-end</w:t>
      </w:r>
      <w:r w:rsidRPr="004B063A">
        <w:rPr>
          <w:spacing w:val="-4"/>
          <w:lang w:val="en-GB"/>
        </w:rPr>
        <w:t xml:space="preserve"> technology solutions such as </w:t>
      </w:r>
      <w:r w:rsidR="007F2F9C">
        <w:rPr>
          <w:spacing w:val="-4"/>
          <w:lang w:val="en-GB"/>
        </w:rPr>
        <w:t xml:space="preserve">a </w:t>
      </w:r>
      <w:r w:rsidRPr="004B063A">
        <w:rPr>
          <w:spacing w:val="-4"/>
          <w:lang w:val="en-GB"/>
        </w:rPr>
        <w:t xml:space="preserve">recommender system also seemed attractive, the team felt that </w:t>
      </w:r>
      <w:r w:rsidR="00544E88">
        <w:rPr>
          <w:spacing w:val="-4"/>
          <w:lang w:val="en-GB"/>
        </w:rPr>
        <w:t xml:space="preserve">there </w:t>
      </w:r>
      <w:r w:rsidRPr="004B063A">
        <w:rPr>
          <w:spacing w:val="-4"/>
          <w:lang w:val="en-GB"/>
        </w:rPr>
        <w:t xml:space="preserve">was little demand </w:t>
      </w:r>
      <w:r w:rsidR="00544E88" w:rsidRPr="004B063A">
        <w:rPr>
          <w:spacing w:val="-4"/>
          <w:lang w:val="en-GB"/>
        </w:rPr>
        <w:t xml:space="preserve">at that time </w:t>
      </w:r>
      <w:r w:rsidRPr="004B063A">
        <w:rPr>
          <w:spacing w:val="-4"/>
          <w:lang w:val="en-GB"/>
        </w:rPr>
        <w:t>for such a system in the industry. Additionally, user purchase patterns were considered proprietary information by competing platforms</w:t>
      </w:r>
      <w:r w:rsidR="00DE77D2">
        <w:rPr>
          <w:spacing w:val="-4"/>
          <w:lang w:val="en-GB"/>
        </w:rPr>
        <w:t>, thus</w:t>
      </w:r>
      <w:r w:rsidRPr="004B063A">
        <w:rPr>
          <w:spacing w:val="-4"/>
          <w:lang w:val="en-GB"/>
        </w:rPr>
        <w:t xml:space="preserve"> limiting the opportunities for </w:t>
      </w:r>
      <w:r w:rsidR="00DE77D2">
        <w:rPr>
          <w:spacing w:val="-4"/>
          <w:lang w:val="en-GB"/>
        </w:rPr>
        <w:t>third party</w:t>
      </w:r>
      <w:r w:rsidRPr="004B063A">
        <w:rPr>
          <w:spacing w:val="-4"/>
          <w:lang w:val="en-GB"/>
        </w:rPr>
        <w:t xml:space="preserve"> solutions.</w:t>
      </w:r>
    </w:p>
    <w:p w14:paraId="4FA07BA2" w14:textId="77777777" w:rsidR="00BD5DB4" w:rsidRPr="004B063A" w:rsidRDefault="00BD5DB4" w:rsidP="00E55448">
      <w:pPr>
        <w:pStyle w:val="BodyTextMain"/>
        <w:rPr>
          <w:lang w:val="en-GB"/>
        </w:rPr>
      </w:pPr>
    </w:p>
    <w:p w14:paraId="75D8B34F" w14:textId="6C55F088" w:rsidR="001917FC" w:rsidRPr="004B063A" w:rsidRDefault="00C51C37" w:rsidP="00E55448">
      <w:pPr>
        <w:pStyle w:val="BodyTextMain"/>
        <w:rPr>
          <w:lang w:val="en-GB"/>
        </w:rPr>
      </w:pPr>
      <w:r w:rsidRPr="004B063A">
        <w:rPr>
          <w:lang w:val="en-GB"/>
        </w:rPr>
        <w:t xml:space="preserve">In contrast, the team felt that there was considerable latent demand for </w:t>
      </w:r>
      <w:r w:rsidR="00973021">
        <w:rPr>
          <w:lang w:val="en-GB"/>
        </w:rPr>
        <w:t>order-</w:t>
      </w:r>
      <w:r w:rsidR="00973021" w:rsidRPr="004B063A">
        <w:rPr>
          <w:lang w:val="en-GB"/>
        </w:rPr>
        <w:t xml:space="preserve"> </w:t>
      </w:r>
      <w:r w:rsidRPr="004B063A">
        <w:rPr>
          <w:lang w:val="en-GB"/>
        </w:rPr>
        <w:t xml:space="preserve">and </w:t>
      </w:r>
      <w:r w:rsidR="00973021">
        <w:rPr>
          <w:lang w:val="en-GB"/>
        </w:rPr>
        <w:t>warehouse-management</w:t>
      </w:r>
      <w:r w:rsidRPr="004B063A">
        <w:rPr>
          <w:lang w:val="en-GB"/>
        </w:rPr>
        <w:t xml:space="preserve"> solutions.</w:t>
      </w:r>
      <w:r w:rsidR="004B063A">
        <w:rPr>
          <w:lang w:val="en-GB"/>
        </w:rPr>
        <w:t xml:space="preserve"> </w:t>
      </w:r>
      <w:r w:rsidRPr="004B063A">
        <w:rPr>
          <w:lang w:val="en-GB"/>
        </w:rPr>
        <w:t xml:space="preserve">After a purchase was completed on the website, each order had to go through a process before it ended up with the customer. When the customer on the web store placed an order, it was downloaded into the </w:t>
      </w:r>
      <w:r w:rsidR="00400C40">
        <w:rPr>
          <w:lang w:val="en-GB"/>
        </w:rPr>
        <w:t>order-management system</w:t>
      </w:r>
      <w:r w:rsidRPr="004B063A">
        <w:rPr>
          <w:lang w:val="en-GB"/>
        </w:rPr>
        <w:t xml:space="preserve">. The </w:t>
      </w:r>
      <w:r w:rsidR="00B9457E">
        <w:rPr>
          <w:lang w:val="en-GB"/>
        </w:rPr>
        <w:t>order-management system</w:t>
      </w:r>
      <w:r w:rsidRPr="004B063A">
        <w:rPr>
          <w:lang w:val="en-GB"/>
        </w:rPr>
        <w:t xml:space="preserve"> allocated the inventory against that order and updated the order into the </w:t>
      </w:r>
      <w:r w:rsidR="00400C40">
        <w:rPr>
          <w:lang w:val="en-GB"/>
        </w:rPr>
        <w:t>inventory-management system</w:t>
      </w:r>
      <w:r w:rsidR="00B9457E">
        <w:rPr>
          <w:lang w:val="en-GB"/>
        </w:rPr>
        <w:t xml:space="preserve">. </w:t>
      </w:r>
      <w:r w:rsidRPr="004B063A">
        <w:rPr>
          <w:lang w:val="en-GB"/>
        </w:rPr>
        <w:t xml:space="preserve">The order then went for </w:t>
      </w:r>
      <w:r w:rsidR="00F611C5">
        <w:rPr>
          <w:lang w:val="en-GB"/>
        </w:rPr>
        <w:t>pick-list</w:t>
      </w:r>
      <w:r w:rsidR="00F611C5" w:rsidRPr="004B063A">
        <w:rPr>
          <w:lang w:val="en-GB"/>
        </w:rPr>
        <w:t xml:space="preserve"> </w:t>
      </w:r>
      <w:r w:rsidRPr="004B063A">
        <w:rPr>
          <w:lang w:val="en-GB"/>
        </w:rPr>
        <w:t>generation (</w:t>
      </w:r>
      <w:r w:rsidR="00B9457E">
        <w:rPr>
          <w:lang w:val="en-GB"/>
        </w:rPr>
        <w:t xml:space="preserve">or, </w:t>
      </w:r>
      <w:r w:rsidRPr="004B063A">
        <w:rPr>
          <w:lang w:val="en-GB"/>
        </w:rPr>
        <w:t>wave management). The invoice and the shipping label were generated for that order</w:t>
      </w:r>
      <w:r w:rsidR="00766844">
        <w:rPr>
          <w:lang w:val="en-GB"/>
        </w:rPr>
        <w:t>,</w:t>
      </w:r>
      <w:r w:rsidRPr="004B063A">
        <w:rPr>
          <w:lang w:val="en-GB"/>
        </w:rPr>
        <w:t xml:space="preserve"> and the order was shipped from the warehouse.</w:t>
      </w:r>
      <w:r w:rsidR="004B063A">
        <w:rPr>
          <w:lang w:val="en-GB"/>
        </w:rPr>
        <w:t xml:space="preserve"> </w:t>
      </w:r>
      <w:r w:rsidRPr="004B063A">
        <w:rPr>
          <w:lang w:val="en-GB"/>
        </w:rPr>
        <w:t>The team knew that managing a high volume of customer requests, routing product orders</w:t>
      </w:r>
      <w:r w:rsidR="00766844">
        <w:rPr>
          <w:lang w:val="en-GB"/>
        </w:rPr>
        <w:t>,</w:t>
      </w:r>
      <w:r w:rsidRPr="004B063A">
        <w:rPr>
          <w:lang w:val="en-GB"/>
        </w:rPr>
        <w:t xml:space="preserve"> and tracking logistic support was a challenge for e-commerce players. Automating this process was essential to </w:t>
      </w:r>
      <w:r w:rsidR="00B9457E">
        <w:rPr>
          <w:lang w:val="en-GB"/>
        </w:rPr>
        <w:t>reducing</w:t>
      </w:r>
      <w:r w:rsidR="00B9457E" w:rsidRPr="004B063A">
        <w:rPr>
          <w:lang w:val="en-GB"/>
        </w:rPr>
        <w:t xml:space="preserve"> </w:t>
      </w:r>
      <w:r w:rsidRPr="004B063A">
        <w:rPr>
          <w:lang w:val="en-GB"/>
        </w:rPr>
        <w:t xml:space="preserve">delivery </w:t>
      </w:r>
      <w:r w:rsidR="00B9457E">
        <w:rPr>
          <w:lang w:val="en-GB"/>
        </w:rPr>
        <w:t xml:space="preserve">errors </w:t>
      </w:r>
      <w:r w:rsidRPr="004B063A">
        <w:rPr>
          <w:lang w:val="en-GB"/>
        </w:rPr>
        <w:t xml:space="preserve">and </w:t>
      </w:r>
      <w:r w:rsidR="00B9457E">
        <w:rPr>
          <w:lang w:val="en-GB"/>
        </w:rPr>
        <w:t>improving</w:t>
      </w:r>
      <w:r w:rsidR="00B9457E" w:rsidRPr="004B063A">
        <w:rPr>
          <w:lang w:val="en-GB"/>
        </w:rPr>
        <w:t xml:space="preserve"> </w:t>
      </w:r>
      <w:r w:rsidRPr="004B063A">
        <w:rPr>
          <w:lang w:val="en-GB"/>
        </w:rPr>
        <w:t>customer satisfaction. Also</w:t>
      </w:r>
      <w:r w:rsidR="00766844">
        <w:rPr>
          <w:lang w:val="en-GB"/>
        </w:rPr>
        <w:t>,</w:t>
      </w:r>
      <w:r w:rsidRPr="004B063A">
        <w:rPr>
          <w:lang w:val="en-GB"/>
        </w:rPr>
        <w:t xml:space="preserve"> with an increasing number of online transactions, online e-</w:t>
      </w:r>
      <w:proofErr w:type="spellStart"/>
      <w:r w:rsidRPr="004B063A">
        <w:rPr>
          <w:lang w:val="en-GB"/>
        </w:rPr>
        <w:t>tailers</w:t>
      </w:r>
      <w:proofErr w:type="spellEnd"/>
      <w:r w:rsidRPr="004B063A">
        <w:rPr>
          <w:lang w:val="en-GB"/>
        </w:rPr>
        <w:t xml:space="preserve"> would be more open to seeking external solutions to support and manage the growth of their servicing platform.</w:t>
      </w:r>
    </w:p>
    <w:p w14:paraId="6113051E" w14:textId="77777777" w:rsidR="00D36075" w:rsidRDefault="00D36075" w:rsidP="00E55448">
      <w:pPr>
        <w:pStyle w:val="BodyTextMain"/>
        <w:rPr>
          <w:spacing w:val="-4"/>
          <w:lang w:val="en-GB"/>
        </w:rPr>
      </w:pPr>
    </w:p>
    <w:p w14:paraId="1A98A65F" w14:textId="46CB19B3" w:rsidR="00E55448" w:rsidRPr="00A5762A" w:rsidRDefault="00A5762A" w:rsidP="00E55448">
      <w:pPr>
        <w:pStyle w:val="BodyTextMain"/>
        <w:rPr>
          <w:spacing w:val="-2"/>
          <w:lang w:val="en-GB"/>
        </w:rPr>
      </w:pPr>
      <w:r w:rsidRPr="00A5762A">
        <w:rPr>
          <w:spacing w:val="-2"/>
          <w:lang w:val="en-GB"/>
        </w:rPr>
        <w:t xml:space="preserve">According to </w:t>
      </w:r>
      <w:proofErr w:type="spellStart"/>
      <w:r w:rsidRPr="00A5762A">
        <w:rPr>
          <w:spacing w:val="-2"/>
          <w:lang w:val="en-GB"/>
        </w:rPr>
        <w:t>Unicommerce’s</w:t>
      </w:r>
      <w:proofErr w:type="spellEnd"/>
      <w:r w:rsidRPr="00A5762A">
        <w:rPr>
          <w:spacing w:val="-2"/>
          <w:lang w:val="en-GB"/>
        </w:rPr>
        <w:t xml:space="preserve"> founders, w</w:t>
      </w:r>
      <w:r w:rsidR="00766844" w:rsidRPr="00A5762A">
        <w:rPr>
          <w:spacing w:val="-2"/>
          <w:lang w:val="en-GB"/>
        </w:rPr>
        <w:t>arehouse-management</w:t>
      </w:r>
      <w:r w:rsidR="00C51C37" w:rsidRPr="00A5762A">
        <w:rPr>
          <w:spacing w:val="-2"/>
          <w:lang w:val="en-GB"/>
        </w:rPr>
        <w:t xml:space="preserve"> solutions </w:t>
      </w:r>
      <w:r w:rsidR="00B9457E" w:rsidRPr="00A5762A">
        <w:rPr>
          <w:spacing w:val="-2"/>
          <w:lang w:val="en-GB"/>
        </w:rPr>
        <w:t xml:space="preserve">were </w:t>
      </w:r>
      <w:r w:rsidR="00C51C37" w:rsidRPr="00A5762A">
        <w:rPr>
          <w:spacing w:val="-2"/>
          <w:lang w:val="en-GB"/>
        </w:rPr>
        <w:t xml:space="preserve">not a new product for the e-commerce industry. </w:t>
      </w:r>
      <w:r w:rsidR="00766844" w:rsidRPr="00A5762A">
        <w:rPr>
          <w:spacing w:val="-2"/>
          <w:lang w:val="en-GB"/>
        </w:rPr>
        <w:t>In 2011, software</w:t>
      </w:r>
      <w:r w:rsidR="00C51C37" w:rsidRPr="00A5762A">
        <w:rPr>
          <w:spacing w:val="-2"/>
          <w:lang w:val="en-GB"/>
        </w:rPr>
        <w:t xml:space="preserve"> solutions were available for firms operating in the United States. Prominent companies such as </w:t>
      </w:r>
      <w:r w:rsidR="00766844" w:rsidRPr="00A5762A">
        <w:rPr>
          <w:spacing w:val="-2"/>
          <w:lang w:val="en-GB"/>
        </w:rPr>
        <w:t>Oracle Corporation</w:t>
      </w:r>
      <w:r w:rsidR="009216DD" w:rsidRPr="00A5762A">
        <w:rPr>
          <w:spacing w:val="-2"/>
          <w:lang w:val="en-GB"/>
        </w:rPr>
        <w:t xml:space="preserve"> (Oracle)</w:t>
      </w:r>
      <w:r w:rsidR="00C51C37" w:rsidRPr="00A5762A">
        <w:rPr>
          <w:spacing w:val="-2"/>
          <w:lang w:val="en-GB"/>
        </w:rPr>
        <w:t>, SAP</w:t>
      </w:r>
      <w:r w:rsidR="00766844" w:rsidRPr="00A5762A">
        <w:rPr>
          <w:spacing w:val="-2"/>
          <w:lang w:val="en-GB"/>
        </w:rPr>
        <w:t xml:space="preserve"> SE</w:t>
      </w:r>
      <w:r w:rsidR="009216DD" w:rsidRPr="00A5762A">
        <w:rPr>
          <w:spacing w:val="-2"/>
          <w:lang w:val="en-GB"/>
        </w:rPr>
        <w:t xml:space="preserve"> (SAP)</w:t>
      </w:r>
      <w:r w:rsidR="00C51C37" w:rsidRPr="00A5762A">
        <w:rPr>
          <w:spacing w:val="-2"/>
          <w:lang w:val="en-GB"/>
        </w:rPr>
        <w:t xml:space="preserve">, and Vinculum </w:t>
      </w:r>
      <w:r w:rsidR="009216DD" w:rsidRPr="00A5762A">
        <w:rPr>
          <w:spacing w:val="-2"/>
          <w:lang w:val="en-GB"/>
        </w:rPr>
        <w:t xml:space="preserve">Solutions Ltd. </w:t>
      </w:r>
      <w:r w:rsidR="00C51C37" w:rsidRPr="00A5762A">
        <w:rPr>
          <w:spacing w:val="-2"/>
          <w:lang w:val="en-GB"/>
        </w:rPr>
        <w:t>had established products in this space. However, localized versions of these offerings, catering to Indian businesses and legal structure</w:t>
      </w:r>
      <w:r w:rsidR="009216DD" w:rsidRPr="00A5762A">
        <w:rPr>
          <w:spacing w:val="-2"/>
          <w:lang w:val="en-GB"/>
        </w:rPr>
        <w:t>,</w:t>
      </w:r>
      <w:r w:rsidR="00C51C37" w:rsidRPr="00A5762A">
        <w:rPr>
          <w:spacing w:val="-2"/>
          <w:lang w:val="en-GB"/>
        </w:rPr>
        <w:t xml:space="preserve"> were limited and had incomplete</w:t>
      </w:r>
      <w:r w:rsidR="00AD422E" w:rsidRPr="00A5762A">
        <w:rPr>
          <w:spacing w:val="-2"/>
          <w:lang w:val="en-GB"/>
        </w:rPr>
        <w:t xml:space="preserve"> features</w:t>
      </w:r>
      <w:r w:rsidR="00C51C37" w:rsidRPr="00A5762A">
        <w:rPr>
          <w:spacing w:val="-2"/>
          <w:lang w:val="en-GB"/>
        </w:rPr>
        <w:t>. These solutions were developed for retail stores and were not suitable for e-commerce business processes. They were developed for users in developed markets</w:t>
      </w:r>
      <w:r w:rsidR="009216DD" w:rsidRPr="00A5762A">
        <w:rPr>
          <w:spacing w:val="-2"/>
          <w:lang w:val="en-GB"/>
        </w:rPr>
        <w:t>,</w:t>
      </w:r>
      <w:r w:rsidR="00C51C37" w:rsidRPr="00A5762A">
        <w:rPr>
          <w:spacing w:val="-2"/>
          <w:lang w:val="en-GB"/>
        </w:rPr>
        <w:t xml:space="preserve"> and Indian user preferences were not factored </w:t>
      </w:r>
      <w:r w:rsidR="009216DD" w:rsidRPr="00A5762A">
        <w:rPr>
          <w:spacing w:val="-2"/>
          <w:lang w:val="en-GB"/>
        </w:rPr>
        <w:t xml:space="preserve">into </w:t>
      </w:r>
      <w:r w:rsidR="00C51C37" w:rsidRPr="00A5762A">
        <w:rPr>
          <w:spacing w:val="-2"/>
          <w:lang w:val="en-GB"/>
        </w:rPr>
        <w:t>the product design. Secondly, most of the solutions were costly standalone applications</w:t>
      </w:r>
      <w:r w:rsidR="009216DD" w:rsidRPr="00A5762A">
        <w:rPr>
          <w:spacing w:val="-2"/>
          <w:lang w:val="en-GB"/>
        </w:rPr>
        <w:t>,</w:t>
      </w:r>
      <w:r w:rsidR="00C51C37" w:rsidRPr="00A5762A">
        <w:rPr>
          <w:spacing w:val="-2"/>
          <w:lang w:val="en-GB"/>
        </w:rPr>
        <w:t xml:space="preserve"> for which firms had to spend a lot of money upfront. Some of the products were not suited to work with Indian taxation laws. Global majors such as Oracle and SAP asked for payment of a year</w:t>
      </w:r>
      <w:r w:rsidR="007A1B00" w:rsidRPr="00A5762A">
        <w:rPr>
          <w:spacing w:val="-2"/>
          <w:lang w:val="en-GB"/>
        </w:rPr>
        <w:t>’</w:t>
      </w:r>
      <w:r w:rsidR="00C51C37" w:rsidRPr="00A5762A">
        <w:rPr>
          <w:spacing w:val="-2"/>
          <w:lang w:val="en-GB"/>
        </w:rPr>
        <w:t xml:space="preserve">s </w:t>
      </w:r>
      <w:r w:rsidR="009216DD" w:rsidRPr="00A5762A">
        <w:rPr>
          <w:spacing w:val="-2"/>
          <w:lang w:val="en-GB"/>
        </w:rPr>
        <w:t>licence</w:t>
      </w:r>
      <w:r w:rsidR="00C51C37" w:rsidRPr="00A5762A">
        <w:rPr>
          <w:spacing w:val="-2"/>
          <w:lang w:val="en-GB"/>
        </w:rPr>
        <w:t xml:space="preserve"> fees upfront. In addition, they would need </w:t>
      </w:r>
      <w:r w:rsidR="009216DD" w:rsidRPr="00A5762A">
        <w:rPr>
          <w:spacing w:val="-2"/>
          <w:lang w:val="en-GB"/>
        </w:rPr>
        <w:t xml:space="preserve">about </w:t>
      </w:r>
      <w:r w:rsidR="00C51C37" w:rsidRPr="00A5762A">
        <w:rPr>
          <w:spacing w:val="-2"/>
          <w:lang w:val="en-GB"/>
        </w:rPr>
        <w:t>six months of technical effort for implementation, and there was no guarantee of success after the implementation period.</w:t>
      </w:r>
      <w:r w:rsidR="004B063A" w:rsidRPr="00A5762A">
        <w:rPr>
          <w:spacing w:val="-2"/>
          <w:lang w:val="en-GB"/>
        </w:rPr>
        <w:t xml:space="preserve"> </w:t>
      </w:r>
      <w:r w:rsidR="00C51C37" w:rsidRPr="00A5762A">
        <w:rPr>
          <w:spacing w:val="-2"/>
          <w:lang w:val="en-GB"/>
        </w:rPr>
        <w:t>Consequently, Indian e-commerce firms were not able to easily adopt these solutions for their business</w:t>
      </w:r>
      <w:r w:rsidR="009216DD" w:rsidRPr="00A5762A">
        <w:rPr>
          <w:spacing w:val="-2"/>
          <w:lang w:val="en-GB"/>
        </w:rPr>
        <w:t>es’</w:t>
      </w:r>
      <w:r w:rsidR="00C51C37" w:rsidRPr="00A5762A">
        <w:rPr>
          <w:spacing w:val="-2"/>
          <w:lang w:val="en-GB"/>
        </w:rPr>
        <w:t xml:space="preserve"> needs. The </w:t>
      </w:r>
      <w:proofErr w:type="spellStart"/>
      <w:r w:rsidR="00C51C37" w:rsidRPr="00A5762A">
        <w:rPr>
          <w:spacing w:val="-2"/>
          <w:lang w:val="en-GB"/>
        </w:rPr>
        <w:t>Unicommerce</w:t>
      </w:r>
      <w:proofErr w:type="spellEnd"/>
      <w:r w:rsidR="00C51C37" w:rsidRPr="00A5762A">
        <w:rPr>
          <w:spacing w:val="-2"/>
          <w:lang w:val="en-GB"/>
        </w:rPr>
        <w:t xml:space="preserve"> team considered this vacant space a lucrative opportunity.</w:t>
      </w:r>
    </w:p>
    <w:p w14:paraId="18C8D1E2" w14:textId="77777777" w:rsidR="008F64F0" w:rsidRPr="00A5762A" w:rsidRDefault="008F64F0" w:rsidP="00E55448">
      <w:pPr>
        <w:pStyle w:val="BodyTextMain"/>
        <w:rPr>
          <w:spacing w:val="-2"/>
          <w:lang w:val="en-GB"/>
        </w:rPr>
      </w:pPr>
    </w:p>
    <w:p w14:paraId="5C4DDD41" w14:textId="114EEED8" w:rsidR="001618BA" w:rsidRDefault="008F64F0" w:rsidP="00E55448">
      <w:pPr>
        <w:pStyle w:val="BodyTextMain"/>
        <w:rPr>
          <w:lang w:val="en-GB"/>
        </w:rPr>
      </w:pPr>
      <w:r w:rsidRPr="004B063A">
        <w:rPr>
          <w:lang w:val="en-GB"/>
        </w:rPr>
        <w:t xml:space="preserve">Their business idea of developing an </w:t>
      </w:r>
      <w:r w:rsidR="009A7F63">
        <w:rPr>
          <w:lang w:val="en-GB"/>
        </w:rPr>
        <w:t>order-</w:t>
      </w:r>
      <w:r w:rsidR="009A7F63" w:rsidRPr="004B063A">
        <w:rPr>
          <w:lang w:val="en-GB"/>
        </w:rPr>
        <w:t xml:space="preserve"> </w:t>
      </w:r>
      <w:r w:rsidRPr="004B063A">
        <w:rPr>
          <w:lang w:val="en-GB"/>
        </w:rPr>
        <w:t xml:space="preserve">and </w:t>
      </w:r>
      <w:r w:rsidR="009A7F63">
        <w:rPr>
          <w:lang w:val="en-GB"/>
        </w:rPr>
        <w:t>warehouse-management</w:t>
      </w:r>
      <w:r w:rsidRPr="004B063A">
        <w:rPr>
          <w:lang w:val="en-GB"/>
        </w:rPr>
        <w:t xml:space="preserve"> system received support from experts and </w:t>
      </w:r>
      <w:r w:rsidR="00F85B44">
        <w:rPr>
          <w:lang w:val="en-GB"/>
        </w:rPr>
        <w:t>venture capitalists</w:t>
      </w:r>
      <w:r w:rsidR="007A1B00">
        <w:rPr>
          <w:lang w:val="en-GB"/>
        </w:rPr>
        <w:t>,</w:t>
      </w:r>
      <w:r w:rsidRPr="004B063A">
        <w:rPr>
          <w:lang w:val="en-GB"/>
        </w:rPr>
        <w:t xml:space="preserve"> who also identified it as a pain area for growing e-commerce platforms. During discussions with industry leaders and senior management of leading e-commerce businesses, the team realized that firms would be open to </w:t>
      </w:r>
      <w:r w:rsidR="009A7F63">
        <w:rPr>
          <w:lang w:val="en-GB"/>
        </w:rPr>
        <w:t>off-loading</w:t>
      </w:r>
      <w:r w:rsidR="009A7F63" w:rsidRPr="004B063A">
        <w:rPr>
          <w:lang w:val="en-GB"/>
        </w:rPr>
        <w:t xml:space="preserve"> </w:t>
      </w:r>
      <w:r w:rsidRPr="004B063A">
        <w:rPr>
          <w:lang w:val="en-GB"/>
        </w:rPr>
        <w:t xml:space="preserve">technical investments, provided reliable and cost-effective solutions were available in the market. A good technical solution would enable them to grow faster and gain a sustainable competitive edge over competitors. </w:t>
      </w:r>
    </w:p>
    <w:p w14:paraId="28E84732" w14:textId="77777777" w:rsidR="001618BA" w:rsidRDefault="001618BA" w:rsidP="00E55448">
      <w:pPr>
        <w:pStyle w:val="BodyTextMain"/>
        <w:rPr>
          <w:lang w:val="en-GB"/>
        </w:rPr>
      </w:pPr>
    </w:p>
    <w:p w14:paraId="703B512B" w14:textId="45649754" w:rsidR="00E55448" w:rsidRPr="004B063A" w:rsidRDefault="008F64F0" w:rsidP="00E55448">
      <w:pPr>
        <w:pStyle w:val="BodyTextMain"/>
        <w:rPr>
          <w:lang w:val="en-GB"/>
        </w:rPr>
      </w:pPr>
      <w:r w:rsidRPr="004B063A">
        <w:rPr>
          <w:lang w:val="en-GB"/>
        </w:rPr>
        <w:t xml:space="preserve">By the end of December 2011, the team </w:t>
      </w:r>
      <w:r w:rsidR="001618BA">
        <w:rPr>
          <w:lang w:val="en-GB"/>
        </w:rPr>
        <w:t xml:space="preserve">had </w:t>
      </w:r>
      <w:r w:rsidRPr="004B063A">
        <w:rPr>
          <w:lang w:val="en-GB"/>
        </w:rPr>
        <w:t xml:space="preserve">commenced the development work of their software solution. They reached </w:t>
      </w:r>
      <w:r w:rsidR="00CD62F2">
        <w:rPr>
          <w:lang w:val="en-GB"/>
        </w:rPr>
        <w:t xml:space="preserve">out </w:t>
      </w:r>
      <w:r w:rsidRPr="004B063A">
        <w:rPr>
          <w:lang w:val="en-GB"/>
        </w:rPr>
        <w:t xml:space="preserve">to industry experts like </w:t>
      </w:r>
      <w:proofErr w:type="spellStart"/>
      <w:r w:rsidRPr="004B063A">
        <w:rPr>
          <w:lang w:val="en-GB"/>
        </w:rPr>
        <w:t>Ankush</w:t>
      </w:r>
      <w:proofErr w:type="spellEnd"/>
      <w:r w:rsidRPr="004B063A">
        <w:rPr>
          <w:lang w:val="en-GB"/>
        </w:rPr>
        <w:t xml:space="preserve"> </w:t>
      </w:r>
      <w:proofErr w:type="spellStart"/>
      <w:r w:rsidRPr="004B063A">
        <w:rPr>
          <w:lang w:val="en-GB"/>
        </w:rPr>
        <w:t>Mehra</w:t>
      </w:r>
      <w:proofErr w:type="spellEnd"/>
      <w:r w:rsidRPr="004B063A">
        <w:rPr>
          <w:lang w:val="en-GB"/>
        </w:rPr>
        <w:t xml:space="preserve">, </w:t>
      </w:r>
      <w:r w:rsidR="009A7F63">
        <w:rPr>
          <w:lang w:val="en-GB"/>
        </w:rPr>
        <w:t>co-founder</w:t>
      </w:r>
      <w:r w:rsidRPr="004B063A">
        <w:rPr>
          <w:lang w:val="en-GB"/>
        </w:rPr>
        <w:t xml:space="preserve"> and </w:t>
      </w:r>
      <w:r w:rsidR="007E3AB5">
        <w:rPr>
          <w:lang w:val="en-GB"/>
        </w:rPr>
        <w:t>vice-president of</w:t>
      </w:r>
      <w:r w:rsidRPr="004B063A">
        <w:rPr>
          <w:lang w:val="en-GB"/>
        </w:rPr>
        <w:t xml:space="preserve"> Supply Chain Operations at </w:t>
      </w:r>
      <w:proofErr w:type="spellStart"/>
      <w:r w:rsidR="007E3AB5">
        <w:rPr>
          <w:lang w:val="en-GB"/>
        </w:rPr>
        <w:t>LimeRoad</w:t>
      </w:r>
      <w:proofErr w:type="spellEnd"/>
      <w:r w:rsidRPr="004B063A">
        <w:rPr>
          <w:lang w:val="en-GB"/>
        </w:rPr>
        <w:t>, an Indian e-commerce firm</w:t>
      </w:r>
      <w:r w:rsidR="009A7F63">
        <w:rPr>
          <w:lang w:val="en-GB"/>
        </w:rPr>
        <w:t>,</w:t>
      </w:r>
      <w:r w:rsidRPr="004B063A">
        <w:rPr>
          <w:lang w:val="en-GB"/>
        </w:rPr>
        <w:t xml:space="preserve"> to help shape their technology offering. Additional technical resources were hired in February 2012</w:t>
      </w:r>
      <w:r w:rsidR="001618BA">
        <w:rPr>
          <w:lang w:val="en-GB"/>
        </w:rPr>
        <w:t>,</w:t>
      </w:r>
      <w:r w:rsidRPr="004B063A">
        <w:rPr>
          <w:lang w:val="en-GB"/>
        </w:rPr>
        <w:t xml:space="preserve"> as the development effort </w:t>
      </w:r>
      <w:r w:rsidR="00CD62F2">
        <w:rPr>
          <w:lang w:val="en-GB"/>
        </w:rPr>
        <w:t>continued</w:t>
      </w:r>
      <w:r w:rsidRPr="004B063A">
        <w:rPr>
          <w:lang w:val="en-GB"/>
        </w:rPr>
        <w:t xml:space="preserve">. By April 2012, they were ready with a cloud-based order and </w:t>
      </w:r>
      <w:r w:rsidR="00166339">
        <w:rPr>
          <w:lang w:val="en-GB"/>
        </w:rPr>
        <w:t>warehouse-management</w:t>
      </w:r>
      <w:r w:rsidRPr="004B063A">
        <w:rPr>
          <w:lang w:val="en-GB"/>
        </w:rPr>
        <w:t xml:space="preserve"> system for the rapidly growing e-commerce industry in India. Within a four-month period, the team rolled out the first version of their offering. However, they faced challenges in testing the system for peak transaction loads reaching up to thousands of transactions per hour.</w:t>
      </w:r>
    </w:p>
    <w:p w14:paraId="2D45386C" w14:textId="77777777" w:rsidR="00BC368F" w:rsidRPr="004B063A" w:rsidRDefault="00BC368F" w:rsidP="00E55448">
      <w:pPr>
        <w:pStyle w:val="BodyTextMain"/>
        <w:rPr>
          <w:lang w:val="en-GB"/>
        </w:rPr>
      </w:pPr>
    </w:p>
    <w:p w14:paraId="06C9F673" w14:textId="3F0E5C70" w:rsidR="00E55448" w:rsidRPr="004B063A" w:rsidRDefault="00BC368F" w:rsidP="00E55448">
      <w:pPr>
        <w:pStyle w:val="BodyTextMain"/>
        <w:rPr>
          <w:spacing w:val="-2"/>
          <w:lang w:val="en-GB"/>
        </w:rPr>
      </w:pPr>
      <w:r w:rsidRPr="004B063A">
        <w:rPr>
          <w:lang w:val="en-GB"/>
        </w:rPr>
        <w:t xml:space="preserve">The first version of the product was well received by clients. By </w:t>
      </w:r>
      <w:r w:rsidR="005E4CCC">
        <w:rPr>
          <w:lang w:val="en-GB"/>
        </w:rPr>
        <w:t xml:space="preserve">the </w:t>
      </w:r>
      <w:r w:rsidRPr="004B063A">
        <w:rPr>
          <w:lang w:val="en-GB"/>
        </w:rPr>
        <w:t xml:space="preserve">end of June 2012, the </w:t>
      </w:r>
      <w:proofErr w:type="spellStart"/>
      <w:r w:rsidRPr="004B063A">
        <w:rPr>
          <w:lang w:val="en-GB"/>
        </w:rPr>
        <w:t>Unicommerce</w:t>
      </w:r>
      <w:proofErr w:type="spellEnd"/>
      <w:r w:rsidRPr="004B063A">
        <w:rPr>
          <w:lang w:val="en-GB"/>
        </w:rPr>
        <w:t xml:space="preserve"> platform was managing 200,000 transactions per month. Within the first month of the rollout, the team secured contracts from five </w:t>
      </w:r>
      <w:r w:rsidR="001618BA">
        <w:rPr>
          <w:lang w:val="en-GB"/>
        </w:rPr>
        <w:t xml:space="preserve">leading </w:t>
      </w:r>
      <w:r w:rsidRPr="004B063A">
        <w:rPr>
          <w:lang w:val="en-GB"/>
        </w:rPr>
        <w:t>e-commerce platforms including</w:t>
      </w:r>
      <w:r w:rsidR="00960F42">
        <w:rPr>
          <w:lang w:val="en-GB"/>
        </w:rPr>
        <w:t xml:space="preserve"> </w:t>
      </w:r>
      <w:r w:rsidRPr="004B063A">
        <w:rPr>
          <w:lang w:val="en-GB"/>
        </w:rPr>
        <w:t>Bluestone</w:t>
      </w:r>
      <w:r w:rsidR="00960F42">
        <w:rPr>
          <w:lang w:val="en-GB"/>
        </w:rPr>
        <w:t>.com</w:t>
      </w:r>
      <w:r w:rsidRPr="004B063A">
        <w:rPr>
          <w:lang w:val="en-GB"/>
        </w:rPr>
        <w:t xml:space="preserve">, </w:t>
      </w:r>
      <w:r w:rsidR="008C3747">
        <w:rPr>
          <w:lang w:val="en-GB"/>
        </w:rPr>
        <w:t>Jabong.com</w:t>
      </w:r>
      <w:r w:rsidR="0095685F">
        <w:rPr>
          <w:lang w:val="en-GB"/>
        </w:rPr>
        <w:t xml:space="preserve"> (</w:t>
      </w:r>
      <w:proofErr w:type="spellStart"/>
      <w:r w:rsidR="0095685F">
        <w:rPr>
          <w:lang w:val="en-GB"/>
        </w:rPr>
        <w:t>Jabong</w:t>
      </w:r>
      <w:proofErr w:type="spellEnd"/>
      <w:r w:rsidR="0095685F">
        <w:rPr>
          <w:lang w:val="en-GB"/>
        </w:rPr>
        <w:t>)</w:t>
      </w:r>
      <w:r w:rsidRPr="004B063A">
        <w:rPr>
          <w:lang w:val="en-GB"/>
        </w:rPr>
        <w:t xml:space="preserve">, </w:t>
      </w:r>
      <w:proofErr w:type="spellStart"/>
      <w:r w:rsidRPr="004B063A">
        <w:rPr>
          <w:lang w:val="en-GB"/>
        </w:rPr>
        <w:t>Snapdeal</w:t>
      </w:r>
      <w:proofErr w:type="spellEnd"/>
      <w:r w:rsidRPr="004B063A">
        <w:rPr>
          <w:lang w:val="en-GB"/>
        </w:rPr>
        <w:t xml:space="preserve">, and </w:t>
      </w:r>
      <w:r w:rsidR="008C3747">
        <w:rPr>
          <w:lang w:val="en-GB"/>
        </w:rPr>
        <w:t>MangoStreet.com</w:t>
      </w:r>
      <w:r w:rsidRPr="004B063A">
        <w:rPr>
          <w:lang w:val="en-GB"/>
        </w:rPr>
        <w:t xml:space="preserve">. Firms like </w:t>
      </w:r>
      <w:proofErr w:type="spellStart"/>
      <w:r w:rsidRPr="004B063A">
        <w:rPr>
          <w:lang w:val="en-GB"/>
        </w:rPr>
        <w:t>Snapdeal</w:t>
      </w:r>
      <w:proofErr w:type="spellEnd"/>
      <w:r w:rsidRPr="004B063A">
        <w:rPr>
          <w:lang w:val="en-GB"/>
        </w:rPr>
        <w:t xml:space="preserve"> were impressed with the speed of the </w:t>
      </w:r>
      <w:proofErr w:type="spellStart"/>
      <w:r w:rsidRPr="004B063A">
        <w:rPr>
          <w:lang w:val="en-GB"/>
        </w:rPr>
        <w:t>Unicommerce</w:t>
      </w:r>
      <w:proofErr w:type="spellEnd"/>
      <w:r w:rsidRPr="004B063A">
        <w:rPr>
          <w:lang w:val="en-GB"/>
        </w:rPr>
        <w:t xml:space="preserve"> team</w:t>
      </w:r>
      <w:r w:rsidR="008C3747">
        <w:rPr>
          <w:lang w:val="en-GB"/>
        </w:rPr>
        <w:t>’s response as well as</w:t>
      </w:r>
      <w:r w:rsidRPr="004B063A">
        <w:rPr>
          <w:lang w:val="en-GB"/>
        </w:rPr>
        <w:t xml:space="preserve"> their technical prowess. Their idea was well received by </w:t>
      </w:r>
      <w:proofErr w:type="spellStart"/>
      <w:r w:rsidRPr="004B063A">
        <w:rPr>
          <w:lang w:val="en-GB"/>
        </w:rPr>
        <w:t>Snapdeal</w:t>
      </w:r>
      <w:proofErr w:type="spellEnd"/>
      <w:r w:rsidR="008C3747">
        <w:rPr>
          <w:lang w:val="en-GB"/>
        </w:rPr>
        <w:t>,</w:t>
      </w:r>
      <w:r w:rsidRPr="004B063A">
        <w:rPr>
          <w:lang w:val="en-GB"/>
        </w:rPr>
        <w:t xml:space="preserve"> who </w:t>
      </w:r>
      <w:r w:rsidR="0095685F">
        <w:rPr>
          <w:lang w:val="en-GB"/>
        </w:rPr>
        <w:t>was</w:t>
      </w:r>
      <w:r w:rsidR="0095685F" w:rsidRPr="004B063A">
        <w:rPr>
          <w:lang w:val="en-GB"/>
        </w:rPr>
        <w:t xml:space="preserve"> </w:t>
      </w:r>
      <w:r w:rsidRPr="004B063A">
        <w:rPr>
          <w:lang w:val="en-GB"/>
        </w:rPr>
        <w:t xml:space="preserve">looking for strong </w:t>
      </w:r>
      <w:r w:rsidR="0095685F">
        <w:rPr>
          <w:lang w:val="en-GB"/>
        </w:rPr>
        <w:t>warehouse-management systems</w:t>
      </w:r>
      <w:r w:rsidRPr="004B063A">
        <w:rPr>
          <w:lang w:val="en-GB"/>
        </w:rPr>
        <w:t xml:space="preserve"> to support their multiple warehouses. Once established firms like </w:t>
      </w:r>
      <w:proofErr w:type="spellStart"/>
      <w:r w:rsidRPr="004B063A">
        <w:rPr>
          <w:lang w:val="en-GB"/>
        </w:rPr>
        <w:t>Jabong</w:t>
      </w:r>
      <w:proofErr w:type="spellEnd"/>
      <w:r w:rsidRPr="004B063A">
        <w:rPr>
          <w:lang w:val="en-GB"/>
        </w:rPr>
        <w:t xml:space="preserve"> and </w:t>
      </w:r>
      <w:proofErr w:type="spellStart"/>
      <w:r w:rsidRPr="004B063A">
        <w:rPr>
          <w:lang w:val="en-GB"/>
        </w:rPr>
        <w:t>Snapdeal</w:t>
      </w:r>
      <w:proofErr w:type="spellEnd"/>
      <w:r w:rsidRPr="004B063A">
        <w:rPr>
          <w:lang w:val="en-GB"/>
        </w:rPr>
        <w:t xml:space="preserve"> adopted </w:t>
      </w:r>
      <w:proofErr w:type="spellStart"/>
      <w:r w:rsidRPr="004B063A">
        <w:rPr>
          <w:lang w:val="en-GB"/>
        </w:rPr>
        <w:t>Unicommerce</w:t>
      </w:r>
      <w:proofErr w:type="spellEnd"/>
      <w:r w:rsidRPr="004B063A">
        <w:rPr>
          <w:lang w:val="en-GB"/>
        </w:rPr>
        <w:t xml:space="preserve">, it became much easier to </w:t>
      </w:r>
      <w:r w:rsidR="00DF1A04">
        <w:rPr>
          <w:lang w:val="en-GB"/>
        </w:rPr>
        <w:t>gain adoption by</w:t>
      </w:r>
      <w:r w:rsidRPr="004B063A">
        <w:rPr>
          <w:lang w:val="en-GB"/>
        </w:rPr>
        <w:t xml:space="preserve"> other firms.</w:t>
      </w:r>
      <w:r w:rsidR="006B7F5F" w:rsidRPr="004B063A">
        <w:rPr>
          <w:lang w:val="en-GB"/>
        </w:rPr>
        <w:t xml:space="preserve"> </w:t>
      </w:r>
      <w:r w:rsidR="0095685F">
        <w:rPr>
          <w:spacing w:val="-2"/>
          <w:lang w:val="en-GB"/>
        </w:rPr>
        <w:t>After</w:t>
      </w:r>
      <w:r w:rsidR="0095685F" w:rsidRPr="004B063A">
        <w:rPr>
          <w:spacing w:val="-2"/>
          <w:lang w:val="en-GB"/>
        </w:rPr>
        <w:t xml:space="preserve"> </w:t>
      </w:r>
      <w:r w:rsidR="005A698A" w:rsidRPr="004B063A">
        <w:rPr>
          <w:spacing w:val="-2"/>
          <w:lang w:val="en-GB"/>
        </w:rPr>
        <w:t xml:space="preserve">the team had demonstrated their capabilities in </w:t>
      </w:r>
      <w:r w:rsidR="00E12A01">
        <w:rPr>
          <w:spacing w:val="-2"/>
          <w:lang w:val="en-GB"/>
        </w:rPr>
        <w:t xml:space="preserve">early </w:t>
      </w:r>
      <w:r w:rsidR="005A698A" w:rsidRPr="004B063A">
        <w:rPr>
          <w:spacing w:val="-2"/>
          <w:lang w:val="en-GB"/>
        </w:rPr>
        <w:t xml:space="preserve">2012, they pursued their short-term objective of having zero cash burn by the end of the year. Being a </w:t>
      </w:r>
      <w:r w:rsidR="0095685F">
        <w:rPr>
          <w:spacing w:val="-2"/>
          <w:lang w:val="en-GB"/>
        </w:rPr>
        <w:t>technology-product</w:t>
      </w:r>
      <w:r w:rsidR="005A698A" w:rsidRPr="004B063A">
        <w:rPr>
          <w:spacing w:val="-2"/>
          <w:lang w:val="en-GB"/>
        </w:rPr>
        <w:t xml:space="preserve"> company</w:t>
      </w:r>
      <w:r w:rsidR="0095685F">
        <w:rPr>
          <w:spacing w:val="-2"/>
          <w:lang w:val="en-GB"/>
        </w:rPr>
        <w:t>,</w:t>
      </w:r>
      <w:r w:rsidR="005A698A" w:rsidRPr="004B063A">
        <w:rPr>
          <w:spacing w:val="-2"/>
          <w:lang w:val="en-GB"/>
        </w:rPr>
        <w:t xml:space="preserve"> their expenses were small</w:t>
      </w:r>
      <w:r w:rsidR="0095685F">
        <w:rPr>
          <w:spacing w:val="-2"/>
          <w:lang w:val="en-GB"/>
        </w:rPr>
        <w:t xml:space="preserve"> and </w:t>
      </w:r>
      <w:r w:rsidR="005A698A" w:rsidRPr="004B063A">
        <w:rPr>
          <w:spacing w:val="-2"/>
          <w:lang w:val="en-GB"/>
        </w:rPr>
        <w:t xml:space="preserve">mostly related to </w:t>
      </w:r>
      <w:r w:rsidR="0095685F">
        <w:rPr>
          <w:spacing w:val="-2"/>
          <w:lang w:val="en-GB"/>
        </w:rPr>
        <w:t>the salaries</w:t>
      </w:r>
      <w:r w:rsidR="005A698A" w:rsidRPr="004B063A">
        <w:rPr>
          <w:spacing w:val="-2"/>
          <w:lang w:val="en-GB"/>
        </w:rPr>
        <w:t xml:space="preserve"> for a couple of hires, server space, and a small office. Assuming a revenue of</w:t>
      </w:r>
      <w:r w:rsidR="005A698A" w:rsidRPr="00DB4840">
        <w:rPr>
          <w:spacing w:val="-2"/>
          <w:sz w:val="20"/>
          <w:szCs w:val="20"/>
          <w:lang w:val="en-GB"/>
        </w:rPr>
        <w:t xml:space="preserve"> </w:t>
      </w:r>
      <w:r w:rsidR="0095685F" w:rsidRPr="00DB4840">
        <w:rPr>
          <w:spacing w:val="-2"/>
          <w:sz w:val="20"/>
          <w:szCs w:val="20"/>
          <w:lang w:val="en-GB"/>
        </w:rPr>
        <w:t>₹</w:t>
      </w:r>
      <w:r w:rsidR="0095685F">
        <w:rPr>
          <w:spacing w:val="-2"/>
          <w:lang w:val="en-GB"/>
        </w:rPr>
        <w:t>1</w:t>
      </w:r>
      <w:r w:rsidR="005A698A" w:rsidRPr="004B063A">
        <w:rPr>
          <w:spacing w:val="-2"/>
          <w:lang w:val="en-GB"/>
        </w:rPr>
        <w:t xml:space="preserve"> million from each client, 20 clients would be enough to achieve their objective.</w:t>
      </w:r>
    </w:p>
    <w:p w14:paraId="671EBD66" w14:textId="77777777" w:rsidR="005A698A" w:rsidRPr="004B063A" w:rsidRDefault="005A698A" w:rsidP="00E55448">
      <w:pPr>
        <w:pStyle w:val="BodyTextMain"/>
        <w:rPr>
          <w:lang w:val="en-GB"/>
        </w:rPr>
      </w:pPr>
    </w:p>
    <w:p w14:paraId="26E2D8A0" w14:textId="77777777" w:rsidR="00066A98" w:rsidRPr="004B063A" w:rsidRDefault="00066A98" w:rsidP="00E55448">
      <w:pPr>
        <w:pStyle w:val="BodyTextMain"/>
        <w:rPr>
          <w:lang w:val="en-GB"/>
        </w:rPr>
      </w:pPr>
    </w:p>
    <w:p w14:paraId="4F3D4351" w14:textId="55F73D65" w:rsidR="00E55448" w:rsidRPr="004B063A" w:rsidRDefault="00E55448" w:rsidP="005531E1">
      <w:pPr>
        <w:pStyle w:val="Casehead1"/>
        <w:keepNext/>
        <w:rPr>
          <w:lang w:val="en-GB"/>
        </w:rPr>
      </w:pPr>
      <w:r w:rsidRPr="004B063A">
        <w:rPr>
          <w:lang w:val="en-GB"/>
        </w:rPr>
        <w:t>From X to 10</w:t>
      </w:r>
      <w:r w:rsidR="00E12A01">
        <w:rPr>
          <w:lang w:val="en-GB"/>
        </w:rPr>
        <w:t>X</w:t>
      </w:r>
      <w:r w:rsidR="00330A2A">
        <w:rPr>
          <w:lang w:val="en-GB"/>
        </w:rPr>
        <w:t xml:space="preserve">: </w:t>
      </w:r>
      <w:r w:rsidRPr="004B063A">
        <w:rPr>
          <w:lang w:val="en-GB"/>
        </w:rPr>
        <w:t>Evolving THE Product Offering</w:t>
      </w:r>
    </w:p>
    <w:p w14:paraId="627D874E" w14:textId="77777777" w:rsidR="00E55448" w:rsidRPr="004B063A" w:rsidRDefault="00E55448" w:rsidP="005531E1">
      <w:pPr>
        <w:pStyle w:val="BodyTextMain"/>
        <w:keepNext/>
        <w:rPr>
          <w:lang w:val="en-GB"/>
        </w:rPr>
      </w:pPr>
    </w:p>
    <w:p w14:paraId="577F0EDB" w14:textId="0C4C3A9D" w:rsidR="00E55448" w:rsidRPr="004B063A" w:rsidRDefault="00534270" w:rsidP="005531E1">
      <w:pPr>
        <w:pStyle w:val="BodyTextMain"/>
        <w:keepNext/>
        <w:rPr>
          <w:lang w:val="en-GB"/>
        </w:rPr>
      </w:pPr>
      <w:r w:rsidRPr="004B063A">
        <w:rPr>
          <w:lang w:val="en-GB"/>
        </w:rPr>
        <w:t>By</w:t>
      </w:r>
      <w:r w:rsidR="00330A2A">
        <w:rPr>
          <w:lang w:val="en-GB"/>
        </w:rPr>
        <w:t xml:space="preserve"> the</w:t>
      </w:r>
      <w:r w:rsidRPr="004B063A">
        <w:rPr>
          <w:lang w:val="en-GB"/>
        </w:rPr>
        <w:t xml:space="preserve"> end of 2012, the major e-commerce firms were already using </w:t>
      </w:r>
      <w:r w:rsidR="00330A2A">
        <w:rPr>
          <w:lang w:val="en-GB"/>
        </w:rPr>
        <w:t>order- and warehouse-management</w:t>
      </w:r>
      <w:r w:rsidRPr="004B063A">
        <w:rPr>
          <w:lang w:val="en-GB"/>
        </w:rPr>
        <w:t xml:space="preserve"> systems</w:t>
      </w:r>
      <w:r w:rsidR="00D637ED" w:rsidRPr="004B063A">
        <w:rPr>
          <w:lang w:val="en-GB"/>
        </w:rPr>
        <w:t xml:space="preserve"> developed by </w:t>
      </w:r>
      <w:proofErr w:type="spellStart"/>
      <w:r w:rsidR="00D637ED" w:rsidRPr="004B063A">
        <w:rPr>
          <w:lang w:val="en-GB"/>
        </w:rPr>
        <w:t>Unicommerce</w:t>
      </w:r>
      <w:proofErr w:type="spellEnd"/>
      <w:r w:rsidRPr="004B063A">
        <w:rPr>
          <w:lang w:val="en-GB"/>
        </w:rPr>
        <w:t xml:space="preserve">. The team </w:t>
      </w:r>
      <w:r w:rsidR="00E12A01">
        <w:rPr>
          <w:lang w:val="en-GB"/>
        </w:rPr>
        <w:t xml:space="preserve">quickly </w:t>
      </w:r>
      <w:r w:rsidRPr="004B063A">
        <w:rPr>
          <w:lang w:val="en-GB"/>
        </w:rPr>
        <w:t xml:space="preserve">realized that the size of the market for their enterprise solution was not as large as they had initially estimated. A </w:t>
      </w:r>
      <w:r w:rsidR="00330A2A">
        <w:rPr>
          <w:lang w:val="en-GB"/>
        </w:rPr>
        <w:t>software-management</w:t>
      </w:r>
      <w:r w:rsidRPr="004B063A">
        <w:rPr>
          <w:lang w:val="en-GB"/>
        </w:rPr>
        <w:t xml:space="preserve"> solution for order processing and warehouse management was only needed by players who had a sizeable transaction volume. At that point, </w:t>
      </w:r>
      <w:r w:rsidR="00330A2A">
        <w:rPr>
          <w:lang w:val="en-GB"/>
        </w:rPr>
        <w:t>barely 60 to 70</w:t>
      </w:r>
      <w:r w:rsidRPr="004B063A">
        <w:rPr>
          <w:lang w:val="en-GB"/>
        </w:rPr>
        <w:t xml:space="preserve"> e-commerce platforms in India </w:t>
      </w:r>
      <w:r w:rsidR="00CD62F2">
        <w:rPr>
          <w:lang w:val="en-GB"/>
        </w:rPr>
        <w:t>net this criteria</w:t>
      </w:r>
      <w:r w:rsidRPr="004B063A">
        <w:rPr>
          <w:lang w:val="en-GB"/>
        </w:rPr>
        <w:t xml:space="preserve">. </w:t>
      </w:r>
      <w:r w:rsidR="004F14EE" w:rsidRPr="004B063A">
        <w:rPr>
          <w:lang w:val="en-GB"/>
        </w:rPr>
        <w:t>T</w:t>
      </w:r>
      <w:r w:rsidRPr="004B063A">
        <w:rPr>
          <w:lang w:val="en-GB"/>
        </w:rPr>
        <w:t xml:space="preserve">he product had emerged as the leading </w:t>
      </w:r>
      <w:r w:rsidR="00330A2A">
        <w:rPr>
          <w:lang w:val="en-GB"/>
        </w:rPr>
        <w:t>warehouse-management system</w:t>
      </w:r>
      <w:r w:rsidRPr="004B063A">
        <w:rPr>
          <w:lang w:val="en-GB"/>
        </w:rPr>
        <w:t xml:space="preserve"> in the industry, </w:t>
      </w:r>
      <w:r w:rsidR="00A51E56" w:rsidRPr="004B063A">
        <w:rPr>
          <w:lang w:val="en-GB"/>
        </w:rPr>
        <w:t xml:space="preserve">but </w:t>
      </w:r>
      <w:r w:rsidRPr="004B063A">
        <w:rPr>
          <w:lang w:val="en-GB"/>
        </w:rPr>
        <w:t>there w</w:t>
      </w:r>
      <w:r w:rsidR="00A51E56" w:rsidRPr="004B063A">
        <w:rPr>
          <w:lang w:val="en-GB"/>
        </w:rPr>
        <w:t>ere</w:t>
      </w:r>
      <w:r w:rsidRPr="004B063A">
        <w:rPr>
          <w:lang w:val="en-GB"/>
        </w:rPr>
        <w:t xml:space="preserve"> doubt</w:t>
      </w:r>
      <w:r w:rsidR="00796906" w:rsidRPr="004B063A">
        <w:rPr>
          <w:lang w:val="en-GB"/>
        </w:rPr>
        <w:t>s</w:t>
      </w:r>
      <w:r w:rsidRPr="004B063A">
        <w:rPr>
          <w:lang w:val="en-GB"/>
        </w:rPr>
        <w:t xml:space="preserve"> </w:t>
      </w:r>
      <w:r w:rsidR="00E12A01">
        <w:rPr>
          <w:lang w:val="en-GB"/>
        </w:rPr>
        <w:t>concerning</w:t>
      </w:r>
      <w:r w:rsidR="00E12A01" w:rsidRPr="004B063A">
        <w:rPr>
          <w:lang w:val="en-GB"/>
        </w:rPr>
        <w:t xml:space="preserve"> </w:t>
      </w:r>
      <w:r w:rsidRPr="004B063A">
        <w:rPr>
          <w:lang w:val="en-GB"/>
        </w:rPr>
        <w:t xml:space="preserve">future growth opportunities in the Indian market if they continued with only an enterprise product. </w:t>
      </w:r>
      <w:r w:rsidR="00966A65" w:rsidRPr="004B063A">
        <w:rPr>
          <w:lang w:val="en-GB"/>
        </w:rPr>
        <w:t>G</w:t>
      </w:r>
      <w:r w:rsidRPr="004B063A">
        <w:rPr>
          <w:lang w:val="en-GB"/>
        </w:rPr>
        <w:t>rowth was dependent on a larger number of e-commerce platforms participating in the market</w:t>
      </w:r>
      <w:r w:rsidR="00330A2A">
        <w:rPr>
          <w:lang w:val="en-GB"/>
        </w:rPr>
        <w:t>,</w:t>
      </w:r>
      <w:r w:rsidRPr="004B063A">
        <w:rPr>
          <w:lang w:val="en-GB"/>
        </w:rPr>
        <w:t xml:space="preserve"> which seemed unlikely. </w:t>
      </w:r>
      <w:r w:rsidR="00B80C58" w:rsidRPr="004B063A">
        <w:rPr>
          <w:lang w:val="en-GB"/>
        </w:rPr>
        <w:t xml:space="preserve">It was looking difficult to continue growing by </w:t>
      </w:r>
      <w:r w:rsidR="00330A2A">
        <w:rPr>
          <w:lang w:val="en-GB"/>
        </w:rPr>
        <w:t>10 times</w:t>
      </w:r>
      <w:r w:rsidR="00330A2A" w:rsidRPr="004B063A">
        <w:rPr>
          <w:lang w:val="en-GB"/>
        </w:rPr>
        <w:t xml:space="preserve"> </w:t>
      </w:r>
      <w:r w:rsidR="00B80C58" w:rsidRPr="004B063A">
        <w:rPr>
          <w:lang w:val="en-GB"/>
        </w:rPr>
        <w:t xml:space="preserve">in this saturated market. </w:t>
      </w:r>
    </w:p>
    <w:p w14:paraId="4E6BDA63" w14:textId="77777777" w:rsidR="00A36B1A" w:rsidRPr="004B063A" w:rsidRDefault="00A36B1A" w:rsidP="00534270">
      <w:pPr>
        <w:pStyle w:val="BodyTextMain"/>
        <w:rPr>
          <w:lang w:val="en-GB"/>
        </w:rPr>
      </w:pPr>
    </w:p>
    <w:p w14:paraId="411ECE6D" w14:textId="3A347759" w:rsidR="00E55448" w:rsidRPr="004B063A" w:rsidRDefault="00A36B1A" w:rsidP="00E55448">
      <w:pPr>
        <w:pStyle w:val="BodyTextMain"/>
        <w:rPr>
          <w:lang w:val="en-GB"/>
        </w:rPr>
      </w:pPr>
      <w:r w:rsidRPr="004B063A">
        <w:rPr>
          <w:lang w:val="en-GB"/>
        </w:rPr>
        <w:t xml:space="preserve">By the end of 2012, increasing capital costs in an </w:t>
      </w:r>
      <w:r w:rsidR="00330A2A">
        <w:rPr>
          <w:lang w:val="en-GB"/>
        </w:rPr>
        <w:t>inventory-based</w:t>
      </w:r>
      <w:r w:rsidRPr="004B063A">
        <w:rPr>
          <w:lang w:val="en-GB"/>
        </w:rPr>
        <w:t xml:space="preserve"> e-commerce business model and issues related to multi-brand FDI</w:t>
      </w:r>
      <w:r w:rsidR="00E55448" w:rsidRPr="004B063A">
        <w:rPr>
          <w:rStyle w:val="FootnoteAnchor"/>
          <w:lang w:val="en-GB"/>
        </w:rPr>
        <w:footnoteReference w:id="15"/>
      </w:r>
      <w:r w:rsidR="00E55448" w:rsidRPr="004B063A">
        <w:rPr>
          <w:lang w:val="en-GB"/>
        </w:rPr>
        <w:t xml:space="preserve"> </w:t>
      </w:r>
      <w:r w:rsidR="00DB3AEB" w:rsidRPr="004B063A">
        <w:rPr>
          <w:lang w:val="en-GB"/>
        </w:rPr>
        <w:t xml:space="preserve">speeded up the adoption of </w:t>
      </w:r>
      <w:r w:rsidR="00330A2A">
        <w:rPr>
          <w:lang w:val="en-GB"/>
        </w:rPr>
        <w:t>the marketplace</w:t>
      </w:r>
      <w:r w:rsidR="00DB3AEB" w:rsidRPr="004B063A">
        <w:rPr>
          <w:lang w:val="en-GB"/>
        </w:rPr>
        <w:t xml:space="preserve"> model in India. In the marketplace model, e-commerce pl</w:t>
      </w:r>
      <w:r w:rsidR="00B04732" w:rsidRPr="004B063A">
        <w:rPr>
          <w:lang w:val="en-GB"/>
        </w:rPr>
        <w:t xml:space="preserve">atforms emerged as facilitators, </w:t>
      </w:r>
      <w:r w:rsidR="00DB3AEB" w:rsidRPr="004B063A">
        <w:rPr>
          <w:lang w:val="en-GB"/>
        </w:rPr>
        <w:t xml:space="preserve">helping </w:t>
      </w:r>
      <w:r w:rsidR="00E12A01">
        <w:rPr>
          <w:lang w:val="en-GB"/>
        </w:rPr>
        <w:t xml:space="preserve">in </w:t>
      </w:r>
      <w:r w:rsidR="00DE7321">
        <w:rPr>
          <w:lang w:val="en-GB"/>
        </w:rPr>
        <w:t xml:space="preserve">(a) </w:t>
      </w:r>
      <w:r w:rsidR="00DB3AEB" w:rsidRPr="004B063A">
        <w:rPr>
          <w:lang w:val="en-GB"/>
        </w:rPr>
        <w:t xml:space="preserve">the discovery of products, </w:t>
      </w:r>
      <w:r w:rsidR="00DE7321">
        <w:rPr>
          <w:lang w:val="en-GB"/>
        </w:rPr>
        <w:t xml:space="preserve">(b) </w:t>
      </w:r>
      <w:r w:rsidR="00DB3AEB" w:rsidRPr="004B063A">
        <w:rPr>
          <w:lang w:val="en-GB"/>
        </w:rPr>
        <w:t>pricing</w:t>
      </w:r>
      <w:r w:rsidR="00F53B18">
        <w:rPr>
          <w:lang w:val="en-GB"/>
        </w:rPr>
        <w:t>,</w:t>
      </w:r>
      <w:r w:rsidR="00DB3AEB" w:rsidRPr="004B063A">
        <w:rPr>
          <w:lang w:val="en-GB"/>
        </w:rPr>
        <w:t xml:space="preserve"> and </w:t>
      </w:r>
      <w:r w:rsidR="00DE7321">
        <w:rPr>
          <w:lang w:val="en-GB"/>
        </w:rPr>
        <w:t>(c) assisting</w:t>
      </w:r>
      <w:r w:rsidR="00DB3AEB" w:rsidRPr="004B063A">
        <w:rPr>
          <w:lang w:val="en-GB"/>
        </w:rPr>
        <w:t xml:space="preserve"> logistic support for the transfer of goods from the seller to the buyer. </w:t>
      </w:r>
      <w:r w:rsidR="00A3223E" w:rsidRPr="004B063A">
        <w:rPr>
          <w:lang w:val="en-GB"/>
        </w:rPr>
        <w:t xml:space="preserve">This </w:t>
      </w:r>
      <w:r w:rsidR="001E1CF0" w:rsidRPr="004B063A">
        <w:rPr>
          <w:lang w:val="en-GB"/>
        </w:rPr>
        <w:t>chan</w:t>
      </w:r>
      <w:r w:rsidR="00F741AD" w:rsidRPr="004B063A">
        <w:rPr>
          <w:lang w:val="en-GB"/>
        </w:rPr>
        <w:t xml:space="preserve">ge immediately </w:t>
      </w:r>
      <w:r w:rsidR="00A3223E" w:rsidRPr="004B063A">
        <w:rPr>
          <w:lang w:val="en-GB"/>
        </w:rPr>
        <w:t>increased</w:t>
      </w:r>
      <w:r w:rsidR="00DB3AEB" w:rsidRPr="004B063A">
        <w:rPr>
          <w:lang w:val="en-GB"/>
        </w:rPr>
        <w:t xml:space="preserve"> the number of sellers from a few hundred to a few thousand</w:t>
      </w:r>
      <w:r w:rsidR="00267922" w:rsidRPr="004B063A">
        <w:rPr>
          <w:lang w:val="en-GB"/>
        </w:rPr>
        <w:t xml:space="preserve">, providing </w:t>
      </w:r>
      <w:r w:rsidR="00E12A01">
        <w:rPr>
          <w:lang w:val="en-GB"/>
        </w:rPr>
        <w:t>a boost</w:t>
      </w:r>
      <w:r w:rsidR="00DB3AEB" w:rsidRPr="004B063A">
        <w:rPr>
          <w:lang w:val="en-GB"/>
        </w:rPr>
        <w:t xml:space="preserve"> </w:t>
      </w:r>
      <w:r w:rsidR="00AB78F8">
        <w:rPr>
          <w:lang w:val="en-GB"/>
        </w:rPr>
        <w:t>to</w:t>
      </w:r>
      <w:r w:rsidR="00AB78F8" w:rsidRPr="004B063A">
        <w:rPr>
          <w:lang w:val="en-GB"/>
        </w:rPr>
        <w:t xml:space="preserve"> </w:t>
      </w:r>
      <w:r w:rsidR="00DB3AEB" w:rsidRPr="004B063A">
        <w:rPr>
          <w:lang w:val="en-GB"/>
        </w:rPr>
        <w:t xml:space="preserve">the number of possible clients for </w:t>
      </w:r>
      <w:proofErr w:type="spellStart"/>
      <w:r w:rsidR="00DB3AEB" w:rsidRPr="004B063A">
        <w:rPr>
          <w:lang w:val="en-GB"/>
        </w:rPr>
        <w:t>Unicommerce</w:t>
      </w:r>
      <w:proofErr w:type="spellEnd"/>
      <w:r w:rsidR="00DB3AEB" w:rsidRPr="004B063A">
        <w:rPr>
          <w:lang w:val="en-GB"/>
        </w:rPr>
        <w:t xml:space="preserve">. Instead of a few </w:t>
      </w:r>
      <w:r w:rsidR="00483400">
        <w:rPr>
          <w:lang w:val="en-GB"/>
        </w:rPr>
        <w:t>single-digit</w:t>
      </w:r>
      <w:r w:rsidR="00DB3AEB" w:rsidRPr="004B063A">
        <w:rPr>
          <w:lang w:val="en-GB"/>
        </w:rPr>
        <w:t xml:space="preserve"> sellers having thousands of transactions </w:t>
      </w:r>
      <w:r w:rsidR="007258DA">
        <w:rPr>
          <w:lang w:val="en-GB"/>
        </w:rPr>
        <w:t>per</w:t>
      </w:r>
      <w:r w:rsidR="00DB3AEB" w:rsidRPr="004B063A">
        <w:rPr>
          <w:lang w:val="en-GB"/>
        </w:rPr>
        <w:t xml:space="preserve"> month, </w:t>
      </w:r>
      <w:proofErr w:type="spellStart"/>
      <w:r w:rsidR="00DB3AEB" w:rsidRPr="004B063A">
        <w:rPr>
          <w:lang w:val="en-GB"/>
        </w:rPr>
        <w:t>Unicommerce’s</w:t>
      </w:r>
      <w:proofErr w:type="spellEnd"/>
      <w:r w:rsidR="00DB3AEB" w:rsidRPr="004B063A">
        <w:rPr>
          <w:lang w:val="en-GB"/>
        </w:rPr>
        <w:t xml:space="preserve"> target market increased to thousand</w:t>
      </w:r>
      <w:r w:rsidR="00CB7CC7" w:rsidRPr="004B063A">
        <w:rPr>
          <w:lang w:val="en-GB"/>
        </w:rPr>
        <w:t>s of</w:t>
      </w:r>
      <w:r w:rsidR="00DB3AEB" w:rsidRPr="004B063A">
        <w:rPr>
          <w:lang w:val="en-GB"/>
        </w:rPr>
        <w:t xml:space="preserve"> small sellers</w:t>
      </w:r>
      <w:r w:rsidR="00AB78F8">
        <w:rPr>
          <w:lang w:val="en-GB"/>
        </w:rPr>
        <w:t>,</w:t>
      </w:r>
      <w:r w:rsidR="00DB3AEB" w:rsidRPr="004B063A">
        <w:rPr>
          <w:lang w:val="en-GB"/>
        </w:rPr>
        <w:t xml:space="preserve"> </w:t>
      </w:r>
      <w:r w:rsidR="00483400">
        <w:rPr>
          <w:lang w:val="en-GB"/>
        </w:rPr>
        <w:t xml:space="preserve">such as </w:t>
      </w:r>
      <w:r w:rsidR="00DB3AEB" w:rsidRPr="004B063A">
        <w:rPr>
          <w:lang w:val="en-GB"/>
        </w:rPr>
        <w:t xml:space="preserve">small-time traders with </w:t>
      </w:r>
      <w:r w:rsidR="00483400">
        <w:rPr>
          <w:lang w:val="en-GB"/>
        </w:rPr>
        <w:t>one</w:t>
      </w:r>
      <w:r w:rsidR="00483400" w:rsidRPr="004B063A">
        <w:rPr>
          <w:lang w:val="en-GB"/>
        </w:rPr>
        <w:t xml:space="preserve"> </w:t>
      </w:r>
      <w:r w:rsidR="00DB3AEB" w:rsidRPr="004B063A">
        <w:rPr>
          <w:lang w:val="en-GB"/>
        </w:rPr>
        <w:t xml:space="preserve">to </w:t>
      </w:r>
      <w:r w:rsidR="00CD62F2">
        <w:rPr>
          <w:lang w:val="en-GB"/>
        </w:rPr>
        <w:t>ten</w:t>
      </w:r>
      <w:r w:rsidR="00DB3AEB" w:rsidRPr="004B063A">
        <w:rPr>
          <w:lang w:val="en-GB"/>
        </w:rPr>
        <w:t xml:space="preserve"> transactions a month. </w:t>
      </w:r>
      <w:proofErr w:type="spellStart"/>
      <w:r w:rsidR="00881C8E">
        <w:rPr>
          <w:lang w:val="en-GB"/>
        </w:rPr>
        <w:t>Pruthi</w:t>
      </w:r>
      <w:proofErr w:type="spellEnd"/>
      <w:r w:rsidR="00DB3AEB" w:rsidRPr="004B063A">
        <w:rPr>
          <w:lang w:val="en-GB"/>
        </w:rPr>
        <w:t xml:space="preserve"> and the team realized that targeting this segment would enable them to </w:t>
      </w:r>
      <w:r w:rsidR="006A238A" w:rsidRPr="004B063A">
        <w:rPr>
          <w:lang w:val="en-GB"/>
        </w:rPr>
        <w:t>achieve</w:t>
      </w:r>
      <w:r w:rsidR="00DB3AEB" w:rsidRPr="004B063A">
        <w:rPr>
          <w:lang w:val="en-GB"/>
        </w:rPr>
        <w:t xml:space="preserve"> their goal of growing by </w:t>
      </w:r>
      <w:r w:rsidR="007A1B00">
        <w:rPr>
          <w:lang w:val="en-GB"/>
        </w:rPr>
        <w:t>10</w:t>
      </w:r>
      <w:r w:rsidR="00483400">
        <w:rPr>
          <w:lang w:val="en-GB"/>
        </w:rPr>
        <w:t xml:space="preserve"> times</w:t>
      </w:r>
      <w:r w:rsidR="00E55448" w:rsidRPr="004B063A">
        <w:rPr>
          <w:lang w:val="en-GB"/>
        </w:rPr>
        <w:t>.</w:t>
      </w:r>
    </w:p>
    <w:p w14:paraId="380FCAFB" w14:textId="77777777" w:rsidR="00E55448" w:rsidRPr="004B063A" w:rsidRDefault="00E55448" w:rsidP="00E55448">
      <w:pPr>
        <w:pStyle w:val="BodyTextMain"/>
        <w:rPr>
          <w:lang w:val="en-GB"/>
        </w:rPr>
      </w:pPr>
    </w:p>
    <w:p w14:paraId="1CFC7487" w14:textId="292341F2" w:rsidR="00B25E52" w:rsidRPr="004B063A" w:rsidRDefault="00B01BF9" w:rsidP="00E55448">
      <w:pPr>
        <w:pStyle w:val="BodyTextMain"/>
        <w:rPr>
          <w:lang w:val="en-GB"/>
        </w:rPr>
      </w:pPr>
      <w:r w:rsidRPr="004B063A">
        <w:rPr>
          <w:lang w:val="en-GB"/>
        </w:rPr>
        <w:t>To remain relevant in the new industry structure</w:t>
      </w:r>
      <w:r w:rsidR="008F704B">
        <w:rPr>
          <w:lang w:val="en-GB"/>
        </w:rPr>
        <w:t>,</w:t>
      </w:r>
      <w:r w:rsidRPr="004B063A">
        <w:rPr>
          <w:lang w:val="en-GB"/>
        </w:rPr>
        <w:t xml:space="preserve"> </w:t>
      </w:r>
      <w:proofErr w:type="spellStart"/>
      <w:r w:rsidRPr="004B063A">
        <w:rPr>
          <w:lang w:val="en-GB"/>
        </w:rPr>
        <w:t>Unicommerce</w:t>
      </w:r>
      <w:proofErr w:type="spellEnd"/>
      <w:r w:rsidRPr="004B063A">
        <w:rPr>
          <w:lang w:val="en-GB"/>
        </w:rPr>
        <w:t xml:space="preserve"> had to evolve </w:t>
      </w:r>
      <w:r w:rsidR="00AB78F8">
        <w:rPr>
          <w:lang w:val="en-GB"/>
        </w:rPr>
        <w:t>its</w:t>
      </w:r>
      <w:r w:rsidR="00AB78F8" w:rsidRPr="004B063A">
        <w:rPr>
          <w:lang w:val="en-GB"/>
        </w:rPr>
        <w:t xml:space="preserve"> </w:t>
      </w:r>
      <w:r w:rsidRPr="004B063A">
        <w:rPr>
          <w:lang w:val="en-GB"/>
        </w:rPr>
        <w:t>product offering. With the industry growing at a rapid rate</w:t>
      </w:r>
      <w:r w:rsidR="008F704B">
        <w:rPr>
          <w:lang w:val="en-GB"/>
        </w:rPr>
        <w:t>,</w:t>
      </w:r>
      <w:r w:rsidRPr="004B063A">
        <w:rPr>
          <w:lang w:val="en-GB"/>
        </w:rPr>
        <w:t xml:space="preserve"> the team had to move in fast to secure their foothold in modified industry dynamics. </w:t>
      </w:r>
      <w:r w:rsidR="008118B4" w:rsidRPr="004B063A">
        <w:rPr>
          <w:lang w:val="en-GB"/>
        </w:rPr>
        <w:t xml:space="preserve">By </w:t>
      </w:r>
      <w:r w:rsidR="00037B97" w:rsidRPr="004B063A">
        <w:rPr>
          <w:lang w:val="en-GB"/>
        </w:rPr>
        <w:t>November</w:t>
      </w:r>
      <w:r w:rsidR="008118B4" w:rsidRPr="004B063A">
        <w:rPr>
          <w:lang w:val="en-GB"/>
        </w:rPr>
        <w:t xml:space="preserve"> 2012</w:t>
      </w:r>
      <w:r w:rsidR="00CF6A87">
        <w:rPr>
          <w:lang w:val="en-GB"/>
        </w:rPr>
        <w:t>,</w:t>
      </w:r>
      <w:r w:rsidR="008118B4" w:rsidRPr="004B063A">
        <w:rPr>
          <w:lang w:val="en-GB"/>
        </w:rPr>
        <w:t xml:space="preserve"> the team realized that the software developments required for the marketplace model would take much more time and effort than any of their previous developmental efforts. To compound matters further, they</w:t>
      </w:r>
      <w:r w:rsidR="00CF6A87">
        <w:rPr>
          <w:lang w:val="en-GB"/>
        </w:rPr>
        <w:t xml:space="preserve"> only</w:t>
      </w:r>
      <w:r w:rsidR="008118B4" w:rsidRPr="004B063A">
        <w:rPr>
          <w:lang w:val="en-GB"/>
        </w:rPr>
        <w:t xml:space="preserve"> had sufficient funds for the next </w:t>
      </w:r>
      <w:r w:rsidR="00CF6A87">
        <w:rPr>
          <w:lang w:val="en-GB"/>
        </w:rPr>
        <w:t>eight</w:t>
      </w:r>
      <w:r w:rsidR="00CF6A87" w:rsidRPr="004B063A">
        <w:rPr>
          <w:lang w:val="en-GB"/>
        </w:rPr>
        <w:t xml:space="preserve"> </w:t>
      </w:r>
      <w:r w:rsidR="008118B4" w:rsidRPr="004B063A">
        <w:rPr>
          <w:lang w:val="en-GB"/>
        </w:rPr>
        <w:t xml:space="preserve">months. </w:t>
      </w:r>
      <w:r w:rsidR="00F61C71" w:rsidRPr="004B063A">
        <w:rPr>
          <w:lang w:val="en-GB"/>
        </w:rPr>
        <w:t xml:space="preserve">Venture funding at this stage would help in providing monetary resources to develop the next version of the </w:t>
      </w:r>
      <w:r w:rsidR="00CF6A87">
        <w:rPr>
          <w:lang w:val="en-GB"/>
        </w:rPr>
        <w:t>order-management</w:t>
      </w:r>
      <w:r w:rsidR="00F61C71" w:rsidRPr="004B063A">
        <w:rPr>
          <w:lang w:val="en-GB"/>
        </w:rPr>
        <w:t xml:space="preserve"> system for individual sellers and traders interested in participating in online retail</w:t>
      </w:r>
      <w:r w:rsidR="00B25E52" w:rsidRPr="004B063A">
        <w:rPr>
          <w:lang w:val="en-GB"/>
        </w:rPr>
        <w:t xml:space="preserve">. </w:t>
      </w:r>
    </w:p>
    <w:p w14:paraId="6C8DD330" w14:textId="77777777" w:rsidR="00D536D8" w:rsidRPr="004B063A" w:rsidRDefault="00D536D8" w:rsidP="00E55448">
      <w:pPr>
        <w:pStyle w:val="BodyTextMain"/>
        <w:rPr>
          <w:lang w:val="en-GB"/>
        </w:rPr>
      </w:pPr>
    </w:p>
    <w:p w14:paraId="2FC00BC6" w14:textId="12118029" w:rsidR="00E55448" w:rsidRPr="00D36075" w:rsidRDefault="00EC0C7A" w:rsidP="00E55448">
      <w:pPr>
        <w:pStyle w:val="BodyTextMain"/>
        <w:rPr>
          <w:lang w:val="en-GB"/>
        </w:rPr>
      </w:pPr>
      <w:r w:rsidRPr="00D36075">
        <w:rPr>
          <w:lang w:val="en-GB"/>
        </w:rPr>
        <w:t xml:space="preserve">In August 2012, </w:t>
      </w:r>
      <w:proofErr w:type="spellStart"/>
      <w:r w:rsidRPr="00D36075">
        <w:rPr>
          <w:lang w:val="en-GB"/>
        </w:rPr>
        <w:t>Unicommerce</w:t>
      </w:r>
      <w:proofErr w:type="spellEnd"/>
      <w:r w:rsidRPr="00D36075">
        <w:rPr>
          <w:lang w:val="en-GB"/>
        </w:rPr>
        <w:t xml:space="preserve"> </w:t>
      </w:r>
      <w:r w:rsidR="00725B30" w:rsidRPr="00D36075">
        <w:rPr>
          <w:lang w:val="en-GB"/>
        </w:rPr>
        <w:t xml:space="preserve">had </w:t>
      </w:r>
      <w:r w:rsidRPr="00D36075">
        <w:rPr>
          <w:lang w:val="en-GB"/>
        </w:rPr>
        <w:t xml:space="preserve">made an appearance at an event conducted by </w:t>
      </w:r>
      <w:r w:rsidR="00CF6A87" w:rsidRPr="00D36075">
        <w:rPr>
          <w:lang w:val="en-GB"/>
        </w:rPr>
        <w:t>NextBigWhat.com—</w:t>
      </w:r>
      <w:r w:rsidRPr="00D36075">
        <w:rPr>
          <w:lang w:val="en-GB"/>
        </w:rPr>
        <w:t xml:space="preserve">a popular website tracking </w:t>
      </w:r>
      <w:r w:rsidR="009D15FD" w:rsidRPr="00D36075">
        <w:rPr>
          <w:lang w:val="en-GB"/>
        </w:rPr>
        <w:t>early-stage</w:t>
      </w:r>
      <w:r w:rsidRPr="00D36075">
        <w:rPr>
          <w:lang w:val="en-GB"/>
        </w:rPr>
        <w:t xml:space="preserve"> start-ups. </w:t>
      </w:r>
      <w:proofErr w:type="spellStart"/>
      <w:r w:rsidR="00CD62F2">
        <w:rPr>
          <w:lang w:val="en-GB"/>
        </w:rPr>
        <w:t>Unicommerce</w:t>
      </w:r>
      <w:proofErr w:type="spellEnd"/>
      <w:r w:rsidR="00CD62F2">
        <w:rPr>
          <w:lang w:val="en-GB"/>
        </w:rPr>
        <w:t xml:space="preserve"> </w:t>
      </w:r>
      <w:r w:rsidRPr="00D36075">
        <w:rPr>
          <w:lang w:val="en-GB"/>
        </w:rPr>
        <w:t xml:space="preserve">discussed their product and how it was helping clients improve their </w:t>
      </w:r>
      <w:r w:rsidR="009D15FD" w:rsidRPr="00D36075">
        <w:rPr>
          <w:lang w:val="en-GB"/>
        </w:rPr>
        <w:t>shelf-to-dispatch</w:t>
      </w:r>
      <w:r w:rsidRPr="00D36075">
        <w:rPr>
          <w:lang w:val="en-GB"/>
        </w:rPr>
        <w:t xml:space="preserve"> </w:t>
      </w:r>
      <w:r w:rsidR="009D15FD" w:rsidRPr="00D36075">
        <w:rPr>
          <w:lang w:val="en-GB"/>
        </w:rPr>
        <w:t>time as well as</w:t>
      </w:r>
      <w:r w:rsidR="00D939D1" w:rsidRPr="00D36075">
        <w:rPr>
          <w:lang w:val="en-GB"/>
        </w:rPr>
        <w:t xml:space="preserve"> </w:t>
      </w:r>
      <w:r w:rsidR="00E133F6" w:rsidRPr="00D36075">
        <w:rPr>
          <w:lang w:val="en-GB"/>
        </w:rPr>
        <w:t xml:space="preserve">saving </w:t>
      </w:r>
      <w:r w:rsidR="00AB78F8" w:rsidRPr="00D36075">
        <w:rPr>
          <w:lang w:val="en-GB"/>
        </w:rPr>
        <w:t>labour costs</w:t>
      </w:r>
      <w:r w:rsidRPr="00D36075">
        <w:rPr>
          <w:lang w:val="en-GB"/>
        </w:rPr>
        <w:t xml:space="preserve">. </w:t>
      </w:r>
      <w:r w:rsidR="0040411C" w:rsidRPr="00D36075">
        <w:rPr>
          <w:lang w:val="en-GB"/>
        </w:rPr>
        <w:t xml:space="preserve">By November 2012, </w:t>
      </w:r>
      <w:proofErr w:type="spellStart"/>
      <w:r w:rsidR="0040411C" w:rsidRPr="00D36075">
        <w:rPr>
          <w:lang w:val="en-GB"/>
        </w:rPr>
        <w:t>Unicommerce</w:t>
      </w:r>
      <w:proofErr w:type="spellEnd"/>
      <w:r w:rsidR="0040411C" w:rsidRPr="00D36075">
        <w:rPr>
          <w:lang w:val="en-GB"/>
        </w:rPr>
        <w:t xml:space="preserve"> received promising valuations from both venture funds they </w:t>
      </w:r>
      <w:r w:rsidR="00B94ED8" w:rsidRPr="00D36075">
        <w:rPr>
          <w:lang w:val="en-GB"/>
        </w:rPr>
        <w:t xml:space="preserve">initially </w:t>
      </w:r>
      <w:r w:rsidR="0040411C" w:rsidRPr="00D36075">
        <w:rPr>
          <w:lang w:val="en-GB"/>
        </w:rPr>
        <w:t>connected with.</w:t>
      </w:r>
      <w:r w:rsidR="007961CE" w:rsidRPr="00D36075">
        <w:rPr>
          <w:lang w:val="en-GB"/>
        </w:rPr>
        <w:t xml:space="preserve"> The team</w:t>
      </w:r>
      <w:r w:rsidR="00C47A79" w:rsidRPr="00D36075">
        <w:rPr>
          <w:lang w:val="en-GB"/>
        </w:rPr>
        <w:t>’s interactions</w:t>
      </w:r>
      <w:r w:rsidR="007961CE" w:rsidRPr="00D36075">
        <w:rPr>
          <w:lang w:val="en-GB"/>
        </w:rPr>
        <w:t xml:space="preserve"> with venture funds and experts during their funding process</w:t>
      </w:r>
      <w:r w:rsidR="00C47A79" w:rsidRPr="00D36075">
        <w:rPr>
          <w:lang w:val="en-GB"/>
        </w:rPr>
        <w:t xml:space="preserve"> </w:t>
      </w:r>
      <w:r w:rsidR="007961CE" w:rsidRPr="00D36075">
        <w:rPr>
          <w:lang w:val="en-GB"/>
        </w:rPr>
        <w:t xml:space="preserve">confirmed their belief that the e-commerce business model in India would evolve toward the marketplace model. For </w:t>
      </w:r>
      <w:proofErr w:type="spellStart"/>
      <w:r w:rsidR="007961CE" w:rsidRPr="00D36075">
        <w:rPr>
          <w:lang w:val="en-GB"/>
        </w:rPr>
        <w:t>Unicommerce</w:t>
      </w:r>
      <w:proofErr w:type="spellEnd"/>
      <w:r w:rsidR="007A1B00" w:rsidRPr="00D36075">
        <w:rPr>
          <w:lang w:val="en-GB"/>
        </w:rPr>
        <w:t>,</w:t>
      </w:r>
      <w:r w:rsidR="007961CE" w:rsidRPr="00D36075">
        <w:rPr>
          <w:lang w:val="en-GB"/>
        </w:rPr>
        <w:t xml:space="preserve"> </w:t>
      </w:r>
      <w:r w:rsidR="00376306" w:rsidRPr="00D36075">
        <w:rPr>
          <w:lang w:val="en-GB"/>
        </w:rPr>
        <w:t>these interaction</w:t>
      </w:r>
      <w:r w:rsidR="00575887" w:rsidRPr="00D36075">
        <w:rPr>
          <w:lang w:val="en-GB"/>
        </w:rPr>
        <w:t>s</w:t>
      </w:r>
      <w:r w:rsidR="007961CE" w:rsidRPr="00D36075">
        <w:rPr>
          <w:lang w:val="en-GB"/>
        </w:rPr>
        <w:t xml:space="preserve"> </w:t>
      </w:r>
      <w:r w:rsidR="00797F9D" w:rsidRPr="00D36075">
        <w:rPr>
          <w:lang w:val="en-GB"/>
        </w:rPr>
        <w:t>were</w:t>
      </w:r>
      <w:r w:rsidR="007961CE" w:rsidRPr="00D36075">
        <w:rPr>
          <w:lang w:val="en-GB"/>
        </w:rPr>
        <w:t xml:space="preserve"> a validation that they were on the right track. The team</w:t>
      </w:r>
      <w:r w:rsidR="00C47A79" w:rsidRPr="00D36075">
        <w:rPr>
          <w:lang w:val="en-GB"/>
        </w:rPr>
        <w:t>’s</w:t>
      </w:r>
      <w:r w:rsidR="007961CE" w:rsidRPr="00D36075">
        <w:rPr>
          <w:lang w:val="en-GB"/>
        </w:rPr>
        <w:t xml:space="preserve"> minimal cash burn within a year of inception built confidence among venture </w:t>
      </w:r>
      <w:r w:rsidR="00AF2F39" w:rsidRPr="00D36075">
        <w:rPr>
          <w:lang w:val="en-GB"/>
        </w:rPr>
        <w:t>capitalists</w:t>
      </w:r>
      <w:r w:rsidR="007961CE" w:rsidRPr="00D36075">
        <w:rPr>
          <w:lang w:val="en-GB"/>
        </w:rPr>
        <w:t>.</w:t>
      </w:r>
    </w:p>
    <w:p w14:paraId="79CB5A79" w14:textId="77777777" w:rsidR="00730B7F" w:rsidRPr="00C57E83" w:rsidRDefault="00730B7F" w:rsidP="00E55448">
      <w:pPr>
        <w:pStyle w:val="BodyTextMain"/>
        <w:rPr>
          <w:spacing w:val="-4"/>
          <w:lang w:val="en-GB"/>
        </w:rPr>
      </w:pPr>
    </w:p>
    <w:p w14:paraId="40AD8530" w14:textId="425A8170" w:rsidR="00E55448" w:rsidRPr="004B063A" w:rsidRDefault="00730B7F" w:rsidP="00E55448">
      <w:pPr>
        <w:pStyle w:val="BodyTextMain"/>
        <w:rPr>
          <w:lang w:val="en-GB"/>
        </w:rPr>
      </w:pPr>
      <w:r w:rsidRPr="004B063A">
        <w:rPr>
          <w:lang w:val="en-GB"/>
        </w:rPr>
        <w:t xml:space="preserve">In December 2012, </w:t>
      </w:r>
      <w:proofErr w:type="spellStart"/>
      <w:r w:rsidRPr="004B063A">
        <w:rPr>
          <w:lang w:val="en-GB"/>
        </w:rPr>
        <w:t>Unicommerce</w:t>
      </w:r>
      <w:proofErr w:type="spellEnd"/>
      <w:r w:rsidRPr="004B063A">
        <w:rPr>
          <w:lang w:val="en-GB"/>
        </w:rPr>
        <w:t xml:space="preserve"> accepted Nexus Venture Partners </w:t>
      </w:r>
      <w:r w:rsidR="00976F77">
        <w:rPr>
          <w:lang w:val="en-GB"/>
        </w:rPr>
        <w:t>(Nexus)</w:t>
      </w:r>
      <w:r w:rsidR="00FC191E">
        <w:rPr>
          <w:lang w:val="en-GB"/>
        </w:rPr>
        <w:t>’s offer to be</w:t>
      </w:r>
      <w:r w:rsidR="00976F77">
        <w:rPr>
          <w:lang w:val="en-GB"/>
        </w:rPr>
        <w:t xml:space="preserve"> </w:t>
      </w:r>
      <w:r w:rsidRPr="004B063A">
        <w:rPr>
          <w:lang w:val="en-GB"/>
        </w:rPr>
        <w:t>potential investors for their firm</w:t>
      </w:r>
      <w:r w:rsidR="003E10B2">
        <w:rPr>
          <w:lang w:val="en-GB"/>
        </w:rPr>
        <w:t xml:space="preserve"> (see Exhibit 3)</w:t>
      </w:r>
      <w:r w:rsidRPr="004B063A">
        <w:rPr>
          <w:lang w:val="en-GB"/>
        </w:rPr>
        <w:t>.</w:t>
      </w:r>
      <w:r w:rsidR="004B063A">
        <w:rPr>
          <w:lang w:val="en-GB"/>
        </w:rPr>
        <w:t xml:space="preserve"> </w:t>
      </w:r>
      <w:r w:rsidRPr="004B063A">
        <w:rPr>
          <w:lang w:val="en-GB"/>
        </w:rPr>
        <w:t>Nexus was known among the start-up community for their fair practices and mentoring support</w:t>
      </w:r>
      <w:r w:rsidR="00AB07C7">
        <w:rPr>
          <w:lang w:val="en-GB"/>
        </w:rPr>
        <w:t>—</w:t>
      </w:r>
      <w:r w:rsidRPr="004B063A">
        <w:rPr>
          <w:lang w:val="en-GB"/>
        </w:rPr>
        <w:t>a critical need for first-time entrepreneurs.</w:t>
      </w:r>
      <w:r w:rsidR="004B063A">
        <w:rPr>
          <w:lang w:val="en-GB"/>
        </w:rPr>
        <w:t xml:space="preserve"> </w:t>
      </w:r>
      <w:r w:rsidRPr="004B063A">
        <w:rPr>
          <w:lang w:val="en-GB"/>
        </w:rPr>
        <w:t xml:space="preserve">During discussions with Nexus, the team </w:t>
      </w:r>
      <w:r w:rsidR="00976F77">
        <w:rPr>
          <w:lang w:val="en-GB"/>
        </w:rPr>
        <w:t>learned about</w:t>
      </w:r>
      <w:r w:rsidRPr="004B063A">
        <w:rPr>
          <w:lang w:val="en-GB"/>
        </w:rPr>
        <w:t xml:space="preserve"> </w:t>
      </w:r>
      <w:r w:rsidR="00F85B44">
        <w:rPr>
          <w:lang w:val="en-GB"/>
        </w:rPr>
        <w:t>VC</w:t>
      </w:r>
      <w:r w:rsidRPr="004B063A">
        <w:rPr>
          <w:lang w:val="en-GB"/>
        </w:rPr>
        <w:t xml:space="preserve"> term sheets for the first time. They had reservations </w:t>
      </w:r>
      <w:r w:rsidR="00FC191E">
        <w:rPr>
          <w:lang w:val="en-GB"/>
        </w:rPr>
        <w:t>about</w:t>
      </w:r>
      <w:r w:rsidRPr="004B063A">
        <w:rPr>
          <w:lang w:val="en-GB"/>
        </w:rPr>
        <w:t xml:space="preserve"> provisions in the term sheet </w:t>
      </w:r>
      <w:r w:rsidR="00976F77">
        <w:rPr>
          <w:lang w:val="en-GB"/>
        </w:rPr>
        <w:t>that</w:t>
      </w:r>
      <w:r w:rsidR="00976F77" w:rsidRPr="004B063A">
        <w:rPr>
          <w:lang w:val="en-GB"/>
        </w:rPr>
        <w:t xml:space="preserve"> </w:t>
      </w:r>
      <w:r w:rsidRPr="004B063A">
        <w:rPr>
          <w:lang w:val="en-GB"/>
        </w:rPr>
        <w:t>could influence changes in the share capital of the firm. Items such as liquidation preference, right of first refusal, anti-dilution protection</w:t>
      </w:r>
      <w:r w:rsidR="00976F77">
        <w:rPr>
          <w:lang w:val="en-GB"/>
        </w:rPr>
        <w:t>,</w:t>
      </w:r>
      <w:r w:rsidRPr="004B063A">
        <w:rPr>
          <w:lang w:val="en-GB"/>
        </w:rPr>
        <w:t xml:space="preserve"> and participating preference were discussed </w:t>
      </w:r>
      <w:r w:rsidR="00976F77">
        <w:rPr>
          <w:lang w:val="en-GB"/>
        </w:rPr>
        <w:t xml:space="preserve">in detail </w:t>
      </w:r>
      <w:r w:rsidRPr="004B063A">
        <w:rPr>
          <w:lang w:val="en-GB"/>
        </w:rPr>
        <w:t>by the team</w:t>
      </w:r>
      <w:r w:rsidR="00976F77">
        <w:rPr>
          <w:lang w:val="en-GB"/>
        </w:rPr>
        <w:t>,</w:t>
      </w:r>
      <w:r w:rsidRPr="004B063A">
        <w:rPr>
          <w:lang w:val="en-GB"/>
        </w:rPr>
        <w:t xml:space="preserve"> </w:t>
      </w:r>
      <w:r w:rsidR="00976F77">
        <w:rPr>
          <w:lang w:val="en-GB"/>
        </w:rPr>
        <w:t xml:space="preserve">both among </w:t>
      </w:r>
      <w:r w:rsidRPr="004B063A">
        <w:rPr>
          <w:lang w:val="en-GB"/>
        </w:rPr>
        <w:t xml:space="preserve">themselves and with the funders. After detailed deliberations on the clauses, Nexus and </w:t>
      </w:r>
      <w:proofErr w:type="spellStart"/>
      <w:r w:rsidRPr="004B063A">
        <w:rPr>
          <w:lang w:val="en-GB"/>
        </w:rPr>
        <w:t>Unicommerce</w:t>
      </w:r>
      <w:proofErr w:type="spellEnd"/>
      <w:r w:rsidRPr="004B063A">
        <w:rPr>
          <w:lang w:val="en-GB"/>
        </w:rPr>
        <w:t xml:space="preserve"> agreed on the terms of the investment. As part of the investment offer, </w:t>
      </w:r>
      <w:proofErr w:type="spellStart"/>
      <w:r w:rsidRPr="004B063A">
        <w:rPr>
          <w:lang w:val="en-GB"/>
        </w:rPr>
        <w:t>Anup</w:t>
      </w:r>
      <w:proofErr w:type="spellEnd"/>
      <w:r w:rsidRPr="004B063A">
        <w:rPr>
          <w:lang w:val="en-GB"/>
        </w:rPr>
        <w:t xml:space="preserve"> Gupta from </w:t>
      </w:r>
      <w:r w:rsidR="003E10B2">
        <w:rPr>
          <w:lang w:val="en-GB"/>
        </w:rPr>
        <w:t>Nexus</w:t>
      </w:r>
      <w:r w:rsidR="003E10B2" w:rsidRPr="004B063A">
        <w:rPr>
          <w:lang w:val="en-GB"/>
        </w:rPr>
        <w:t xml:space="preserve"> </w:t>
      </w:r>
      <w:r w:rsidRPr="004B063A">
        <w:rPr>
          <w:lang w:val="en-GB"/>
        </w:rPr>
        <w:t>joined the board with an agreement to utilize funds for new product developments and intensifying sales and marketing efforts of the venture.</w:t>
      </w:r>
    </w:p>
    <w:p w14:paraId="75906FB6" w14:textId="77777777" w:rsidR="00E55448" w:rsidRPr="004B063A" w:rsidRDefault="00E55448" w:rsidP="00E55448">
      <w:pPr>
        <w:pStyle w:val="BodyTextMain"/>
        <w:rPr>
          <w:lang w:val="en-GB"/>
        </w:rPr>
      </w:pPr>
    </w:p>
    <w:p w14:paraId="679D3017" w14:textId="77777777" w:rsidR="00066A98" w:rsidRPr="004B063A" w:rsidRDefault="00066A98" w:rsidP="00E55448">
      <w:pPr>
        <w:pStyle w:val="BodyTextMain"/>
        <w:rPr>
          <w:lang w:val="en-GB"/>
        </w:rPr>
      </w:pPr>
    </w:p>
    <w:p w14:paraId="5BDB4FB0" w14:textId="1CF8D110" w:rsidR="00E55448" w:rsidRPr="004B063A" w:rsidRDefault="0094563E" w:rsidP="00E55448">
      <w:pPr>
        <w:pStyle w:val="BodyTextMain"/>
        <w:rPr>
          <w:rFonts w:ascii="Arial" w:hAnsi="Arial" w:cs="Arial"/>
          <w:b/>
          <w:bCs/>
          <w:sz w:val="20"/>
          <w:szCs w:val="20"/>
          <w:lang w:val="en-GB"/>
        </w:rPr>
      </w:pPr>
      <w:r>
        <w:rPr>
          <w:rFonts w:ascii="Arial" w:hAnsi="Arial" w:cs="Arial"/>
          <w:b/>
          <w:bCs/>
          <w:sz w:val="20"/>
          <w:szCs w:val="20"/>
          <w:lang w:val="en-GB"/>
        </w:rPr>
        <w:t>Post-Series-A Funding</w:t>
      </w:r>
      <w:r w:rsidR="00E55448" w:rsidRPr="004B063A">
        <w:rPr>
          <w:rFonts w:ascii="Arial" w:hAnsi="Arial" w:cs="Arial"/>
          <w:b/>
          <w:bCs/>
          <w:sz w:val="20"/>
          <w:szCs w:val="20"/>
          <w:lang w:val="en-GB"/>
        </w:rPr>
        <w:t xml:space="preserve">: Growing from X to 10X </w:t>
      </w:r>
    </w:p>
    <w:p w14:paraId="594E5421" w14:textId="77777777" w:rsidR="00A14A58" w:rsidRPr="00D36075" w:rsidRDefault="00A14A58" w:rsidP="00D36075">
      <w:pPr>
        <w:pStyle w:val="BodyTextMain"/>
      </w:pPr>
    </w:p>
    <w:p w14:paraId="34B6822C" w14:textId="25248C57" w:rsidR="00570BF2" w:rsidRPr="005531E1" w:rsidRDefault="00A14A58" w:rsidP="00A14A58">
      <w:pPr>
        <w:pStyle w:val="BodyTextMain"/>
        <w:rPr>
          <w:spacing w:val="-4"/>
          <w:lang w:val="en-GB"/>
        </w:rPr>
      </w:pPr>
      <w:r w:rsidRPr="005531E1">
        <w:rPr>
          <w:spacing w:val="-4"/>
          <w:lang w:val="en-GB"/>
        </w:rPr>
        <w:t xml:space="preserve">A large part of 2013 was spent in development of the new system. After 15 months of developmental effort, in March 2014, </w:t>
      </w:r>
      <w:proofErr w:type="spellStart"/>
      <w:r w:rsidRPr="005531E1">
        <w:rPr>
          <w:spacing w:val="-4"/>
          <w:lang w:val="en-GB"/>
        </w:rPr>
        <w:t>Unicommerce</w:t>
      </w:r>
      <w:proofErr w:type="spellEnd"/>
      <w:r w:rsidRPr="005531E1">
        <w:rPr>
          <w:spacing w:val="-4"/>
          <w:lang w:val="en-GB"/>
        </w:rPr>
        <w:t xml:space="preserve"> launched a </w:t>
      </w:r>
      <w:r w:rsidR="0045210D" w:rsidRPr="005531E1">
        <w:rPr>
          <w:spacing w:val="-4"/>
          <w:lang w:val="en-GB"/>
        </w:rPr>
        <w:t xml:space="preserve">multi-channel order- </w:t>
      </w:r>
      <w:r w:rsidRPr="005531E1">
        <w:rPr>
          <w:spacing w:val="-4"/>
          <w:lang w:val="en-GB"/>
        </w:rPr>
        <w:t xml:space="preserve">and </w:t>
      </w:r>
      <w:r w:rsidR="0045210D" w:rsidRPr="005531E1">
        <w:rPr>
          <w:spacing w:val="-4"/>
          <w:lang w:val="en-GB"/>
        </w:rPr>
        <w:t>inventory-management</w:t>
      </w:r>
      <w:r w:rsidRPr="005531E1">
        <w:rPr>
          <w:spacing w:val="-4"/>
          <w:lang w:val="en-GB"/>
        </w:rPr>
        <w:t xml:space="preserve"> solution for sellers. The seller version was developed to help individuals and small traders manage their online inventory, billing</w:t>
      </w:r>
      <w:r w:rsidR="0045210D" w:rsidRPr="005531E1">
        <w:rPr>
          <w:spacing w:val="-4"/>
          <w:lang w:val="en-GB"/>
        </w:rPr>
        <w:t>,</w:t>
      </w:r>
      <w:r w:rsidRPr="005531E1">
        <w:rPr>
          <w:spacing w:val="-4"/>
          <w:lang w:val="en-GB"/>
        </w:rPr>
        <w:t xml:space="preserve"> and logistics activities. The model supported individual sellers selling their goods on multiple e-commerce websites. The product offered sellers the capability to maintain a consistent inventory across multiple websites</w:t>
      </w:r>
      <w:r w:rsidR="0045210D" w:rsidRPr="005531E1">
        <w:rPr>
          <w:spacing w:val="-4"/>
          <w:lang w:val="en-GB"/>
        </w:rPr>
        <w:t>,</w:t>
      </w:r>
      <w:r w:rsidRPr="005531E1">
        <w:rPr>
          <w:spacing w:val="-4"/>
          <w:lang w:val="en-GB"/>
        </w:rPr>
        <w:t xml:space="preserve"> along with support for different </w:t>
      </w:r>
      <w:proofErr w:type="spellStart"/>
      <w:r w:rsidRPr="005531E1">
        <w:rPr>
          <w:spacing w:val="-4"/>
          <w:lang w:val="en-GB"/>
        </w:rPr>
        <w:t>fulfillment</w:t>
      </w:r>
      <w:proofErr w:type="spellEnd"/>
      <w:r w:rsidRPr="005531E1">
        <w:rPr>
          <w:spacing w:val="-4"/>
          <w:lang w:val="en-GB"/>
        </w:rPr>
        <w:t xml:space="preserve"> models in the Indian e-commerce industry (see Exhibit 4). This software allowed sellers to see all </w:t>
      </w:r>
      <w:r w:rsidR="00FC191E" w:rsidRPr="005531E1">
        <w:rPr>
          <w:spacing w:val="-4"/>
          <w:lang w:val="en-GB"/>
        </w:rPr>
        <w:t xml:space="preserve">of </w:t>
      </w:r>
      <w:r w:rsidRPr="005531E1">
        <w:rPr>
          <w:spacing w:val="-4"/>
          <w:lang w:val="en-GB"/>
        </w:rPr>
        <w:t xml:space="preserve">their online orders </w:t>
      </w:r>
      <w:r w:rsidR="00AB07C7" w:rsidRPr="005531E1">
        <w:rPr>
          <w:spacing w:val="-4"/>
          <w:lang w:val="en-GB"/>
        </w:rPr>
        <w:t xml:space="preserve">in </w:t>
      </w:r>
      <w:r w:rsidRPr="005531E1">
        <w:rPr>
          <w:spacing w:val="-4"/>
          <w:lang w:val="en-GB"/>
        </w:rPr>
        <w:t xml:space="preserve">one place, process orders in bulk for quick dispatch, show 100 </w:t>
      </w:r>
      <w:r w:rsidR="008E5C5A" w:rsidRPr="005531E1">
        <w:rPr>
          <w:spacing w:val="-4"/>
        </w:rPr>
        <w:t>per cent of the seller’s inventory across multiple channels</w:t>
      </w:r>
      <w:r w:rsidR="0045210D" w:rsidRPr="005531E1">
        <w:rPr>
          <w:spacing w:val="-4"/>
          <w:lang w:val="en-GB"/>
        </w:rPr>
        <w:t>,</w:t>
      </w:r>
      <w:r w:rsidRPr="005531E1">
        <w:rPr>
          <w:spacing w:val="-4"/>
          <w:lang w:val="en-GB"/>
        </w:rPr>
        <w:t xml:space="preserve"> and update the accounting software of the seller immediately. Sellers put</w:t>
      </w:r>
      <w:r w:rsidR="0045210D" w:rsidRPr="005531E1">
        <w:rPr>
          <w:spacing w:val="-4"/>
          <w:lang w:val="en-GB"/>
        </w:rPr>
        <w:t xml:space="preserve"> </w:t>
      </w:r>
      <w:r w:rsidRPr="005531E1">
        <w:rPr>
          <w:spacing w:val="-4"/>
          <w:lang w:val="en-GB"/>
        </w:rPr>
        <w:t xml:space="preserve">the same items </w:t>
      </w:r>
      <w:r w:rsidR="0045210D" w:rsidRPr="005531E1">
        <w:rPr>
          <w:spacing w:val="-4"/>
          <w:lang w:val="en-GB"/>
        </w:rPr>
        <w:t xml:space="preserve">up </w:t>
      </w:r>
      <w:r w:rsidRPr="005531E1">
        <w:rPr>
          <w:spacing w:val="-4"/>
          <w:lang w:val="en-GB"/>
        </w:rPr>
        <w:t xml:space="preserve">for sale on multiple e-commerce websites. Without </w:t>
      </w:r>
      <w:r w:rsidR="0045210D" w:rsidRPr="005531E1">
        <w:rPr>
          <w:spacing w:val="-4"/>
          <w:lang w:val="en-GB"/>
        </w:rPr>
        <w:t>multi-channel inventory-management</w:t>
      </w:r>
      <w:r w:rsidRPr="005531E1">
        <w:rPr>
          <w:spacing w:val="-4"/>
          <w:lang w:val="en-GB"/>
        </w:rPr>
        <w:t xml:space="preserve"> software, the sellers used to partition their inventory across the different </w:t>
      </w:r>
      <w:r w:rsidR="0045210D" w:rsidRPr="005531E1">
        <w:rPr>
          <w:spacing w:val="-4"/>
          <w:lang w:val="en-GB"/>
        </w:rPr>
        <w:t>marketplaces</w:t>
      </w:r>
      <w:r w:rsidRPr="005531E1">
        <w:rPr>
          <w:spacing w:val="-4"/>
          <w:lang w:val="en-GB"/>
        </w:rPr>
        <w:t xml:space="preserve">. This would lead to </w:t>
      </w:r>
      <w:r w:rsidR="0045210D" w:rsidRPr="005531E1">
        <w:rPr>
          <w:spacing w:val="-4"/>
          <w:lang w:val="en-GB"/>
        </w:rPr>
        <w:t>stock-outs</w:t>
      </w:r>
      <w:r w:rsidRPr="005531E1">
        <w:rPr>
          <w:spacing w:val="-4"/>
          <w:lang w:val="en-GB"/>
        </w:rPr>
        <w:t xml:space="preserve"> </w:t>
      </w:r>
      <w:r w:rsidR="00570BF2" w:rsidRPr="005531E1">
        <w:rPr>
          <w:spacing w:val="-4"/>
          <w:lang w:val="en-GB"/>
        </w:rPr>
        <w:t xml:space="preserve">in </w:t>
      </w:r>
      <w:r w:rsidRPr="005531E1">
        <w:rPr>
          <w:spacing w:val="-4"/>
          <w:lang w:val="en-GB"/>
        </w:rPr>
        <w:t xml:space="preserve">one marketplace and unsold inventory </w:t>
      </w:r>
      <w:r w:rsidR="00570BF2" w:rsidRPr="005531E1">
        <w:rPr>
          <w:spacing w:val="-4"/>
          <w:lang w:val="en-GB"/>
        </w:rPr>
        <w:t xml:space="preserve">in </w:t>
      </w:r>
      <w:r w:rsidRPr="005531E1">
        <w:rPr>
          <w:spacing w:val="-4"/>
          <w:lang w:val="en-GB"/>
        </w:rPr>
        <w:t xml:space="preserve">the other. </w:t>
      </w:r>
    </w:p>
    <w:p w14:paraId="72BE9587" w14:textId="77777777" w:rsidR="00570BF2" w:rsidRDefault="00570BF2" w:rsidP="00A14A58">
      <w:pPr>
        <w:pStyle w:val="BodyTextMain"/>
        <w:rPr>
          <w:lang w:val="en-GB"/>
        </w:rPr>
      </w:pPr>
    </w:p>
    <w:p w14:paraId="7602FB73" w14:textId="21A802FF" w:rsidR="00E55448" w:rsidRPr="004B063A" w:rsidRDefault="00A14A58" w:rsidP="00A14A58">
      <w:pPr>
        <w:pStyle w:val="BodyTextMain"/>
        <w:rPr>
          <w:lang w:val="en-GB"/>
        </w:rPr>
      </w:pPr>
      <w:r w:rsidRPr="004B063A">
        <w:rPr>
          <w:lang w:val="en-GB"/>
        </w:rPr>
        <w:t>There was a need for automation software in the market</w:t>
      </w:r>
      <w:r w:rsidR="00570BF2">
        <w:rPr>
          <w:lang w:val="en-GB"/>
        </w:rPr>
        <w:t xml:space="preserve">—a need </w:t>
      </w:r>
      <w:proofErr w:type="spellStart"/>
      <w:r w:rsidRPr="004B063A">
        <w:rPr>
          <w:lang w:val="en-GB"/>
        </w:rPr>
        <w:t>Unicommerce</w:t>
      </w:r>
      <w:proofErr w:type="spellEnd"/>
      <w:r w:rsidRPr="004B063A">
        <w:rPr>
          <w:lang w:val="en-GB"/>
        </w:rPr>
        <w:t xml:space="preserve"> was able to meet with </w:t>
      </w:r>
      <w:r w:rsidR="00570BF2">
        <w:rPr>
          <w:lang w:val="en-GB"/>
        </w:rPr>
        <w:t>its</w:t>
      </w:r>
      <w:r w:rsidR="00570BF2" w:rsidRPr="004B063A">
        <w:rPr>
          <w:lang w:val="en-GB"/>
        </w:rPr>
        <w:t xml:space="preserve"> </w:t>
      </w:r>
      <w:r w:rsidRPr="004B063A">
        <w:rPr>
          <w:lang w:val="en-GB"/>
        </w:rPr>
        <w:t xml:space="preserve">new product launch in 2014. </w:t>
      </w:r>
      <w:proofErr w:type="spellStart"/>
      <w:r w:rsidRPr="004B063A">
        <w:rPr>
          <w:lang w:val="en-GB"/>
        </w:rPr>
        <w:t>Unicommerce</w:t>
      </w:r>
      <w:proofErr w:type="spellEnd"/>
      <w:r w:rsidRPr="004B063A">
        <w:rPr>
          <w:lang w:val="en-GB"/>
        </w:rPr>
        <w:t xml:space="preserve"> was able to provide a single user interface</w:t>
      </w:r>
      <w:r w:rsidR="00270F3C">
        <w:rPr>
          <w:lang w:val="en-GB"/>
        </w:rPr>
        <w:t>,</w:t>
      </w:r>
      <w:r w:rsidRPr="004B063A">
        <w:rPr>
          <w:lang w:val="en-GB"/>
        </w:rPr>
        <w:t xml:space="preserve"> where sellers could manage their inventory and synchronize product displays for multiple e-commerce marketplaces on a single panel</w:t>
      </w:r>
      <w:r w:rsidR="00FD45D5">
        <w:rPr>
          <w:lang w:val="en-GB"/>
        </w:rPr>
        <w:t xml:space="preserve"> and prepare </w:t>
      </w:r>
      <w:r w:rsidRPr="004B063A">
        <w:rPr>
          <w:lang w:val="en-GB"/>
        </w:rPr>
        <w:t xml:space="preserve">bulk </w:t>
      </w:r>
      <w:r w:rsidR="00FD45D5">
        <w:rPr>
          <w:lang w:val="en-GB"/>
        </w:rPr>
        <w:t>invoices</w:t>
      </w:r>
      <w:r w:rsidR="00FD45D5" w:rsidRPr="004B063A">
        <w:rPr>
          <w:lang w:val="en-GB"/>
        </w:rPr>
        <w:t xml:space="preserve"> </w:t>
      </w:r>
      <w:r w:rsidRPr="004B063A">
        <w:rPr>
          <w:lang w:val="en-GB"/>
        </w:rPr>
        <w:t xml:space="preserve">and shipping labels. The product was extremely helpful to sellers who were selling online for the first time. The </w:t>
      </w:r>
      <w:r w:rsidR="00FD45D5">
        <w:rPr>
          <w:lang w:val="en-GB"/>
        </w:rPr>
        <w:t>complexities</w:t>
      </w:r>
      <w:r w:rsidR="00FD45D5" w:rsidRPr="004B063A">
        <w:rPr>
          <w:lang w:val="en-GB"/>
        </w:rPr>
        <w:t xml:space="preserve"> </w:t>
      </w:r>
      <w:r w:rsidRPr="004B063A">
        <w:rPr>
          <w:lang w:val="en-GB"/>
        </w:rPr>
        <w:t>of order routing, managing online inventory</w:t>
      </w:r>
      <w:r w:rsidR="00FD45D5">
        <w:rPr>
          <w:lang w:val="en-GB"/>
        </w:rPr>
        <w:t>,</w:t>
      </w:r>
      <w:r w:rsidRPr="004B063A">
        <w:rPr>
          <w:lang w:val="en-GB"/>
        </w:rPr>
        <w:t xml:space="preserve"> and even legislative</w:t>
      </w:r>
      <w:r w:rsidR="00BB3D02">
        <w:rPr>
          <w:lang w:val="en-GB"/>
        </w:rPr>
        <w:t xml:space="preserve"> and </w:t>
      </w:r>
      <w:r w:rsidRPr="004B063A">
        <w:rPr>
          <w:lang w:val="en-GB"/>
        </w:rPr>
        <w:t xml:space="preserve">taxation policies in e-commerce </w:t>
      </w:r>
      <w:r w:rsidR="00BB3D02">
        <w:rPr>
          <w:lang w:val="en-GB"/>
        </w:rPr>
        <w:t>were</w:t>
      </w:r>
      <w:r w:rsidR="00BB3D02" w:rsidRPr="004B063A">
        <w:rPr>
          <w:lang w:val="en-GB"/>
        </w:rPr>
        <w:t xml:space="preserve"> </w:t>
      </w:r>
      <w:r w:rsidRPr="004B063A">
        <w:rPr>
          <w:lang w:val="en-GB"/>
        </w:rPr>
        <w:t>new to the sellers</w:t>
      </w:r>
      <w:r w:rsidR="00BB3D02">
        <w:rPr>
          <w:lang w:val="en-GB"/>
        </w:rPr>
        <w:t>,</w:t>
      </w:r>
      <w:r w:rsidRPr="004B063A">
        <w:rPr>
          <w:lang w:val="en-GB"/>
        </w:rPr>
        <w:t xml:space="preserve"> and the product simplified their lives. </w:t>
      </w:r>
      <w:proofErr w:type="spellStart"/>
      <w:r w:rsidRPr="004B063A">
        <w:rPr>
          <w:lang w:val="en-GB"/>
        </w:rPr>
        <w:t>Unicommerce</w:t>
      </w:r>
      <w:proofErr w:type="spellEnd"/>
      <w:r w:rsidRPr="004B063A">
        <w:rPr>
          <w:lang w:val="en-GB"/>
        </w:rPr>
        <w:t xml:space="preserve"> built software services and integrated the </w:t>
      </w:r>
      <w:r w:rsidR="00BB3D02">
        <w:rPr>
          <w:lang w:val="en-GB"/>
        </w:rPr>
        <w:t>application programming interfaces</w:t>
      </w:r>
      <w:r w:rsidR="00BB3D02" w:rsidRPr="004B063A">
        <w:rPr>
          <w:lang w:val="en-GB"/>
        </w:rPr>
        <w:t xml:space="preserve"> </w:t>
      </w:r>
      <w:r w:rsidRPr="004B063A">
        <w:rPr>
          <w:lang w:val="en-GB"/>
        </w:rPr>
        <w:t xml:space="preserve">to exchange data with 30 leading e-commerce platforms in India to allow its customers seamless management of their inventory on a single panel. </w:t>
      </w:r>
      <w:proofErr w:type="spellStart"/>
      <w:r w:rsidRPr="004B063A">
        <w:rPr>
          <w:lang w:val="en-GB"/>
        </w:rPr>
        <w:t>Unicommerce’s</w:t>
      </w:r>
      <w:proofErr w:type="spellEnd"/>
      <w:r w:rsidRPr="004B063A">
        <w:rPr>
          <w:lang w:val="en-GB"/>
        </w:rPr>
        <w:t xml:space="preserve"> interface and features made it easy for small vendors and traders to manage their inventory across platforms</w:t>
      </w:r>
      <w:r w:rsidR="003106D6">
        <w:rPr>
          <w:lang w:val="en-GB"/>
        </w:rPr>
        <w:t>,</w:t>
      </w:r>
      <w:r w:rsidRPr="004B063A">
        <w:rPr>
          <w:lang w:val="en-GB"/>
        </w:rPr>
        <w:t xml:space="preserve"> without investing resources in technology teams.</w:t>
      </w:r>
    </w:p>
    <w:p w14:paraId="4D2BAD2F" w14:textId="77777777" w:rsidR="00A846E7" w:rsidRPr="004B063A" w:rsidRDefault="00A846E7" w:rsidP="00A14A58">
      <w:pPr>
        <w:pStyle w:val="BodyTextMain"/>
        <w:rPr>
          <w:lang w:val="en-GB"/>
        </w:rPr>
      </w:pPr>
    </w:p>
    <w:p w14:paraId="01248FFD" w14:textId="0C116B7B" w:rsidR="00E55448" w:rsidRPr="004B063A" w:rsidRDefault="00051543" w:rsidP="00E55448">
      <w:pPr>
        <w:pStyle w:val="BodyTextMain"/>
        <w:rPr>
          <w:spacing w:val="-2"/>
          <w:lang w:val="en-GB"/>
        </w:rPr>
      </w:pPr>
      <w:r w:rsidRPr="004B063A">
        <w:rPr>
          <w:spacing w:val="-2"/>
          <w:lang w:val="en-GB"/>
        </w:rPr>
        <w:t xml:space="preserve">Armed with </w:t>
      </w:r>
      <w:r w:rsidR="003106D6">
        <w:rPr>
          <w:spacing w:val="-2"/>
          <w:lang w:val="en-GB"/>
        </w:rPr>
        <w:t>their</w:t>
      </w:r>
      <w:r w:rsidR="003106D6" w:rsidRPr="004B063A">
        <w:rPr>
          <w:spacing w:val="-2"/>
          <w:lang w:val="en-GB"/>
        </w:rPr>
        <w:t xml:space="preserve"> </w:t>
      </w:r>
      <w:r w:rsidRPr="004B063A">
        <w:rPr>
          <w:spacing w:val="-2"/>
          <w:lang w:val="en-GB"/>
        </w:rPr>
        <w:t xml:space="preserve">new product, in May 2014, </w:t>
      </w:r>
      <w:proofErr w:type="spellStart"/>
      <w:r w:rsidRPr="004B063A">
        <w:rPr>
          <w:spacing w:val="-2"/>
          <w:lang w:val="en-GB"/>
        </w:rPr>
        <w:t>Unicommerce</w:t>
      </w:r>
      <w:proofErr w:type="spellEnd"/>
      <w:r w:rsidRPr="004B063A">
        <w:rPr>
          <w:spacing w:val="-2"/>
          <w:lang w:val="en-GB"/>
        </w:rPr>
        <w:t xml:space="preserve"> </w:t>
      </w:r>
      <w:r w:rsidR="003106D6">
        <w:rPr>
          <w:spacing w:val="-2"/>
          <w:lang w:val="en-GB"/>
        </w:rPr>
        <w:t>surpassed</w:t>
      </w:r>
      <w:r w:rsidR="003106D6" w:rsidRPr="004B063A">
        <w:rPr>
          <w:spacing w:val="-2"/>
          <w:lang w:val="en-GB"/>
        </w:rPr>
        <w:t xml:space="preserve"> </w:t>
      </w:r>
      <w:r w:rsidRPr="004B063A">
        <w:rPr>
          <w:spacing w:val="-2"/>
          <w:lang w:val="en-GB"/>
        </w:rPr>
        <w:t xml:space="preserve">500 active sellers on their platform, processing over </w:t>
      </w:r>
      <w:r w:rsidR="00270F3C">
        <w:rPr>
          <w:spacing w:val="-2"/>
          <w:lang w:val="en-GB"/>
        </w:rPr>
        <w:t>100,000</w:t>
      </w:r>
      <w:r w:rsidRPr="004B063A">
        <w:rPr>
          <w:spacing w:val="-2"/>
          <w:lang w:val="en-GB"/>
        </w:rPr>
        <w:t xml:space="preserve"> orders </w:t>
      </w:r>
      <w:r w:rsidR="00270F3C">
        <w:rPr>
          <w:spacing w:val="-2"/>
          <w:lang w:val="en-GB"/>
        </w:rPr>
        <w:t>per</w:t>
      </w:r>
      <w:r w:rsidRPr="004B063A">
        <w:rPr>
          <w:spacing w:val="-2"/>
          <w:lang w:val="en-GB"/>
        </w:rPr>
        <w:t xml:space="preserve"> day. In addition to providing handy features for sellers, the product pricing was kept low to incentivize adoption. In 2014, the team had a subscription-based model where a seller was charged </w:t>
      </w:r>
      <w:r w:rsidR="00BB3D02" w:rsidRPr="00001F85">
        <w:rPr>
          <w:spacing w:val="-2"/>
          <w:sz w:val="20"/>
          <w:szCs w:val="20"/>
          <w:lang w:val="en-GB"/>
        </w:rPr>
        <w:t>₹</w:t>
      </w:r>
      <w:r w:rsidRPr="004B063A">
        <w:rPr>
          <w:spacing w:val="-2"/>
          <w:lang w:val="en-GB"/>
        </w:rPr>
        <w:t xml:space="preserve">5,000 per month in addition to </w:t>
      </w:r>
      <w:r w:rsidR="00BB3D02" w:rsidRPr="00001F85">
        <w:rPr>
          <w:spacing w:val="-2"/>
          <w:sz w:val="20"/>
          <w:szCs w:val="20"/>
          <w:lang w:val="en-GB"/>
        </w:rPr>
        <w:t>₹</w:t>
      </w:r>
      <w:r w:rsidRPr="004B063A">
        <w:rPr>
          <w:spacing w:val="-2"/>
          <w:lang w:val="en-GB"/>
        </w:rPr>
        <w:t xml:space="preserve">2 or </w:t>
      </w:r>
      <w:r w:rsidR="00BB3D02" w:rsidRPr="00001F85">
        <w:rPr>
          <w:spacing w:val="-2"/>
          <w:sz w:val="20"/>
          <w:szCs w:val="20"/>
          <w:lang w:val="en-GB"/>
        </w:rPr>
        <w:t>₹</w:t>
      </w:r>
      <w:r w:rsidRPr="004B063A">
        <w:rPr>
          <w:spacing w:val="-2"/>
          <w:lang w:val="en-GB"/>
        </w:rPr>
        <w:t>3 per order. This pricing was further reduced to a purely fee-based model</w:t>
      </w:r>
      <w:r w:rsidR="003106D6">
        <w:rPr>
          <w:spacing w:val="-2"/>
          <w:lang w:val="en-GB"/>
        </w:rPr>
        <w:t xml:space="preserve">, </w:t>
      </w:r>
      <w:r w:rsidRPr="004B063A">
        <w:rPr>
          <w:spacing w:val="-2"/>
          <w:lang w:val="en-GB"/>
        </w:rPr>
        <w:t xml:space="preserve">where </w:t>
      </w:r>
      <w:r w:rsidR="00BB3D02" w:rsidRPr="00001F85">
        <w:rPr>
          <w:spacing w:val="-2"/>
          <w:sz w:val="20"/>
          <w:szCs w:val="20"/>
          <w:lang w:val="en-GB"/>
        </w:rPr>
        <w:t>₹</w:t>
      </w:r>
      <w:r w:rsidRPr="004B063A">
        <w:rPr>
          <w:spacing w:val="-2"/>
          <w:lang w:val="en-GB"/>
        </w:rPr>
        <w:t>2</w:t>
      </w:r>
      <w:r w:rsidR="00BB3D02">
        <w:rPr>
          <w:spacing w:val="-2"/>
          <w:lang w:val="en-GB"/>
        </w:rPr>
        <w:t xml:space="preserve"> or </w:t>
      </w:r>
      <w:r w:rsidR="00BB3D02" w:rsidRPr="00001F85">
        <w:rPr>
          <w:spacing w:val="-2"/>
          <w:sz w:val="20"/>
          <w:szCs w:val="20"/>
          <w:lang w:val="en-GB"/>
        </w:rPr>
        <w:t>₹</w:t>
      </w:r>
      <w:r w:rsidRPr="004B063A">
        <w:rPr>
          <w:spacing w:val="-2"/>
          <w:lang w:val="en-GB"/>
        </w:rPr>
        <w:t xml:space="preserve">3 was charged to sellers per transaction (see </w:t>
      </w:r>
      <w:r w:rsidRPr="00001F85">
        <w:rPr>
          <w:spacing w:val="-2"/>
          <w:lang w:val="en-GB"/>
        </w:rPr>
        <w:t>Exhibit 5</w:t>
      </w:r>
      <w:r w:rsidRPr="004B063A">
        <w:rPr>
          <w:spacing w:val="-2"/>
          <w:lang w:val="en-GB"/>
        </w:rPr>
        <w:t xml:space="preserve">). </w:t>
      </w:r>
      <w:r w:rsidR="00BB3D02">
        <w:rPr>
          <w:spacing w:val="-2"/>
          <w:lang w:val="en-GB"/>
        </w:rPr>
        <w:t>Customers</w:t>
      </w:r>
      <w:r w:rsidRPr="004B063A">
        <w:rPr>
          <w:spacing w:val="-2"/>
          <w:lang w:val="en-GB"/>
        </w:rPr>
        <w:t xml:space="preserve"> who had very high transaction volumes</w:t>
      </w:r>
      <w:r w:rsidR="003106D6">
        <w:rPr>
          <w:spacing w:val="-2"/>
          <w:lang w:val="en-GB"/>
        </w:rPr>
        <w:t>,</w:t>
      </w:r>
      <w:r w:rsidRPr="004B063A">
        <w:rPr>
          <w:spacing w:val="-2"/>
          <w:lang w:val="en-GB"/>
        </w:rPr>
        <w:t xml:space="preserve"> greater than or equal to 50,000 per month</w:t>
      </w:r>
      <w:r w:rsidR="003106D6">
        <w:rPr>
          <w:spacing w:val="-2"/>
          <w:lang w:val="en-GB"/>
        </w:rPr>
        <w:t>,</w:t>
      </w:r>
      <w:r w:rsidR="00BB3D02">
        <w:rPr>
          <w:spacing w:val="-2"/>
          <w:lang w:val="en-GB"/>
        </w:rPr>
        <w:t xml:space="preserve"> </w:t>
      </w:r>
      <w:r w:rsidRPr="004B063A">
        <w:rPr>
          <w:spacing w:val="-2"/>
          <w:lang w:val="en-GB"/>
        </w:rPr>
        <w:t xml:space="preserve">were charged only </w:t>
      </w:r>
      <w:r w:rsidR="00BB3D02" w:rsidRPr="00001F85">
        <w:rPr>
          <w:spacing w:val="-2"/>
          <w:sz w:val="20"/>
          <w:szCs w:val="20"/>
          <w:lang w:val="en-GB"/>
        </w:rPr>
        <w:t>₹</w:t>
      </w:r>
      <w:r w:rsidRPr="004B063A">
        <w:rPr>
          <w:spacing w:val="-2"/>
          <w:lang w:val="en-GB"/>
        </w:rPr>
        <w:t xml:space="preserve">1 per transaction. </w:t>
      </w:r>
      <w:proofErr w:type="spellStart"/>
      <w:r w:rsidRPr="004B063A">
        <w:rPr>
          <w:spacing w:val="-2"/>
          <w:lang w:val="en-GB"/>
        </w:rPr>
        <w:t>Unicommerce</w:t>
      </w:r>
      <w:proofErr w:type="spellEnd"/>
      <w:r w:rsidRPr="004B063A">
        <w:rPr>
          <w:spacing w:val="-2"/>
          <w:lang w:val="en-GB"/>
        </w:rPr>
        <w:t xml:space="preserve"> ensured that their product was compatible with common financial software used by small sellers and traders (</w:t>
      </w:r>
      <w:r w:rsidR="003106D6">
        <w:rPr>
          <w:spacing w:val="-2"/>
          <w:lang w:val="en-GB"/>
        </w:rPr>
        <w:t xml:space="preserve">such as </w:t>
      </w:r>
      <w:r w:rsidRPr="004B063A">
        <w:rPr>
          <w:spacing w:val="-2"/>
          <w:lang w:val="en-GB"/>
        </w:rPr>
        <w:t>Tally, Busy</w:t>
      </w:r>
      <w:r w:rsidR="00394782">
        <w:rPr>
          <w:spacing w:val="-2"/>
          <w:lang w:val="en-GB"/>
        </w:rPr>
        <w:t>,</w:t>
      </w:r>
      <w:r w:rsidRPr="004B063A">
        <w:rPr>
          <w:spacing w:val="-2"/>
          <w:lang w:val="en-GB"/>
        </w:rPr>
        <w:t xml:space="preserve"> and Logic) to lower any resistance </w:t>
      </w:r>
      <w:r w:rsidR="00394782">
        <w:rPr>
          <w:spacing w:val="-2"/>
          <w:lang w:val="en-GB"/>
        </w:rPr>
        <w:t>to</w:t>
      </w:r>
      <w:r w:rsidR="00394782" w:rsidRPr="004B063A">
        <w:rPr>
          <w:spacing w:val="-2"/>
          <w:lang w:val="en-GB"/>
        </w:rPr>
        <w:t xml:space="preserve"> </w:t>
      </w:r>
      <w:r w:rsidRPr="004B063A">
        <w:rPr>
          <w:spacing w:val="-2"/>
          <w:lang w:val="en-GB"/>
        </w:rPr>
        <w:t xml:space="preserve">adoption. According to </w:t>
      </w:r>
      <w:r w:rsidR="00881C8E">
        <w:rPr>
          <w:spacing w:val="-2"/>
          <w:lang w:val="en-GB"/>
        </w:rPr>
        <w:t>Garg</w:t>
      </w:r>
      <w:r w:rsidRPr="004B063A">
        <w:rPr>
          <w:spacing w:val="-2"/>
          <w:lang w:val="en-GB"/>
        </w:rPr>
        <w:t xml:space="preserve">, the major feature </w:t>
      </w:r>
      <w:r w:rsidR="003106D6">
        <w:rPr>
          <w:spacing w:val="-2"/>
          <w:lang w:val="en-GB"/>
        </w:rPr>
        <w:t xml:space="preserve">that contributed to </w:t>
      </w:r>
      <w:proofErr w:type="spellStart"/>
      <w:r w:rsidRPr="004B063A">
        <w:rPr>
          <w:spacing w:val="-2"/>
          <w:lang w:val="en-GB"/>
        </w:rPr>
        <w:t>Unicommerce’s</w:t>
      </w:r>
      <w:proofErr w:type="spellEnd"/>
      <w:r w:rsidRPr="004B063A">
        <w:rPr>
          <w:spacing w:val="-2"/>
          <w:lang w:val="en-GB"/>
        </w:rPr>
        <w:t xml:space="preserve"> success was </w:t>
      </w:r>
      <w:r w:rsidR="00394782">
        <w:rPr>
          <w:spacing w:val="-2"/>
          <w:lang w:val="en-GB"/>
        </w:rPr>
        <w:t xml:space="preserve">its </w:t>
      </w:r>
      <w:r w:rsidRPr="004B063A">
        <w:rPr>
          <w:spacing w:val="-2"/>
          <w:lang w:val="en-GB"/>
        </w:rPr>
        <w:t xml:space="preserve">adaptability. </w:t>
      </w:r>
      <w:proofErr w:type="spellStart"/>
      <w:r w:rsidRPr="004B063A">
        <w:rPr>
          <w:spacing w:val="-2"/>
          <w:lang w:val="en-GB"/>
        </w:rPr>
        <w:t>Unicommerce</w:t>
      </w:r>
      <w:proofErr w:type="spellEnd"/>
      <w:r w:rsidRPr="004B063A">
        <w:rPr>
          <w:spacing w:val="-2"/>
          <w:lang w:val="en-GB"/>
        </w:rPr>
        <w:t xml:space="preserve"> was able to </w:t>
      </w:r>
      <w:r w:rsidR="00C920D1">
        <w:rPr>
          <w:spacing w:val="-2"/>
          <w:lang w:val="en-GB"/>
        </w:rPr>
        <w:t xml:space="preserve">adapt </w:t>
      </w:r>
      <w:r w:rsidRPr="004B063A">
        <w:rPr>
          <w:spacing w:val="-2"/>
          <w:lang w:val="en-GB"/>
        </w:rPr>
        <w:t>their solution and offering to meet the market demand</w:t>
      </w:r>
      <w:r w:rsidR="009566FF">
        <w:rPr>
          <w:spacing w:val="-2"/>
          <w:lang w:val="en-GB"/>
        </w:rPr>
        <w:t>—</w:t>
      </w:r>
      <w:r w:rsidRPr="004B063A">
        <w:rPr>
          <w:spacing w:val="-2"/>
          <w:lang w:val="en-GB"/>
        </w:rPr>
        <w:t xml:space="preserve">faster than </w:t>
      </w:r>
      <w:r w:rsidR="002637F2">
        <w:rPr>
          <w:spacing w:val="-2"/>
          <w:lang w:val="en-GB"/>
        </w:rPr>
        <w:t>the</w:t>
      </w:r>
      <w:r w:rsidR="00394782">
        <w:rPr>
          <w:spacing w:val="-2"/>
          <w:lang w:val="en-GB"/>
        </w:rPr>
        <w:t xml:space="preserve"> </w:t>
      </w:r>
      <w:r w:rsidRPr="004B063A">
        <w:rPr>
          <w:spacing w:val="-2"/>
          <w:lang w:val="en-GB"/>
        </w:rPr>
        <w:t>competition.</w:t>
      </w:r>
    </w:p>
    <w:p w14:paraId="29DC4C49" w14:textId="77777777" w:rsidR="00051543" w:rsidRPr="004B063A" w:rsidRDefault="00051543" w:rsidP="00E55448">
      <w:pPr>
        <w:pStyle w:val="BodyTextMain"/>
        <w:rPr>
          <w:lang w:val="en-GB"/>
        </w:rPr>
      </w:pPr>
    </w:p>
    <w:p w14:paraId="115F36CF" w14:textId="3CB16FBD" w:rsidR="00E55448" w:rsidRPr="004B063A" w:rsidRDefault="00414865" w:rsidP="00E55448">
      <w:pPr>
        <w:pStyle w:val="BodyTextMain"/>
        <w:rPr>
          <w:lang w:val="en-GB"/>
        </w:rPr>
      </w:pPr>
      <w:r w:rsidRPr="004B063A">
        <w:rPr>
          <w:lang w:val="en-GB"/>
        </w:rPr>
        <w:t xml:space="preserve">The phenomenal growth of the e-commerce industry and success of </w:t>
      </w:r>
      <w:proofErr w:type="spellStart"/>
      <w:r w:rsidRPr="004B063A">
        <w:rPr>
          <w:lang w:val="en-GB"/>
        </w:rPr>
        <w:t>homegrown</w:t>
      </w:r>
      <w:proofErr w:type="spellEnd"/>
      <w:r w:rsidRPr="004B063A">
        <w:rPr>
          <w:lang w:val="en-GB"/>
        </w:rPr>
        <w:t xml:space="preserve"> firms like Flipkart and </w:t>
      </w:r>
      <w:proofErr w:type="spellStart"/>
      <w:r w:rsidRPr="004B063A">
        <w:rPr>
          <w:lang w:val="en-GB"/>
        </w:rPr>
        <w:t>Snapdeal</w:t>
      </w:r>
      <w:proofErr w:type="spellEnd"/>
      <w:r w:rsidRPr="004B063A">
        <w:rPr>
          <w:lang w:val="en-GB"/>
        </w:rPr>
        <w:t xml:space="preserve"> made even global firms like Amazon</w:t>
      </w:r>
      <w:r w:rsidR="002637F2">
        <w:rPr>
          <w:lang w:val="en-GB"/>
        </w:rPr>
        <w:t>.com</w:t>
      </w:r>
      <w:r w:rsidR="0043306A">
        <w:rPr>
          <w:lang w:val="en-GB"/>
        </w:rPr>
        <w:t xml:space="preserve"> Inc.</w:t>
      </w:r>
      <w:r w:rsidRPr="004B063A">
        <w:rPr>
          <w:lang w:val="en-GB"/>
        </w:rPr>
        <w:t xml:space="preserve"> </w:t>
      </w:r>
      <w:r w:rsidR="009301A9">
        <w:rPr>
          <w:lang w:val="en-GB"/>
        </w:rPr>
        <w:t xml:space="preserve">(Amazon) </w:t>
      </w:r>
      <w:r w:rsidRPr="004B063A">
        <w:rPr>
          <w:lang w:val="en-GB"/>
        </w:rPr>
        <w:t xml:space="preserve">and Alibaba </w:t>
      </w:r>
      <w:r w:rsidR="0043306A">
        <w:rPr>
          <w:lang w:val="en-GB"/>
        </w:rPr>
        <w:t xml:space="preserve">Group Holding Limited </w:t>
      </w:r>
      <w:r w:rsidR="009301A9">
        <w:rPr>
          <w:lang w:val="en-GB"/>
        </w:rPr>
        <w:t xml:space="preserve">(Alibaba) </w:t>
      </w:r>
      <w:r w:rsidRPr="004B063A">
        <w:rPr>
          <w:lang w:val="en-GB"/>
        </w:rPr>
        <w:t xml:space="preserve">line up investment plans for India. With an early promise of </w:t>
      </w:r>
      <w:r w:rsidR="009301A9">
        <w:rPr>
          <w:lang w:val="en-GB"/>
        </w:rPr>
        <w:t>$2 billion</w:t>
      </w:r>
      <w:r w:rsidRPr="004B063A">
        <w:rPr>
          <w:lang w:val="en-GB"/>
        </w:rPr>
        <w:t xml:space="preserve"> in India operations, Amazon had identified India as its next growth </w:t>
      </w:r>
      <w:r w:rsidR="00597754" w:rsidRPr="004B063A">
        <w:rPr>
          <w:lang w:val="en-GB"/>
        </w:rPr>
        <w:t>market</w:t>
      </w:r>
      <w:r w:rsidR="009301A9">
        <w:rPr>
          <w:lang w:val="en-GB"/>
        </w:rPr>
        <w:t>.</w:t>
      </w:r>
      <w:r w:rsidR="001440A9" w:rsidRPr="004B063A">
        <w:rPr>
          <w:rStyle w:val="FootnoteReference"/>
          <w:lang w:val="en-GB"/>
        </w:rPr>
        <w:footnoteReference w:id="16"/>
      </w:r>
      <w:r w:rsidR="00597754" w:rsidRPr="004B063A">
        <w:rPr>
          <w:lang w:val="en-GB"/>
        </w:rPr>
        <w:t xml:space="preserve"> </w:t>
      </w:r>
      <w:r w:rsidRPr="004B063A">
        <w:rPr>
          <w:lang w:val="en-GB"/>
        </w:rPr>
        <w:t>The investments led to another round of intense competition</w:t>
      </w:r>
      <w:r w:rsidR="009301A9">
        <w:rPr>
          <w:lang w:val="en-GB"/>
        </w:rPr>
        <w:t>, with</w:t>
      </w:r>
      <w:r w:rsidRPr="004B063A">
        <w:rPr>
          <w:lang w:val="en-GB"/>
        </w:rPr>
        <w:t xml:space="preserve"> e-commerce firms burning cash to acquire and retain customers. Local e-</w:t>
      </w:r>
      <w:r w:rsidR="00F13CBE" w:rsidRPr="004B063A">
        <w:rPr>
          <w:lang w:val="en-GB"/>
        </w:rPr>
        <w:t>commerce giant</w:t>
      </w:r>
      <w:r w:rsidRPr="004B063A">
        <w:rPr>
          <w:lang w:val="en-GB"/>
        </w:rPr>
        <w:t xml:space="preserve"> Flipkart raised funding of </w:t>
      </w:r>
      <w:r w:rsidR="009301A9">
        <w:rPr>
          <w:lang w:val="en-GB"/>
        </w:rPr>
        <w:t>$1 billion</w:t>
      </w:r>
      <w:r w:rsidRPr="004B063A">
        <w:rPr>
          <w:lang w:val="en-GB"/>
        </w:rPr>
        <w:t xml:space="preserve"> from Naspers and Tiger Global in June 2014. In October 2014, even </w:t>
      </w:r>
      <w:proofErr w:type="spellStart"/>
      <w:r w:rsidRPr="004B063A">
        <w:rPr>
          <w:lang w:val="en-GB"/>
        </w:rPr>
        <w:t>Snapdeal</w:t>
      </w:r>
      <w:proofErr w:type="spellEnd"/>
      <w:r w:rsidRPr="004B063A">
        <w:rPr>
          <w:lang w:val="en-GB"/>
        </w:rPr>
        <w:t xml:space="preserve"> received funding of </w:t>
      </w:r>
      <w:r w:rsidR="009301A9">
        <w:rPr>
          <w:lang w:val="en-GB"/>
        </w:rPr>
        <w:t>$</w:t>
      </w:r>
      <w:r w:rsidR="009301A9" w:rsidRPr="004B063A">
        <w:rPr>
          <w:lang w:val="en-GB"/>
        </w:rPr>
        <w:t>627</w:t>
      </w:r>
      <w:r w:rsidR="009301A9">
        <w:rPr>
          <w:lang w:val="en-GB"/>
        </w:rPr>
        <w:t xml:space="preserve"> million</w:t>
      </w:r>
      <w:r w:rsidR="009301A9" w:rsidRPr="004B063A">
        <w:rPr>
          <w:lang w:val="en-GB"/>
        </w:rPr>
        <w:t xml:space="preserve"> </w:t>
      </w:r>
      <w:r w:rsidRPr="004B063A">
        <w:rPr>
          <w:lang w:val="en-GB"/>
        </w:rPr>
        <w:t xml:space="preserve">from </w:t>
      </w:r>
      <w:proofErr w:type="spellStart"/>
      <w:r w:rsidRPr="004B063A">
        <w:rPr>
          <w:lang w:val="en-GB"/>
        </w:rPr>
        <w:t>SoftBank</w:t>
      </w:r>
      <w:proofErr w:type="spellEnd"/>
      <w:r w:rsidRPr="004B063A">
        <w:rPr>
          <w:lang w:val="en-GB"/>
        </w:rPr>
        <w:t xml:space="preserve"> Internet and Media</w:t>
      </w:r>
      <w:r w:rsidR="0093059E">
        <w:rPr>
          <w:rStyle w:val="FootnoteReference"/>
          <w:lang w:val="en-GB"/>
        </w:rPr>
        <w:footnoteReference w:id="17"/>
      </w:r>
      <w:r w:rsidRPr="004B063A">
        <w:rPr>
          <w:lang w:val="en-GB"/>
        </w:rPr>
        <w:t xml:space="preserve">. </w:t>
      </w:r>
      <w:proofErr w:type="spellStart"/>
      <w:r w:rsidRPr="004B063A">
        <w:rPr>
          <w:lang w:val="en-GB"/>
        </w:rPr>
        <w:t>SoftBank</w:t>
      </w:r>
      <w:proofErr w:type="spellEnd"/>
      <w:r w:rsidRPr="004B063A">
        <w:rPr>
          <w:lang w:val="en-GB"/>
        </w:rPr>
        <w:t xml:space="preserve"> was an early investor in Alibaba and shared a good relationship with Jack Ma, the founder of Alibaba. Alibaba had co-invested with </w:t>
      </w:r>
      <w:proofErr w:type="spellStart"/>
      <w:r w:rsidRPr="004B063A">
        <w:rPr>
          <w:lang w:val="en-GB"/>
        </w:rPr>
        <w:t>SoftBank</w:t>
      </w:r>
      <w:proofErr w:type="spellEnd"/>
      <w:r w:rsidRPr="004B063A">
        <w:rPr>
          <w:lang w:val="en-GB"/>
        </w:rPr>
        <w:t xml:space="preserve"> in quite a few rounds of venture funding. There was a distinct possibility that </w:t>
      </w:r>
      <w:r w:rsidR="001F51BA">
        <w:rPr>
          <w:lang w:val="en-GB"/>
        </w:rPr>
        <w:t>Alibaba</w:t>
      </w:r>
      <w:r w:rsidR="001F51BA" w:rsidRPr="004B063A">
        <w:rPr>
          <w:lang w:val="en-GB"/>
        </w:rPr>
        <w:t xml:space="preserve"> </w:t>
      </w:r>
      <w:r w:rsidR="001F51BA">
        <w:rPr>
          <w:lang w:val="en-GB"/>
        </w:rPr>
        <w:t>would</w:t>
      </w:r>
      <w:r w:rsidR="001F51BA" w:rsidRPr="004B063A">
        <w:rPr>
          <w:lang w:val="en-GB"/>
        </w:rPr>
        <w:t xml:space="preserve"> </w:t>
      </w:r>
      <w:r w:rsidRPr="004B063A">
        <w:rPr>
          <w:lang w:val="en-GB"/>
        </w:rPr>
        <w:t xml:space="preserve">follow </w:t>
      </w:r>
      <w:proofErr w:type="spellStart"/>
      <w:r w:rsidRPr="004B063A">
        <w:rPr>
          <w:lang w:val="en-GB"/>
        </w:rPr>
        <w:t>SoftBank</w:t>
      </w:r>
      <w:proofErr w:type="spellEnd"/>
      <w:r w:rsidRPr="004B063A">
        <w:rPr>
          <w:lang w:val="en-GB"/>
        </w:rPr>
        <w:t xml:space="preserve"> and </w:t>
      </w:r>
      <w:r w:rsidR="001F51BA">
        <w:rPr>
          <w:lang w:val="en-GB"/>
        </w:rPr>
        <w:t xml:space="preserve">soon </w:t>
      </w:r>
      <w:r w:rsidRPr="004B063A">
        <w:rPr>
          <w:lang w:val="en-GB"/>
        </w:rPr>
        <w:t xml:space="preserve">invest a large amount in </w:t>
      </w:r>
      <w:proofErr w:type="spellStart"/>
      <w:r w:rsidRPr="004B063A">
        <w:rPr>
          <w:lang w:val="en-GB"/>
        </w:rPr>
        <w:t>Snapdeal</w:t>
      </w:r>
      <w:proofErr w:type="spellEnd"/>
      <w:r w:rsidRPr="004B063A">
        <w:rPr>
          <w:lang w:val="en-GB"/>
        </w:rPr>
        <w:t xml:space="preserve">. Entry of global giants such as Amazon and Alibaba was potentially bad news for </w:t>
      </w:r>
      <w:r w:rsidR="001F51BA">
        <w:rPr>
          <w:lang w:val="en-GB"/>
        </w:rPr>
        <w:t>third party</w:t>
      </w:r>
      <w:r w:rsidRPr="004B063A">
        <w:rPr>
          <w:lang w:val="en-GB"/>
        </w:rPr>
        <w:t xml:space="preserve"> vendors for e-commerce firms. Along with huge cash reserves, both Amazon (</w:t>
      </w:r>
      <w:r w:rsidR="00683C53">
        <w:rPr>
          <w:lang w:val="en-GB"/>
        </w:rPr>
        <w:t xml:space="preserve">approx. </w:t>
      </w:r>
      <w:r w:rsidR="001F51BA">
        <w:rPr>
          <w:lang w:val="en-GB"/>
        </w:rPr>
        <w:t>1.1 billion</w:t>
      </w:r>
      <w:r w:rsidRPr="004B063A">
        <w:rPr>
          <w:lang w:val="en-GB"/>
        </w:rPr>
        <w:t xml:space="preserve"> transactions per year</w:t>
      </w:r>
      <w:r w:rsidR="00683C53">
        <w:rPr>
          <w:rStyle w:val="FootnoteReference"/>
          <w:lang w:val="en-GB"/>
        </w:rPr>
        <w:footnoteReference w:id="18"/>
      </w:r>
      <w:r w:rsidRPr="004B063A">
        <w:rPr>
          <w:lang w:val="en-GB"/>
        </w:rPr>
        <w:t>) and Alibaba (</w:t>
      </w:r>
      <w:r w:rsidR="001F51BA">
        <w:rPr>
          <w:lang w:val="en-GB"/>
        </w:rPr>
        <w:t>12.7 billion</w:t>
      </w:r>
      <w:r w:rsidRPr="004B063A">
        <w:rPr>
          <w:lang w:val="en-GB"/>
        </w:rPr>
        <w:t xml:space="preserve"> transactions per year) had experience in running an operation with millions of transactions per day.</w:t>
      </w:r>
      <w:r w:rsidR="00A5762A">
        <w:rPr>
          <w:rStyle w:val="FootnoteReference"/>
          <w:lang w:val="en-GB"/>
        </w:rPr>
        <w:footnoteReference w:id="19"/>
      </w:r>
      <w:r w:rsidR="00A5762A" w:rsidRPr="004B063A">
        <w:rPr>
          <w:lang w:val="en-GB"/>
        </w:rPr>
        <w:t xml:space="preserve"> </w:t>
      </w:r>
    </w:p>
    <w:p w14:paraId="1C806185" w14:textId="77777777" w:rsidR="00414865" w:rsidRPr="004B063A" w:rsidRDefault="00414865" w:rsidP="00E55448">
      <w:pPr>
        <w:pStyle w:val="BodyTextMain"/>
        <w:rPr>
          <w:lang w:val="en-GB"/>
        </w:rPr>
      </w:pPr>
    </w:p>
    <w:p w14:paraId="3100709F" w14:textId="3FAA0D1A" w:rsidR="00E55448" w:rsidRPr="00F32CB3" w:rsidRDefault="0042213F" w:rsidP="00E55448">
      <w:pPr>
        <w:pStyle w:val="BodyTextMain"/>
        <w:rPr>
          <w:spacing w:val="-2"/>
          <w:lang w:val="en-GB"/>
        </w:rPr>
      </w:pPr>
      <w:r w:rsidRPr="00F32CB3">
        <w:rPr>
          <w:spacing w:val="-2"/>
          <w:lang w:val="en-GB"/>
        </w:rPr>
        <w:t>Increased investment cycles in</w:t>
      </w:r>
      <w:r w:rsidR="00F96A93" w:rsidRPr="00F32CB3">
        <w:rPr>
          <w:spacing w:val="-2"/>
          <w:lang w:val="en-GB"/>
        </w:rPr>
        <w:t xml:space="preserve"> the</w:t>
      </w:r>
      <w:r w:rsidRPr="00F32CB3">
        <w:rPr>
          <w:spacing w:val="-2"/>
          <w:lang w:val="en-GB"/>
        </w:rPr>
        <w:t xml:space="preserve"> industry</w:t>
      </w:r>
      <w:r w:rsidR="00F96A93" w:rsidRPr="00F32CB3">
        <w:rPr>
          <w:spacing w:val="-2"/>
          <w:lang w:val="en-GB"/>
        </w:rPr>
        <w:t xml:space="preserve"> were</w:t>
      </w:r>
      <w:r w:rsidRPr="00F32CB3">
        <w:rPr>
          <w:spacing w:val="-2"/>
          <w:lang w:val="en-GB"/>
        </w:rPr>
        <w:t xml:space="preserve"> reflected in not only the online transactions but also in the number of discreet sellers on e-commerce platforms. Soon Flipkart, Amazon, and </w:t>
      </w:r>
      <w:proofErr w:type="spellStart"/>
      <w:r w:rsidRPr="00F32CB3">
        <w:rPr>
          <w:spacing w:val="-2"/>
          <w:lang w:val="en-GB"/>
        </w:rPr>
        <w:t>Snapdeal</w:t>
      </w:r>
      <w:proofErr w:type="spellEnd"/>
      <w:r w:rsidRPr="00F32CB3">
        <w:rPr>
          <w:spacing w:val="-2"/>
          <w:lang w:val="en-GB"/>
        </w:rPr>
        <w:t xml:space="preserve"> were having over 25,000, 40,000</w:t>
      </w:r>
      <w:r w:rsidR="00A15E33" w:rsidRPr="00F32CB3">
        <w:rPr>
          <w:spacing w:val="-2"/>
          <w:lang w:val="en-GB"/>
        </w:rPr>
        <w:t>,</w:t>
      </w:r>
      <w:r w:rsidRPr="00F32CB3">
        <w:rPr>
          <w:spacing w:val="-2"/>
          <w:lang w:val="en-GB"/>
        </w:rPr>
        <w:t xml:space="preserve"> and 100,000 sellers</w:t>
      </w:r>
      <w:r w:rsidR="00A15E33" w:rsidRPr="00F32CB3">
        <w:rPr>
          <w:spacing w:val="-2"/>
          <w:lang w:val="en-GB"/>
        </w:rPr>
        <w:t>, respectively,</w:t>
      </w:r>
      <w:r w:rsidRPr="00F32CB3">
        <w:rPr>
          <w:spacing w:val="-2"/>
          <w:lang w:val="en-GB"/>
        </w:rPr>
        <w:t xml:space="preserve"> listed on their platform</w:t>
      </w:r>
      <w:r w:rsidR="00A15E33" w:rsidRPr="00F32CB3">
        <w:rPr>
          <w:spacing w:val="-2"/>
          <w:lang w:val="en-GB"/>
        </w:rPr>
        <w:t>. However,</w:t>
      </w:r>
      <w:r w:rsidRPr="00F32CB3">
        <w:rPr>
          <w:spacing w:val="-2"/>
          <w:lang w:val="en-GB"/>
        </w:rPr>
        <w:t xml:space="preserve"> only a few hundred sellers on these platforms were profitable, whereas a large number of sellers were doing little or no business. At such low volumes, many suffered losses and exited the marketplace. </w:t>
      </w:r>
      <w:r w:rsidR="00A15E33" w:rsidRPr="00F32CB3">
        <w:rPr>
          <w:spacing w:val="-2"/>
          <w:lang w:val="en-GB"/>
        </w:rPr>
        <w:t>Experts</w:t>
      </w:r>
      <w:r w:rsidR="00F72931" w:rsidRPr="00F32CB3">
        <w:rPr>
          <w:spacing w:val="-2"/>
          <w:lang w:val="en-GB"/>
        </w:rPr>
        <w:t xml:space="preserve"> </w:t>
      </w:r>
      <w:r w:rsidRPr="00F32CB3">
        <w:rPr>
          <w:spacing w:val="-2"/>
          <w:lang w:val="en-GB"/>
        </w:rPr>
        <w:t xml:space="preserve">felt that India </w:t>
      </w:r>
      <w:r w:rsidR="003B5919" w:rsidRPr="00F32CB3">
        <w:rPr>
          <w:spacing w:val="-2"/>
          <w:lang w:val="en-GB"/>
        </w:rPr>
        <w:t>might</w:t>
      </w:r>
      <w:r w:rsidRPr="00F32CB3">
        <w:rPr>
          <w:spacing w:val="-2"/>
          <w:lang w:val="en-GB"/>
        </w:rPr>
        <w:t xml:space="preserve"> not evolve as a </w:t>
      </w:r>
      <w:r w:rsidR="00A15E33" w:rsidRPr="00F32CB3">
        <w:rPr>
          <w:spacing w:val="-2"/>
          <w:lang w:val="en-GB"/>
        </w:rPr>
        <w:t>long-tail</w:t>
      </w:r>
      <w:r w:rsidRPr="00F32CB3">
        <w:rPr>
          <w:spacing w:val="-2"/>
          <w:lang w:val="en-GB"/>
        </w:rPr>
        <w:t xml:space="preserve"> market</w:t>
      </w:r>
      <w:r w:rsidR="00A15E33" w:rsidRPr="00F32CB3">
        <w:rPr>
          <w:spacing w:val="-2"/>
          <w:lang w:val="en-GB"/>
        </w:rPr>
        <w:t>,</w:t>
      </w:r>
      <w:r w:rsidRPr="00F32CB3">
        <w:rPr>
          <w:spacing w:val="-2"/>
          <w:lang w:val="en-GB"/>
        </w:rPr>
        <w:t xml:space="preserve"> where a large number of sellers </w:t>
      </w:r>
      <w:r w:rsidR="00A15E33" w:rsidRPr="00F32CB3">
        <w:rPr>
          <w:spacing w:val="-2"/>
          <w:lang w:val="en-GB"/>
        </w:rPr>
        <w:t xml:space="preserve">would </w:t>
      </w:r>
      <w:r w:rsidRPr="00F32CB3">
        <w:rPr>
          <w:spacing w:val="-2"/>
          <w:lang w:val="en-GB"/>
        </w:rPr>
        <w:t xml:space="preserve">profit with lower order volumes. The experience of </w:t>
      </w:r>
      <w:r w:rsidR="00A15E33" w:rsidRPr="00F32CB3">
        <w:rPr>
          <w:spacing w:val="-2"/>
          <w:lang w:val="en-GB"/>
        </w:rPr>
        <w:t xml:space="preserve">the </w:t>
      </w:r>
      <w:proofErr w:type="spellStart"/>
      <w:r w:rsidRPr="00F32CB3">
        <w:rPr>
          <w:spacing w:val="-2"/>
          <w:lang w:val="en-GB"/>
        </w:rPr>
        <w:t>Unicommerce</w:t>
      </w:r>
      <w:proofErr w:type="spellEnd"/>
      <w:r w:rsidRPr="00F32CB3">
        <w:rPr>
          <w:spacing w:val="-2"/>
          <w:lang w:val="en-GB"/>
        </w:rPr>
        <w:t xml:space="preserve"> team seemed to validate such trends. With nearly 30</w:t>
      </w:r>
      <w:r w:rsidR="00A15E33" w:rsidRPr="00F32CB3">
        <w:rPr>
          <w:spacing w:val="-2"/>
          <w:lang w:val="en-GB"/>
        </w:rPr>
        <w:t xml:space="preserve"> per cent </w:t>
      </w:r>
      <w:r w:rsidRPr="00F32CB3">
        <w:rPr>
          <w:spacing w:val="-2"/>
          <w:lang w:val="en-GB"/>
        </w:rPr>
        <w:t>market share</w:t>
      </w:r>
      <w:r w:rsidR="00A15E33" w:rsidRPr="00F32CB3">
        <w:rPr>
          <w:spacing w:val="-2"/>
          <w:lang w:val="en-GB"/>
        </w:rPr>
        <w:t>,</w:t>
      </w:r>
      <w:r w:rsidRPr="00F32CB3">
        <w:rPr>
          <w:spacing w:val="-2"/>
          <w:lang w:val="en-GB"/>
        </w:rPr>
        <w:t xml:space="preserve"> </w:t>
      </w:r>
      <w:proofErr w:type="spellStart"/>
      <w:r w:rsidRPr="00F32CB3">
        <w:rPr>
          <w:spacing w:val="-2"/>
          <w:lang w:val="en-GB"/>
        </w:rPr>
        <w:t>Unicommerce</w:t>
      </w:r>
      <w:proofErr w:type="spellEnd"/>
      <w:r w:rsidRPr="00F32CB3">
        <w:rPr>
          <w:spacing w:val="-2"/>
          <w:lang w:val="en-GB"/>
        </w:rPr>
        <w:t xml:space="preserve"> was already processing </w:t>
      </w:r>
      <w:r w:rsidR="00270F3C">
        <w:rPr>
          <w:spacing w:val="-2"/>
          <w:lang w:val="en-GB"/>
        </w:rPr>
        <w:t>8</w:t>
      </w:r>
      <w:r w:rsidR="00A15E33" w:rsidRPr="00F32CB3">
        <w:rPr>
          <w:spacing w:val="-2"/>
          <w:lang w:val="en-GB"/>
        </w:rPr>
        <w:t xml:space="preserve"> million </w:t>
      </w:r>
      <w:r w:rsidRPr="00F32CB3">
        <w:rPr>
          <w:spacing w:val="-2"/>
          <w:lang w:val="en-GB"/>
        </w:rPr>
        <w:t xml:space="preserve">transactions </w:t>
      </w:r>
      <w:r w:rsidR="00270F3C">
        <w:rPr>
          <w:spacing w:val="-2"/>
          <w:lang w:val="en-GB"/>
        </w:rPr>
        <w:t>per</w:t>
      </w:r>
      <w:r w:rsidRPr="00F32CB3">
        <w:rPr>
          <w:spacing w:val="-2"/>
          <w:lang w:val="en-GB"/>
        </w:rPr>
        <w:t xml:space="preserve"> month for various sellers on various e-commerce platforms. However, increasing the customer base was dependent on the increase in the overall number of sellers going forward. Also, the entry of large foreign e-commerce players meant faster introduction of new technologies, which were already in use in developed markets. For </w:t>
      </w:r>
      <w:proofErr w:type="spellStart"/>
      <w:r w:rsidRPr="00F32CB3">
        <w:rPr>
          <w:spacing w:val="-2"/>
          <w:lang w:val="en-GB"/>
        </w:rPr>
        <w:t>Unicommerce</w:t>
      </w:r>
      <w:proofErr w:type="spellEnd"/>
      <w:r w:rsidR="006D5BB2" w:rsidRPr="00F32CB3">
        <w:rPr>
          <w:spacing w:val="-2"/>
          <w:lang w:val="en-GB"/>
        </w:rPr>
        <w:t>, this</w:t>
      </w:r>
      <w:r w:rsidRPr="00F32CB3">
        <w:rPr>
          <w:spacing w:val="-2"/>
          <w:lang w:val="en-GB"/>
        </w:rPr>
        <w:t xml:space="preserve"> meant continued investment in building new technologies to grow or retain its market share.</w:t>
      </w:r>
    </w:p>
    <w:p w14:paraId="2D0A21F3" w14:textId="77777777" w:rsidR="004814D1" w:rsidRPr="004B063A" w:rsidRDefault="004814D1" w:rsidP="00066A98">
      <w:pPr>
        <w:pStyle w:val="BodyTextMain"/>
        <w:rPr>
          <w:lang w:val="en-GB"/>
        </w:rPr>
      </w:pPr>
    </w:p>
    <w:p w14:paraId="144AC484" w14:textId="77777777" w:rsidR="00066A98" w:rsidRPr="004B063A" w:rsidRDefault="00066A98" w:rsidP="00066A98">
      <w:pPr>
        <w:pStyle w:val="BodyTextMain"/>
        <w:rPr>
          <w:lang w:val="en-GB"/>
        </w:rPr>
      </w:pPr>
    </w:p>
    <w:p w14:paraId="78ED61A5" w14:textId="6CD3ED7A" w:rsidR="00E55448" w:rsidRPr="004B063A" w:rsidRDefault="00E55448" w:rsidP="007D6D2D">
      <w:pPr>
        <w:pStyle w:val="Casehead1"/>
        <w:rPr>
          <w:lang w:val="en-GB"/>
        </w:rPr>
      </w:pPr>
      <w:r w:rsidRPr="004B063A">
        <w:rPr>
          <w:lang w:val="en-GB"/>
        </w:rPr>
        <w:t>THE OFFERS</w:t>
      </w:r>
    </w:p>
    <w:p w14:paraId="1361AD7C" w14:textId="77777777" w:rsidR="00066A98" w:rsidRPr="004B063A" w:rsidRDefault="00066A98" w:rsidP="00E55448">
      <w:pPr>
        <w:pStyle w:val="BodyTextMain"/>
        <w:rPr>
          <w:lang w:val="en-GB"/>
        </w:rPr>
      </w:pPr>
    </w:p>
    <w:p w14:paraId="67B6CB2B" w14:textId="5EDDD9FC" w:rsidR="00E55448" w:rsidRPr="004B063A" w:rsidRDefault="008B49D2" w:rsidP="00E55448">
      <w:pPr>
        <w:pStyle w:val="BodyTextMain"/>
        <w:rPr>
          <w:lang w:val="en-GB"/>
        </w:rPr>
      </w:pPr>
      <w:r w:rsidRPr="004B063A">
        <w:rPr>
          <w:lang w:val="en-GB"/>
        </w:rPr>
        <w:t xml:space="preserve">In late 2014, </w:t>
      </w:r>
      <w:proofErr w:type="spellStart"/>
      <w:r w:rsidRPr="004B063A">
        <w:rPr>
          <w:lang w:val="en-GB"/>
        </w:rPr>
        <w:t>Unicommerce</w:t>
      </w:r>
      <w:proofErr w:type="spellEnd"/>
      <w:r w:rsidRPr="004B063A">
        <w:rPr>
          <w:lang w:val="en-GB"/>
        </w:rPr>
        <w:t xml:space="preserve"> received a </w:t>
      </w:r>
      <w:r w:rsidR="00491286">
        <w:rPr>
          <w:lang w:val="en-GB"/>
        </w:rPr>
        <w:t>$10 million</w:t>
      </w:r>
      <w:r w:rsidRPr="004B063A">
        <w:rPr>
          <w:lang w:val="en-GB"/>
        </w:rPr>
        <w:t xml:space="preserve"> funding offer from Tiger Global, a </w:t>
      </w:r>
      <w:r w:rsidR="00491286">
        <w:rPr>
          <w:lang w:val="en-GB"/>
        </w:rPr>
        <w:t>US-based</w:t>
      </w:r>
      <w:r w:rsidRPr="004B063A">
        <w:rPr>
          <w:lang w:val="en-GB"/>
        </w:rPr>
        <w:t xml:space="preserve"> </w:t>
      </w:r>
      <w:r w:rsidR="00F85B44">
        <w:rPr>
          <w:lang w:val="en-GB"/>
        </w:rPr>
        <w:t>VC</w:t>
      </w:r>
      <w:r w:rsidRPr="004B063A">
        <w:rPr>
          <w:lang w:val="en-GB"/>
        </w:rPr>
        <w:t xml:space="preserve"> fund</w:t>
      </w:r>
      <w:r w:rsidR="00476545">
        <w:rPr>
          <w:lang w:val="en-GB"/>
        </w:rPr>
        <w:t xml:space="preserve"> founded in March 2001 (see Exhibit 6)</w:t>
      </w:r>
      <w:r w:rsidRPr="004B063A">
        <w:rPr>
          <w:lang w:val="en-GB"/>
        </w:rPr>
        <w:t>. Tiger Global was one of the largest investors in Flipkart</w:t>
      </w:r>
      <w:r w:rsidR="00491286">
        <w:rPr>
          <w:lang w:val="en-GB"/>
        </w:rPr>
        <w:t xml:space="preserve"> and </w:t>
      </w:r>
      <w:r w:rsidRPr="004B063A">
        <w:rPr>
          <w:lang w:val="en-GB"/>
        </w:rPr>
        <w:t xml:space="preserve">Amazon. Lee </w:t>
      </w:r>
      <w:proofErr w:type="spellStart"/>
      <w:r w:rsidRPr="004B063A">
        <w:rPr>
          <w:lang w:val="en-GB"/>
        </w:rPr>
        <w:t>Fixel</w:t>
      </w:r>
      <w:proofErr w:type="spellEnd"/>
      <w:r w:rsidRPr="004B063A">
        <w:rPr>
          <w:lang w:val="en-GB"/>
        </w:rPr>
        <w:t>, head of Tiger Global</w:t>
      </w:r>
      <w:r w:rsidR="00682D79">
        <w:rPr>
          <w:lang w:val="en-GB"/>
        </w:rPr>
        <w:t>,</w:t>
      </w:r>
      <w:r w:rsidRPr="004B063A">
        <w:rPr>
          <w:lang w:val="en-GB"/>
        </w:rPr>
        <w:t xml:space="preserve"> had a huge role to play in shaping the Indian e-commerce industry. He was known for being very fast in </w:t>
      </w:r>
      <w:r w:rsidR="001B3691" w:rsidRPr="004B063A">
        <w:rPr>
          <w:lang w:val="en-GB"/>
        </w:rPr>
        <w:t>deal making</w:t>
      </w:r>
      <w:r w:rsidR="00682D79">
        <w:rPr>
          <w:lang w:val="en-GB"/>
        </w:rPr>
        <w:t>,</w:t>
      </w:r>
      <w:r w:rsidRPr="004B063A">
        <w:rPr>
          <w:lang w:val="en-GB"/>
        </w:rPr>
        <w:t xml:space="preserve"> and</w:t>
      </w:r>
      <w:r w:rsidR="00682D79">
        <w:rPr>
          <w:lang w:val="en-GB"/>
        </w:rPr>
        <w:t xml:space="preserve"> he</w:t>
      </w:r>
      <w:r w:rsidRPr="004B063A">
        <w:rPr>
          <w:lang w:val="en-GB"/>
        </w:rPr>
        <w:t xml:space="preserve"> </w:t>
      </w:r>
      <w:r w:rsidR="00682D79">
        <w:rPr>
          <w:lang w:val="en-GB"/>
        </w:rPr>
        <w:t>gave</w:t>
      </w:r>
      <w:r w:rsidR="00682D79" w:rsidRPr="004B063A">
        <w:rPr>
          <w:lang w:val="en-GB"/>
        </w:rPr>
        <w:t xml:space="preserve"> </w:t>
      </w:r>
      <w:r w:rsidRPr="004B063A">
        <w:rPr>
          <w:lang w:val="en-GB"/>
        </w:rPr>
        <w:t xml:space="preserve">full operating freedom to the entrepreneur after providing </w:t>
      </w:r>
      <w:r w:rsidR="003F24A2">
        <w:rPr>
          <w:lang w:val="en-GB"/>
        </w:rPr>
        <w:t>them</w:t>
      </w:r>
      <w:r w:rsidRPr="004B063A">
        <w:rPr>
          <w:lang w:val="en-GB"/>
        </w:rPr>
        <w:t xml:space="preserve"> with the finances. Indian VC firms were wary of betting against the companies </w:t>
      </w:r>
      <w:r w:rsidR="00C50DA0">
        <w:rPr>
          <w:lang w:val="en-GB"/>
        </w:rPr>
        <w:t xml:space="preserve">in which </w:t>
      </w:r>
      <w:r w:rsidRPr="004B063A">
        <w:rPr>
          <w:lang w:val="en-GB"/>
        </w:rPr>
        <w:t>Tiger</w:t>
      </w:r>
      <w:r w:rsidR="00C50DA0" w:rsidRPr="004B063A">
        <w:rPr>
          <w:lang w:val="en-GB"/>
        </w:rPr>
        <w:t xml:space="preserve"> Global</w:t>
      </w:r>
      <w:r w:rsidRPr="004B063A">
        <w:rPr>
          <w:lang w:val="en-GB"/>
        </w:rPr>
        <w:t xml:space="preserve"> had invested.</w:t>
      </w:r>
      <w:r w:rsidR="007F6417" w:rsidRPr="004B063A">
        <w:rPr>
          <w:lang w:val="en-GB"/>
        </w:rPr>
        <w:t xml:space="preserve"> </w:t>
      </w:r>
      <w:r w:rsidR="009A2251" w:rsidRPr="004B063A">
        <w:rPr>
          <w:lang w:val="en-GB"/>
        </w:rPr>
        <w:t xml:space="preserve">Within </w:t>
      </w:r>
      <w:r w:rsidR="00682D79">
        <w:rPr>
          <w:lang w:val="en-GB"/>
        </w:rPr>
        <w:t>start-up</w:t>
      </w:r>
      <w:r w:rsidR="00682D79" w:rsidRPr="004B063A">
        <w:rPr>
          <w:lang w:val="en-GB"/>
        </w:rPr>
        <w:t xml:space="preserve"> </w:t>
      </w:r>
      <w:r w:rsidR="009A2251" w:rsidRPr="004B063A">
        <w:rPr>
          <w:lang w:val="en-GB"/>
        </w:rPr>
        <w:t xml:space="preserve">circles, Lee </w:t>
      </w:r>
      <w:proofErr w:type="spellStart"/>
      <w:r w:rsidR="009A2251" w:rsidRPr="004B063A">
        <w:rPr>
          <w:lang w:val="en-GB"/>
        </w:rPr>
        <w:t>Fixel</w:t>
      </w:r>
      <w:proofErr w:type="spellEnd"/>
      <w:r w:rsidR="009A2251" w:rsidRPr="004B063A">
        <w:rPr>
          <w:lang w:val="en-GB"/>
        </w:rPr>
        <w:t xml:space="preserve"> was </w:t>
      </w:r>
      <w:r w:rsidR="003F24A2">
        <w:rPr>
          <w:lang w:val="en-GB"/>
        </w:rPr>
        <w:t xml:space="preserve">seen </w:t>
      </w:r>
      <w:r w:rsidR="009A2251" w:rsidRPr="004B063A">
        <w:rPr>
          <w:lang w:val="en-GB"/>
        </w:rPr>
        <w:t xml:space="preserve">as a </w:t>
      </w:r>
      <w:r w:rsidR="00320463">
        <w:rPr>
          <w:lang w:val="en-GB"/>
        </w:rPr>
        <w:t>clear-headed</w:t>
      </w:r>
      <w:r w:rsidR="009A2251" w:rsidRPr="004B063A">
        <w:rPr>
          <w:lang w:val="en-GB"/>
        </w:rPr>
        <w:t xml:space="preserve"> investor who was always available for his investee companies. He </w:t>
      </w:r>
      <w:r w:rsidR="001440A9" w:rsidRPr="004B063A">
        <w:rPr>
          <w:lang w:val="en-GB"/>
        </w:rPr>
        <w:t>had identified India as its next growth market</w:t>
      </w:r>
      <w:r w:rsidR="00797F9D">
        <w:rPr>
          <w:lang w:val="en-GB"/>
        </w:rPr>
        <w:t>,</w:t>
      </w:r>
      <w:r w:rsidR="009A2251" w:rsidRPr="004B063A">
        <w:rPr>
          <w:lang w:val="en-GB"/>
        </w:rPr>
        <w:t xml:space="preserve"> and was prompt in replying back to emails from the </w:t>
      </w:r>
      <w:r w:rsidR="00797F9D">
        <w:rPr>
          <w:lang w:val="en-GB"/>
        </w:rPr>
        <w:t>investee company founders—he usually replied</w:t>
      </w:r>
      <w:r w:rsidR="009A2251" w:rsidRPr="004B063A">
        <w:rPr>
          <w:lang w:val="en-GB"/>
        </w:rPr>
        <w:t xml:space="preserve"> within an hour. He believed that founders should achieve financial freedom quickly so that they </w:t>
      </w:r>
      <w:r w:rsidR="00320463">
        <w:rPr>
          <w:lang w:val="en-GB"/>
        </w:rPr>
        <w:t>could</w:t>
      </w:r>
      <w:r w:rsidR="00320463" w:rsidRPr="004B063A">
        <w:rPr>
          <w:lang w:val="en-GB"/>
        </w:rPr>
        <w:t xml:space="preserve"> </w:t>
      </w:r>
      <w:r w:rsidR="009A2251" w:rsidRPr="004B063A">
        <w:rPr>
          <w:lang w:val="en-GB"/>
        </w:rPr>
        <w:t xml:space="preserve">focus on building their </w:t>
      </w:r>
      <w:r w:rsidR="00320463">
        <w:rPr>
          <w:lang w:val="en-GB"/>
        </w:rPr>
        <w:t>start-ups</w:t>
      </w:r>
      <w:r w:rsidR="00320463" w:rsidRPr="004B063A">
        <w:rPr>
          <w:lang w:val="en-GB"/>
        </w:rPr>
        <w:t xml:space="preserve"> </w:t>
      </w:r>
      <w:r w:rsidR="009A2251" w:rsidRPr="004B063A">
        <w:rPr>
          <w:lang w:val="en-GB"/>
        </w:rPr>
        <w:t>without worrying too much</w:t>
      </w:r>
      <w:r w:rsidR="00B127A3" w:rsidRPr="004B063A">
        <w:rPr>
          <w:lang w:val="en-GB"/>
        </w:rPr>
        <w:t>.</w:t>
      </w:r>
      <w:r w:rsidR="00E55448" w:rsidRPr="004B063A">
        <w:rPr>
          <w:rStyle w:val="FootnoteReference"/>
          <w:lang w:val="en-GB"/>
        </w:rPr>
        <w:footnoteReference w:id="20"/>
      </w:r>
      <w:r w:rsidR="00E55448" w:rsidRPr="004B063A">
        <w:rPr>
          <w:lang w:val="en-GB"/>
        </w:rPr>
        <w:t xml:space="preserve"> </w:t>
      </w:r>
    </w:p>
    <w:p w14:paraId="341CA355" w14:textId="77777777" w:rsidR="00E55448" w:rsidRPr="004B063A" w:rsidRDefault="00E55448" w:rsidP="00E55448">
      <w:pPr>
        <w:pStyle w:val="BodyTextMain"/>
        <w:rPr>
          <w:lang w:val="en-GB"/>
        </w:rPr>
      </w:pPr>
    </w:p>
    <w:p w14:paraId="49B2CFBE" w14:textId="5A521DD2" w:rsidR="00E55448" w:rsidRPr="00D36075" w:rsidRDefault="00B127A3" w:rsidP="00E55448">
      <w:pPr>
        <w:pStyle w:val="BodyTextMain"/>
        <w:rPr>
          <w:spacing w:val="-2"/>
          <w:lang w:val="en-GB"/>
        </w:rPr>
      </w:pPr>
      <w:r w:rsidRPr="00D36075">
        <w:rPr>
          <w:spacing w:val="-2"/>
          <w:lang w:val="en-GB"/>
        </w:rPr>
        <w:t xml:space="preserve">The second offer from </w:t>
      </w:r>
      <w:proofErr w:type="spellStart"/>
      <w:r w:rsidRPr="00D36075">
        <w:rPr>
          <w:spacing w:val="-2"/>
          <w:lang w:val="en-GB"/>
        </w:rPr>
        <w:t>Snapdeal</w:t>
      </w:r>
      <w:proofErr w:type="spellEnd"/>
      <w:r w:rsidRPr="00D36075">
        <w:rPr>
          <w:spacing w:val="-2"/>
          <w:lang w:val="en-GB"/>
        </w:rPr>
        <w:t xml:space="preserve"> </w:t>
      </w:r>
      <w:r w:rsidR="00924E99" w:rsidRPr="00D36075">
        <w:rPr>
          <w:spacing w:val="-2"/>
          <w:lang w:val="en-GB"/>
        </w:rPr>
        <w:t xml:space="preserve">(see Exhibit 7) </w:t>
      </w:r>
      <w:r w:rsidR="00320463" w:rsidRPr="00D36075">
        <w:rPr>
          <w:spacing w:val="-2"/>
          <w:lang w:val="en-GB"/>
        </w:rPr>
        <w:t>was very much</w:t>
      </w:r>
      <w:r w:rsidRPr="00D36075">
        <w:rPr>
          <w:spacing w:val="-2"/>
          <w:lang w:val="en-GB"/>
        </w:rPr>
        <w:t xml:space="preserve"> unlike the offer from Tiger Global. </w:t>
      </w:r>
      <w:proofErr w:type="spellStart"/>
      <w:r w:rsidRPr="00D36075">
        <w:rPr>
          <w:spacing w:val="-2"/>
          <w:lang w:val="en-GB"/>
        </w:rPr>
        <w:t>Snapdeal</w:t>
      </w:r>
      <w:proofErr w:type="spellEnd"/>
      <w:r w:rsidRPr="00D36075">
        <w:rPr>
          <w:spacing w:val="-2"/>
          <w:lang w:val="en-GB"/>
        </w:rPr>
        <w:t xml:space="preserve"> was offering to buy out the founders and merge </w:t>
      </w:r>
      <w:proofErr w:type="spellStart"/>
      <w:r w:rsidRPr="00D36075">
        <w:rPr>
          <w:spacing w:val="-2"/>
          <w:lang w:val="en-GB"/>
        </w:rPr>
        <w:t>Unicommerce</w:t>
      </w:r>
      <w:proofErr w:type="spellEnd"/>
      <w:r w:rsidRPr="00D36075">
        <w:rPr>
          <w:spacing w:val="-2"/>
          <w:lang w:val="en-GB"/>
        </w:rPr>
        <w:t xml:space="preserve"> with </w:t>
      </w:r>
      <w:proofErr w:type="spellStart"/>
      <w:r w:rsidRPr="00D36075">
        <w:rPr>
          <w:spacing w:val="-2"/>
          <w:lang w:val="en-GB"/>
        </w:rPr>
        <w:t>Snapdeal</w:t>
      </w:r>
      <w:proofErr w:type="spellEnd"/>
      <w:r w:rsidRPr="00D36075">
        <w:rPr>
          <w:spacing w:val="-2"/>
          <w:lang w:val="en-GB"/>
        </w:rPr>
        <w:t xml:space="preserve">. Until receiving the offer from </w:t>
      </w:r>
      <w:proofErr w:type="spellStart"/>
      <w:r w:rsidRPr="00D36075">
        <w:rPr>
          <w:spacing w:val="-2"/>
          <w:lang w:val="en-GB"/>
        </w:rPr>
        <w:t>Snapdeal</w:t>
      </w:r>
      <w:proofErr w:type="spellEnd"/>
      <w:r w:rsidRPr="00D36075">
        <w:rPr>
          <w:spacing w:val="-2"/>
          <w:lang w:val="en-GB"/>
        </w:rPr>
        <w:t xml:space="preserve">, the team had never thought about selling their business venture. </w:t>
      </w:r>
      <w:proofErr w:type="spellStart"/>
      <w:r w:rsidRPr="00D36075">
        <w:rPr>
          <w:spacing w:val="-2"/>
          <w:lang w:val="en-GB"/>
        </w:rPr>
        <w:t>Snapdeal</w:t>
      </w:r>
      <w:proofErr w:type="spellEnd"/>
      <w:r w:rsidRPr="00D36075">
        <w:rPr>
          <w:spacing w:val="-2"/>
          <w:lang w:val="en-GB"/>
        </w:rPr>
        <w:t xml:space="preserve"> was one of their earliest customers. It had transitioned into a marketplace system earlier than Flipkart and hence had a larger number of sellers on its platform. With a growth of 600 </w:t>
      </w:r>
      <w:r w:rsidR="00320463" w:rsidRPr="00D36075">
        <w:rPr>
          <w:spacing w:val="-2"/>
          <w:lang w:val="en-GB"/>
        </w:rPr>
        <w:t xml:space="preserve">per cent </w:t>
      </w:r>
      <w:r w:rsidRPr="00D36075">
        <w:rPr>
          <w:spacing w:val="-2"/>
          <w:lang w:val="en-GB"/>
        </w:rPr>
        <w:t xml:space="preserve">over the past year, </w:t>
      </w:r>
      <w:proofErr w:type="spellStart"/>
      <w:r w:rsidRPr="00D36075">
        <w:rPr>
          <w:spacing w:val="-2"/>
          <w:lang w:val="en-GB"/>
        </w:rPr>
        <w:t>Snapdeal</w:t>
      </w:r>
      <w:proofErr w:type="spellEnd"/>
      <w:r w:rsidRPr="00D36075">
        <w:rPr>
          <w:spacing w:val="-2"/>
          <w:lang w:val="en-GB"/>
        </w:rPr>
        <w:t xml:space="preserve"> had broken many records in the e-commerce space.</w:t>
      </w:r>
      <w:r w:rsidR="00E55448" w:rsidRPr="00D36075">
        <w:rPr>
          <w:spacing w:val="-2"/>
          <w:vertAlign w:val="superscript"/>
          <w:lang w:val="en-GB"/>
        </w:rPr>
        <w:footnoteReference w:id="21"/>
      </w:r>
      <w:r w:rsidR="00E55448" w:rsidRPr="00D36075">
        <w:rPr>
          <w:spacing w:val="-2"/>
          <w:lang w:val="en-GB"/>
        </w:rPr>
        <w:t xml:space="preserve"> </w:t>
      </w:r>
      <w:r w:rsidRPr="00D36075">
        <w:rPr>
          <w:spacing w:val="-2"/>
          <w:lang w:val="en-GB"/>
        </w:rPr>
        <w:t xml:space="preserve">It had recently acquired funding from </w:t>
      </w:r>
      <w:proofErr w:type="spellStart"/>
      <w:r w:rsidR="003F24A2" w:rsidRPr="00D36075">
        <w:rPr>
          <w:spacing w:val="-2"/>
          <w:lang w:val="en-GB"/>
        </w:rPr>
        <w:t>SoftBank</w:t>
      </w:r>
      <w:proofErr w:type="spellEnd"/>
      <w:r w:rsidRPr="00D36075">
        <w:rPr>
          <w:spacing w:val="-2"/>
          <w:lang w:val="en-GB"/>
        </w:rPr>
        <w:t xml:space="preserve">. As a part of the deal, Nikesh Arora, </w:t>
      </w:r>
      <w:r w:rsidR="00320463" w:rsidRPr="00D36075">
        <w:rPr>
          <w:spacing w:val="-2"/>
          <w:lang w:val="en-GB"/>
        </w:rPr>
        <w:t>president and chief operating officer</w:t>
      </w:r>
      <w:r w:rsidR="003F24A2" w:rsidRPr="00D36075">
        <w:rPr>
          <w:spacing w:val="-2"/>
          <w:lang w:val="en-GB"/>
        </w:rPr>
        <w:t xml:space="preserve"> of</w:t>
      </w:r>
      <w:r w:rsidRPr="00D36075">
        <w:rPr>
          <w:spacing w:val="-2"/>
          <w:lang w:val="en-GB"/>
        </w:rPr>
        <w:t xml:space="preserve"> </w:t>
      </w:r>
      <w:proofErr w:type="spellStart"/>
      <w:r w:rsidR="003F24A2" w:rsidRPr="00D36075">
        <w:rPr>
          <w:spacing w:val="-2"/>
          <w:lang w:val="en-GB"/>
        </w:rPr>
        <w:t>SoftBank</w:t>
      </w:r>
      <w:proofErr w:type="spellEnd"/>
      <w:r w:rsidR="00320463" w:rsidRPr="00D36075">
        <w:rPr>
          <w:spacing w:val="-2"/>
          <w:lang w:val="en-GB"/>
        </w:rPr>
        <w:t>,</w:t>
      </w:r>
      <w:r w:rsidRPr="00D36075">
        <w:rPr>
          <w:spacing w:val="-2"/>
          <w:lang w:val="en-GB"/>
        </w:rPr>
        <w:t xml:space="preserve"> had joined the board. </w:t>
      </w:r>
      <w:proofErr w:type="spellStart"/>
      <w:r w:rsidRPr="00D36075">
        <w:rPr>
          <w:spacing w:val="-2"/>
          <w:lang w:val="en-GB"/>
        </w:rPr>
        <w:t>Kunal</w:t>
      </w:r>
      <w:proofErr w:type="spellEnd"/>
      <w:r w:rsidRPr="00D36075">
        <w:rPr>
          <w:spacing w:val="-2"/>
          <w:lang w:val="en-GB"/>
        </w:rPr>
        <w:t xml:space="preserve"> </w:t>
      </w:r>
      <w:proofErr w:type="spellStart"/>
      <w:r w:rsidRPr="00D36075">
        <w:rPr>
          <w:spacing w:val="-2"/>
          <w:lang w:val="en-GB"/>
        </w:rPr>
        <w:t>Bahl</w:t>
      </w:r>
      <w:proofErr w:type="spellEnd"/>
      <w:r w:rsidR="003F24A2" w:rsidRPr="00D36075">
        <w:rPr>
          <w:spacing w:val="-2"/>
          <w:lang w:val="en-GB"/>
        </w:rPr>
        <w:t xml:space="preserve">, one of </w:t>
      </w:r>
      <w:proofErr w:type="spellStart"/>
      <w:r w:rsidR="003F24A2" w:rsidRPr="00D36075">
        <w:rPr>
          <w:spacing w:val="-2"/>
          <w:lang w:val="en-GB"/>
        </w:rPr>
        <w:t>Snapdeal’s</w:t>
      </w:r>
      <w:proofErr w:type="spellEnd"/>
      <w:r w:rsidR="003F24A2" w:rsidRPr="00D36075">
        <w:rPr>
          <w:spacing w:val="-2"/>
          <w:lang w:val="en-GB"/>
        </w:rPr>
        <w:t xml:space="preserve"> co-founders,</w:t>
      </w:r>
      <w:r w:rsidRPr="00D36075">
        <w:rPr>
          <w:spacing w:val="-2"/>
          <w:lang w:val="en-GB"/>
        </w:rPr>
        <w:t xml:space="preserve"> envisaged </w:t>
      </w:r>
      <w:proofErr w:type="spellStart"/>
      <w:r w:rsidRPr="00D36075">
        <w:rPr>
          <w:spacing w:val="-2"/>
          <w:lang w:val="en-GB"/>
        </w:rPr>
        <w:t>Snapdeal</w:t>
      </w:r>
      <w:proofErr w:type="spellEnd"/>
      <w:r w:rsidRPr="00D36075">
        <w:rPr>
          <w:spacing w:val="-2"/>
          <w:lang w:val="en-GB"/>
        </w:rPr>
        <w:t xml:space="preserve"> as a technology </w:t>
      </w:r>
      <w:r w:rsidR="0031343D" w:rsidRPr="00D36075">
        <w:rPr>
          <w:spacing w:val="-2"/>
          <w:lang w:val="en-GB"/>
        </w:rPr>
        <w:t>company</w:t>
      </w:r>
      <w:r w:rsidR="00320463" w:rsidRPr="00D36075">
        <w:rPr>
          <w:spacing w:val="-2"/>
          <w:lang w:val="en-GB"/>
        </w:rPr>
        <w:t xml:space="preserve"> that</w:t>
      </w:r>
      <w:r w:rsidRPr="00D36075">
        <w:rPr>
          <w:spacing w:val="-2"/>
          <w:lang w:val="en-GB"/>
        </w:rPr>
        <w:t xml:space="preserve"> enabled others to do e-commerce. He was willing to invest in technology both organically </w:t>
      </w:r>
      <w:r w:rsidR="00320463" w:rsidRPr="00D36075">
        <w:rPr>
          <w:spacing w:val="-2"/>
          <w:lang w:val="en-GB"/>
        </w:rPr>
        <w:t>and</w:t>
      </w:r>
      <w:r w:rsidRPr="00D36075">
        <w:rPr>
          <w:spacing w:val="-2"/>
          <w:lang w:val="en-GB"/>
        </w:rPr>
        <w:t xml:space="preserve"> inorganically.</w:t>
      </w:r>
      <w:r w:rsidR="00E55448" w:rsidRPr="00D36075">
        <w:rPr>
          <w:spacing w:val="-2"/>
          <w:vertAlign w:val="superscript"/>
          <w:lang w:val="en-GB"/>
        </w:rPr>
        <w:footnoteReference w:id="22"/>
      </w:r>
      <w:r w:rsidR="00E55448" w:rsidRPr="00D36075">
        <w:rPr>
          <w:spacing w:val="-2"/>
          <w:lang w:val="en-GB"/>
        </w:rPr>
        <w:t xml:space="preserve"> </w:t>
      </w:r>
      <w:r w:rsidRPr="00D36075">
        <w:rPr>
          <w:spacing w:val="-2"/>
          <w:lang w:val="en-GB"/>
        </w:rPr>
        <w:t xml:space="preserve">Over the past year, </w:t>
      </w:r>
      <w:proofErr w:type="spellStart"/>
      <w:r w:rsidRPr="00D36075">
        <w:rPr>
          <w:spacing w:val="-2"/>
          <w:lang w:val="en-GB"/>
        </w:rPr>
        <w:t>Snapdeal</w:t>
      </w:r>
      <w:proofErr w:type="spellEnd"/>
      <w:r w:rsidRPr="00D36075">
        <w:rPr>
          <w:spacing w:val="-2"/>
          <w:lang w:val="en-GB"/>
        </w:rPr>
        <w:t xml:space="preserve"> had acquired online </w:t>
      </w:r>
      <w:r w:rsidR="00320463" w:rsidRPr="00D36075">
        <w:rPr>
          <w:spacing w:val="-2"/>
          <w:lang w:val="en-GB"/>
        </w:rPr>
        <w:t>product-discovery</w:t>
      </w:r>
      <w:r w:rsidRPr="00D36075">
        <w:rPr>
          <w:spacing w:val="-2"/>
          <w:lang w:val="en-GB"/>
        </w:rPr>
        <w:t xml:space="preserve"> platform </w:t>
      </w:r>
      <w:proofErr w:type="spellStart"/>
      <w:r w:rsidRPr="00D36075">
        <w:rPr>
          <w:spacing w:val="-2"/>
          <w:lang w:val="en-GB"/>
        </w:rPr>
        <w:t>Doozton</w:t>
      </w:r>
      <w:proofErr w:type="spellEnd"/>
      <w:r w:rsidRPr="00D36075">
        <w:rPr>
          <w:spacing w:val="-2"/>
          <w:lang w:val="en-GB"/>
        </w:rPr>
        <w:t xml:space="preserve">, </w:t>
      </w:r>
      <w:proofErr w:type="spellStart"/>
      <w:r w:rsidRPr="00D36075">
        <w:rPr>
          <w:spacing w:val="-2"/>
          <w:lang w:val="en-GB"/>
        </w:rPr>
        <w:t>Shoppo</w:t>
      </w:r>
      <w:proofErr w:type="spellEnd"/>
      <w:r w:rsidR="00C21354" w:rsidRPr="00D36075">
        <w:rPr>
          <w:spacing w:val="-2"/>
          <w:lang w:val="en-GB"/>
        </w:rPr>
        <w:t xml:space="preserve"> (</w:t>
      </w:r>
      <w:r w:rsidRPr="00D36075">
        <w:rPr>
          <w:spacing w:val="-2"/>
          <w:lang w:val="en-GB"/>
        </w:rPr>
        <w:t>an online marketplace for handicraft</w:t>
      </w:r>
      <w:r w:rsidR="00797F9D" w:rsidRPr="00D36075">
        <w:rPr>
          <w:spacing w:val="-2"/>
          <w:lang w:val="en-GB"/>
        </w:rPr>
        <w:t>s</w:t>
      </w:r>
      <w:r w:rsidR="00C21354" w:rsidRPr="00D36075">
        <w:rPr>
          <w:spacing w:val="-2"/>
          <w:lang w:val="en-GB"/>
        </w:rPr>
        <w:t>)</w:t>
      </w:r>
      <w:r w:rsidR="00C676C7" w:rsidRPr="00D36075">
        <w:rPr>
          <w:spacing w:val="-2"/>
          <w:lang w:val="en-GB"/>
        </w:rPr>
        <w:t>,</w:t>
      </w:r>
      <w:r w:rsidRPr="00D36075">
        <w:rPr>
          <w:spacing w:val="-2"/>
          <w:lang w:val="en-GB"/>
        </w:rPr>
        <w:t xml:space="preserve"> and </w:t>
      </w:r>
      <w:r w:rsidR="00C21354" w:rsidRPr="00D36075">
        <w:rPr>
          <w:spacing w:val="-2"/>
          <w:lang w:val="en-GB"/>
        </w:rPr>
        <w:t>gift-recommendation</w:t>
      </w:r>
      <w:r w:rsidRPr="00D36075">
        <w:rPr>
          <w:spacing w:val="-2"/>
          <w:lang w:val="en-GB"/>
        </w:rPr>
        <w:t xml:space="preserve"> site </w:t>
      </w:r>
      <w:r w:rsidR="00C676C7" w:rsidRPr="00D36075">
        <w:rPr>
          <w:spacing w:val="-2"/>
          <w:lang w:val="en-GB"/>
        </w:rPr>
        <w:t>Wishpicker.com</w:t>
      </w:r>
      <w:r w:rsidRPr="00D36075">
        <w:rPr>
          <w:spacing w:val="-2"/>
          <w:lang w:val="en-GB"/>
        </w:rPr>
        <w:t xml:space="preserve">. </w:t>
      </w:r>
      <w:proofErr w:type="spellStart"/>
      <w:r w:rsidR="00881C8E" w:rsidRPr="00D36075">
        <w:rPr>
          <w:spacing w:val="-2"/>
          <w:lang w:val="en-GB"/>
        </w:rPr>
        <w:t>Pruthi</w:t>
      </w:r>
      <w:proofErr w:type="spellEnd"/>
      <w:r w:rsidRPr="00D36075">
        <w:rPr>
          <w:spacing w:val="-2"/>
          <w:lang w:val="en-GB"/>
        </w:rPr>
        <w:t xml:space="preserve"> and the team had worked with </w:t>
      </w:r>
      <w:proofErr w:type="spellStart"/>
      <w:r w:rsidRPr="00D36075">
        <w:rPr>
          <w:spacing w:val="-2"/>
          <w:lang w:val="en-GB"/>
        </w:rPr>
        <w:t>Kunal</w:t>
      </w:r>
      <w:proofErr w:type="spellEnd"/>
      <w:r w:rsidRPr="00D36075">
        <w:rPr>
          <w:spacing w:val="-2"/>
          <w:lang w:val="en-GB"/>
        </w:rPr>
        <w:t xml:space="preserve"> and </w:t>
      </w:r>
      <w:proofErr w:type="spellStart"/>
      <w:r w:rsidRPr="00D36075">
        <w:rPr>
          <w:spacing w:val="-2"/>
          <w:lang w:val="en-GB"/>
        </w:rPr>
        <w:t>Rohit</w:t>
      </w:r>
      <w:proofErr w:type="spellEnd"/>
      <w:r w:rsidRPr="00D36075">
        <w:rPr>
          <w:spacing w:val="-2"/>
          <w:lang w:val="en-GB"/>
        </w:rPr>
        <w:t xml:space="preserve"> since 2012. They were familiar with the founders as well as the working culture and structure at </w:t>
      </w:r>
      <w:proofErr w:type="spellStart"/>
      <w:r w:rsidRPr="00D36075">
        <w:rPr>
          <w:spacing w:val="-2"/>
          <w:lang w:val="en-GB"/>
        </w:rPr>
        <w:t>Snapdeal</w:t>
      </w:r>
      <w:proofErr w:type="spellEnd"/>
      <w:r w:rsidRPr="00D36075">
        <w:rPr>
          <w:spacing w:val="-2"/>
          <w:lang w:val="en-GB"/>
        </w:rPr>
        <w:t xml:space="preserve">. </w:t>
      </w:r>
      <w:r w:rsidR="00DA27F9" w:rsidRPr="00D36075">
        <w:rPr>
          <w:spacing w:val="-2"/>
          <w:lang w:val="en-GB"/>
        </w:rPr>
        <w:t xml:space="preserve"> </w:t>
      </w:r>
    </w:p>
    <w:p w14:paraId="3390E8AC" w14:textId="77777777" w:rsidR="00B127A3" w:rsidRPr="004B063A" w:rsidRDefault="00B127A3" w:rsidP="00E55448">
      <w:pPr>
        <w:pStyle w:val="BodyTextMain"/>
        <w:rPr>
          <w:lang w:val="en-GB"/>
        </w:rPr>
      </w:pPr>
    </w:p>
    <w:p w14:paraId="06197442" w14:textId="33A209EC" w:rsidR="00D36075" w:rsidRDefault="00881C8E" w:rsidP="001917FC">
      <w:pPr>
        <w:pStyle w:val="BodyTextMain"/>
        <w:rPr>
          <w:spacing w:val="-2"/>
          <w:lang w:val="en-GB"/>
        </w:rPr>
      </w:pPr>
      <w:proofErr w:type="spellStart"/>
      <w:r>
        <w:rPr>
          <w:spacing w:val="-2"/>
          <w:lang w:val="en-GB"/>
        </w:rPr>
        <w:t>Pruthi</w:t>
      </w:r>
      <w:proofErr w:type="spellEnd"/>
      <w:r w:rsidR="00B127A3" w:rsidRPr="004B063A">
        <w:rPr>
          <w:spacing w:val="-2"/>
          <w:lang w:val="en-GB"/>
        </w:rPr>
        <w:t xml:space="preserve"> wonder</w:t>
      </w:r>
      <w:r w:rsidR="00C50DA0">
        <w:rPr>
          <w:spacing w:val="-2"/>
          <w:lang w:val="en-GB"/>
        </w:rPr>
        <w:t>ed</w:t>
      </w:r>
      <w:r w:rsidR="00B127A3" w:rsidRPr="004B063A">
        <w:rPr>
          <w:spacing w:val="-2"/>
          <w:lang w:val="en-GB"/>
        </w:rPr>
        <w:t xml:space="preserve"> about the time </w:t>
      </w:r>
      <w:r w:rsidR="00B56031">
        <w:rPr>
          <w:spacing w:val="-2"/>
          <w:lang w:val="en-GB"/>
        </w:rPr>
        <w:t>he and the rest of the team</w:t>
      </w:r>
      <w:r w:rsidR="00B56031" w:rsidRPr="004B063A">
        <w:rPr>
          <w:spacing w:val="-2"/>
          <w:lang w:val="en-GB"/>
        </w:rPr>
        <w:t xml:space="preserve"> </w:t>
      </w:r>
      <w:r w:rsidR="00B127A3" w:rsidRPr="004B063A">
        <w:rPr>
          <w:spacing w:val="-2"/>
          <w:lang w:val="en-GB"/>
        </w:rPr>
        <w:t xml:space="preserve">had spent discussing these options </w:t>
      </w:r>
      <w:r w:rsidR="005A5916">
        <w:rPr>
          <w:spacing w:val="-2"/>
          <w:lang w:val="en-GB"/>
        </w:rPr>
        <w:t>over</w:t>
      </w:r>
      <w:r w:rsidR="005A5916" w:rsidRPr="004B063A">
        <w:rPr>
          <w:spacing w:val="-2"/>
          <w:lang w:val="en-GB"/>
        </w:rPr>
        <w:t xml:space="preserve"> </w:t>
      </w:r>
      <w:r w:rsidR="00B127A3" w:rsidRPr="004B063A">
        <w:rPr>
          <w:spacing w:val="-2"/>
          <w:lang w:val="en-GB"/>
        </w:rPr>
        <w:t xml:space="preserve">the past few weeks. </w:t>
      </w:r>
      <w:r w:rsidR="00B56031">
        <w:rPr>
          <w:spacing w:val="-2"/>
          <w:lang w:val="en-GB"/>
        </w:rPr>
        <w:t>They</w:t>
      </w:r>
      <w:r w:rsidR="00B127A3" w:rsidRPr="004B063A">
        <w:rPr>
          <w:spacing w:val="-2"/>
          <w:lang w:val="en-GB"/>
        </w:rPr>
        <w:t xml:space="preserve"> realized that as the industry consolidated, </w:t>
      </w:r>
      <w:proofErr w:type="spellStart"/>
      <w:r w:rsidR="00B127A3" w:rsidRPr="004B063A">
        <w:rPr>
          <w:spacing w:val="-2"/>
          <w:lang w:val="en-GB"/>
        </w:rPr>
        <w:t>Unicommerce</w:t>
      </w:r>
      <w:proofErr w:type="spellEnd"/>
      <w:r w:rsidR="00B127A3" w:rsidRPr="004B063A">
        <w:rPr>
          <w:spacing w:val="-2"/>
          <w:lang w:val="en-GB"/>
        </w:rPr>
        <w:t xml:space="preserve"> would have to either align with a large e-commerce firm or invest significantly in the development and expansion of technology offerings for long-term growth. </w:t>
      </w:r>
      <w:proofErr w:type="spellStart"/>
      <w:r w:rsidR="00B127A3" w:rsidRPr="004B063A">
        <w:rPr>
          <w:spacing w:val="-2"/>
          <w:lang w:val="en-GB"/>
        </w:rPr>
        <w:t>Unicommerce</w:t>
      </w:r>
      <w:proofErr w:type="spellEnd"/>
      <w:r w:rsidR="00B127A3" w:rsidRPr="004B063A">
        <w:rPr>
          <w:spacing w:val="-2"/>
          <w:lang w:val="en-GB"/>
        </w:rPr>
        <w:t xml:space="preserve"> had come a long way since the three </w:t>
      </w:r>
      <w:r w:rsidR="00476545">
        <w:rPr>
          <w:spacing w:val="-2"/>
          <w:lang w:val="en-GB"/>
        </w:rPr>
        <w:t>entrepreneurs</w:t>
      </w:r>
      <w:r w:rsidR="00B127A3" w:rsidRPr="004B063A">
        <w:rPr>
          <w:spacing w:val="-2"/>
          <w:lang w:val="en-GB"/>
        </w:rPr>
        <w:t xml:space="preserve"> </w:t>
      </w:r>
      <w:r w:rsidR="0073143C">
        <w:rPr>
          <w:spacing w:val="-2"/>
          <w:lang w:val="en-GB"/>
        </w:rPr>
        <w:t xml:space="preserve">had </w:t>
      </w:r>
      <w:r w:rsidR="00B127A3" w:rsidRPr="004B063A">
        <w:rPr>
          <w:spacing w:val="-2"/>
          <w:lang w:val="en-GB"/>
        </w:rPr>
        <w:t>left their jobs</w:t>
      </w:r>
      <w:r w:rsidR="00C50DA0">
        <w:rPr>
          <w:spacing w:val="-2"/>
          <w:lang w:val="en-GB"/>
        </w:rPr>
        <w:t xml:space="preserve"> (see Exhibit 8)</w:t>
      </w:r>
      <w:r w:rsidR="00B127A3" w:rsidRPr="004B063A">
        <w:rPr>
          <w:spacing w:val="-2"/>
          <w:lang w:val="en-GB"/>
        </w:rPr>
        <w:t xml:space="preserve">. They had </w:t>
      </w:r>
      <w:r w:rsidR="00FC191E">
        <w:rPr>
          <w:spacing w:val="-2"/>
          <w:lang w:val="en-GB"/>
        </w:rPr>
        <w:t>worked through the challenges</w:t>
      </w:r>
      <w:r w:rsidR="00B127A3" w:rsidRPr="004B063A">
        <w:rPr>
          <w:spacing w:val="-2"/>
          <w:lang w:val="en-GB"/>
        </w:rPr>
        <w:t xml:space="preserve"> </w:t>
      </w:r>
      <w:r w:rsidR="00B56031">
        <w:rPr>
          <w:spacing w:val="-2"/>
          <w:lang w:val="en-GB"/>
        </w:rPr>
        <w:t>as a team</w:t>
      </w:r>
      <w:r w:rsidR="00B127A3" w:rsidRPr="004B063A">
        <w:rPr>
          <w:spacing w:val="-2"/>
          <w:lang w:val="en-GB"/>
        </w:rPr>
        <w:t xml:space="preserve"> and come out together and stronger. For </w:t>
      </w:r>
      <w:r w:rsidR="0073143C">
        <w:rPr>
          <w:spacing w:val="-2"/>
          <w:lang w:val="en-GB"/>
        </w:rPr>
        <w:t>first-time</w:t>
      </w:r>
      <w:r w:rsidR="00B127A3" w:rsidRPr="004B063A">
        <w:rPr>
          <w:spacing w:val="-2"/>
          <w:lang w:val="en-GB"/>
        </w:rPr>
        <w:t xml:space="preserve"> entrepreneurs, the journey had been nothing less than remarkable</w:t>
      </w:r>
      <w:r w:rsidR="009059C5">
        <w:rPr>
          <w:spacing w:val="-2"/>
          <w:lang w:val="en-GB"/>
        </w:rPr>
        <w:t>, as indicated by the company’s financial growth</w:t>
      </w:r>
      <w:r w:rsidR="00C50DA0">
        <w:rPr>
          <w:spacing w:val="-2"/>
          <w:lang w:val="en-GB"/>
        </w:rPr>
        <w:t xml:space="preserve"> (see Exhibit 9)</w:t>
      </w:r>
      <w:r w:rsidR="00B127A3" w:rsidRPr="004B063A">
        <w:rPr>
          <w:spacing w:val="-2"/>
          <w:lang w:val="en-GB"/>
        </w:rPr>
        <w:t xml:space="preserve">. </w:t>
      </w:r>
      <w:r w:rsidR="009E14F4">
        <w:rPr>
          <w:spacing w:val="-2"/>
          <w:lang w:val="en-GB"/>
        </w:rPr>
        <w:t>Would</w:t>
      </w:r>
      <w:r w:rsidR="009E14F4" w:rsidRPr="004B063A">
        <w:rPr>
          <w:spacing w:val="-2"/>
          <w:lang w:val="en-GB"/>
        </w:rPr>
        <w:t xml:space="preserve"> </w:t>
      </w:r>
      <w:r w:rsidR="00B127A3" w:rsidRPr="004B063A">
        <w:rPr>
          <w:spacing w:val="-2"/>
          <w:lang w:val="en-GB"/>
        </w:rPr>
        <w:t xml:space="preserve">they pursue the buyout interest or </w:t>
      </w:r>
      <w:r w:rsidR="009E14F4">
        <w:rPr>
          <w:spacing w:val="-2"/>
          <w:lang w:val="en-GB"/>
        </w:rPr>
        <w:t>would</w:t>
      </w:r>
      <w:r w:rsidR="009E14F4" w:rsidRPr="004B063A">
        <w:rPr>
          <w:spacing w:val="-2"/>
          <w:lang w:val="en-GB"/>
        </w:rPr>
        <w:t xml:space="preserve"> </w:t>
      </w:r>
      <w:r w:rsidR="00B127A3" w:rsidRPr="004B063A">
        <w:rPr>
          <w:spacing w:val="-2"/>
          <w:lang w:val="en-GB"/>
        </w:rPr>
        <w:t xml:space="preserve">they pursue the investment and build an improved product? </w:t>
      </w:r>
      <w:r w:rsidR="00EA154E">
        <w:rPr>
          <w:spacing w:val="-2"/>
          <w:lang w:val="en-GB"/>
        </w:rPr>
        <w:t>Ankit</w:t>
      </w:r>
      <w:r w:rsidR="00B127A3" w:rsidRPr="004B063A">
        <w:rPr>
          <w:spacing w:val="-2"/>
          <w:lang w:val="en-GB"/>
        </w:rPr>
        <w:t xml:space="preserve"> was wondering which decision would be agreeable to all three </w:t>
      </w:r>
      <w:r w:rsidR="00476545">
        <w:rPr>
          <w:spacing w:val="-2"/>
          <w:lang w:val="en-GB"/>
        </w:rPr>
        <w:t>founders</w:t>
      </w:r>
      <w:r w:rsidR="00B127A3" w:rsidRPr="004B063A">
        <w:rPr>
          <w:spacing w:val="-2"/>
          <w:lang w:val="en-GB"/>
        </w:rPr>
        <w:t>.</w:t>
      </w:r>
    </w:p>
    <w:p w14:paraId="6E62B70B" w14:textId="5E1C0E93" w:rsidR="00D36075" w:rsidRDefault="00D36075" w:rsidP="001917FC">
      <w:pPr>
        <w:pStyle w:val="BodyTextMain"/>
        <w:rPr>
          <w:spacing w:val="-2"/>
          <w:lang w:val="en-GB"/>
        </w:rPr>
      </w:pPr>
    </w:p>
    <w:p w14:paraId="5C150300" w14:textId="75681429" w:rsidR="00D36075" w:rsidRDefault="00D36075" w:rsidP="001917FC">
      <w:pPr>
        <w:pStyle w:val="BodyTextMain"/>
        <w:rPr>
          <w:spacing w:val="-2"/>
          <w:lang w:val="en-GB"/>
        </w:rPr>
      </w:pPr>
      <w:r w:rsidRPr="00D36075">
        <w:rPr>
          <w:noProof/>
          <w:spacing w:val="-2"/>
        </w:rPr>
        <mc:AlternateContent>
          <mc:Choice Requires="wps">
            <w:drawing>
              <wp:anchor distT="45720" distB="45720" distL="114300" distR="114300" simplePos="0" relativeHeight="251659264" behindDoc="0" locked="0" layoutInCell="1" allowOverlap="1" wp14:anchorId="0E531B4E" wp14:editId="344D3DC4">
                <wp:simplePos x="0" y="0"/>
                <wp:positionH relativeFrom="column">
                  <wp:posOffset>1327702</wp:posOffset>
                </wp:positionH>
                <wp:positionV relativeFrom="paragraph">
                  <wp:posOffset>14605</wp:posOffset>
                </wp:positionV>
                <wp:extent cx="3243580" cy="1404620"/>
                <wp:effectExtent l="0" t="0" r="1397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3580" cy="1404620"/>
                        </a:xfrm>
                        <a:prstGeom prst="rect">
                          <a:avLst/>
                        </a:prstGeom>
                        <a:solidFill>
                          <a:srgbClr val="FFFFFF"/>
                        </a:solidFill>
                        <a:ln w="9525">
                          <a:solidFill>
                            <a:srgbClr val="000000"/>
                          </a:solidFill>
                          <a:miter lim="800000"/>
                          <a:headEnd/>
                          <a:tailEnd/>
                        </a:ln>
                      </wps:spPr>
                      <wps:txbx>
                        <w:txbxContent>
                          <w:p w14:paraId="6ED2473E" w14:textId="7F175419" w:rsidR="00A5762A" w:rsidRDefault="00A5762A" w:rsidP="00D36075">
                            <w:pPr>
                              <w:pStyle w:val="Footnote"/>
                            </w:pPr>
                            <w:r w:rsidRPr="00D36075">
                              <w:t xml:space="preserve">The authors </w:t>
                            </w:r>
                            <w:r>
                              <w:t xml:space="preserve">would like to </w:t>
                            </w:r>
                            <w:r w:rsidRPr="00D36075">
                              <w:t xml:space="preserve">acknowledge the funding received from </w:t>
                            </w:r>
                            <w:r>
                              <w:t xml:space="preserve">the </w:t>
                            </w:r>
                            <w:r w:rsidRPr="00D36075">
                              <w:t>Indian Institute of Management Tiruchirappalli for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31B4E" id="_x0000_t202" coordsize="21600,21600" o:spt="202" path="m,l,21600r21600,l21600,xe">
                <v:stroke joinstyle="miter"/>
                <v:path gradientshapeok="t" o:connecttype="rect"/>
              </v:shapetype>
              <v:shape id="Text Box 2" o:spid="_x0000_s1026" type="#_x0000_t202" style="position:absolute;left:0;text-align:left;margin-left:104.55pt;margin-top:1.15pt;width:255.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">
                <v:textbox style="mso-fit-shape-to-text:t">
                  <w:txbxContent>
                    <w:p w14:paraId="6ED2473E" w14:textId="7F175419" w:rsidR="00A5762A" w:rsidRDefault="00A5762A" w:rsidP="00D36075">
                      <w:pPr>
                        <w:pStyle w:val="Footnote"/>
                      </w:pPr>
                      <w:r w:rsidRPr="00D36075">
                        <w:t xml:space="preserve">The authors </w:t>
                      </w:r>
                      <w:r>
                        <w:t xml:space="preserve">would like to </w:t>
                      </w:r>
                      <w:r w:rsidRPr="00D36075">
                        <w:t xml:space="preserve">acknowledge the funding received from </w:t>
                      </w:r>
                      <w:r>
                        <w:t xml:space="preserve">the </w:t>
                      </w:r>
                      <w:r w:rsidRPr="00D36075">
                        <w:t>Indian Institute of Management Tiruchirappalli for this case.</w:t>
                      </w:r>
                    </w:p>
                  </w:txbxContent>
                </v:textbox>
                <w10:wrap type="square"/>
              </v:shape>
            </w:pict>
          </mc:Fallback>
        </mc:AlternateContent>
      </w:r>
    </w:p>
    <w:p w14:paraId="2D210752" w14:textId="77777777" w:rsidR="00D36075" w:rsidRDefault="00D36075" w:rsidP="001917FC">
      <w:pPr>
        <w:pStyle w:val="BodyTextMain"/>
        <w:rPr>
          <w:spacing w:val="-2"/>
          <w:lang w:val="en-GB"/>
        </w:rPr>
      </w:pPr>
    </w:p>
    <w:p w14:paraId="7B3579D0" w14:textId="77777777" w:rsidR="00D36075" w:rsidRDefault="00D36075" w:rsidP="001917FC">
      <w:pPr>
        <w:pStyle w:val="BodyTextMain"/>
        <w:rPr>
          <w:spacing w:val="-2"/>
          <w:lang w:val="en-GB"/>
        </w:rPr>
      </w:pPr>
    </w:p>
    <w:p w14:paraId="4D8F1BE5" w14:textId="77777777" w:rsidR="00D36075" w:rsidRDefault="00D36075" w:rsidP="001917FC">
      <w:pPr>
        <w:pStyle w:val="BodyTextMain"/>
        <w:rPr>
          <w:spacing w:val="-2"/>
          <w:lang w:val="en-GB"/>
        </w:rPr>
      </w:pPr>
    </w:p>
    <w:p w14:paraId="062DF96F" w14:textId="77777777" w:rsidR="00D36075" w:rsidRDefault="00D36075" w:rsidP="001917FC">
      <w:pPr>
        <w:pStyle w:val="BodyTextMain"/>
        <w:rPr>
          <w:spacing w:val="-2"/>
          <w:lang w:val="en-GB"/>
        </w:rPr>
      </w:pPr>
    </w:p>
    <w:p w14:paraId="2CC6D79D" w14:textId="77777777" w:rsidR="00D36075" w:rsidRDefault="00D36075" w:rsidP="001917FC">
      <w:pPr>
        <w:pStyle w:val="BodyTextMain"/>
        <w:rPr>
          <w:spacing w:val="-2"/>
          <w:lang w:val="en-GB"/>
        </w:rPr>
      </w:pPr>
    </w:p>
    <w:p w14:paraId="634A7607" w14:textId="77777777" w:rsidR="00D36075" w:rsidRDefault="00D36075" w:rsidP="001917FC">
      <w:pPr>
        <w:pStyle w:val="BodyTextMain"/>
        <w:rPr>
          <w:spacing w:val="-2"/>
          <w:lang w:val="en-GB"/>
        </w:rPr>
      </w:pPr>
    </w:p>
    <w:p w14:paraId="3A9EDC23" w14:textId="77777777" w:rsidR="00D36075" w:rsidRDefault="00D36075" w:rsidP="001917FC">
      <w:pPr>
        <w:pStyle w:val="BodyTextMain"/>
        <w:rPr>
          <w:spacing w:val="-2"/>
          <w:lang w:val="en-GB"/>
        </w:rPr>
      </w:pPr>
    </w:p>
    <w:p w14:paraId="6C708D44" w14:textId="198DC246" w:rsidR="00E55448" w:rsidRPr="004B063A" w:rsidRDefault="00E55448" w:rsidP="001917FC">
      <w:pPr>
        <w:pStyle w:val="BodyTextMain"/>
        <w:rPr>
          <w:spacing w:val="-2"/>
          <w:lang w:val="en-GB"/>
        </w:rPr>
      </w:pPr>
      <w:r w:rsidRPr="004B063A">
        <w:rPr>
          <w:spacing w:val="-2"/>
          <w:lang w:val="en-GB"/>
        </w:rPr>
        <w:br w:type="page"/>
      </w:r>
    </w:p>
    <w:p w14:paraId="7F1775AA" w14:textId="4DA24436" w:rsidR="00E55448" w:rsidRPr="004B063A" w:rsidRDefault="00E55448" w:rsidP="00E55448">
      <w:pPr>
        <w:pStyle w:val="ExhibitHeading"/>
        <w:rPr>
          <w:lang w:val="en-GB"/>
        </w:rPr>
      </w:pPr>
      <w:r w:rsidRPr="004B063A">
        <w:rPr>
          <w:lang w:val="en-GB"/>
        </w:rPr>
        <w:t xml:space="preserve">Exhibit 1: E-COMMERCE </w:t>
      </w:r>
      <w:r w:rsidR="00500F8A">
        <w:rPr>
          <w:lang w:val="en-GB"/>
        </w:rPr>
        <w:t>grow</w:t>
      </w:r>
      <w:r w:rsidR="00B95ABD">
        <w:rPr>
          <w:lang w:val="en-GB"/>
        </w:rPr>
        <w:t>th (</w:t>
      </w:r>
      <w:r w:rsidRPr="004B063A">
        <w:rPr>
          <w:lang w:val="en-GB"/>
        </w:rPr>
        <w:t xml:space="preserve">in </w:t>
      </w:r>
      <w:r w:rsidR="00B95ABD">
        <w:rPr>
          <w:lang w:val="en-GB"/>
        </w:rPr>
        <w:t>₹</w:t>
      </w:r>
      <w:r w:rsidRPr="004B063A">
        <w:rPr>
          <w:lang w:val="en-GB"/>
        </w:rPr>
        <w:t xml:space="preserve"> BILLIONS</w:t>
      </w:r>
      <w:r w:rsidR="00B95ABD">
        <w:rPr>
          <w:lang w:val="en-GB"/>
        </w:rPr>
        <w:t>)</w:t>
      </w:r>
    </w:p>
    <w:p w14:paraId="420A00F4" w14:textId="77777777" w:rsidR="00E55448" w:rsidRPr="004B063A" w:rsidRDefault="00E55448" w:rsidP="00E55448">
      <w:pPr>
        <w:pStyle w:val="BodyTextMain"/>
        <w:rPr>
          <w:lang w:val="en-GB"/>
        </w:rPr>
      </w:pPr>
    </w:p>
    <w:tbl>
      <w:tblPr>
        <w:tblStyle w:val="TableGrid"/>
        <w:tblW w:w="9350" w:type="dxa"/>
        <w:tblLayout w:type="fixed"/>
        <w:tblLook w:val="04A0" w:firstRow="1" w:lastRow="0" w:firstColumn="1" w:lastColumn="0" w:noHBand="0" w:noVBand="1"/>
      </w:tblPr>
      <w:tblGrid>
        <w:gridCol w:w="1870"/>
        <w:gridCol w:w="1870"/>
        <w:gridCol w:w="1870"/>
        <w:gridCol w:w="1870"/>
        <w:gridCol w:w="1870"/>
      </w:tblGrid>
      <w:tr w:rsidR="009E3AFD" w:rsidRPr="004B063A" w14:paraId="1085A5FA" w14:textId="77777777" w:rsidTr="00F32CB3">
        <w:trPr>
          <w:trHeight w:val="263"/>
        </w:trPr>
        <w:tc>
          <w:tcPr>
            <w:tcW w:w="1870" w:type="dxa"/>
            <w:noWrap/>
            <w:hideMark/>
          </w:tcPr>
          <w:p w14:paraId="524B0095" w14:textId="77777777" w:rsidR="009E3AFD" w:rsidRPr="004B063A" w:rsidRDefault="009E3AFD" w:rsidP="009E3AFD">
            <w:pPr>
              <w:rPr>
                <w:rFonts w:ascii="Arial" w:hAnsi="Arial" w:cs="Arial"/>
                <w:lang w:val="en-GB"/>
              </w:rPr>
            </w:pPr>
          </w:p>
        </w:tc>
        <w:tc>
          <w:tcPr>
            <w:tcW w:w="1870" w:type="dxa"/>
            <w:noWrap/>
            <w:vAlign w:val="center"/>
            <w:hideMark/>
          </w:tcPr>
          <w:p w14:paraId="22622667" w14:textId="36BCF9C1" w:rsidR="009E3AFD" w:rsidRPr="004B063A" w:rsidRDefault="009E3AFD" w:rsidP="00F32CB3">
            <w:pPr>
              <w:jc w:val="center"/>
              <w:rPr>
                <w:rFonts w:ascii="Arial" w:hAnsi="Arial" w:cs="Arial"/>
                <w:b/>
                <w:color w:val="000000"/>
                <w:lang w:val="en-GB"/>
              </w:rPr>
            </w:pPr>
            <w:r w:rsidRPr="004B063A">
              <w:rPr>
                <w:rFonts w:ascii="Arial" w:hAnsi="Arial" w:cs="Arial"/>
                <w:b/>
                <w:color w:val="000000"/>
                <w:lang w:val="en-GB"/>
              </w:rPr>
              <w:t>Dec</w:t>
            </w:r>
            <w:r w:rsidR="00C50DA0">
              <w:rPr>
                <w:rFonts w:ascii="Arial" w:hAnsi="Arial" w:cs="Arial"/>
                <w:b/>
                <w:color w:val="000000"/>
                <w:lang w:val="en-GB"/>
              </w:rPr>
              <w:t>ember 20</w:t>
            </w:r>
            <w:r w:rsidRPr="004B063A">
              <w:rPr>
                <w:rFonts w:ascii="Arial" w:hAnsi="Arial" w:cs="Arial"/>
                <w:b/>
                <w:color w:val="000000"/>
                <w:lang w:val="en-GB"/>
              </w:rPr>
              <w:t>09</w:t>
            </w:r>
          </w:p>
        </w:tc>
        <w:tc>
          <w:tcPr>
            <w:tcW w:w="1870" w:type="dxa"/>
            <w:noWrap/>
            <w:vAlign w:val="center"/>
            <w:hideMark/>
          </w:tcPr>
          <w:p w14:paraId="2A6801D4" w14:textId="0AC6271A" w:rsidR="009E3AFD" w:rsidRPr="004B063A" w:rsidRDefault="009E3AFD" w:rsidP="00F32CB3">
            <w:pPr>
              <w:jc w:val="center"/>
              <w:rPr>
                <w:rFonts w:ascii="Arial" w:hAnsi="Arial" w:cs="Arial"/>
                <w:b/>
                <w:color w:val="000000"/>
                <w:lang w:val="en-GB"/>
              </w:rPr>
            </w:pPr>
            <w:r w:rsidRPr="004B063A">
              <w:rPr>
                <w:rFonts w:ascii="Arial" w:hAnsi="Arial" w:cs="Arial"/>
                <w:b/>
                <w:color w:val="000000"/>
                <w:lang w:val="en-GB"/>
              </w:rPr>
              <w:t>Dec</w:t>
            </w:r>
            <w:r w:rsidR="00C50DA0">
              <w:rPr>
                <w:rFonts w:ascii="Arial" w:hAnsi="Arial" w:cs="Arial"/>
                <w:b/>
                <w:color w:val="000000"/>
                <w:lang w:val="en-GB"/>
              </w:rPr>
              <w:t>ember 20</w:t>
            </w:r>
            <w:r w:rsidRPr="004B063A">
              <w:rPr>
                <w:rFonts w:ascii="Arial" w:hAnsi="Arial" w:cs="Arial"/>
                <w:b/>
                <w:color w:val="000000"/>
                <w:lang w:val="en-GB"/>
              </w:rPr>
              <w:t>10</w:t>
            </w:r>
          </w:p>
        </w:tc>
        <w:tc>
          <w:tcPr>
            <w:tcW w:w="1870" w:type="dxa"/>
            <w:noWrap/>
            <w:vAlign w:val="center"/>
            <w:hideMark/>
          </w:tcPr>
          <w:p w14:paraId="731AF5A2" w14:textId="6ED6B695" w:rsidR="009E3AFD" w:rsidRPr="004B063A" w:rsidRDefault="009E3AFD" w:rsidP="00F32CB3">
            <w:pPr>
              <w:jc w:val="center"/>
              <w:rPr>
                <w:rFonts w:ascii="Arial" w:hAnsi="Arial" w:cs="Arial"/>
                <w:b/>
                <w:color w:val="000000"/>
                <w:lang w:val="en-GB"/>
              </w:rPr>
            </w:pPr>
            <w:r w:rsidRPr="004B063A">
              <w:rPr>
                <w:rFonts w:ascii="Arial" w:hAnsi="Arial" w:cs="Arial"/>
                <w:b/>
                <w:color w:val="000000"/>
                <w:lang w:val="en-GB"/>
              </w:rPr>
              <w:t>Dec</w:t>
            </w:r>
            <w:r w:rsidR="00924E99">
              <w:rPr>
                <w:rFonts w:ascii="Arial" w:hAnsi="Arial" w:cs="Arial"/>
                <w:b/>
                <w:color w:val="000000"/>
                <w:lang w:val="en-GB"/>
              </w:rPr>
              <w:t>ember 20</w:t>
            </w:r>
            <w:r w:rsidRPr="004B063A">
              <w:rPr>
                <w:rFonts w:ascii="Arial" w:hAnsi="Arial" w:cs="Arial"/>
                <w:b/>
                <w:color w:val="000000"/>
                <w:lang w:val="en-GB"/>
              </w:rPr>
              <w:t>11</w:t>
            </w:r>
          </w:p>
        </w:tc>
        <w:tc>
          <w:tcPr>
            <w:tcW w:w="1870" w:type="dxa"/>
            <w:noWrap/>
            <w:vAlign w:val="center"/>
            <w:hideMark/>
          </w:tcPr>
          <w:p w14:paraId="6C4E3CF6" w14:textId="3E275D6D" w:rsidR="009E3AFD" w:rsidRPr="004B063A" w:rsidRDefault="009E3AFD" w:rsidP="00F32CB3">
            <w:pPr>
              <w:jc w:val="center"/>
              <w:rPr>
                <w:rFonts w:ascii="Arial" w:hAnsi="Arial" w:cs="Arial"/>
                <w:b/>
                <w:color w:val="000000"/>
                <w:lang w:val="en-GB"/>
              </w:rPr>
            </w:pPr>
            <w:r w:rsidRPr="004B063A">
              <w:rPr>
                <w:rFonts w:ascii="Arial" w:hAnsi="Arial" w:cs="Arial"/>
                <w:b/>
                <w:color w:val="000000"/>
                <w:lang w:val="en-GB"/>
              </w:rPr>
              <w:t>Dec</w:t>
            </w:r>
            <w:r w:rsidR="00924E99">
              <w:rPr>
                <w:rFonts w:ascii="Arial" w:hAnsi="Arial" w:cs="Arial"/>
                <w:b/>
                <w:color w:val="000000"/>
                <w:lang w:val="en-GB"/>
              </w:rPr>
              <w:t>ember 20</w:t>
            </w:r>
            <w:r w:rsidRPr="004B063A">
              <w:rPr>
                <w:rFonts w:ascii="Arial" w:hAnsi="Arial" w:cs="Arial"/>
                <w:b/>
                <w:color w:val="000000"/>
                <w:lang w:val="en-GB"/>
              </w:rPr>
              <w:t>12</w:t>
            </w:r>
          </w:p>
        </w:tc>
      </w:tr>
      <w:tr w:rsidR="009E3AFD" w:rsidRPr="004B063A" w14:paraId="0E9C1EDE" w14:textId="77777777" w:rsidTr="00F32CB3">
        <w:trPr>
          <w:trHeight w:val="263"/>
        </w:trPr>
        <w:tc>
          <w:tcPr>
            <w:tcW w:w="1870" w:type="dxa"/>
            <w:noWrap/>
            <w:vAlign w:val="center"/>
            <w:hideMark/>
          </w:tcPr>
          <w:p w14:paraId="723D1DFE" w14:textId="77954116" w:rsidR="009E3AFD" w:rsidRPr="004B063A" w:rsidRDefault="009E3AFD" w:rsidP="00651DAC">
            <w:pPr>
              <w:rPr>
                <w:rFonts w:ascii="Arial" w:hAnsi="Arial" w:cs="Arial"/>
                <w:b/>
                <w:color w:val="000000"/>
                <w:lang w:val="en-GB"/>
              </w:rPr>
            </w:pPr>
            <w:r w:rsidRPr="004B063A">
              <w:rPr>
                <w:rFonts w:ascii="Arial" w:hAnsi="Arial" w:cs="Arial"/>
                <w:b/>
                <w:color w:val="000000"/>
                <w:lang w:val="en-GB"/>
              </w:rPr>
              <w:t xml:space="preserve">Online </w:t>
            </w:r>
            <w:r w:rsidR="00651DAC">
              <w:rPr>
                <w:rFonts w:ascii="Arial" w:hAnsi="Arial" w:cs="Arial"/>
                <w:b/>
                <w:color w:val="000000"/>
                <w:lang w:val="en-GB"/>
              </w:rPr>
              <w:t>Ticketing</w:t>
            </w:r>
          </w:p>
        </w:tc>
        <w:tc>
          <w:tcPr>
            <w:tcW w:w="1870" w:type="dxa"/>
            <w:noWrap/>
            <w:vAlign w:val="center"/>
            <w:hideMark/>
          </w:tcPr>
          <w:p w14:paraId="2DB47FA0"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149.53</w:t>
            </w:r>
          </w:p>
        </w:tc>
        <w:tc>
          <w:tcPr>
            <w:tcW w:w="1870" w:type="dxa"/>
            <w:noWrap/>
            <w:vAlign w:val="center"/>
            <w:hideMark/>
          </w:tcPr>
          <w:p w14:paraId="0090FBC3"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204.4</w:t>
            </w:r>
          </w:p>
        </w:tc>
        <w:tc>
          <w:tcPr>
            <w:tcW w:w="1870" w:type="dxa"/>
            <w:noWrap/>
            <w:vAlign w:val="center"/>
            <w:hideMark/>
          </w:tcPr>
          <w:p w14:paraId="55172B20"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265.72</w:t>
            </w:r>
          </w:p>
        </w:tc>
        <w:tc>
          <w:tcPr>
            <w:tcW w:w="1870" w:type="dxa"/>
            <w:noWrap/>
            <w:vAlign w:val="center"/>
            <w:hideMark/>
          </w:tcPr>
          <w:p w14:paraId="74DE48CF"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345.44</w:t>
            </w:r>
          </w:p>
        </w:tc>
      </w:tr>
      <w:tr w:rsidR="009E3AFD" w:rsidRPr="004B063A" w14:paraId="196D3624" w14:textId="77777777" w:rsidTr="00F32CB3">
        <w:trPr>
          <w:trHeight w:val="263"/>
        </w:trPr>
        <w:tc>
          <w:tcPr>
            <w:tcW w:w="1870" w:type="dxa"/>
            <w:noWrap/>
            <w:vAlign w:val="center"/>
            <w:hideMark/>
          </w:tcPr>
          <w:p w14:paraId="1658F342" w14:textId="0C713048" w:rsidR="009E3AFD" w:rsidRPr="004B063A" w:rsidRDefault="002174B0" w:rsidP="00560645">
            <w:pPr>
              <w:rPr>
                <w:rFonts w:ascii="Arial" w:hAnsi="Arial" w:cs="Arial"/>
                <w:b/>
                <w:color w:val="000000"/>
                <w:lang w:val="en-GB"/>
              </w:rPr>
            </w:pPr>
            <w:r>
              <w:rPr>
                <w:rFonts w:ascii="Arial" w:hAnsi="Arial" w:cs="Arial"/>
                <w:b/>
                <w:color w:val="000000"/>
                <w:lang w:val="en-GB"/>
              </w:rPr>
              <w:t>E-tailing</w:t>
            </w:r>
          </w:p>
        </w:tc>
        <w:tc>
          <w:tcPr>
            <w:tcW w:w="1870" w:type="dxa"/>
            <w:noWrap/>
            <w:vAlign w:val="center"/>
            <w:hideMark/>
          </w:tcPr>
          <w:p w14:paraId="6D78DED3"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15.5</w:t>
            </w:r>
          </w:p>
        </w:tc>
        <w:tc>
          <w:tcPr>
            <w:tcW w:w="1870" w:type="dxa"/>
            <w:noWrap/>
            <w:vAlign w:val="center"/>
            <w:hideMark/>
          </w:tcPr>
          <w:p w14:paraId="5109392A"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23.72</w:t>
            </w:r>
          </w:p>
        </w:tc>
        <w:tc>
          <w:tcPr>
            <w:tcW w:w="1870" w:type="dxa"/>
            <w:noWrap/>
            <w:vAlign w:val="center"/>
            <w:hideMark/>
          </w:tcPr>
          <w:p w14:paraId="69E2EB7A"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38.42</w:t>
            </w:r>
          </w:p>
        </w:tc>
        <w:tc>
          <w:tcPr>
            <w:tcW w:w="1870" w:type="dxa"/>
            <w:noWrap/>
            <w:vAlign w:val="center"/>
            <w:hideMark/>
          </w:tcPr>
          <w:p w14:paraId="4170A4C0"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64.54</w:t>
            </w:r>
          </w:p>
        </w:tc>
      </w:tr>
      <w:tr w:rsidR="009E3AFD" w:rsidRPr="004B063A" w14:paraId="5F0EBF8A" w14:textId="77777777" w:rsidTr="00F32CB3">
        <w:trPr>
          <w:trHeight w:val="263"/>
        </w:trPr>
        <w:tc>
          <w:tcPr>
            <w:tcW w:w="1870" w:type="dxa"/>
            <w:noWrap/>
            <w:vAlign w:val="center"/>
            <w:hideMark/>
          </w:tcPr>
          <w:p w14:paraId="0DC2B522" w14:textId="77777777" w:rsidR="009E3AFD" w:rsidRPr="004B063A" w:rsidRDefault="009E3AFD" w:rsidP="00560645">
            <w:pPr>
              <w:rPr>
                <w:rFonts w:ascii="Arial" w:hAnsi="Arial" w:cs="Arial"/>
                <w:b/>
                <w:color w:val="000000"/>
                <w:lang w:val="en-GB"/>
              </w:rPr>
            </w:pPr>
            <w:r w:rsidRPr="004B063A">
              <w:rPr>
                <w:rFonts w:ascii="Arial" w:hAnsi="Arial" w:cs="Arial"/>
                <w:b/>
                <w:color w:val="000000"/>
                <w:lang w:val="en-GB"/>
              </w:rPr>
              <w:t>Financial Services</w:t>
            </w:r>
          </w:p>
        </w:tc>
        <w:tc>
          <w:tcPr>
            <w:tcW w:w="1870" w:type="dxa"/>
            <w:noWrap/>
            <w:vAlign w:val="center"/>
            <w:hideMark/>
          </w:tcPr>
          <w:p w14:paraId="01AB99B8"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15.4</w:t>
            </w:r>
          </w:p>
        </w:tc>
        <w:tc>
          <w:tcPr>
            <w:tcW w:w="1870" w:type="dxa"/>
            <w:noWrap/>
            <w:vAlign w:val="center"/>
            <w:hideMark/>
          </w:tcPr>
          <w:p w14:paraId="2F34DC72"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18.48</w:t>
            </w:r>
          </w:p>
        </w:tc>
        <w:tc>
          <w:tcPr>
            <w:tcW w:w="1870" w:type="dxa"/>
            <w:noWrap/>
            <w:vAlign w:val="center"/>
            <w:hideMark/>
          </w:tcPr>
          <w:p w14:paraId="19F9C887"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22.55</w:t>
            </w:r>
          </w:p>
        </w:tc>
        <w:tc>
          <w:tcPr>
            <w:tcW w:w="1870" w:type="dxa"/>
            <w:noWrap/>
            <w:vAlign w:val="center"/>
            <w:hideMark/>
          </w:tcPr>
          <w:p w14:paraId="1E8E959F"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28.86</w:t>
            </w:r>
          </w:p>
        </w:tc>
      </w:tr>
      <w:tr w:rsidR="009E3AFD" w:rsidRPr="004B063A" w14:paraId="551FE021" w14:textId="77777777" w:rsidTr="00F32CB3">
        <w:trPr>
          <w:trHeight w:val="263"/>
        </w:trPr>
        <w:tc>
          <w:tcPr>
            <w:tcW w:w="1870" w:type="dxa"/>
            <w:noWrap/>
            <w:vAlign w:val="center"/>
            <w:hideMark/>
          </w:tcPr>
          <w:p w14:paraId="53D6F59C" w14:textId="77777777" w:rsidR="009E3AFD" w:rsidRPr="004B063A" w:rsidRDefault="009E3AFD" w:rsidP="00560645">
            <w:pPr>
              <w:rPr>
                <w:rFonts w:ascii="Arial" w:hAnsi="Arial" w:cs="Arial"/>
                <w:b/>
                <w:color w:val="000000"/>
                <w:lang w:val="en-GB"/>
              </w:rPr>
            </w:pPr>
            <w:r w:rsidRPr="004B063A">
              <w:rPr>
                <w:rFonts w:ascii="Arial" w:hAnsi="Arial" w:cs="Arial"/>
                <w:b/>
                <w:color w:val="000000"/>
                <w:lang w:val="en-GB"/>
              </w:rPr>
              <w:t>Classifieds</w:t>
            </w:r>
          </w:p>
        </w:tc>
        <w:tc>
          <w:tcPr>
            <w:tcW w:w="1870" w:type="dxa"/>
            <w:noWrap/>
            <w:vAlign w:val="center"/>
            <w:hideMark/>
          </w:tcPr>
          <w:p w14:paraId="789951C3"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7.75</w:t>
            </w:r>
          </w:p>
        </w:tc>
        <w:tc>
          <w:tcPr>
            <w:tcW w:w="1870" w:type="dxa"/>
            <w:noWrap/>
            <w:vAlign w:val="center"/>
            <w:hideMark/>
          </w:tcPr>
          <w:p w14:paraId="2CE29BDA"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10.85</w:t>
            </w:r>
          </w:p>
        </w:tc>
        <w:tc>
          <w:tcPr>
            <w:tcW w:w="1870" w:type="dxa"/>
            <w:noWrap/>
            <w:vAlign w:val="center"/>
            <w:hideMark/>
          </w:tcPr>
          <w:p w14:paraId="0C81D756"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16.82</w:t>
            </w:r>
          </w:p>
        </w:tc>
        <w:tc>
          <w:tcPr>
            <w:tcW w:w="1870" w:type="dxa"/>
            <w:noWrap/>
            <w:vAlign w:val="center"/>
            <w:hideMark/>
          </w:tcPr>
          <w:p w14:paraId="6C2EA940"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23.54</w:t>
            </w:r>
          </w:p>
        </w:tc>
      </w:tr>
      <w:tr w:rsidR="009E3AFD" w:rsidRPr="004B063A" w14:paraId="1D177819" w14:textId="77777777" w:rsidTr="00F32CB3">
        <w:trPr>
          <w:trHeight w:val="263"/>
        </w:trPr>
        <w:tc>
          <w:tcPr>
            <w:tcW w:w="1870" w:type="dxa"/>
            <w:noWrap/>
            <w:vAlign w:val="center"/>
            <w:hideMark/>
          </w:tcPr>
          <w:p w14:paraId="42E630C6" w14:textId="77777777" w:rsidR="009E3AFD" w:rsidRPr="004B063A" w:rsidRDefault="009E3AFD" w:rsidP="00560645">
            <w:pPr>
              <w:rPr>
                <w:rFonts w:ascii="Arial" w:hAnsi="Arial" w:cs="Arial"/>
                <w:b/>
                <w:color w:val="000000"/>
                <w:lang w:val="en-GB"/>
              </w:rPr>
            </w:pPr>
            <w:r w:rsidRPr="004B063A">
              <w:rPr>
                <w:rFonts w:ascii="Arial" w:hAnsi="Arial" w:cs="Arial"/>
                <w:b/>
                <w:color w:val="000000"/>
                <w:lang w:val="en-GB"/>
              </w:rPr>
              <w:t>Other Segments</w:t>
            </w:r>
          </w:p>
        </w:tc>
        <w:tc>
          <w:tcPr>
            <w:tcW w:w="1870" w:type="dxa"/>
            <w:noWrap/>
            <w:vAlign w:val="center"/>
            <w:hideMark/>
          </w:tcPr>
          <w:p w14:paraId="13E9ED28"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4.31</w:t>
            </w:r>
          </w:p>
        </w:tc>
        <w:tc>
          <w:tcPr>
            <w:tcW w:w="1870" w:type="dxa"/>
            <w:noWrap/>
            <w:vAlign w:val="center"/>
            <w:hideMark/>
          </w:tcPr>
          <w:p w14:paraId="103BC71D"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5.18</w:t>
            </w:r>
          </w:p>
        </w:tc>
        <w:tc>
          <w:tcPr>
            <w:tcW w:w="1870" w:type="dxa"/>
            <w:noWrap/>
            <w:vAlign w:val="center"/>
            <w:hideMark/>
          </w:tcPr>
          <w:p w14:paraId="6052641F"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7.92</w:t>
            </w:r>
          </w:p>
        </w:tc>
        <w:tc>
          <w:tcPr>
            <w:tcW w:w="1870" w:type="dxa"/>
            <w:noWrap/>
            <w:vAlign w:val="center"/>
            <w:hideMark/>
          </w:tcPr>
          <w:p w14:paraId="53D7E921"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11.1</w:t>
            </w:r>
          </w:p>
        </w:tc>
      </w:tr>
      <w:tr w:rsidR="009E3AFD" w:rsidRPr="004B063A" w14:paraId="3FCA1BEE" w14:textId="77777777" w:rsidTr="00F32CB3">
        <w:trPr>
          <w:trHeight w:val="263"/>
        </w:trPr>
        <w:tc>
          <w:tcPr>
            <w:tcW w:w="1870" w:type="dxa"/>
            <w:noWrap/>
            <w:vAlign w:val="center"/>
            <w:hideMark/>
          </w:tcPr>
          <w:p w14:paraId="28671A25" w14:textId="77777777" w:rsidR="009E3AFD" w:rsidRPr="004B063A" w:rsidRDefault="009E3AFD" w:rsidP="00560645">
            <w:pPr>
              <w:rPr>
                <w:rFonts w:ascii="Arial" w:hAnsi="Arial" w:cs="Arial"/>
                <w:b/>
                <w:color w:val="000000"/>
                <w:lang w:val="en-GB"/>
              </w:rPr>
            </w:pPr>
            <w:r w:rsidRPr="004B063A">
              <w:rPr>
                <w:rFonts w:ascii="Arial" w:hAnsi="Arial" w:cs="Arial"/>
                <w:b/>
                <w:color w:val="000000"/>
                <w:lang w:val="en-GB"/>
              </w:rPr>
              <w:t>Total Industry Size</w:t>
            </w:r>
          </w:p>
        </w:tc>
        <w:tc>
          <w:tcPr>
            <w:tcW w:w="1870" w:type="dxa"/>
            <w:noWrap/>
            <w:vAlign w:val="center"/>
            <w:hideMark/>
          </w:tcPr>
          <w:p w14:paraId="1662C6B9"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192.49</w:t>
            </w:r>
          </w:p>
        </w:tc>
        <w:tc>
          <w:tcPr>
            <w:tcW w:w="1870" w:type="dxa"/>
            <w:noWrap/>
            <w:vAlign w:val="center"/>
            <w:hideMark/>
          </w:tcPr>
          <w:p w14:paraId="666E7368"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262.63</w:t>
            </w:r>
          </w:p>
        </w:tc>
        <w:tc>
          <w:tcPr>
            <w:tcW w:w="1870" w:type="dxa"/>
            <w:noWrap/>
            <w:vAlign w:val="center"/>
            <w:hideMark/>
          </w:tcPr>
          <w:p w14:paraId="364E5292"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351.43</w:t>
            </w:r>
          </w:p>
        </w:tc>
        <w:tc>
          <w:tcPr>
            <w:tcW w:w="1870" w:type="dxa"/>
            <w:noWrap/>
            <w:vAlign w:val="center"/>
            <w:hideMark/>
          </w:tcPr>
          <w:p w14:paraId="75C27331" w14:textId="77777777" w:rsidR="009E3AFD" w:rsidRPr="004B063A" w:rsidRDefault="009E3AFD">
            <w:pPr>
              <w:jc w:val="right"/>
              <w:rPr>
                <w:rFonts w:ascii="Arial" w:hAnsi="Arial" w:cs="Arial"/>
                <w:color w:val="000000"/>
                <w:lang w:val="en-GB"/>
              </w:rPr>
            </w:pPr>
            <w:r w:rsidRPr="004B063A">
              <w:rPr>
                <w:rFonts w:ascii="Arial" w:hAnsi="Arial" w:cs="Arial"/>
                <w:color w:val="000000"/>
                <w:lang w:val="en-GB"/>
              </w:rPr>
              <w:t>473.48</w:t>
            </w:r>
          </w:p>
        </w:tc>
      </w:tr>
    </w:tbl>
    <w:p w14:paraId="14D376C5" w14:textId="24319818" w:rsidR="00E55448" w:rsidRPr="004B063A" w:rsidRDefault="00E55448" w:rsidP="00E55448">
      <w:pPr>
        <w:pStyle w:val="BodyTextMain"/>
        <w:jc w:val="center"/>
        <w:rPr>
          <w:lang w:val="en-GB"/>
        </w:rPr>
      </w:pPr>
    </w:p>
    <w:p w14:paraId="0F802D26" w14:textId="77777777" w:rsidR="00E55448" w:rsidRPr="004B063A" w:rsidRDefault="00E55448" w:rsidP="00E55448">
      <w:pPr>
        <w:pStyle w:val="BodyTextMain"/>
        <w:rPr>
          <w:lang w:val="en-GB"/>
        </w:rPr>
      </w:pPr>
    </w:p>
    <w:p w14:paraId="4350CC84" w14:textId="74FE60CC" w:rsidR="00E55448" w:rsidRPr="004B063A" w:rsidRDefault="00E55448" w:rsidP="00E55448">
      <w:pPr>
        <w:pStyle w:val="Footnote"/>
        <w:rPr>
          <w:lang w:val="en-GB"/>
        </w:rPr>
      </w:pPr>
      <w:r w:rsidRPr="004B063A">
        <w:rPr>
          <w:lang w:val="en-GB"/>
        </w:rPr>
        <w:t xml:space="preserve">Source: Digital Insights, </w:t>
      </w:r>
      <w:r w:rsidR="002174B0">
        <w:t>“</w:t>
      </w:r>
      <w:r w:rsidR="002174B0">
        <w:rPr>
          <w:lang w:val="en-GB"/>
        </w:rPr>
        <w:t>Latest Report on Growth of E-c</w:t>
      </w:r>
      <w:r w:rsidR="002174B0" w:rsidRPr="002174B0">
        <w:rPr>
          <w:lang w:val="en-GB"/>
        </w:rPr>
        <w:t>ommerce in India</w:t>
      </w:r>
      <w:r w:rsidR="002174B0">
        <w:rPr>
          <w:lang w:val="en-GB"/>
        </w:rPr>
        <w:t>,”</w:t>
      </w:r>
      <w:r w:rsidRPr="004B063A">
        <w:rPr>
          <w:lang w:val="en-GB"/>
        </w:rPr>
        <w:t xml:space="preserve"> </w:t>
      </w:r>
      <w:r w:rsidR="002174B0">
        <w:rPr>
          <w:lang w:val="en-GB"/>
        </w:rPr>
        <w:t xml:space="preserve">LinkedIn </w:t>
      </w:r>
      <w:proofErr w:type="spellStart"/>
      <w:r w:rsidR="002174B0">
        <w:rPr>
          <w:lang w:val="en-GB"/>
        </w:rPr>
        <w:t>SlideShare</w:t>
      </w:r>
      <w:proofErr w:type="spellEnd"/>
      <w:r w:rsidR="002174B0">
        <w:rPr>
          <w:lang w:val="en-GB"/>
        </w:rPr>
        <w:t xml:space="preserve">, </w:t>
      </w:r>
      <w:r w:rsidRPr="004B063A">
        <w:rPr>
          <w:lang w:val="en-GB"/>
        </w:rPr>
        <w:t>May 12, 2013, accessed November 15, 2015</w:t>
      </w:r>
      <w:r w:rsidR="002174B0">
        <w:rPr>
          <w:lang w:val="en-GB"/>
        </w:rPr>
        <w:t>,</w:t>
      </w:r>
      <w:r w:rsidRPr="004B063A">
        <w:rPr>
          <w:lang w:val="en-GB"/>
        </w:rPr>
        <w:t xml:space="preserve"> </w:t>
      </w:r>
      <w:r w:rsidR="002174B0" w:rsidRPr="00F32CB3">
        <w:t>www.slideshare.net/allinsights/growth-of-e-commerce-in-india</w:t>
      </w:r>
      <w:r w:rsidR="002174B0">
        <w:rPr>
          <w:lang w:val="en-GB"/>
        </w:rPr>
        <w:t>.</w:t>
      </w:r>
    </w:p>
    <w:p w14:paraId="0DC2C942" w14:textId="77777777" w:rsidR="00E55448" w:rsidRPr="004B063A" w:rsidRDefault="00E55448" w:rsidP="00E55448">
      <w:pPr>
        <w:pStyle w:val="BodyTextMain"/>
        <w:rPr>
          <w:lang w:val="en-GB"/>
        </w:rPr>
      </w:pPr>
    </w:p>
    <w:p w14:paraId="04AFB2A3" w14:textId="77777777" w:rsidR="00E55448" w:rsidRPr="004B063A" w:rsidRDefault="00E55448" w:rsidP="00E55448">
      <w:pPr>
        <w:pStyle w:val="BodyTextMain"/>
        <w:rPr>
          <w:lang w:val="en-GB"/>
        </w:rPr>
      </w:pPr>
    </w:p>
    <w:p w14:paraId="6364B988" w14:textId="11BC7D35" w:rsidR="00E55448" w:rsidRPr="004B063A" w:rsidRDefault="00E55448" w:rsidP="00E55448">
      <w:pPr>
        <w:pStyle w:val="ExhibitHeading"/>
        <w:rPr>
          <w:lang w:val="en-GB"/>
        </w:rPr>
      </w:pPr>
      <w:r w:rsidRPr="004B063A">
        <w:rPr>
          <w:lang w:val="en-GB"/>
        </w:rPr>
        <w:t xml:space="preserve">Exhibit 2: </w:t>
      </w:r>
      <w:r w:rsidR="002174B0">
        <w:rPr>
          <w:lang w:val="en-GB"/>
        </w:rPr>
        <w:t xml:space="preserve">e-commerce </w:t>
      </w:r>
      <w:r w:rsidR="00637C5C" w:rsidRPr="004B063A">
        <w:rPr>
          <w:lang w:val="en-GB"/>
        </w:rPr>
        <w:t xml:space="preserve">GROWTH </w:t>
      </w:r>
      <w:r w:rsidR="004872EB" w:rsidRPr="004B063A">
        <w:rPr>
          <w:lang w:val="en-GB"/>
        </w:rPr>
        <w:t>iN INDIA</w:t>
      </w:r>
      <w:r w:rsidRPr="004B063A">
        <w:rPr>
          <w:lang w:val="en-GB"/>
        </w:rPr>
        <w:t xml:space="preserve"> </w:t>
      </w:r>
      <w:r w:rsidR="00142B34" w:rsidRPr="004B063A">
        <w:rPr>
          <w:lang w:val="en-GB"/>
        </w:rPr>
        <w:t>(</w:t>
      </w:r>
      <w:r w:rsidRPr="004B063A">
        <w:rPr>
          <w:lang w:val="en-GB"/>
        </w:rPr>
        <w:t xml:space="preserve">in </w:t>
      </w:r>
      <w:r w:rsidR="000B4427">
        <w:rPr>
          <w:lang w:val="en-GB"/>
        </w:rPr>
        <w:t xml:space="preserve">₹ </w:t>
      </w:r>
      <w:r w:rsidR="00637C5C" w:rsidRPr="004B063A">
        <w:rPr>
          <w:lang w:val="en-GB"/>
        </w:rPr>
        <w:t>B</w:t>
      </w:r>
      <w:r w:rsidRPr="004B063A">
        <w:rPr>
          <w:lang w:val="en-GB"/>
        </w:rPr>
        <w:t>ILLIONS</w:t>
      </w:r>
      <w:r w:rsidR="00142B34" w:rsidRPr="004B063A">
        <w:rPr>
          <w:lang w:val="en-GB"/>
        </w:rPr>
        <w:t>)</w:t>
      </w:r>
    </w:p>
    <w:p w14:paraId="5C32F39C" w14:textId="77777777" w:rsidR="00E55448" w:rsidRPr="004B063A" w:rsidRDefault="00E55448" w:rsidP="00E55448">
      <w:pPr>
        <w:pStyle w:val="BodyTextMain"/>
        <w:rPr>
          <w:lang w:val="en-GB"/>
        </w:rPr>
      </w:pPr>
    </w:p>
    <w:tbl>
      <w:tblPr>
        <w:tblStyle w:val="TableGrid"/>
        <w:tblW w:w="9389" w:type="dxa"/>
        <w:tblLayout w:type="fixed"/>
        <w:tblLook w:val="04A0" w:firstRow="1" w:lastRow="0" w:firstColumn="1" w:lastColumn="0" w:noHBand="0" w:noVBand="1"/>
      </w:tblPr>
      <w:tblGrid>
        <w:gridCol w:w="1341"/>
        <w:gridCol w:w="1341"/>
        <w:gridCol w:w="1341"/>
        <w:gridCol w:w="1342"/>
        <w:gridCol w:w="1341"/>
        <w:gridCol w:w="1341"/>
        <w:gridCol w:w="1342"/>
      </w:tblGrid>
      <w:tr w:rsidR="00637C5C" w:rsidRPr="004B063A" w14:paraId="1E70A715" w14:textId="77777777" w:rsidTr="00F32CB3">
        <w:trPr>
          <w:trHeight w:val="389"/>
        </w:trPr>
        <w:tc>
          <w:tcPr>
            <w:tcW w:w="1341" w:type="dxa"/>
            <w:vAlign w:val="center"/>
          </w:tcPr>
          <w:p w14:paraId="4625DF22" w14:textId="5ECB276F" w:rsidR="00637C5C" w:rsidRPr="004B063A" w:rsidRDefault="00637C5C" w:rsidP="00560645">
            <w:pPr>
              <w:jc w:val="center"/>
              <w:rPr>
                <w:rFonts w:ascii="Arial" w:hAnsi="Arial" w:cs="Arial"/>
                <w:b/>
                <w:color w:val="000000"/>
                <w:lang w:val="en-GB"/>
              </w:rPr>
            </w:pPr>
            <w:r w:rsidRPr="004B063A">
              <w:rPr>
                <w:rFonts w:ascii="Arial" w:hAnsi="Arial" w:cs="Arial"/>
                <w:b/>
                <w:color w:val="000000"/>
                <w:lang w:val="en-GB"/>
              </w:rPr>
              <w:t>Year</w:t>
            </w:r>
          </w:p>
        </w:tc>
        <w:tc>
          <w:tcPr>
            <w:tcW w:w="1341" w:type="dxa"/>
            <w:noWrap/>
            <w:vAlign w:val="center"/>
            <w:hideMark/>
          </w:tcPr>
          <w:p w14:paraId="4DE40C79" w14:textId="0DC53508" w:rsidR="00637C5C" w:rsidRPr="004B063A" w:rsidRDefault="00637C5C">
            <w:pPr>
              <w:jc w:val="center"/>
              <w:rPr>
                <w:rFonts w:ascii="Arial" w:hAnsi="Arial" w:cs="Arial"/>
                <w:b/>
                <w:color w:val="000000"/>
                <w:lang w:val="en-GB"/>
              </w:rPr>
            </w:pPr>
            <w:r w:rsidRPr="004B063A">
              <w:rPr>
                <w:rFonts w:ascii="Arial" w:hAnsi="Arial" w:cs="Arial"/>
                <w:b/>
                <w:color w:val="000000"/>
                <w:lang w:val="en-GB"/>
              </w:rPr>
              <w:t>2009</w:t>
            </w:r>
          </w:p>
        </w:tc>
        <w:tc>
          <w:tcPr>
            <w:tcW w:w="1341" w:type="dxa"/>
            <w:noWrap/>
            <w:vAlign w:val="center"/>
            <w:hideMark/>
          </w:tcPr>
          <w:p w14:paraId="40BF56D3" w14:textId="703B63AE" w:rsidR="00637C5C" w:rsidRPr="004B063A" w:rsidRDefault="00637C5C">
            <w:pPr>
              <w:jc w:val="center"/>
              <w:rPr>
                <w:rFonts w:ascii="Arial" w:hAnsi="Arial" w:cs="Arial"/>
                <w:b/>
                <w:color w:val="000000"/>
                <w:lang w:val="en-GB"/>
              </w:rPr>
            </w:pPr>
            <w:r w:rsidRPr="004B063A">
              <w:rPr>
                <w:rFonts w:ascii="Arial" w:hAnsi="Arial" w:cs="Arial"/>
                <w:b/>
                <w:color w:val="000000"/>
                <w:lang w:val="en-GB"/>
              </w:rPr>
              <w:t>2010</w:t>
            </w:r>
          </w:p>
        </w:tc>
        <w:tc>
          <w:tcPr>
            <w:tcW w:w="1342" w:type="dxa"/>
            <w:noWrap/>
            <w:vAlign w:val="center"/>
            <w:hideMark/>
          </w:tcPr>
          <w:p w14:paraId="0772A077" w14:textId="1593DBD1" w:rsidR="00637C5C" w:rsidRPr="004B063A" w:rsidRDefault="00637C5C">
            <w:pPr>
              <w:jc w:val="center"/>
              <w:rPr>
                <w:rFonts w:ascii="Arial" w:hAnsi="Arial" w:cs="Arial"/>
                <w:b/>
                <w:color w:val="000000"/>
                <w:lang w:val="en-GB"/>
              </w:rPr>
            </w:pPr>
            <w:r w:rsidRPr="004B063A">
              <w:rPr>
                <w:rFonts w:ascii="Arial" w:hAnsi="Arial" w:cs="Arial"/>
                <w:b/>
                <w:color w:val="000000"/>
                <w:lang w:val="en-GB"/>
              </w:rPr>
              <w:t>2011</w:t>
            </w:r>
          </w:p>
        </w:tc>
        <w:tc>
          <w:tcPr>
            <w:tcW w:w="1341" w:type="dxa"/>
            <w:noWrap/>
            <w:vAlign w:val="center"/>
            <w:hideMark/>
          </w:tcPr>
          <w:p w14:paraId="5382B777" w14:textId="030B14AB" w:rsidR="00637C5C" w:rsidRPr="004B063A" w:rsidRDefault="00637C5C">
            <w:pPr>
              <w:jc w:val="center"/>
              <w:rPr>
                <w:rFonts w:ascii="Arial" w:hAnsi="Arial" w:cs="Arial"/>
                <w:b/>
                <w:color w:val="000000"/>
                <w:lang w:val="en-GB"/>
              </w:rPr>
            </w:pPr>
            <w:r w:rsidRPr="004B063A">
              <w:rPr>
                <w:rFonts w:ascii="Arial" w:hAnsi="Arial" w:cs="Arial"/>
                <w:b/>
                <w:color w:val="000000"/>
                <w:lang w:val="en-GB"/>
              </w:rPr>
              <w:t>2012</w:t>
            </w:r>
          </w:p>
        </w:tc>
        <w:tc>
          <w:tcPr>
            <w:tcW w:w="1341" w:type="dxa"/>
            <w:noWrap/>
            <w:vAlign w:val="center"/>
            <w:hideMark/>
          </w:tcPr>
          <w:p w14:paraId="58C53FF3" w14:textId="27D5635E" w:rsidR="00637C5C" w:rsidRPr="004B063A" w:rsidRDefault="00637C5C">
            <w:pPr>
              <w:jc w:val="center"/>
              <w:rPr>
                <w:rFonts w:ascii="Arial" w:hAnsi="Arial" w:cs="Arial"/>
                <w:b/>
                <w:color w:val="000000"/>
                <w:lang w:val="en-GB"/>
              </w:rPr>
            </w:pPr>
            <w:r w:rsidRPr="004B063A">
              <w:rPr>
                <w:rFonts w:ascii="Arial" w:hAnsi="Arial" w:cs="Arial"/>
                <w:b/>
                <w:color w:val="000000"/>
                <w:lang w:val="en-GB"/>
              </w:rPr>
              <w:t>2013</w:t>
            </w:r>
          </w:p>
        </w:tc>
        <w:tc>
          <w:tcPr>
            <w:tcW w:w="1342" w:type="dxa"/>
            <w:noWrap/>
            <w:vAlign w:val="center"/>
            <w:hideMark/>
          </w:tcPr>
          <w:p w14:paraId="44623491" w14:textId="3C2CB9B1" w:rsidR="00637C5C" w:rsidRPr="004B063A" w:rsidRDefault="00637C5C">
            <w:pPr>
              <w:jc w:val="center"/>
              <w:rPr>
                <w:rFonts w:ascii="Arial" w:hAnsi="Arial" w:cs="Arial"/>
                <w:b/>
                <w:color w:val="000000"/>
                <w:lang w:val="en-GB"/>
              </w:rPr>
            </w:pPr>
            <w:r w:rsidRPr="004B063A">
              <w:rPr>
                <w:rFonts w:ascii="Arial" w:hAnsi="Arial" w:cs="Arial"/>
                <w:b/>
                <w:color w:val="000000"/>
                <w:lang w:val="en-GB"/>
              </w:rPr>
              <w:t>2017</w:t>
            </w:r>
            <w:r w:rsidR="002174B0">
              <w:rPr>
                <w:rFonts w:ascii="Arial" w:hAnsi="Arial" w:cs="Arial"/>
                <w:b/>
                <w:color w:val="000000"/>
                <w:lang w:val="en-GB"/>
              </w:rPr>
              <w:t>–</w:t>
            </w:r>
            <w:r w:rsidRPr="004B063A">
              <w:rPr>
                <w:rFonts w:ascii="Arial" w:hAnsi="Arial" w:cs="Arial"/>
                <w:b/>
                <w:color w:val="000000"/>
                <w:lang w:val="en-GB"/>
              </w:rPr>
              <w:t>2020</w:t>
            </w:r>
          </w:p>
          <w:p w14:paraId="22332073" w14:textId="27AD74AF" w:rsidR="00637C5C" w:rsidRPr="004B063A" w:rsidRDefault="00637C5C">
            <w:pPr>
              <w:jc w:val="center"/>
              <w:rPr>
                <w:rFonts w:ascii="Arial" w:hAnsi="Arial" w:cs="Arial"/>
                <w:b/>
                <w:color w:val="000000"/>
                <w:lang w:val="en-GB"/>
              </w:rPr>
            </w:pPr>
            <w:r w:rsidRPr="004B063A">
              <w:rPr>
                <w:rFonts w:ascii="Arial" w:hAnsi="Arial" w:cs="Arial"/>
                <w:b/>
                <w:color w:val="000000"/>
                <w:lang w:val="en-GB"/>
              </w:rPr>
              <w:t>(Expected)</w:t>
            </w:r>
          </w:p>
        </w:tc>
      </w:tr>
      <w:tr w:rsidR="00637C5C" w:rsidRPr="004B063A" w14:paraId="62F26AB1" w14:textId="77777777" w:rsidTr="00F32CB3">
        <w:trPr>
          <w:trHeight w:val="320"/>
        </w:trPr>
        <w:tc>
          <w:tcPr>
            <w:tcW w:w="1341" w:type="dxa"/>
            <w:vAlign w:val="center"/>
          </w:tcPr>
          <w:p w14:paraId="068D9756" w14:textId="082FF203" w:rsidR="00637C5C" w:rsidRPr="004B063A" w:rsidRDefault="00AF22AA" w:rsidP="00F32CB3">
            <w:pPr>
              <w:rPr>
                <w:rFonts w:ascii="Arial" w:hAnsi="Arial" w:cs="Arial"/>
                <w:b/>
                <w:color w:val="000000"/>
                <w:lang w:val="en-GB"/>
              </w:rPr>
            </w:pPr>
            <w:r w:rsidRPr="004B063A">
              <w:rPr>
                <w:rFonts w:ascii="Arial" w:hAnsi="Arial" w:cs="Arial"/>
                <w:b/>
                <w:color w:val="000000"/>
                <w:lang w:val="en-GB"/>
              </w:rPr>
              <w:t>Revenues</w:t>
            </w:r>
          </w:p>
        </w:tc>
        <w:tc>
          <w:tcPr>
            <w:tcW w:w="1341" w:type="dxa"/>
            <w:noWrap/>
            <w:vAlign w:val="center"/>
            <w:hideMark/>
          </w:tcPr>
          <w:p w14:paraId="62C69928" w14:textId="1EA4A5C7" w:rsidR="00637C5C" w:rsidRPr="004B063A" w:rsidRDefault="00637C5C" w:rsidP="00F32CB3">
            <w:pPr>
              <w:jc w:val="right"/>
              <w:rPr>
                <w:rFonts w:ascii="Arial" w:hAnsi="Arial" w:cs="Arial"/>
                <w:b/>
                <w:color w:val="000000"/>
                <w:lang w:val="en-GB"/>
              </w:rPr>
            </w:pPr>
            <w:r w:rsidRPr="004B063A">
              <w:rPr>
                <w:rFonts w:ascii="Arial" w:hAnsi="Arial" w:cs="Arial"/>
                <w:color w:val="000000"/>
                <w:lang w:val="en-GB"/>
              </w:rPr>
              <w:t>4.2</w:t>
            </w:r>
          </w:p>
        </w:tc>
        <w:tc>
          <w:tcPr>
            <w:tcW w:w="1341" w:type="dxa"/>
            <w:noWrap/>
            <w:vAlign w:val="center"/>
            <w:hideMark/>
          </w:tcPr>
          <w:p w14:paraId="77EE8D23" w14:textId="03C71A58" w:rsidR="00637C5C" w:rsidRPr="004B063A" w:rsidRDefault="00637C5C" w:rsidP="00F32CB3">
            <w:pPr>
              <w:jc w:val="right"/>
              <w:rPr>
                <w:rFonts w:ascii="Arial" w:hAnsi="Arial" w:cs="Arial"/>
                <w:b/>
                <w:color w:val="000000"/>
                <w:lang w:val="en-GB"/>
              </w:rPr>
            </w:pPr>
            <w:r w:rsidRPr="004B063A">
              <w:rPr>
                <w:rFonts w:ascii="Arial" w:hAnsi="Arial" w:cs="Arial"/>
                <w:color w:val="000000"/>
                <w:lang w:val="en-GB"/>
              </w:rPr>
              <w:t>5.9</w:t>
            </w:r>
          </w:p>
        </w:tc>
        <w:tc>
          <w:tcPr>
            <w:tcW w:w="1342" w:type="dxa"/>
            <w:noWrap/>
            <w:vAlign w:val="center"/>
            <w:hideMark/>
          </w:tcPr>
          <w:p w14:paraId="15A9705A" w14:textId="35A5B2F1" w:rsidR="00637C5C" w:rsidRPr="004B063A" w:rsidRDefault="00637C5C" w:rsidP="00F32CB3">
            <w:pPr>
              <w:jc w:val="right"/>
              <w:rPr>
                <w:rFonts w:ascii="Arial" w:hAnsi="Arial" w:cs="Arial"/>
                <w:b/>
                <w:color w:val="000000"/>
                <w:lang w:val="en-GB"/>
              </w:rPr>
            </w:pPr>
            <w:r w:rsidRPr="004B063A">
              <w:rPr>
                <w:rFonts w:ascii="Arial" w:hAnsi="Arial" w:cs="Arial"/>
                <w:color w:val="000000"/>
                <w:lang w:val="en-GB"/>
              </w:rPr>
              <w:t>8</w:t>
            </w:r>
            <w:r w:rsidR="009059C5">
              <w:rPr>
                <w:rFonts w:ascii="Arial" w:hAnsi="Arial" w:cs="Arial"/>
                <w:color w:val="000000"/>
                <w:lang w:val="en-GB"/>
              </w:rPr>
              <w:t>.0</w:t>
            </w:r>
          </w:p>
        </w:tc>
        <w:tc>
          <w:tcPr>
            <w:tcW w:w="1341" w:type="dxa"/>
            <w:noWrap/>
            <w:vAlign w:val="center"/>
            <w:hideMark/>
          </w:tcPr>
          <w:p w14:paraId="2047F142" w14:textId="7E6EF4E6" w:rsidR="00637C5C" w:rsidRPr="004B063A" w:rsidRDefault="00637C5C" w:rsidP="00F32CB3">
            <w:pPr>
              <w:jc w:val="right"/>
              <w:rPr>
                <w:rFonts w:ascii="Arial" w:hAnsi="Arial" w:cs="Arial"/>
                <w:b/>
                <w:color w:val="000000"/>
                <w:lang w:val="en-GB"/>
              </w:rPr>
            </w:pPr>
            <w:r w:rsidRPr="004B063A">
              <w:rPr>
                <w:rFonts w:ascii="Arial" w:hAnsi="Arial" w:cs="Arial"/>
                <w:color w:val="000000"/>
                <w:lang w:val="en-GB"/>
              </w:rPr>
              <w:t>11</w:t>
            </w:r>
            <w:r w:rsidR="009059C5">
              <w:rPr>
                <w:rFonts w:ascii="Arial" w:hAnsi="Arial" w:cs="Arial"/>
                <w:color w:val="000000"/>
                <w:lang w:val="en-GB"/>
              </w:rPr>
              <w:t>.0</w:t>
            </w:r>
          </w:p>
        </w:tc>
        <w:tc>
          <w:tcPr>
            <w:tcW w:w="1341" w:type="dxa"/>
            <w:noWrap/>
            <w:vAlign w:val="center"/>
            <w:hideMark/>
          </w:tcPr>
          <w:p w14:paraId="02FF2C2D" w14:textId="2DB536A6" w:rsidR="00637C5C" w:rsidRPr="004B063A" w:rsidRDefault="00637C5C" w:rsidP="00F32CB3">
            <w:pPr>
              <w:jc w:val="right"/>
              <w:rPr>
                <w:rFonts w:ascii="Arial" w:hAnsi="Arial" w:cs="Arial"/>
                <w:b/>
                <w:color w:val="000000"/>
                <w:lang w:val="en-GB"/>
              </w:rPr>
            </w:pPr>
            <w:r w:rsidRPr="004B063A">
              <w:rPr>
                <w:rFonts w:ascii="Arial" w:hAnsi="Arial" w:cs="Arial"/>
                <w:color w:val="000000"/>
                <w:lang w:val="en-GB"/>
              </w:rPr>
              <w:t>14.9</w:t>
            </w:r>
          </w:p>
        </w:tc>
        <w:tc>
          <w:tcPr>
            <w:tcW w:w="1342" w:type="dxa"/>
            <w:noWrap/>
            <w:vAlign w:val="center"/>
            <w:hideMark/>
          </w:tcPr>
          <w:p w14:paraId="124E5A7F" w14:textId="412300EF" w:rsidR="00637C5C" w:rsidRPr="004B063A" w:rsidRDefault="00637C5C" w:rsidP="00F32CB3">
            <w:pPr>
              <w:jc w:val="right"/>
              <w:rPr>
                <w:rFonts w:ascii="Arial" w:hAnsi="Arial" w:cs="Arial"/>
                <w:color w:val="000000"/>
                <w:lang w:val="en-GB"/>
              </w:rPr>
            </w:pPr>
            <w:r w:rsidRPr="004B063A">
              <w:rPr>
                <w:rFonts w:ascii="Arial" w:hAnsi="Arial" w:cs="Arial"/>
                <w:color w:val="000000"/>
                <w:lang w:val="en-GB"/>
              </w:rPr>
              <w:t>10</w:t>
            </w:r>
            <w:r w:rsidR="009059C5">
              <w:rPr>
                <w:rFonts w:ascii="Arial" w:hAnsi="Arial" w:cs="Arial"/>
                <w:color w:val="000000"/>
                <w:lang w:val="en-GB"/>
              </w:rPr>
              <w:t>.0</w:t>
            </w:r>
          </w:p>
        </w:tc>
      </w:tr>
    </w:tbl>
    <w:p w14:paraId="29B8A09C" w14:textId="0F744035" w:rsidR="00E55448" w:rsidRPr="004B063A" w:rsidRDefault="00E55448" w:rsidP="002D513A">
      <w:pPr>
        <w:pStyle w:val="BodyTextMain"/>
        <w:jc w:val="center"/>
        <w:rPr>
          <w:lang w:val="en-GB"/>
        </w:rPr>
      </w:pPr>
    </w:p>
    <w:p w14:paraId="2AF63A98" w14:textId="77777777" w:rsidR="00E55448" w:rsidRPr="004B063A" w:rsidRDefault="00E55448" w:rsidP="00E55448">
      <w:pPr>
        <w:pStyle w:val="BodyTextMain"/>
        <w:rPr>
          <w:lang w:val="en-GB"/>
        </w:rPr>
      </w:pPr>
    </w:p>
    <w:p w14:paraId="43329C5B" w14:textId="51D1723D" w:rsidR="00E55448" w:rsidRPr="00F32CB3" w:rsidRDefault="000F6815" w:rsidP="00E55448">
      <w:pPr>
        <w:pStyle w:val="Footnote"/>
        <w:rPr>
          <w:spacing w:val="-2"/>
          <w:lang w:val="en-GB"/>
        </w:rPr>
      </w:pPr>
      <w:r w:rsidRPr="00F32CB3">
        <w:rPr>
          <w:spacing w:val="-2"/>
          <w:lang w:val="en-GB"/>
        </w:rPr>
        <w:t xml:space="preserve">Source: </w:t>
      </w:r>
      <w:r w:rsidR="0094512A" w:rsidRPr="00F32CB3">
        <w:rPr>
          <w:spacing w:val="-2"/>
          <w:lang w:val="en-GB"/>
        </w:rPr>
        <w:t>PricewaterhouseCoopers Private Limited</w:t>
      </w:r>
      <w:r w:rsidR="00E55448" w:rsidRPr="00F32CB3">
        <w:rPr>
          <w:spacing w:val="-2"/>
          <w:lang w:val="en-GB"/>
        </w:rPr>
        <w:t xml:space="preserve">, </w:t>
      </w:r>
      <w:r w:rsidR="002174B0" w:rsidRPr="00F32CB3">
        <w:rPr>
          <w:i/>
          <w:spacing w:val="-2"/>
          <w:lang w:val="en-GB"/>
        </w:rPr>
        <w:t>Evolution of E-commerce in India: Creating the Bricks behind the Clicks</w:t>
      </w:r>
      <w:r w:rsidR="002174B0" w:rsidRPr="00F32CB3">
        <w:rPr>
          <w:spacing w:val="-2"/>
          <w:lang w:val="en-GB"/>
        </w:rPr>
        <w:t xml:space="preserve">, </w:t>
      </w:r>
      <w:r w:rsidR="0094512A" w:rsidRPr="00F32CB3">
        <w:rPr>
          <w:spacing w:val="-2"/>
          <w:lang w:val="en-GB"/>
        </w:rPr>
        <w:t xml:space="preserve">August 2014, </w:t>
      </w:r>
      <w:r w:rsidR="00E55448" w:rsidRPr="00F32CB3">
        <w:rPr>
          <w:spacing w:val="-2"/>
          <w:lang w:val="en-GB"/>
        </w:rPr>
        <w:t>accessed November 15, 2015</w:t>
      </w:r>
      <w:r w:rsidR="0094512A" w:rsidRPr="00F32CB3">
        <w:rPr>
          <w:rStyle w:val="Hyperlink"/>
          <w:color w:val="auto"/>
          <w:spacing w:val="-2"/>
          <w:u w:val="none"/>
          <w:lang w:val="en-GB"/>
        </w:rPr>
        <w:t xml:space="preserve">, </w:t>
      </w:r>
      <w:r w:rsidR="008568A6" w:rsidRPr="00F32CB3">
        <w:rPr>
          <w:rStyle w:val="Hyperlink"/>
          <w:color w:val="auto"/>
          <w:spacing w:val="-2"/>
          <w:u w:val="none"/>
          <w:lang w:val="en-GB"/>
        </w:rPr>
        <w:t>www.pwc.in/assets/pdfs/publications/2014/evolution-of-e-commerce-in-india.pdf</w:t>
      </w:r>
      <w:r w:rsidR="0094512A" w:rsidRPr="00F32CB3">
        <w:rPr>
          <w:rStyle w:val="Hyperlink"/>
          <w:color w:val="auto"/>
          <w:spacing w:val="-2"/>
          <w:u w:val="none"/>
          <w:lang w:val="en-GB"/>
        </w:rPr>
        <w:t>.</w:t>
      </w:r>
    </w:p>
    <w:p w14:paraId="07A51F50" w14:textId="77777777" w:rsidR="00E55448" w:rsidRPr="004B063A" w:rsidRDefault="00E55448" w:rsidP="00E55448">
      <w:pPr>
        <w:pStyle w:val="Footnote"/>
        <w:rPr>
          <w:lang w:val="en-GB"/>
        </w:rPr>
      </w:pPr>
    </w:p>
    <w:p w14:paraId="64AEE1C7" w14:textId="77777777" w:rsidR="00E55448" w:rsidRPr="004B063A" w:rsidRDefault="00E55448" w:rsidP="00E55448">
      <w:pPr>
        <w:pStyle w:val="BodyTextMain"/>
        <w:rPr>
          <w:lang w:val="en-GB"/>
        </w:rPr>
      </w:pPr>
    </w:p>
    <w:p w14:paraId="190C150C" w14:textId="77777777" w:rsidR="00F337CD" w:rsidRPr="004B063A" w:rsidRDefault="00F337CD">
      <w:pPr>
        <w:spacing w:after="200" w:line="276" w:lineRule="auto"/>
        <w:rPr>
          <w:rFonts w:ascii="Arial" w:hAnsi="Arial" w:cs="Arial"/>
          <w:b/>
          <w:bCs/>
          <w:lang w:val="en-GB"/>
        </w:rPr>
      </w:pPr>
      <w:r w:rsidRPr="004B063A">
        <w:rPr>
          <w:rFonts w:ascii="Arial" w:hAnsi="Arial" w:cs="Arial"/>
          <w:b/>
          <w:bCs/>
          <w:lang w:val="en-GB"/>
        </w:rPr>
        <w:br w:type="page"/>
      </w:r>
    </w:p>
    <w:p w14:paraId="715A1DF4" w14:textId="248B2075" w:rsidR="001917FC" w:rsidRPr="004B063A" w:rsidRDefault="001917FC" w:rsidP="00F32CB3">
      <w:pPr>
        <w:pStyle w:val="ExhibitHeading"/>
        <w:rPr>
          <w:lang w:val="en-GB"/>
        </w:rPr>
      </w:pPr>
      <w:r w:rsidRPr="004B063A">
        <w:rPr>
          <w:lang w:val="en-GB"/>
        </w:rPr>
        <w:t xml:space="preserve">EXHIBIT 3: NEXUS </w:t>
      </w:r>
      <w:r w:rsidR="008677F4">
        <w:rPr>
          <w:lang w:val="en-GB"/>
        </w:rPr>
        <w:t>venture</w:t>
      </w:r>
      <w:r w:rsidR="008677F4" w:rsidRPr="004B063A">
        <w:rPr>
          <w:lang w:val="en-GB"/>
        </w:rPr>
        <w:t xml:space="preserve"> </w:t>
      </w:r>
      <w:r w:rsidRPr="004B063A">
        <w:rPr>
          <w:lang w:val="en-GB"/>
        </w:rPr>
        <w:t>PARTNERS</w:t>
      </w:r>
    </w:p>
    <w:p w14:paraId="592CC529" w14:textId="77777777" w:rsidR="001917FC" w:rsidRPr="004B063A" w:rsidRDefault="001917FC" w:rsidP="001917FC">
      <w:pPr>
        <w:jc w:val="center"/>
        <w:rPr>
          <w:rFonts w:ascii="Arial" w:hAnsi="Arial" w:cs="Arial"/>
          <w:b/>
          <w:bCs/>
          <w:lang w:val="en-GB"/>
        </w:rPr>
      </w:pPr>
    </w:p>
    <w:p w14:paraId="293C09F6" w14:textId="57E3D500" w:rsidR="001917FC" w:rsidRPr="00E62979" w:rsidRDefault="001917FC" w:rsidP="001917FC">
      <w:pPr>
        <w:jc w:val="both"/>
        <w:rPr>
          <w:rFonts w:ascii="Arial" w:hAnsi="Arial" w:cs="Arial"/>
          <w:spacing w:val="-2"/>
          <w:lang w:val="en-GB"/>
        </w:rPr>
      </w:pPr>
      <w:r w:rsidRPr="00E62979">
        <w:rPr>
          <w:rFonts w:ascii="Arial" w:hAnsi="Arial" w:cs="Arial"/>
          <w:spacing w:val="-2"/>
          <w:lang w:val="en-GB"/>
        </w:rPr>
        <w:t xml:space="preserve">Nexus </w:t>
      </w:r>
      <w:r w:rsidR="008677F4" w:rsidRPr="00E62979">
        <w:rPr>
          <w:rFonts w:ascii="Arial" w:hAnsi="Arial" w:cs="Arial"/>
          <w:spacing w:val="-2"/>
          <w:lang w:val="en-GB"/>
        </w:rPr>
        <w:t xml:space="preserve">had </w:t>
      </w:r>
      <w:r w:rsidRPr="00E62979">
        <w:rPr>
          <w:rFonts w:ascii="Arial" w:hAnsi="Arial" w:cs="Arial"/>
          <w:spacing w:val="-2"/>
          <w:lang w:val="en-GB"/>
        </w:rPr>
        <w:t xml:space="preserve">been one of India’s leading </w:t>
      </w:r>
      <w:r w:rsidR="008677F4" w:rsidRPr="00E62979">
        <w:rPr>
          <w:rFonts w:ascii="Arial" w:hAnsi="Arial" w:cs="Arial"/>
          <w:spacing w:val="-2"/>
          <w:lang w:val="en-GB"/>
        </w:rPr>
        <w:t>venture funds,</w:t>
      </w:r>
      <w:r w:rsidRPr="00E62979">
        <w:rPr>
          <w:rFonts w:ascii="Arial" w:hAnsi="Arial" w:cs="Arial"/>
          <w:spacing w:val="-2"/>
          <w:lang w:val="en-GB"/>
        </w:rPr>
        <w:t xml:space="preserve"> with investments primarily in </w:t>
      </w:r>
      <w:r w:rsidR="008677F4" w:rsidRPr="00E62979">
        <w:rPr>
          <w:rFonts w:ascii="Arial" w:hAnsi="Arial" w:cs="Arial"/>
          <w:spacing w:val="-2"/>
          <w:lang w:val="en-GB"/>
        </w:rPr>
        <w:t xml:space="preserve">the </w:t>
      </w:r>
      <w:r w:rsidRPr="00E62979">
        <w:rPr>
          <w:rFonts w:ascii="Arial" w:hAnsi="Arial" w:cs="Arial"/>
          <w:spacing w:val="-2"/>
          <w:lang w:val="en-GB"/>
        </w:rPr>
        <w:t xml:space="preserve">early stage and growth stage of start-ups. It </w:t>
      </w:r>
      <w:r w:rsidR="008677F4" w:rsidRPr="00E62979">
        <w:rPr>
          <w:rFonts w:ascii="Arial" w:hAnsi="Arial" w:cs="Arial"/>
          <w:spacing w:val="-2"/>
          <w:lang w:val="en-GB"/>
        </w:rPr>
        <w:t xml:space="preserve">had </w:t>
      </w:r>
      <w:r w:rsidRPr="00E62979">
        <w:rPr>
          <w:rFonts w:ascii="Arial" w:hAnsi="Arial" w:cs="Arial"/>
          <w:spacing w:val="-2"/>
          <w:lang w:val="en-GB"/>
        </w:rPr>
        <w:t xml:space="preserve">approximately </w:t>
      </w:r>
      <w:r w:rsidR="005947E8" w:rsidRPr="00E62979">
        <w:rPr>
          <w:rFonts w:ascii="Arial" w:hAnsi="Arial" w:cs="Arial"/>
          <w:spacing w:val="-2"/>
          <w:lang w:val="en-GB"/>
        </w:rPr>
        <w:t>US</w:t>
      </w:r>
      <w:r w:rsidRPr="00E62979">
        <w:rPr>
          <w:rFonts w:ascii="Arial" w:hAnsi="Arial" w:cs="Arial"/>
          <w:spacing w:val="-2"/>
          <w:lang w:val="en-GB"/>
        </w:rPr>
        <w:t xml:space="preserve">$1.1 billion under management </w:t>
      </w:r>
      <w:r w:rsidR="0012541F" w:rsidRPr="00E62979">
        <w:rPr>
          <w:rFonts w:ascii="Arial" w:hAnsi="Arial" w:cs="Arial"/>
          <w:spacing w:val="-2"/>
          <w:lang w:val="en-GB"/>
        </w:rPr>
        <w:t>in 201</w:t>
      </w:r>
      <w:r w:rsidR="00186193" w:rsidRPr="00E62979">
        <w:rPr>
          <w:rFonts w:ascii="Arial" w:hAnsi="Arial" w:cs="Arial"/>
          <w:spacing w:val="-2"/>
          <w:lang w:val="en-GB"/>
        </w:rPr>
        <w:t>2</w:t>
      </w:r>
      <w:r w:rsidR="008677F4" w:rsidRPr="00E62979">
        <w:rPr>
          <w:rFonts w:ascii="Arial" w:hAnsi="Arial" w:cs="Arial"/>
          <w:spacing w:val="-2"/>
          <w:lang w:val="en-GB"/>
        </w:rPr>
        <w:t>,</w:t>
      </w:r>
      <w:r w:rsidR="0012541F" w:rsidRPr="00E62979">
        <w:rPr>
          <w:rFonts w:ascii="Arial" w:hAnsi="Arial" w:cs="Arial"/>
          <w:spacing w:val="-2"/>
          <w:lang w:val="en-GB"/>
        </w:rPr>
        <w:t xml:space="preserve"> </w:t>
      </w:r>
      <w:r w:rsidRPr="00E62979">
        <w:rPr>
          <w:rFonts w:ascii="Arial" w:hAnsi="Arial" w:cs="Arial"/>
          <w:spacing w:val="-2"/>
          <w:lang w:val="en-GB"/>
        </w:rPr>
        <w:t xml:space="preserve">with a diverse portfolio including companies across technology, </w:t>
      </w:r>
      <w:r w:rsidR="008677F4" w:rsidRPr="00E62979">
        <w:rPr>
          <w:rFonts w:ascii="Arial" w:hAnsi="Arial" w:cs="Arial"/>
          <w:spacing w:val="-2"/>
          <w:lang w:val="en-GB"/>
        </w:rPr>
        <w:t>Internet</w:t>
      </w:r>
      <w:r w:rsidRPr="00E62979">
        <w:rPr>
          <w:rFonts w:ascii="Arial" w:hAnsi="Arial" w:cs="Arial"/>
          <w:spacing w:val="-2"/>
          <w:lang w:val="en-GB"/>
        </w:rPr>
        <w:t xml:space="preserve">, media, consumer, </w:t>
      </w:r>
      <w:r w:rsidR="008677F4" w:rsidRPr="00E62979">
        <w:rPr>
          <w:rFonts w:ascii="Arial" w:hAnsi="Arial" w:cs="Arial"/>
          <w:spacing w:val="-2"/>
          <w:lang w:val="en-GB"/>
        </w:rPr>
        <w:t>and business-services</w:t>
      </w:r>
      <w:r w:rsidRPr="00E62979">
        <w:rPr>
          <w:rFonts w:ascii="Arial" w:hAnsi="Arial" w:cs="Arial"/>
          <w:spacing w:val="-2"/>
          <w:lang w:val="en-GB"/>
        </w:rPr>
        <w:t xml:space="preserve"> sectors.</w:t>
      </w:r>
      <w:r w:rsidR="00F337CD" w:rsidRPr="00E62979">
        <w:rPr>
          <w:rFonts w:ascii="Arial" w:hAnsi="Arial" w:cs="Arial"/>
          <w:spacing w:val="-2"/>
          <w:lang w:val="en-GB"/>
        </w:rPr>
        <w:t xml:space="preserve"> </w:t>
      </w:r>
    </w:p>
    <w:p w14:paraId="660FF0D5" w14:textId="77777777" w:rsidR="001917FC" w:rsidRPr="004B063A" w:rsidRDefault="001917FC" w:rsidP="001917FC">
      <w:pPr>
        <w:pStyle w:val="BodyTextMain"/>
        <w:rPr>
          <w:sz w:val="20"/>
          <w:szCs w:val="20"/>
          <w:lang w:val="en-GB"/>
        </w:rPr>
      </w:pPr>
    </w:p>
    <w:p w14:paraId="7F56E0A1" w14:textId="5A6F4F71" w:rsidR="001917FC" w:rsidRPr="004B063A" w:rsidRDefault="00503ABF" w:rsidP="001917FC">
      <w:pPr>
        <w:rPr>
          <w:rFonts w:ascii="Arial" w:hAnsi="Arial" w:cs="Arial"/>
          <w:b/>
          <w:bCs/>
          <w:lang w:val="en-GB"/>
        </w:rPr>
      </w:pPr>
      <w:r w:rsidRPr="004B063A">
        <w:rPr>
          <w:rFonts w:ascii="Arial" w:hAnsi="Arial" w:cs="Arial"/>
          <w:b/>
          <w:bCs/>
          <w:lang w:val="en-GB"/>
        </w:rPr>
        <w:t xml:space="preserve">Sectors invested </w:t>
      </w:r>
      <w:r w:rsidR="00121125">
        <w:rPr>
          <w:rFonts w:ascii="Arial" w:hAnsi="Arial" w:cs="Arial"/>
          <w:b/>
          <w:bCs/>
          <w:lang w:val="en-GB"/>
        </w:rPr>
        <w:t xml:space="preserve">in </w:t>
      </w:r>
      <w:r w:rsidRPr="004B063A">
        <w:rPr>
          <w:rFonts w:ascii="Arial" w:hAnsi="Arial" w:cs="Arial"/>
          <w:b/>
          <w:bCs/>
          <w:lang w:val="en-GB"/>
        </w:rPr>
        <w:t xml:space="preserve">by </w:t>
      </w:r>
      <w:r w:rsidR="001917FC" w:rsidRPr="004B063A">
        <w:rPr>
          <w:rFonts w:ascii="Arial" w:hAnsi="Arial" w:cs="Arial"/>
          <w:b/>
          <w:bCs/>
          <w:lang w:val="en-GB"/>
        </w:rPr>
        <w:t>Nexus Venture Partners</w:t>
      </w:r>
      <w:r w:rsidR="00121125">
        <w:rPr>
          <w:rFonts w:ascii="Arial" w:hAnsi="Arial" w:cs="Arial"/>
          <w:b/>
          <w:bCs/>
          <w:lang w:val="en-GB"/>
        </w:rPr>
        <w:t xml:space="preserve"> (until end of 2012)</w:t>
      </w:r>
    </w:p>
    <w:p w14:paraId="0C970F99" w14:textId="77777777" w:rsidR="001917FC" w:rsidRPr="004B063A" w:rsidRDefault="001917FC" w:rsidP="001917FC">
      <w:pPr>
        <w:pStyle w:val="BodyTextMain"/>
        <w:rPr>
          <w:lang w:val="en-GB"/>
        </w:rPr>
      </w:pPr>
    </w:p>
    <w:tbl>
      <w:tblPr>
        <w:tblStyle w:val="TableGrid"/>
        <w:tblW w:w="4531" w:type="dxa"/>
        <w:jc w:val="center"/>
        <w:tblLook w:val="06A0" w:firstRow="1" w:lastRow="0" w:firstColumn="1" w:lastColumn="0" w:noHBand="1" w:noVBand="1"/>
      </w:tblPr>
      <w:tblGrid>
        <w:gridCol w:w="2795"/>
        <w:gridCol w:w="1736"/>
      </w:tblGrid>
      <w:tr w:rsidR="001917FC" w:rsidRPr="004B063A" w14:paraId="65EB05C2" w14:textId="77777777" w:rsidTr="00F32CB3">
        <w:trPr>
          <w:trHeight w:hRule="exact" w:val="897"/>
          <w:jc w:val="center"/>
        </w:trPr>
        <w:tc>
          <w:tcPr>
            <w:tcW w:w="2795" w:type="dxa"/>
            <w:vAlign w:val="center"/>
          </w:tcPr>
          <w:p w14:paraId="42F47E85" w14:textId="58FF075B" w:rsidR="001917FC" w:rsidRPr="004B063A" w:rsidRDefault="001917FC" w:rsidP="00F32CB3">
            <w:pPr>
              <w:tabs>
                <w:tab w:val="center" w:pos="2146"/>
                <w:tab w:val="left" w:pos="3148"/>
              </w:tabs>
              <w:jc w:val="center"/>
              <w:rPr>
                <w:rFonts w:ascii="Arial" w:hAnsi="Arial" w:cs="Arial"/>
                <w:b/>
                <w:lang w:val="en-GB"/>
              </w:rPr>
            </w:pPr>
            <w:r w:rsidRPr="004B063A">
              <w:rPr>
                <w:rFonts w:ascii="Arial" w:hAnsi="Arial" w:cs="Arial"/>
                <w:b/>
                <w:lang w:val="en-GB"/>
              </w:rPr>
              <w:t>Sector</w:t>
            </w:r>
          </w:p>
        </w:tc>
        <w:tc>
          <w:tcPr>
            <w:tcW w:w="1736" w:type="dxa"/>
            <w:vAlign w:val="center"/>
          </w:tcPr>
          <w:p w14:paraId="38A67BE0" w14:textId="4ACA0D11" w:rsidR="001917FC" w:rsidRPr="004B063A" w:rsidRDefault="001917FC" w:rsidP="00F32CB3">
            <w:pPr>
              <w:jc w:val="center"/>
              <w:rPr>
                <w:rFonts w:ascii="Arial" w:hAnsi="Arial" w:cs="Arial"/>
                <w:b/>
                <w:lang w:val="en-GB"/>
              </w:rPr>
            </w:pPr>
            <w:r w:rsidRPr="004B063A">
              <w:rPr>
                <w:rFonts w:ascii="Arial" w:hAnsi="Arial" w:cs="Arial"/>
                <w:b/>
                <w:lang w:val="en-GB"/>
              </w:rPr>
              <w:t>Number of Companies Funded</w:t>
            </w:r>
          </w:p>
        </w:tc>
      </w:tr>
      <w:tr w:rsidR="001917FC" w:rsidRPr="004B063A" w14:paraId="2B332F52" w14:textId="77777777" w:rsidTr="00F32CB3">
        <w:trPr>
          <w:trHeight w:hRule="exact" w:val="288"/>
          <w:jc w:val="center"/>
        </w:trPr>
        <w:tc>
          <w:tcPr>
            <w:tcW w:w="2795" w:type="dxa"/>
            <w:vAlign w:val="center"/>
          </w:tcPr>
          <w:p w14:paraId="0448C4F6" w14:textId="77777777" w:rsidR="001917FC" w:rsidRPr="004B063A" w:rsidRDefault="001917FC" w:rsidP="00F32CB3">
            <w:pPr>
              <w:rPr>
                <w:rFonts w:ascii="Arial" w:hAnsi="Arial" w:cs="Arial"/>
                <w:lang w:val="en-GB"/>
              </w:rPr>
            </w:pPr>
            <w:r w:rsidRPr="004B063A">
              <w:rPr>
                <w:rFonts w:ascii="Arial" w:hAnsi="Arial" w:cs="Arial"/>
                <w:lang w:val="en-GB"/>
              </w:rPr>
              <w:t>Mobile</w:t>
            </w:r>
          </w:p>
        </w:tc>
        <w:tc>
          <w:tcPr>
            <w:tcW w:w="1736" w:type="dxa"/>
            <w:vAlign w:val="center"/>
          </w:tcPr>
          <w:p w14:paraId="76B8D0E7" w14:textId="77777777" w:rsidR="001917FC" w:rsidRPr="004B063A" w:rsidRDefault="001917FC" w:rsidP="00F32CB3">
            <w:pPr>
              <w:jc w:val="right"/>
              <w:rPr>
                <w:rFonts w:ascii="Arial" w:hAnsi="Arial" w:cs="Arial"/>
                <w:lang w:val="en-GB"/>
              </w:rPr>
            </w:pPr>
            <w:r w:rsidRPr="004B063A">
              <w:rPr>
                <w:rFonts w:ascii="Arial" w:hAnsi="Arial" w:cs="Arial"/>
                <w:lang w:val="en-GB"/>
              </w:rPr>
              <w:t>13</w:t>
            </w:r>
          </w:p>
        </w:tc>
      </w:tr>
      <w:tr w:rsidR="001917FC" w:rsidRPr="004B063A" w14:paraId="44CDC757" w14:textId="77777777" w:rsidTr="00F32CB3">
        <w:trPr>
          <w:trHeight w:hRule="exact" w:val="288"/>
          <w:jc w:val="center"/>
        </w:trPr>
        <w:tc>
          <w:tcPr>
            <w:tcW w:w="2795" w:type="dxa"/>
            <w:vAlign w:val="center"/>
          </w:tcPr>
          <w:p w14:paraId="65AB2AF0" w14:textId="77777777" w:rsidR="001917FC" w:rsidRPr="004B063A" w:rsidRDefault="001917FC" w:rsidP="00F32CB3">
            <w:pPr>
              <w:rPr>
                <w:rFonts w:ascii="Arial" w:hAnsi="Arial" w:cs="Arial"/>
                <w:lang w:val="en-GB"/>
              </w:rPr>
            </w:pPr>
            <w:r w:rsidRPr="004B063A">
              <w:rPr>
                <w:rFonts w:ascii="Arial" w:hAnsi="Arial" w:cs="Arial"/>
                <w:lang w:val="en-GB"/>
              </w:rPr>
              <w:t>Enterprise Software</w:t>
            </w:r>
          </w:p>
        </w:tc>
        <w:tc>
          <w:tcPr>
            <w:tcW w:w="1736" w:type="dxa"/>
            <w:vAlign w:val="center"/>
          </w:tcPr>
          <w:p w14:paraId="729B2455" w14:textId="77777777" w:rsidR="001917FC" w:rsidRPr="004B063A" w:rsidRDefault="001917FC" w:rsidP="00F32CB3">
            <w:pPr>
              <w:jc w:val="right"/>
              <w:rPr>
                <w:rFonts w:ascii="Arial" w:hAnsi="Arial" w:cs="Arial"/>
                <w:lang w:val="en-GB"/>
              </w:rPr>
            </w:pPr>
            <w:r w:rsidRPr="004B063A">
              <w:rPr>
                <w:rFonts w:ascii="Arial" w:hAnsi="Arial" w:cs="Arial"/>
                <w:lang w:val="en-GB"/>
              </w:rPr>
              <w:t>12</w:t>
            </w:r>
          </w:p>
        </w:tc>
      </w:tr>
      <w:tr w:rsidR="001917FC" w:rsidRPr="004B063A" w14:paraId="0B5F688B" w14:textId="77777777" w:rsidTr="00F32CB3">
        <w:trPr>
          <w:trHeight w:hRule="exact" w:val="288"/>
          <w:jc w:val="center"/>
        </w:trPr>
        <w:tc>
          <w:tcPr>
            <w:tcW w:w="2795" w:type="dxa"/>
            <w:vAlign w:val="center"/>
          </w:tcPr>
          <w:p w14:paraId="25653531" w14:textId="77777777" w:rsidR="001917FC" w:rsidRPr="004B063A" w:rsidRDefault="001917FC" w:rsidP="00F32CB3">
            <w:pPr>
              <w:rPr>
                <w:rFonts w:ascii="Arial" w:hAnsi="Arial" w:cs="Arial"/>
                <w:lang w:val="en-GB"/>
              </w:rPr>
            </w:pPr>
            <w:r w:rsidRPr="004B063A">
              <w:rPr>
                <w:rFonts w:ascii="Arial" w:hAnsi="Arial" w:cs="Arial"/>
                <w:lang w:val="en-GB"/>
              </w:rPr>
              <w:t>E-commerce</w:t>
            </w:r>
          </w:p>
        </w:tc>
        <w:tc>
          <w:tcPr>
            <w:tcW w:w="1736" w:type="dxa"/>
            <w:vAlign w:val="center"/>
          </w:tcPr>
          <w:p w14:paraId="36B65173" w14:textId="77777777" w:rsidR="001917FC" w:rsidRPr="004B063A" w:rsidRDefault="001917FC" w:rsidP="00F32CB3">
            <w:pPr>
              <w:jc w:val="right"/>
              <w:rPr>
                <w:rFonts w:ascii="Arial" w:hAnsi="Arial" w:cs="Arial"/>
                <w:lang w:val="en-GB"/>
              </w:rPr>
            </w:pPr>
            <w:r w:rsidRPr="004B063A">
              <w:rPr>
                <w:rFonts w:ascii="Arial" w:hAnsi="Arial" w:cs="Arial"/>
                <w:lang w:val="en-GB"/>
              </w:rPr>
              <w:t>9</w:t>
            </w:r>
          </w:p>
        </w:tc>
      </w:tr>
      <w:tr w:rsidR="001917FC" w:rsidRPr="004B063A" w14:paraId="41933220" w14:textId="77777777" w:rsidTr="00F32CB3">
        <w:trPr>
          <w:trHeight w:hRule="exact" w:val="288"/>
          <w:jc w:val="center"/>
        </w:trPr>
        <w:tc>
          <w:tcPr>
            <w:tcW w:w="2795" w:type="dxa"/>
            <w:vAlign w:val="center"/>
          </w:tcPr>
          <w:p w14:paraId="663A6613" w14:textId="77777777" w:rsidR="001917FC" w:rsidRPr="004B063A" w:rsidRDefault="001917FC" w:rsidP="00F32CB3">
            <w:pPr>
              <w:rPr>
                <w:rFonts w:ascii="Arial" w:hAnsi="Arial" w:cs="Arial"/>
                <w:lang w:val="en-GB"/>
              </w:rPr>
            </w:pPr>
            <w:r w:rsidRPr="004B063A">
              <w:rPr>
                <w:rFonts w:ascii="Arial" w:hAnsi="Arial" w:cs="Arial"/>
                <w:lang w:val="en-GB"/>
              </w:rPr>
              <w:t>Analytics</w:t>
            </w:r>
          </w:p>
        </w:tc>
        <w:tc>
          <w:tcPr>
            <w:tcW w:w="1736" w:type="dxa"/>
            <w:vAlign w:val="center"/>
          </w:tcPr>
          <w:p w14:paraId="696ACEFA" w14:textId="77777777" w:rsidR="001917FC" w:rsidRPr="004B063A" w:rsidRDefault="001917FC" w:rsidP="00F32CB3">
            <w:pPr>
              <w:jc w:val="right"/>
              <w:rPr>
                <w:rFonts w:ascii="Arial" w:hAnsi="Arial" w:cs="Arial"/>
                <w:lang w:val="en-GB"/>
              </w:rPr>
            </w:pPr>
            <w:r w:rsidRPr="004B063A">
              <w:rPr>
                <w:rFonts w:ascii="Arial" w:hAnsi="Arial" w:cs="Arial"/>
                <w:lang w:val="en-GB"/>
              </w:rPr>
              <w:t>7</w:t>
            </w:r>
          </w:p>
        </w:tc>
      </w:tr>
      <w:tr w:rsidR="001917FC" w:rsidRPr="004B063A" w14:paraId="5627F3EC" w14:textId="77777777" w:rsidTr="00F32CB3">
        <w:trPr>
          <w:trHeight w:hRule="exact" w:val="288"/>
          <w:jc w:val="center"/>
        </w:trPr>
        <w:tc>
          <w:tcPr>
            <w:tcW w:w="2795" w:type="dxa"/>
            <w:vAlign w:val="center"/>
          </w:tcPr>
          <w:p w14:paraId="46F6BF48" w14:textId="77777777" w:rsidR="001917FC" w:rsidRPr="004B063A" w:rsidRDefault="001917FC" w:rsidP="00F32CB3">
            <w:pPr>
              <w:rPr>
                <w:rFonts w:ascii="Arial" w:hAnsi="Arial" w:cs="Arial"/>
                <w:lang w:val="en-GB"/>
              </w:rPr>
            </w:pPr>
            <w:r w:rsidRPr="004B063A">
              <w:rPr>
                <w:rFonts w:ascii="Arial" w:hAnsi="Arial" w:cs="Arial"/>
                <w:lang w:val="en-GB"/>
              </w:rPr>
              <w:t>Internet</w:t>
            </w:r>
          </w:p>
        </w:tc>
        <w:tc>
          <w:tcPr>
            <w:tcW w:w="1736" w:type="dxa"/>
            <w:vAlign w:val="center"/>
          </w:tcPr>
          <w:p w14:paraId="0314F5D7" w14:textId="77777777" w:rsidR="001917FC" w:rsidRPr="004B063A" w:rsidRDefault="001917FC" w:rsidP="00F32CB3">
            <w:pPr>
              <w:jc w:val="right"/>
              <w:rPr>
                <w:rFonts w:ascii="Arial" w:hAnsi="Arial" w:cs="Arial"/>
                <w:lang w:val="en-GB"/>
              </w:rPr>
            </w:pPr>
            <w:r w:rsidRPr="004B063A">
              <w:rPr>
                <w:rFonts w:ascii="Arial" w:hAnsi="Arial" w:cs="Arial"/>
                <w:lang w:val="en-GB"/>
              </w:rPr>
              <w:t>7</w:t>
            </w:r>
          </w:p>
        </w:tc>
      </w:tr>
      <w:tr w:rsidR="001917FC" w:rsidRPr="004B063A" w14:paraId="77416EAD" w14:textId="77777777" w:rsidTr="00F32CB3">
        <w:trPr>
          <w:trHeight w:hRule="exact" w:val="288"/>
          <w:jc w:val="center"/>
        </w:trPr>
        <w:tc>
          <w:tcPr>
            <w:tcW w:w="2795" w:type="dxa"/>
            <w:vAlign w:val="center"/>
          </w:tcPr>
          <w:p w14:paraId="55C59521" w14:textId="77777777" w:rsidR="001917FC" w:rsidRPr="004B063A" w:rsidRDefault="001917FC" w:rsidP="00F32CB3">
            <w:pPr>
              <w:rPr>
                <w:rFonts w:ascii="Arial" w:hAnsi="Arial" w:cs="Arial"/>
                <w:lang w:val="en-GB"/>
              </w:rPr>
            </w:pPr>
            <w:r w:rsidRPr="004B063A">
              <w:rPr>
                <w:rFonts w:ascii="Arial" w:hAnsi="Arial" w:cs="Arial"/>
                <w:lang w:val="en-GB"/>
              </w:rPr>
              <w:t>Cloud Computing</w:t>
            </w:r>
          </w:p>
        </w:tc>
        <w:tc>
          <w:tcPr>
            <w:tcW w:w="1736" w:type="dxa"/>
            <w:vAlign w:val="center"/>
          </w:tcPr>
          <w:p w14:paraId="17F6EF27" w14:textId="77777777" w:rsidR="001917FC" w:rsidRPr="004B063A" w:rsidRDefault="001917FC" w:rsidP="00F32CB3">
            <w:pPr>
              <w:jc w:val="right"/>
              <w:rPr>
                <w:rFonts w:ascii="Arial" w:hAnsi="Arial" w:cs="Arial"/>
                <w:lang w:val="en-GB"/>
              </w:rPr>
            </w:pPr>
            <w:r w:rsidRPr="004B063A">
              <w:rPr>
                <w:rFonts w:ascii="Arial" w:hAnsi="Arial" w:cs="Arial"/>
                <w:lang w:val="en-GB"/>
              </w:rPr>
              <w:t>6</w:t>
            </w:r>
          </w:p>
        </w:tc>
      </w:tr>
      <w:tr w:rsidR="001917FC" w:rsidRPr="004B063A" w14:paraId="3C2F0837" w14:textId="77777777" w:rsidTr="00F32CB3">
        <w:trPr>
          <w:trHeight w:hRule="exact" w:val="288"/>
          <w:jc w:val="center"/>
        </w:trPr>
        <w:tc>
          <w:tcPr>
            <w:tcW w:w="2795" w:type="dxa"/>
            <w:vAlign w:val="center"/>
          </w:tcPr>
          <w:p w14:paraId="243FD5F1" w14:textId="7B479836" w:rsidR="001917FC" w:rsidRPr="004B063A" w:rsidRDefault="00560645" w:rsidP="00F32CB3">
            <w:pPr>
              <w:rPr>
                <w:rFonts w:ascii="Arial" w:hAnsi="Arial" w:cs="Arial"/>
                <w:lang w:val="en-GB"/>
              </w:rPr>
            </w:pPr>
            <w:r>
              <w:rPr>
                <w:rFonts w:ascii="Arial" w:hAnsi="Arial" w:cs="Arial"/>
                <w:lang w:val="en-GB"/>
              </w:rPr>
              <w:t>Applications</w:t>
            </w:r>
          </w:p>
        </w:tc>
        <w:tc>
          <w:tcPr>
            <w:tcW w:w="1736" w:type="dxa"/>
            <w:vAlign w:val="center"/>
          </w:tcPr>
          <w:p w14:paraId="3FFF3207" w14:textId="77777777" w:rsidR="001917FC" w:rsidRPr="004B063A" w:rsidRDefault="001917FC" w:rsidP="00F32CB3">
            <w:pPr>
              <w:jc w:val="right"/>
              <w:rPr>
                <w:rFonts w:ascii="Arial" w:hAnsi="Arial" w:cs="Arial"/>
                <w:lang w:val="en-GB"/>
              </w:rPr>
            </w:pPr>
            <w:r w:rsidRPr="004B063A">
              <w:rPr>
                <w:rFonts w:ascii="Arial" w:hAnsi="Arial" w:cs="Arial"/>
                <w:lang w:val="en-GB"/>
              </w:rPr>
              <w:t>5</w:t>
            </w:r>
          </w:p>
        </w:tc>
      </w:tr>
      <w:tr w:rsidR="001917FC" w:rsidRPr="004B063A" w14:paraId="792CF769" w14:textId="77777777" w:rsidTr="00F32CB3">
        <w:trPr>
          <w:trHeight w:hRule="exact" w:val="288"/>
          <w:jc w:val="center"/>
        </w:trPr>
        <w:tc>
          <w:tcPr>
            <w:tcW w:w="2795" w:type="dxa"/>
            <w:vAlign w:val="center"/>
          </w:tcPr>
          <w:p w14:paraId="735AFF5E" w14:textId="04A73A9E" w:rsidR="001917FC" w:rsidRPr="004B063A" w:rsidRDefault="00560645" w:rsidP="00F32CB3">
            <w:pPr>
              <w:rPr>
                <w:rFonts w:ascii="Arial" w:hAnsi="Arial" w:cs="Arial"/>
                <w:lang w:val="en-GB"/>
              </w:rPr>
            </w:pPr>
            <w:r>
              <w:rPr>
                <w:rFonts w:ascii="Arial" w:hAnsi="Arial" w:cs="Arial"/>
                <w:lang w:val="en-GB"/>
              </w:rPr>
              <w:t>Software as a Service</w:t>
            </w:r>
          </w:p>
        </w:tc>
        <w:tc>
          <w:tcPr>
            <w:tcW w:w="1736" w:type="dxa"/>
            <w:vAlign w:val="center"/>
          </w:tcPr>
          <w:p w14:paraId="0503ADBE" w14:textId="77777777" w:rsidR="001917FC" w:rsidRPr="004B063A" w:rsidRDefault="001917FC" w:rsidP="00F32CB3">
            <w:pPr>
              <w:jc w:val="right"/>
              <w:rPr>
                <w:rFonts w:ascii="Arial" w:hAnsi="Arial" w:cs="Arial"/>
                <w:lang w:val="en-GB"/>
              </w:rPr>
            </w:pPr>
            <w:r w:rsidRPr="004B063A">
              <w:rPr>
                <w:rFonts w:ascii="Arial" w:hAnsi="Arial" w:cs="Arial"/>
                <w:lang w:val="en-GB"/>
              </w:rPr>
              <w:t>4</w:t>
            </w:r>
          </w:p>
        </w:tc>
      </w:tr>
      <w:tr w:rsidR="001917FC" w:rsidRPr="004B063A" w14:paraId="7CD530B8" w14:textId="77777777" w:rsidTr="00F32CB3">
        <w:trPr>
          <w:trHeight w:hRule="exact" w:val="288"/>
          <w:jc w:val="center"/>
        </w:trPr>
        <w:tc>
          <w:tcPr>
            <w:tcW w:w="2795" w:type="dxa"/>
            <w:vAlign w:val="center"/>
          </w:tcPr>
          <w:p w14:paraId="4D1C697C" w14:textId="3C79355D" w:rsidR="001917FC" w:rsidRPr="004B063A" w:rsidRDefault="001917FC" w:rsidP="00F25FCF">
            <w:pPr>
              <w:rPr>
                <w:rFonts w:ascii="Arial" w:hAnsi="Arial" w:cs="Arial"/>
                <w:lang w:val="en-GB"/>
              </w:rPr>
            </w:pPr>
            <w:r w:rsidRPr="004B063A">
              <w:rPr>
                <w:rFonts w:ascii="Arial" w:hAnsi="Arial" w:cs="Arial"/>
                <w:lang w:val="en-GB"/>
              </w:rPr>
              <w:t xml:space="preserve">Education </w:t>
            </w:r>
          </w:p>
        </w:tc>
        <w:tc>
          <w:tcPr>
            <w:tcW w:w="1736" w:type="dxa"/>
            <w:vAlign w:val="center"/>
          </w:tcPr>
          <w:p w14:paraId="56079B14" w14:textId="77777777" w:rsidR="001917FC" w:rsidRPr="004B063A" w:rsidRDefault="001917FC" w:rsidP="00F32CB3">
            <w:pPr>
              <w:jc w:val="right"/>
              <w:rPr>
                <w:rFonts w:ascii="Arial" w:hAnsi="Arial" w:cs="Arial"/>
                <w:lang w:val="en-GB"/>
              </w:rPr>
            </w:pPr>
            <w:r w:rsidRPr="004B063A">
              <w:rPr>
                <w:rFonts w:ascii="Arial" w:hAnsi="Arial" w:cs="Arial"/>
                <w:lang w:val="en-GB"/>
              </w:rPr>
              <w:t>3</w:t>
            </w:r>
          </w:p>
        </w:tc>
      </w:tr>
      <w:tr w:rsidR="001917FC" w:rsidRPr="004B063A" w14:paraId="1B380352" w14:textId="77777777" w:rsidTr="00F32CB3">
        <w:trPr>
          <w:trHeight w:hRule="exact" w:val="288"/>
          <w:jc w:val="center"/>
        </w:trPr>
        <w:tc>
          <w:tcPr>
            <w:tcW w:w="2795" w:type="dxa"/>
            <w:vAlign w:val="center"/>
          </w:tcPr>
          <w:p w14:paraId="19BAF69C" w14:textId="77777777" w:rsidR="001917FC" w:rsidRPr="004B063A" w:rsidRDefault="001917FC" w:rsidP="00F32CB3">
            <w:pPr>
              <w:rPr>
                <w:rFonts w:ascii="Arial" w:hAnsi="Arial" w:cs="Arial"/>
                <w:lang w:val="en-GB"/>
              </w:rPr>
            </w:pPr>
            <w:r w:rsidRPr="004B063A">
              <w:rPr>
                <w:rFonts w:ascii="Arial" w:hAnsi="Arial" w:cs="Arial"/>
                <w:lang w:val="en-GB"/>
              </w:rPr>
              <w:t>Video</w:t>
            </w:r>
          </w:p>
        </w:tc>
        <w:tc>
          <w:tcPr>
            <w:tcW w:w="1736" w:type="dxa"/>
            <w:vAlign w:val="center"/>
          </w:tcPr>
          <w:p w14:paraId="34938A93" w14:textId="77777777" w:rsidR="001917FC" w:rsidRPr="004B063A" w:rsidRDefault="001917FC" w:rsidP="00F32CB3">
            <w:pPr>
              <w:jc w:val="right"/>
              <w:rPr>
                <w:rFonts w:ascii="Arial" w:hAnsi="Arial" w:cs="Arial"/>
                <w:lang w:val="en-GB"/>
              </w:rPr>
            </w:pPr>
            <w:r w:rsidRPr="004B063A">
              <w:rPr>
                <w:rFonts w:ascii="Arial" w:hAnsi="Arial" w:cs="Arial"/>
                <w:lang w:val="en-GB"/>
              </w:rPr>
              <w:t>3</w:t>
            </w:r>
          </w:p>
        </w:tc>
      </w:tr>
      <w:tr w:rsidR="001917FC" w:rsidRPr="004B063A" w14:paraId="38340C04" w14:textId="77777777" w:rsidTr="00F32CB3">
        <w:trPr>
          <w:trHeight w:hRule="exact" w:val="288"/>
          <w:jc w:val="center"/>
        </w:trPr>
        <w:tc>
          <w:tcPr>
            <w:tcW w:w="2795" w:type="dxa"/>
            <w:vAlign w:val="center"/>
          </w:tcPr>
          <w:p w14:paraId="4EE41311" w14:textId="77777777" w:rsidR="001917FC" w:rsidRPr="004B063A" w:rsidRDefault="001917FC" w:rsidP="00F32CB3">
            <w:pPr>
              <w:rPr>
                <w:rFonts w:ascii="Arial" w:hAnsi="Arial" w:cs="Arial"/>
                <w:lang w:val="en-GB"/>
              </w:rPr>
            </w:pPr>
            <w:r w:rsidRPr="004B063A">
              <w:rPr>
                <w:rFonts w:ascii="Arial" w:hAnsi="Arial" w:cs="Arial"/>
                <w:lang w:val="en-GB"/>
              </w:rPr>
              <w:t>Curated Web</w:t>
            </w:r>
          </w:p>
        </w:tc>
        <w:tc>
          <w:tcPr>
            <w:tcW w:w="1736" w:type="dxa"/>
            <w:vAlign w:val="center"/>
          </w:tcPr>
          <w:p w14:paraId="1EBC4872" w14:textId="77777777" w:rsidR="001917FC" w:rsidRPr="004B063A" w:rsidRDefault="001917FC" w:rsidP="00F32CB3">
            <w:pPr>
              <w:jc w:val="right"/>
              <w:rPr>
                <w:rFonts w:ascii="Arial" w:hAnsi="Arial" w:cs="Arial"/>
                <w:lang w:val="en-GB"/>
              </w:rPr>
            </w:pPr>
            <w:r w:rsidRPr="004B063A">
              <w:rPr>
                <w:rFonts w:ascii="Arial" w:hAnsi="Arial" w:cs="Arial"/>
                <w:lang w:val="en-GB"/>
              </w:rPr>
              <w:t>3</w:t>
            </w:r>
          </w:p>
        </w:tc>
      </w:tr>
      <w:tr w:rsidR="001917FC" w:rsidRPr="004B063A" w14:paraId="69387974" w14:textId="77777777" w:rsidTr="00F32CB3">
        <w:trPr>
          <w:trHeight w:hRule="exact" w:val="288"/>
          <w:jc w:val="center"/>
        </w:trPr>
        <w:tc>
          <w:tcPr>
            <w:tcW w:w="2795" w:type="dxa"/>
            <w:vAlign w:val="center"/>
          </w:tcPr>
          <w:p w14:paraId="3FBDBDAF" w14:textId="77777777" w:rsidR="001917FC" w:rsidRPr="004B063A" w:rsidRDefault="001917FC" w:rsidP="00F32CB3">
            <w:pPr>
              <w:rPr>
                <w:rFonts w:ascii="Arial" w:hAnsi="Arial" w:cs="Arial"/>
                <w:lang w:val="en-GB"/>
              </w:rPr>
            </w:pPr>
            <w:r w:rsidRPr="004B063A">
              <w:rPr>
                <w:rFonts w:ascii="Arial" w:hAnsi="Arial" w:cs="Arial"/>
                <w:lang w:val="en-GB"/>
              </w:rPr>
              <w:t>Shopping</w:t>
            </w:r>
          </w:p>
        </w:tc>
        <w:tc>
          <w:tcPr>
            <w:tcW w:w="1736" w:type="dxa"/>
            <w:vAlign w:val="center"/>
          </w:tcPr>
          <w:p w14:paraId="6D22C04F" w14:textId="77777777" w:rsidR="001917FC" w:rsidRPr="004B063A" w:rsidRDefault="001917FC" w:rsidP="00F32CB3">
            <w:pPr>
              <w:jc w:val="right"/>
              <w:rPr>
                <w:rFonts w:ascii="Arial" w:hAnsi="Arial" w:cs="Arial"/>
                <w:lang w:val="en-GB"/>
              </w:rPr>
            </w:pPr>
            <w:r w:rsidRPr="004B063A">
              <w:rPr>
                <w:rFonts w:ascii="Arial" w:hAnsi="Arial" w:cs="Arial"/>
                <w:lang w:val="en-GB"/>
              </w:rPr>
              <w:t>3</w:t>
            </w:r>
          </w:p>
        </w:tc>
      </w:tr>
      <w:tr w:rsidR="001917FC" w:rsidRPr="004B063A" w14:paraId="1AF75A35" w14:textId="77777777" w:rsidTr="00F32CB3">
        <w:trPr>
          <w:trHeight w:hRule="exact" w:val="288"/>
          <w:jc w:val="center"/>
        </w:trPr>
        <w:tc>
          <w:tcPr>
            <w:tcW w:w="2795" w:type="dxa"/>
            <w:vAlign w:val="center"/>
          </w:tcPr>
          <w:p w14:paraId="36984091" w14:textId="77777777" w:rsidR="001917FC" w:rsidRPr="004B063A" w:rsidRDefault="001917FC" w:rsidP="00F32CB3">
            <w:pPr>
              <w:rPr>
                <w:rFonts w:ascii="Arial" w:hAnsi="Arial" w:cs="Arial"/>
                <w:lang w:val="en-GB"/>
              </w:rPr>
            </w:pPr>
            <w:r w:rsidRPr="004B063A">
              <w:rPr>
                <w:rFonts w:ascii="Arial" w:hAnsi="Arial" w:cs="Arial"/>
                <w:lang w:val="en-GB"/>
              </w:rPr>
              <w:t>Travel</w:t>
            </w:r>
          </w:p>
        </w:tc>
        <w:tc>
          <w:tcPr>
            <w:tcW w:w="1736" w:type="dxa"/>
            <w:vAlign w:val="center"/>
          </w:tcPr>
          <w:p w14:paraId="09F1C3F6" w14:textId="77777777" w:rsidR="001917FC" w:rsidRPr="004B063A" w:rsidRDefault="001917FC" w:rsidP="00F32CB3">
            <w:pPr>
              <w:jc w:val="right"/>
              <w:rPr>
                <w:rFonts w:ascii="Arial" w:hAnsi="Arial" w:cs="Arial"/>
                <w:lang w:val="en-GB"/>
              </w:rPr>
            </w:pPr>
            <w:r w:rsidRPr="004B063A">
              <w:rPr>
                <w:rFonts w:ascii="Arial" w:hAnsi="Arial" w:cs="Arial"/>
                <w:lang w:val="en-GB"/>
              </w:rPr>
              <w:t>3</w:t>
            </w:r>
          </w:p>
        </w:tc>
      </w:tr>
      <w:tr w:rsidR="001917FC" w:rsidRPr="004B063A" w14:paraId="04E9FDEB" w14:textId="77777777" w:rsidTr="00F32CB3">
        <w:trPr>
          <w:trHeight w:hRule="exact" w:val="288"/>
          <w:jc w:val="center"/>
        </w:trPr>
        <w:tc>
          <w:tcPr>
            <w:tcW w:w="2795" w:type="dxa"/>
            <w:vAlign w:val="center"/>
          </w:tcPr>
          <w:p w14:paraId="1E4C72AE" w14:textId="77777777" w:rsidR="001917FC" w:rsidRPr="004B063A" w:rsidRDefault="001917FC" w:rsidP="00F32CB3">
            <w:pPr>
              <w:rPr>
                <w:rFonts w:ascii="Arial" w:hAnsi="Arial" w:cs="Arial"/>
                <w:lang w:val="en-GB"/>
              </w:rPr>
            </w:pPr>
            <w:r w:rsidRPr="004B063A">
              <w:rPr>
                <w:rFonts w:ascii="Arial" w:hAnsi="Arial" w:cs="Arial"/>
                <w:lang w:val="en-GB"/>
              </w:rPr>
              <w:t>Supply Chain Management</w:t>
            </w:r>
          </w:p>
        </w:tc>
        <w:tc>
          <w:tcPr>
            <w:tcW w:w="1736" w:type="dxa"/>
            <w:vAlign w:val="center"/>
          </w:tcPr>
          <w:p w14:paraId="75D8455D" w14:textId="77777777" w:rsidR="001917FC" w:rsidRPr="004B063A" w:rsidRDefault="001917FC" w:rsidP="00F32CB3">
            <w:pPr>
              <w:jc w:val="right"/>
              <w:rPr>
                <w:rFonts w:ascii="Arial" w:hAnsi="Arial" w:cs="Arial"/>
                <w:lang w:val="en-GB"/>
              </w:rPr>
            </w:pPr>
            <w:r w:rsidRPr="004B063A">
              <w:rPr>
                <w:rFonts w:ascii="Arial" w:hAnsi="Arial" w:cs="Arial"/>
                <w:lang w:val="en-GB"/>
              </w:rPr>
              <w:t>3</w:t>
            </w:r>
          </w:p>
        </w:tc>
      </w:tr>
      <w:tr w:rsidR="001917FC" w:rsidRPr="004B063A" w14:paraId="415FE402" w14:textId="77777777" w:rsidTr="00F32CB3">
        <w:trPr>
          <w:trHeight w:hRule="exact" w:val="288"/>
          <w:jc w:val="center"/>
        </w:trPr>
        <w:tc>
          <w:tcPr>
            <w:tcW w:w="2795" w:type="dxa"/>
            <w:vAlign w:val="center"/>
          </w:tcPr>
          <w:p w14:paraId="1FBEE109" w14:textId="77777777" w:rsidR="001917FC" w:rsidRPr="004B063A" w:rsidRDefault="001917FC" w:rsidP="00F32CB3">
            <w:pPr>
              <w:rPr>
                <w:rFonts w:ascii="Arial" w:hAnsi="Arial" w:cs="Arial"/>
                <w:lang w:val="en-GB"/>
              </w:rPr>
            </w:pPr>
            <w:r w:rsidRPr="004B063A">
              <w:rPr>
                <w:rFonts w:ascii="Arial" w:hAnsi="Arial" w:cs="Arial"/>
                <w:lang w:val="en-GB"/>
              </w:rPr>
              <w:t>Advertising</w:t>
            </w:r>
          </w:p>
        </w:tc>
        <w:tc>
          <w:tcPr>
            <w:tcW w:w="1736" w:type="dxa"/>
            <w:vAlign w:val="center"/>
          </w:tcPr>
          <w:p w14:paraId="78CBE6BD" w14:textId="77777777" w:rsidR="001917FC" w:rsidRPr="004B063A" w:rsidRDefault="001917FC" w:rsidP="00F32CB3">
            <w:pPr>
              <w:jc w:val="right"/>
              <w:rPr>
                <w:rFonts w:ascii="Arial" w:hAnsi="Arial" w:cs="Arial"/>
                <w:lang w:val="en-GB"/>
              </w:rPr>
            </w:pPr>
            <w:r w:rsidRPr="004B063A">
              <w:rPr>
                <w:rFonts w:ascii="Arial" w:hAnsi="Arial" w:cs="Arial"/>
                <w:lang w:val="en-GB"/>
              </w:rPr>
              <w:t>3</w:t>
            </w:r>
          </w:p>
        </w:tc>
      </w:tr>
      <w:tr w:rsidR="001917FC" w:rsidRPr="004B063A" w14:paraId="2FABDA53" w14:textId="77777777" w:rsidTr="00F32CB3">
        <w:trPr>
          <w:trHeight w:hRule="exact" w:val="288"/>
          <w:jc w:val="center"/>
        </w:trPr>
        <w:tc>
          <w:tcPr>
            <w:tcW w:w="2795" w:type="dxa"/>
            <w:vAlign w:val="center"/>
          </w:tcPr>
          <w:p w14:paraId="16BB0A9A" w14:textId="77777777" w:rsidR="001917FC" w:rsidRPr="004B063A" w:rsidRDefault="001917FC" w:rsidP="00F32CB3">
            <w:pPr>
              <w:rPr>
                <w:rFonts w:ascii="Arial" w:hAnsi="Arial" w:cs="Arial"/>
                <w:lang w:val="en-GB"/>
              </w:rPr>
            </w:pPr>
            <w:r w:rsidRPr="004B063A">
              <w:rPr>
                <w:rFonts w:ascii="Arial" w:hAnsi="Arial" w:cs="Arial"/>
                <w:lang w:val="en-GB"/>
              </w:rPr>
              <w:t>Health Care</w:t>
            </w:r>
          </w:p>
        </w:tc>
        <w:tc>
          <w:tcPr>
            <w:tcW w:w="1736" w:type="dxa"/>
            <w:vAlign w:val="center"/>
          </w:tcPr>
          <w:p w14:paraId="209282AD" w14:textId="77777777" w:rsidR="001917FC" w:rsidRPr="004B063A" w:rsidRDefault="001917FC" w:rsidP="00F32CB3">
            <w:pPr>
              <w:jc w:val="right"/>
              <w:rPr>
                <w:rFonts w:ascii="Arial" w:hAnsi="Arial" w:cs="Arial"/>
                <w:lang w:val="en-GB"/>
              </w:rPr>
            </w:pPr>
            <w:r w:rsidRPr="004B063A">
              <w:rPr>
                <w:rFonts w:ascii="Arial" w:hAnsi="Arial" w:cs="Arial"/>
                <w:lang w:val="en-GB"/>
              </w:rPr>
              <w:t>3</w:t>
            </w:r>
          </w:p>
        </w:tc>
      </w:tr>
    </w:tbl>
    <w:p w14:paraId="6EE373D2" w14:textId="77777777" w:rsidR="001917FC" w:rsidRPr="004B063A" w:rsidRDefault="001917FC" w:rsidP="001917FC">
      <w:pPr>
        <w:rPr>
          <w:rFonts w:ascii="Arial" w:hAnsi="Arial" w:cs="Arial"/>
          <w:b/>
          <w:bCs/>
          <w:lang w:val="en-GB"/>
        </w:rPr>
      </w:pPr>
    </w:p>
    <w:p w14:paraId="2C883351" w14:textId="77777777" w:rsidR="001917FC" w:rsidRPr="004B063A" w:rsidRDefault="001917FC" w:rsidP="001917FC">
      <w:pPr>
        <w:rPr>
          <w:rFonts w:ascii="Arial" w:hAnsi="Arial" w:cs="Arial"/>
          <w:b/>
          <w:bCs/>
          <w:lang w:val="en-GB"/>
        </w:rPr>
      </w:pPr>
    </w:p>
    <w:p w14:paraId="26DF3F0B" w14:textId="42F733B3" w:rsidR="001917FC" w:rsidRPr="004B063A" w:rsidRDefault="001917FC" w:rsidP="00143F0A">
      <w:pPr>
        <w:pStyle w:val="Casehead2"/>
        <w:jc w:val="left"/>
        <w:rPr>
          <w:lang w:val="en-GB"/>
        </w:rPr>
      </w:pPr>
      <w:r w:rsidRPr="004B063A">
        <w:rPr>
          <w:lang w:val="en-GB"/>
        </w:rPr>
        <w:t xml:space="preserve">Funding </w:t>
      </w:r>
      <w:r w:rsidR="00560645">
        <w:rPr>
          <w:lang w:val="en-GB"/>
        </w:rPr>
        <w:t>rounds</w:t>
      </w:r>
      <w:r w:rsidR="00560645" w:rsidRPr="004B063A">
        <w:rPr>
          <w:lang w:val="en-GB"/>
        </w:rPr>
        <w:t xml:space="preserve"> </w:t>
      </w:r>
      <w:r w:rsidR="00560645">
        <w:rPr>
          <w:lang w:val="en-GB"/>
        </w:rPr>
        <w:t xml:space="preserve">Nexus </w:t>
      </w:r>
      <w:r w:rsidRPr="004B063A">
        <w:rPr>
          <w:lang w:val="en-GB"/>
        </w:rPr>
        <w:t xml:space="preserve">participated </w:t>
      </w:r>
      <w:r w:rsidR="00560645">
        <w:rPr>
          <w:lang w:val="en-GB"/>
        </w:rPr>
        <w:t>in</w:t>
      </w:r>
      <w:r w:rsidR="006E759A" w:rsidRPr="004B063A">
        <w:rPr>
          <w:b w:val="0"/>
          <w:bCs/>
          <w:lang w:val="en-GB"/>
        </w:rPr>
        <w:t xml:space="preserve"> </w:t>
      </w:r>
    </w:p>
    <w:p w14:paraId="38B7C8BD" w14:textId="77777777" w:rsidR="001917FC" w:rsidRPr="004B063A" w:rsidRDefault="001917FC" w:rsidP="001917FC">
      <w:pPr>
        <w:rPr>
          <w:rFonts w:ascii="Arial" w:hAnsi="Arial" w:cs="Arial"/>
          <w:b/>
          <w:bCs/>
          <w:lang w:val="en-GB"/>
        </w:rPr>
      </w:pPr>
    </w:p>
    <w:tbl>
      <w:tblPr>
        <w:tblStyle w:val="TableGrid"/>
        <w:tblW w:w="3964" w:type="dxa"/>
        <w:jc w:val="center"/>
        <w:tblLook w:val="06A0" w:firstRow="1" w:lastRow="0" w:firstColumn="1" w:lastColumn="0" w:noHBand="1" w:noVBand="1"/>
      </w:tblPr>
      <w:tblGrid>
        <w:gridCol w:w="1883"/>
        <w:gridCol w:w="2081"/>
      </w:tblGrid>
      <w:tr w:rsidR="001917FC" w:rsidRPr="004B063A" w14:paraId="197A71BD" w14:textId="77777777" w:rsidTr="00F32CB3">
        <w:trPr>
          <w:trHeight w:hRule="exact" w:val="691"/>
          <w:jc w:val="center"/>
        </w:trPr>
        <w:tc>
          <w:tcPr>
            <w:tcW w:w="1883" w:type="dxa"/>
            <w:vAlign w:val="center"/>
          </w:tcPr>
          <w:p w14:paraId="5D82574B" w14:textId="41BCDB18" w:rsidR="001917FC" w:rsidRPr="004B063A" w:rsidRDefault="001917FC" w:rsidP="00F32CB3">
            <w:pPr>
              <w:tabs>
                <w:tab w:val="center" w:pos="2146"/>
              </w:tabs>
              <w:jc w:val="center"/>
              <w:rPr>
                <w:rFonts w:ascii="Arial" w:hAnsi="Arial" w:cs="Arial"/>
                <w:b/>
                <w:lang w:val="en-GB"/>
              </w:rPr>
            </w:pPr>
            <w:r w:rsidRPr="004B063A">
              <w:rPr>
                <w:rFonts w:ascii="Arial" w:hAnsi="Arial" w:cs="Arial"/>
                <w:b/>
                <w:lang w:val="en-GB"/>
              </w:rPr>
              <w:t>Stage of Funding</w:t>
            </w:r>
          </w:p>
        </w:tc>
        <w:tc>
          <w:tcPr>
            <w:tcW w:w="2081" w:type="dxa"/>
            <w:vAlign w:val="center"/>
          </w:tcPr>
          <w:p w14:paraId="6C5BD154" w14:textId="052DFF77" w:rsidR="001917FC" w:rsidRPr="004B063A" w:rsidRDefault="001917FC" w:rsidP="00F32CB3">
            <w:pPr>
              <w:jc w:val="center"/>
              <w:rPr>
                <w:rFonts w:ascii="Arial" w:hAnsi="Arial" w:cs="Arial"/>
                <w:b/>
                <w:lang w:val="en-GB"/>
              </w:rPr>
            </w:pPr>
            <w:r w:rsidRPr="004B063A">
              <w:rPr>
                <w:rFonts w:ascii="Arial" w:hAnsi="Arial" w:cs="Arial"/>
                <w:b/>
                <w:lang w:val="en-GB"/>
              </w:rPr>
              <w:t>Number of Companies Funded</w:t>
            </w:r>
          </w:p>
        </w:tc>
      </w:tr>
      <w:tr w:rsidR="001917FC" w:rsidRPr="004B063A" w14:paraId="13DCC76C" w14:textId="77777777" w:rsidTr="00F32CB3">
        <w:trPr>
          <w:trHeight w:hRule="exact" w:val="288"/>
          <w:jc w:val="center"/>
        </w:trPr>
        <w:tc>
          <w:tcPr>
            <w:tcW w:w="1883" w:type="dxa"/>
            <w:vAlign w:val="center"/>
          </w:tcPr>
          <w:p w14:paraId="096A1AA2" w14:textId="50AE203E" w:rsidR="001917FC" w:rsidRPr="004B063A" w:rsidRDefault="001917FC" w:rsidP="00F32CB3">
            <w:pPr>
              <w:rPr>
                <w:rFonts w:ascii="Arial" w:hAnsi="Arial" w:cs="Arial"/>
                <w:lang w:val="en-GB"/>
              </w:rPr>
            </w:pPr>
            <w:r w:rsidRPr="004B063A">
              <w:rPr>
                <w:rFonts w:ascii="Arial" w:hAnsi="Arial" w:cs="Arial"/>
                <w:lang w:val="en-GB"/>
              </w:rPr>
              <w:t>Seed</w:t>
            </w:r>
          </w:p>
        </w:tc>
        <w:tc>
          <w:tcPr>
            <w:tcW w:w="2081" w:type="dxa"/>
            <w:vAlign w:val="center"/>
          </w:tcPr>
          <w:p w14:paraId="468C6A74" w14:textId="77777777" w:rsidR="001917FC" w:rsidRPr="004B063A" w:rsidRDefault="001917FC" w:rsidP="00F32CB3">
            <w:pPr>
              <w:jc w:val="right"/>
              <w:rPr>
                <w:rFonts w:ascii="Arial" w:hAnsi="Arial" w:cs="Arial"/>
                <w:lang w:val="en-GB"/>
              </w:rPr>
            </w:pPr>
            <w:r w:rsidRPr="004B063A">
              <w:rPr>
                <w:rFonts w:ascii="Arial" w:hAnsi="Arial" w:cs="Arial"/>
                <w:lang w:val="en-GB"/>
              </w:rPr>
              <w:t>16</w:t>
            </w:r>
          </w:p>
        </w:tc>
      </w:tr>
      <w:tr w:rsidR="001917FC" w:rsidRPr="004B063A" w14:paraId="2759830E" w14:textId="77777777" w:rsidTr="00F32CB3">
        <w:trPr>
          <w:trHeight w:hRule="exact" w:val="288"/>
          <w:jc w:val="center"/>
        </w:trPr>
        <w:tc>
          <w:tcPr>
            <w:tcW w:w="1883" w:type="dxa"/>
            <w:vAlign w:val="center"/>
          </w:tcPr>
          <w:p w14:paraId="17DB4790" w14:textId="77777777" w:rsidR="001917FC" w:rsidRPr="004B063A" w:rsidRDefault="001917FC" w:rsidP="00F32CB3">
            <w:pPr>
              <w:rPr>
                <w:rFonts w:ascii="Arial" w:hAnsi="Arial" w:cs="Arial"/>
                <w:lang w:val="en-GB"/>
              </w:rPr>
            </w:pPr>
            <w:r w:rsidRPr="004B063A">
              <w:rPr>
                <w:rFonts w:ascii="Arial" w:hAnsi="Arial" w:cs="Arial"/>
                <w:lang w:val="en-GB"/>
              </w:rPr>
              <w:t>Angel</w:t>
            </w:r>
          </w:p>
        </w:tc>
        <w:tc>
          <w:tcPr>
            <w:tcW w:w="2081" w:type="dxa"/>
            <w:vAlign w:val="center"/>
          </w:tcPr>
          <w:p w14:paraId="5255242C" w14:textId="77777777" w:rsidR="001917FC" w:rsidRPr="004B063A" w:rsidRDefault="001917FC" w:rsidP="00F32CB3">
            <w:pPr>
              <w:jc w:val="right"/>
              <w:rPr>
                <w:rFonts w:ascii="Arial" w:hAnsi="Arial" w:cs="Arial"/>
                <w:lang w:val="en-GB"/>
              </w:rPr>
            </w:pPr>
            <w:r w:rsidRPr="004B063A">
              <w:rPr>
                <w:rFonts w:ascii="Arial" w:hAnsi="Arial" w:cs="Arial"/>
                <w:lang w:val="en-GB"/>
              </w:rPr>
              <w:t>7</w:t>
            </w:r>
          </w:p>
        </w:tc>
      </w:tr>
      <w:tr w:rsidR="001917FC" w:rsidRPr="004B063A" w14:paraId="425B1938" w14:textId="77777777" w:rsidTr="00F32CB3">
        <w:trPr>
          <w:trHeight w:hRule="exact" w:val="288"/>
          <w:jc w:val="center"/>
        </w:trPr>
        <w:tc>
          <w:tcPr>
            <w:tcW w:w="1883" w:type="dxa"/>
            <w:vAlign w:val="center"/>
          </w:tcPr>
          <w:p w14:paraId="3005661C" w14:textId="77777777" w:rsidR="001917FC" w:rsidRPr="004B063A" w:rsidRDefault="001917FC" w:rsidP="00F32CB3">
            <w:pPr>
              <w:rPr>
                <w:rFonts w:ascii="Arial" w:hAnsi="Arial" w:cs="Arial"/>
                <w:lang w:val="en-GB"/>
              </w:rPr>
            </w:pPr>
            <w:r w:rsidRPr="004B063A">
              <w:rPr>
                <w:rFonts w:ascii="Arial" w:hAnsi="Arial" w:cs="Arial"/>
                <w:lang w:val="en-GB"/>
              </w:rPr>
              <w:t>Venture</w:t>
            </w:r>
            <w:r w:rsidRPr="004B063A">
              <w:rPr>
                <w:rFonts w:ascii="Arial" w:hAnsi="Arial" w:cs="Arial"/>
                <w:lang w:val="en-GB"/>
              </w:rPr>
              <w:tab/>
            </w:r>
          </w:p>
        </w:tc>
        <w:tc>
          <w:tcPr>
            <w:tcW w:w="2081" w:type="dxa"/>
            <w:vAlign w:val="center"/>
          </w:tcPr>
          <w:p w14:paraId="5A2B1896" w14:textId="77777777" w:rsidR="001917FC" w:rsidRPr="004B063A" w:rsidRDefault="001917FC" w:rsidP="00F32CB3">
            <w:pPr>
              <w:jc w:val="right"/>
              <w:rPr>
                <w:rFonts w:ascii="Arial" w:hAnsi="Arial" w:cs="Arial"/>
                <w:lang w:val="en-GB"/>
              </w:rPr>
            </w:pPr>
            <w:r w:rsidRPr="004B063A">
              <w:rPr>
                <w:rFonts w:ascii="Arial" w:hAnsi="Arial" w:cs="Arial"/>
                <w:lang w:val="en-GB"/>
              </w:rPr>
              <w:t>19</w:t>
            </w:r>
          </w:p>
        </w:tc>
      </w:tr>
      <w:tr w:rsidR="001917FC" w:rsidRPr="004B063A" w14:paraId="20EBC423" w14:textId="77777777" w:rsidTr="00F32CB3">
        <w:trPr>
          <w:trHeight w:hRule="exact" w:val="288"/>
          <w:jc w:val="center"/>
        </w:trPr>
        <w:tc>
          <w:tcPr>
            <w:tcW w:w="1883" w:type="dxa"/>
            <w:vAlign w:val="center"/>
          </w:tcPr>
          <w:p w14:paraId="3BE3544F" w14:textId="77777777" w:rsidR="001917FC" w:rsidRPr="004B063A" w:rsidRDefault="001917FC" w:rsidP="00F32CB3">
            <w:pPr>
              <w:rPr>
                <w:rFonts w:ascii="Arial" w:hAnsi="Arial" w:cs="Arial"/>
                <w:lang w:val="en-GB"/>
              </w:rPr>
            </w:pPr>
            <w:r w:rsidRPr="004B063A">
              <w:rPr>
                <w:rFonts w:ascii="Arial" w:hAnsi="Arial" w:cs="Arial"/>
                <w:lang w:val="en-GB"/>
              </w:rPr>
              <w:t>Series A</w:t>
            </w:r>
          </w:p>
        </w:tc>
        <w:tc>
          <w:tcPr>
            <w:tcW w:w="2081" w:type="dxa"/>
            <w:vAlign w:val="center"/>
          </w:tcPr>
          <w:p w14:paraId="1B2621CF" w14:textId="77777777" w:rsidR="001917FC" w:rsidRPr="004B063A" w:rsidRDefault="001917FC" w:rsidP="00F32CB3">
            <w:pPr>
              <w:jc w:val="right"/>
              <w:rPr>
                <w:rFonts w:ascii="Arial" w:hAnsi="Arial" w:cs="Arial"/>
                <w:lang w:val="en-GB"/>
              </w:rPr>
            </w:pPr>
            <w:r w:rsidRPr="004B063A">
              <w:rPr>
                <w:rFonts w:ascii="Arial" w:hAnsi="Arial" w:cs="Arial"/>
                <w:lang w:val="en-GB"/>
              </w:rPr>
              <w:t>21</w:t>
            </w:r>
          </w:p>
        </w:tc>
      </w:tr>
      <w:tr w:rsidR="001917FC" w:rsidRPr="004B063A" w14:paraId="76D6671C" w14:textId="77777777" w:rsidTr="00F32CB3">
        <w:trPr>
          <w:trHeight w:hRule="exact" w:val="288"/>
          <w:jc w:val="center"/>
        </w:trPr>
        <w:tc>
          <w:tcPr>
            <w:tcW w:w="1883" w:type="dxa"/>
            <w:vAlign w:val="center"/>
          </w:tcPr>
          <w:p w14:paraId="0FD04690" w14:textId="77777777" w:rsidR="001917FC" w:rsidRPr="004B063A" w:rsidRDefault="001917FC" w:rsidP="00F32CB3">
            <w:pPr>
              <w:rPr>
                <w:rFonts w:ascii="Arial" w:hAnsi="Arial" w:cs="Arial"/>
                <w:lang w:val="en-GB"/>
              </w:rPr>
            </w:pPr>
            <w:r w:rsidRPr="004B063A">
              <w:rPr>
                <w:rFonts w:ascii="Arial" w:hAnsi="Arial" w:cs="Arial"/>
                <w:lang w:val="en-GB"/>
              </w:rPr>
              <w:t>Series B</w:t>
            </w:r>
          </w:p>
        </w:tc>
        <w:tc>
          <w:tcPr>
            <w:tcW w:w="2081" w:type="dxa"/>
            <w:vAlign w:val="center"/>
          </w:tcPr>
          <w:p w14:paraId="442FBF9B" w14:textId="77777777" w:rsidR="001917FC" w:rsidRPr="004B063A" w:rsidRDefault="001917FC" w:rsidP="00F32CB3">
            <w:pPr>
              <w:jc w:val="right"/>
              <w:rPr>
                <w:rFonts w:ascii="Arial" w:hAnsi="Arial" w:cs="Arial"/>
                <w:lang w:val="en-GB"/>
              </w:rPr>
            </w:pPr>
            <w:r w:rsidRPr="004B063A">
              <w:rPr>
                <w:rFonts w:ascii="Arial" w:hAnsi="Arial" w:cs="Arial"/>
                <w:lang w:val="en-GB"/>
              </w:rPr>
              <w:t>12</w:t>
            </w:r>
          </w:p>
        </w:tc>
      </w:tr>
      <w:tr w:rsidR="001917FC" w:rsidRPr="004B063A" w14:paraId="6FFA33F3" w14:textId="77777777" w:rsidTr="00F32CB3">
        <w:trPr>
          <w:trHeight w:hRule="exact" w:val="288"/>
          <w:jc w:val="center"/>
        </w:trPr>
        <w:tc>
          <w:tcPr>
            <w:tcW w:w="1883" w:type="dxa"/>
            <w:vAlign w:val="center"/>
          </w:tcPr>
          <w:p w14:paraId="1A3E9A28" w14:textId="77777777" w:rsidR="001917FC" w:rsidRPr="004B063A" w:rsidRDefault="001917FC" w:rsidP="00F32CB3">
            <w:pPr>
              <w:rPr>
                <w:rFonts w:ascii="Arial" w:hAnsi="Arial" w:cs="Arial"/>
                <w:lang w:val="en-GB"/>
              </w:rPr>
            </w:pPr>
            <w:r w:rsidRPr="004B063A">
              <w:rPr>
                <w:rFonts w:ascii="Arial" w:hAnsi="Arial" w:cs="Arial"/>
                <w:lang w:val="en-GB"/>
              </w:rPr>
              <w:t>Series C</w:t>
            </w:r>
          </w:p>
        </w:tc>
        <w:tc>
          <w:tcPr>
            <w:tcW w:w="2081" w:type="dxa"/>
            <w:vAlign w:val="center"/>
          </w:tcPr>
          <w:p w14:paraId="6EACA31B" w14:textId="77777777" w:rsidR="001917FC" w:rsidRPr="004B063A" w:rsidRDefault="001917FC" w:rsidP="00F32CB3">
            <w:pPr>
              <w:jc w:val="right"/>
              <w:rPr>
                <w:rFonts w:ascii="Arial" w:hAnsi="Arial" w:cs="Arial"/>
                <w:lang w:val="en-GB"/>
              </w:rPr>
            </w:pPr>
            <w:r w:rsidRPr="004B063A">
              <w:rPr>
                <w:rFonts w:ascii="Arial" w:hAnsi="Arial" w:cs="Arial"/>
                <w:lang w:val="en-GB"/>
              </w:rPr>
              <w:t>5</w:t>
            </w:r>
          </w:p>
        </w:tc>
      </w:tr>
      <w:tr w:rsidR="001917FC" w:rsidRPr="004B063A" w14:paraId="2F889DA2" w14:textId="77777777" w:rsidTr="00F32CB3">
        <w:trPr>
          <w:trHeight w:hRule="exact" w:val="288"/>
          <w:jc w:val="center"/>
        </w:trPr>
        <w:tc>
          <w:tcPr>
            <w:tcW w:w="1883" w:type="dxa"/>
            <w:vAlign w:val="center"/>
          </w:tcPr>
          <w:p w14:paraId="6CA7D5E7" w14:textId="77777777" w:rsidR="001917FC" w:rsidRPr="004B063A" w:rsidRDefault="001917FC" w:rsidP="00F32CB3">
            <w:pPr>
              <w:tabs>
                <w:tab w:val="left" w:pos="877"/>
              </w:tabs>
              <w:rPr>
                <w:rFonts w:ascii="Arial" w:hAnsi="Arial" w:cs="Arial"/>
                <w:lang w:val="en-GB"/>
              </w:rPr>
            </w:pPr>
            <w:r w:rsidRPr="004B063A">
              <w:rPr>
                <w:rFonts w:ascii="Arial" w:hAnsi="Arial" w:cs="Arial"/>
                <w:lang w:val="en-GB"/>
              </w:rPr>
              <w:t>Series D</w:t>
            </w:r>
          </w:p>
        </w:tc>
        <w:tc>
          <w:tcPr>
            <w:tcW w:w="2081" w:type="dxa"/>
            <w:vAlign w:val="center"/>
          </w:tcPr>
          <w:p w14:paraId="7DC5FD05" w14:textId="77777777" w:rsidR="001917FC" w:rsidRPr="004B063A" w:rsidRDefault="001917FC" w:rsidP="00F32CB3">
            <w:pPr>
              <w:jc w:val="right"/>
              <w:rPr>
                <w:rFonts w:ascii="Arial" w:hAnsi="Arial" w:cs="Arial"/>
                <w:lang w:val="en-GB"/>
              </w:rPr>
            </w:pPr>
            <w:r w:rsidRPr="004B063A">
              <w:rPr>
                <w:rFonts w:ascii="Arial" w:hAnsi="Arial" w:cs="Arial"/>
                <w:lang w:val="en-GB"/>
              </w:rPr>
              <w:t>4</w:t>
            </w:r>
          </w:p>
        </w:tc>
      </w:tr>
      <w:tr w:rsidR="001917FC" w:rsidRPr="004B063A" w14:paraId="0BFA3BC5" w14:textId="77777777" w:rsidTr="00F32CB3">
        <w:trPr>
          <w:trHeight w:hRule="exact" w:val="288"/>
          <w:jc w:val="center"/>
        </w:trPr>
        <w:tc>
          <w:tcPr>
            <w:tcW w:w="1883" w:type="dxa"/>
            <w:vAlign w:val="center"/>
          </w:tcPr>
          <w:p w14:paraId="27140A39" w14:textId="77777777" w:rsidR="001917FC" w:rsidRPr="004B063A" w:rsidRDefault="001917FC" w:rsidP="00F32CB3">
            <w:pPr>
              <w:rPr>
                <w:rFonts w:ascii="Arial" w:hAnsi="Arial" w:cs="Arial"/>
                <w:lang w:val="en-GB"/>
              </w:rPr>
            </w:pPr>
            <w:r w:rsidRPr="004B063A">
              <w:rPr>
                <w:rFonts w:ascii="Arial" w:hAnsi="Arial" w:cs="Arial"/>
                <w:lang w:val="en-GB"/>
              </w:rPr>
              <w:t>Series E</w:t>
            </w:r>
          </w:p>
        </w:tc>
        <w:tc>
          <w:tcPr>
            <w:tcW w:w="2081" w:type="dxa"/>
            <w:vAlign w:val="center"/>
          </w:tcPr>
          <w:p w14:paraId="46D8F34A" w14:textId="77777777" w:rsidR="001917FC" w:rsidRPr="004B063A" w:rsidRDefault="001917FC" w:rsidP="00F32CB3">
            <w:pPr>
              <w:jc w:val="right"/>
              <w:rPr>
                <w:rFonts w:ascii="Arial" w:hAnsi="Arial" w:cs="Arial"/>
                <w:lang w:val="en-GB"/>
              </w:rPr>
            </w:pPr>
            <w:r w:rsidRPr="004B063A">
              <w:rPr>
                <w:rFonts w:ascii="Arial" w:hAnsi="Arial" w:cs="Arial"/>
                <w:lang w:val="en-GB"/>
              </w:rPr>
              <w:t>2</w:t>
            </w:r>
          </w:p>
        </w:tc>
      </w:tr>
    </w:tbl>
    <w:p w14:paraId="19D3BEE6" w14:textId="77777777" w:rsidR="001917FC" w:rsidRPr="004B063A" w:rsidRDefault="001917FC" w:rsidP="001917FC">
      <w:pPr>
        <w:rPr>
          <w:rFonts w:ascii="Arial" w:hAnsi="Arial" w:cs="Arial"/>
          <w:b/>
          <w:bCs/>
          <w:lang w:val="en-GB"/>
        </w:rPr>
      </w:pPr>
    </w:p>
    <w:p w14:paraId="24188575" w14:textId="114471EB" w:rsidR="00E55448" w:rsidRPr="00006046" w:rsidRDefault="00143F0A" w:rsidP="00006046">
      <w:pPr>
        <w:pStyle w:val="Footnote"/>
      </w:pPr>
      <w:r w:rsidRPr="00006046">
        <w:t>Source</w:t>
      </w:r>
      <w:r w:rsidR="001917FC" w:rsidRPr="00006046">
        <w:t xml:space="preserve">: </w:t>
      </w:r>
      <w:r w:rsidR="003A681C" w:rsidRPr="00006046">
        <w:t xml:space="preserve">Nexus Venture Partners, </w:t>
      </w:r>
      <w:r w:rsidR="00A80BEB" w:rsidRPr="00006046">
        <w:t xml:space="preserve">“Nexus Venture Partners Portfolio Companies”, </w:t>
      </w:r>
      <w:proofErr w:type="spellStart"/>
      <w:r w:rsidR="00F836DB" w:rsidRPr="00006046">
        <w:t>Crunchbase</w:t>
      </w:r>
      <w:proofErr w:type="spellEnd"/>
      <w:r w:rsidR="00043D16" w:rsidRPr="00006046">
        <w:t>,</w:t>
      </w:r>
      <w:r w:rsidR="00F836DB" w:rsidRPr="00006046">
        <w:t xml:space="preserve"> </w:t>
      </w:r>
      <w:r w:rsidR="00043D16" w:rsidRPr="00006046">
        <w:t>a</w:t>
      </w:r>
      <w:r w:rsidR="00F836DB" w:rsidRPr="00006046">
        <w:t xml:space="preserve">ccessed August </w:t>
      </w:r>
      <w:r w:rsidR="00043D16" w:rsidRPr="00006046">
        <w:t xml:space="preserve">1, </w:t>
      </w:r>
      <w:r w:rsidR="00F836DB" w:rsidRPr="00006046">
        <w:t xml:space="preserve">2016. </w:t>
      </w:r>
    </w:p>
    <w:p w14:paraId="5BC49E23" w14:textId="77777777" w:rsidR="00E55448" w:rsidRPr="004B063A" w:rsidRDefault="00E55448" w:rsidP="00E55448">
      <w:pPr>
        <w:pStyle w:val="BodyTextMain"/>
        <w:rPr>
          <w:lang w:val="en-GB"/>
        </w:rPr>
      </w:pPr>
    </w:p>
    <w:p w14:paraId="147F7B4C" w14:textId="20873152" w:rsidR="00E511A8" w:rsidRPr="004B063A" w:rsidRDefault="00E511A8">
      <w:pPr>
        <w:spacing w:after="200" w:line="276" w:lineRule="auto"/>
        <w:rPr>
          <w:rFonts w:ascii="Arial" w:hAnsi="Arial" w:cs="Arial"/>
          <w:b/>
          <w:caps/>
          <w:lang w:val="en-GB"/>
        </w:rPr>
      </w:pPr>
    </w:p>
    <w:p w14:paraId="2A6E997F" w14:textId="4C2BAE27" w:rsidR="006E759A" w:rsidRPr="004B063A" w:rsidRDefault="006E759A" w:rsidP="006E759A">
      <w:pPr>
        <w:jc w:val="center"/>
        <w:rPr>
          <w:rFonts w:ascii="Arial" w:hAnsi="Arial" w:cs="Arial"/>
          <w:b/>
          <w:bCs/>
          <w:caps/>
          <w:lang w:val="en-GB"/>
        </w:rPr>
      </w:pPr>
      <w:r w:rsidRPr="004B063A">
        <w:rPr>
          <w:rFonts w:ascii="Arial" w:hAnsi="Arial" w:cs="Arial"/>
          <w:b/>
          <w:caps/>
          <w:lang w:val="en-GB"/>
        </w:rPr>
        <w:t xml:space="preserve">Exhibit 4: MODELS IN </w:t>
      </w:r>
      <w:r w:rsidR="009D534A" w:rsidRPr="004B063A">
        <w:rPr>
          <w:rFonts w:ascii="Arial" w:hAnsi="Arial" w:cs="Arial"/>
          <w:b/>
          <w:caps/>
          <w:lang w:val="en-GB"/>
        </w:rPr>
        <w:t>E-</w:t>
      </w:r>
      <w:r w:rsidR="0058182B" w:rsidRPr="004B063A">
        <w:rPr>
          <w:rFonts w:ascii="Arial" w:hAnsi="Arial" w:cs="Arial"/>
          <w:b/>
          <w:caps/>
          <w:lang w:val="en-GB"/>
        </w:rPr>
        <w:t>COMMERCE DELIVERY</w:t>
      </w:r>
    </w:p>
    <w:p w14:paraId="4EE7B27A" w14:textId="77777777" w:rsidR="006E759A" w:rsidRPr="004B063A" w:rsidRDefault="006E759A" w:rsidP="006E759A">
      <w:pPr>
        <w:jc w:val="center"/>
        <w:rPr>
          <w:rFonts w:ascii="Arial" w:hAnsi="Arial" w:cs="Arial"/>
          <w:b/>
          <w:bCs/>
          <w:caps/>
          <w:lang w:val="en-GB"/>
        </w:rPr>
      </w:pPr>
    </w:p>
    <w:p w14:paraId="70037639" w14:textId="3433889A" w:rsidR="006E759A" w:rsidRPr="004B063A" w:rsidRDefault="006E759A" w:rsidP="006E759A">
      <w:pPr>
        <w:pStyle w:val="ExhibitText"/>
        <w:rPr>
          <w:lang w:val="en-GB"/>
        </w:rPr>
      </w:pPr>
      <w:r w:rsidRPr="004B063A">
        <w:rPr>
          <w:lang w:val="en-GB"/>
        </w:rPr>
        <w:t xml:space="preserve">On a broad scale, the </w:t>
      </w:r>
      <w:proofErr w:type="spellStart"/>
      <w:r w:rsidR="00934498">
        <w:rPr>
          <w:lang w:val="en-GB"/>
        </w:rPr>
        <w:t>fulfillment</w:t>
      </w:r>
      <w:proofErr w:type="spellEnd"/>
      <w:r w:rsidR="00934498" w:rsidRPr="004B063A">
        <w:rPr>
          <w:lang w:val="en-GB"/>
        </w:rPr>
        <w:t xml:space="preserve"> </w:t>
      </w:r>
      <w:r w:rsidRPr="004B063A">
        <w:rPr>
          <w:lang w:val="en-GB"/>
        </w:rPr>
        <w:t xml:space="preserve">models followed in India </w:t>
      </w:r>
      <w:r w:rsidR="00FF75BB">
        <w:rPr>
          <w:lang w:val="en-GB"/>
        </w:rPr>
        <w:t>could</w:t>
      </w:r>
      <w:r w:rsidRPr="004B063A">
        <w:rPr>
          <w:lang w:val="en-GB"/>
        </w:rPr>
        <w:t xml:space="preserve"> be classified based on the entity who </w:t>
      </w:r>
      <w:r w:rsidR="00016189">
        <w:rPr>
          <w:lang w:val="en-GB"/>
        </w:rPr>
        <w:t>stocked</w:t>
      </w:r>
      <w:r w:rsidR="00016189" w:rsidRPr="004B063A">
        <w:rPr>
          <w:lang w:val="en-GB"/>
        </w:rPr>
        <w:t xml:space="preserve"> </w:t>
      </w:r>
      <w:r w:rsidRPr="004B063A">
        <w:rPr>
          <w:lang w:val="en-GB"/>
        </w:rPr>
        <w:t xml:space="preserve">the inventory. The inventory </w:t>
      </w:r>
      <w:r w:rsidR="00016189">
        <w:rPr>
          <w:lang w:val="en-GB"/>
        </w:rPr>
        <w:t>could</w:t>
      </w:r>
      <w:r w:rsidR="00016189" w:rsidRPr="004B063A">
        <w:rPr>
          <w:lang w:val="en-GB"/>
        </w:rPr>
        <w:t xml:space="preserve"> </w:t>
      </w:r>
      <w:r w:rsidRPr="004B063A">
        <w:rPr>
          <w:lang w:val="en-GB"/>
        </w:rPr>
        <w:t>be stocked either by the retailer/marketplace or by the seller.</w:t>
      </w:r>
    </w:p>
    <w:p w14:paraId="4FDB67C9" w14:textId="77777777" w:rsidR="006E759A" w:rsidRPr="004B063A" w:rsidRDefault="006E759A" w:rsidP="006E759A">
      <w:pPr>
        <w:pStyle w:val="BodyTextMain"/>
        <w:rPr>
          <w:lang w:val="en-GB"/>
        </w:rPr>
      </w:pPr>
    </w:p>
    <w:p w14:paraId="5B94059D" w14:textId="77777777" w:rsidR="006E759A" w:rsidRPr="004B063A" w:rsidRDefault="006E759A" w:rsidP="006E759A">
      <w:pPr>
        <w:pStyle w:val="BodyTextMain"/>
        <w:rPr>
          <w:lang w:val="en-GB"/>
        </w:rPr>
      </w:pPr>
    </w:p>
    <w:p w14:paraId="2F296642" w14:textId="380C43F4" w:rsidR="006E759A" w:rsidRPr="004B063A" w:rsidRDefault="006E759A" w:rsidP="006E759A">
      <w:pPr>
        <w:pStyle w:val="ExhibitText"/>
        <w:rPr>
          <w:b/>
          <w:lang w:val="en-GB"/>
        </w:rPr>
      </w:pPr>
      <w:r w:rsidRPr="004B063A">
        <w:rPr>
          <w:b/>
          <w:lang w:val="en-GB"/>
        </w:rPr>
        <w:t>Inventory stocked by the marketplace</w:t>
      </w:r>
    </w:p>
    <w:p w14:paraId="58A834F2" w14:textId="77777777" w:rsidR="006E759A" w:rsidRPr="004B063A" w:rsidRDefault="006E759A" w:rsidP="006E759A">
      <w:pPr>
        <w:pStyle w:val="ExhibitText"/>
        <w:rPr>
          <w:lang w:val="en-GB"/>
        </w:rPr>
      </w:pPr>
    </w:p>
    <w:p w14:paraId="6244BC74" w14:textId="5B59DAB6" w:rsidR="006E759A" w:rsidRPr="004B063A" w:rsidRDefault="006E759A" w:rsidP="006E759A">
      <w:pPr>
        <w:pStyle w:val="ExhibitText"/>
        <w:rPr>
          <w:lang w:val="en-GB"/>
        </w:rPr>
      </w:pPr>
      <w:r w:rsidRPr="004B063A">
        <w:rPr>
          <w:lang w:val="en-GB"/>
        </w:rPr>
        <w:t xml:space="preserve">This model </w:t>
      </w:r>
      <w:r w:rsidR="00B815E1">
        <w:rPr>
          <w:lang w:val="en-GB"/>
        </w:rPr>
        <w:t>had</w:t>
      </w:r>
      <w:r w:rsidR="00B815E1" w:rsidRPr="004B063A">
        <w:rPr>
          <w:lang w:val="en-GB"/>
        </w:rPr>
        <w:t xml:space="preserve"> </w:t>
      </w:r>
      <w:r w:rsidRPr="004B063A">
        <w:rPr>
          <w:lang w:val="en-GB"/>
        </w:rPr>
        <w:t>two subdivisions</w:t>
      </w:r>
      <w:r w:rsidR="00B815E1">
        <w:rPr>
          <w:lang w:val="en-GB"/>
        </w:rPr>
        <w:t>,</w:t>
      </w:r>
      <w:r w:rsidRPr="004B063A">
        <w:rPr>
          <w:lang w:val="en-GB"/>
        </w:rPr>
        <w:t xml:space="preserve"> based on the entity that </w:t>
      </w:r>
      <w:r w:rsidR="00B815E1">
        <w:rPr>
          <w:lang w:val="en-GB"/>
        </w:rPr>
        <w:t>owned</w:t>
      </w:r>
      <w:r w:rsidR="00B815E1" w:rsidRPr="004B063A">
        <w:rPr>
          <w:lang w:val="en-GB"/>
        </w:rPr>
        <w:t xml:space="preserve"> </w:t>
      </w:r>
      <w:r w:rsidRPr="004B063A">
        <w:rPr>
          <w:lang w:val="en-GB"/>
        </w:rPr>
        <w:t>the inventory.</w:t>
      </w:r>
    </w:p>
    <w:p w14:paraId="48040ABF" w14:textId="77777777" w:rsidR="006E759A" w:rsidRPr="004B063A" w:rsidRDefault="006E759A" w:rsidP="006E759A">
      <w:pPr>
        <w:pStyle w:val="ExhibitText"/>
        <w:rPr>
          <w:b/>
          <w:lang w:val="en-GB"/>
        </w:rPr>
      </w:pPr>
    </w:p>
    <w:p w14:paraId="5E1D0B44" w14:textId="77777777" w:rsidR="006E759A" w:rsidRPr="004B063A" w:rsidRDefault="006E759A" w:rsidP="006E759A">
      <w:pPr>
        <w:pStyle w:val="ExhibitText"/>
        <w:rPr>
          <w:b/>
          <w:lang w:val="en-GB"/>
        </w:rPr>
      </w:pPr>
    </w:p>
    <w:p w14:paraId="01FE9D1D" w14:textId="77777777" w:rsidR="006E759A" w:rsidRPr="004B063A" w:rsidRDefault="006E759A" w:rsidP="006E759A">
      <w:pPr>
        <w:pStyle w:val="ExhibitText"/>
        <w:rPr>
          <w:b/>
          <w:lang w:val="en-GB"/>
        </w:rPr>
      </w:pPr>
      <w:r w:rsidRPr="004B063A">
        <w:rPr>
          <w:b/>
          <w:lang w:val="en-GB"/>
        </w:rPr>
        <w:t>(a) Inventory-led model</w:t>
      </w:r>
    </w:p>
    <w:p w14:paraId="1FDE1563" w14:textId="1848599A" w:rsidR="006E759A" w:rsidRDefault="006E759A" w:rsidP="006E759A">
      <w:pPr>
        <w:pStyle w:val="ExhibitText"/>
        <w:rPr>
          <w:lang w:val="en-GB"/>
        </w:rPr>
      </w:pPr>
      <w:r w:rsidRPr="004B063A">
        <w:rPr>
          <w:lang w:val="en-GB"/>
        </w:rPr>
        <w:t xml:space="preserve">In the </w:t>
      </w:r>
      <w:r w:rsidR="00FF5FE3">
        <w:rPr>
          <w:lang w:val="en-GB"/>
        </w:rPr>
        <w:t>inventory-led</w:t>
      </w:r>
      <w:r w:rsidRPr="004B063A">
        <w:rPr>
          <w:lang w:val="en-GB"/>
        </w:rPr>
        <w:t xml:space="preserve"> model, the </w:t>
      </w:r>
      <w:r w:rsidR="009D534A" w:rsidRPr="004B063A">
        <w:rPr>
          <w:lang w:val="en-GB"/>
        </w:rPr>
        <w:t>e-commerce</w:t>
      </w:r>
      <w:r w:rsidR="004B063A">
        <w:rPr>
          <w:lang w:val="en-GB"/>
        </w:rPr>
        <w:t xml:space="preserve"> </w:t>
      </w:r>
      <w:r w:rsidRPr="004B063A">
        <w:rPr>
          <w:lang w:val="en-GB"/>
        </w:rPr>
        <w:t xml:space="preserve">retailer/marketplace </w:t>
      </w:r>
      <w:r w:rsidR="00FF5FE3">
        <w:rPr>
          <w:lang w:val="en-GB"/>
        </w:rPr>
        <w:t>bought</w:t>
      </w:r>
      <w:r w:rsidR="00FF5FE3" w:rsidRPr="004B063A">
        <w:rPr>
          <w:lang w:val="en-GB"/>
        </w:rPr>
        <w:t xml:space="preserve"> </w:t>
      </w:r>
      <w:r w:rsidRPr="004B063A">
        <w:rPr>
          <w:lang w:val="en-GB"/>
        </w:rPr>
        <w:t xml:space="preserve">and </w:t>
      </w:r>
      <w:r w:rsidR="00FF5FE3">
        <w:rPr>
          <w:lang w:val="en-GB"/>
        </w:rPr>
        <w:t>stocked</w:t>
      </w:r>
      <w:r w:rsidRPr="004B063A">
        <w:rPr>
          <w:lang w:val="en-GB"/>
        </w:rPr>
        <w:t xml:space="preserve"> the entire inventory at its warehouse. This model </w:t>
      </w:r>
      <w:r w:rsidR="00FF5FE3">
        <w:rPr>
          <w:lang w:val="en-GB"/>
        </w:rPr>
        <w:t>lacked</w:t>
      </w:r>
      <w:r w:rsidR="00FF5FE3" w:rsidRPr="004B063A">
        <w:rPr>
          <w:lang w:val="en-GB"/>
        </w:rPr>
        <w:t xml:space="preserve"> </w:t>
      </w:r>
      <w:r w:rsidRPr="004B063A">
        <w:rPr>
          <w:lang w:val="en-GB"/>
        </w:rPr>
        <w:t xml:space="preserve">scalability and </w:t>
      </w:r>
      <w:r w:rsidR="00FF5FE3">
        <w:rPr>
          <w:lang w:val="en-GB"/>
        </w:rPr>
        <w:t>was</w:t>
      </w:r>
      <w:r w:rsidRPr="004B063A">
        <w:rPr>
          <w:lang w:val="en-GB"/>
        </w:rPr>
        <w:t xml:space="preserve"> capital intensive. However, it </w:t>
      </w:r>
      <w:r w:rsidR="00FF5FE3">
        <w:rPr>
          <w:lang w:val="en-GB"/>
        </w:rPr>
        <w:t>allowed</w:t>
      </w:r>
      <w:r w:rsidR="00FF5FE3" w:rsidRPr="004B063A">
        <w:rPr>
          <w:lang w:val="en-GB"/>
        </w:rPr>
        <w:t xml:space="preserve"> </w:t>
      </w:r>
      <w:r w:rsidRPr="004B063A">
        <w:rPr>
          <w:lang w:val="en-GB"/>
        </w:rPr>
        <w:t xml:space="preserve">the marketplace to have complete control over the entire process and </w:t>
      </w:r>
      <w:r w:rsidR="00FF5FE3">
        <w:rPr>
          <w:lang w:val="en-GB"/>
        </w:rPr>
        <w:t>increased</w:t>
      </w:r>
      <w:r w:rsidRPr="004B063A">
        <w:rPr>
          <w:lang w:val="en-GB"/>
        </w:rPr>
        <w:t xml:space="preserve"> customer satisfaction.</w:t>
      </w:r>
    </w:p>
    <w:p w14:paraId="59DD6929" w14:textId="77777777" w:rsidR="00ED4231" w:rsidRPr="004B063A" w:rsidRDefault="00ED4231" w:rsidP="006E759A">
      <w:pPr>
        <w:pStyle w:val="ExhibitText"/>
        <w:rPr>
          <w:lang w:val="en-GB"/>
        </w:rPr>
      </w:pPr>
    </w:p>
    <w:p w14:paraId="25E7451F" w14:textId="2AA21B4C" w:rsidR="006E759A" w:rsidRPr="004B063A" w:rsidRDefault="006E759A" w:rsidP="006E759A">
      <w:pPr>
        <w:pStyle w:val="ExhibitText"/>
        <w:rPr>
          <w:b/>
          <w:lang w:val="en-GB"/>
        </w:rPr>
      </w:pPr>
      <w:r w:rsidRPr="004B063A">
        <w:rPr>
          <w:b/>
          <w:lang w:val="en-GB"/>
        </w:rPr>
        <w:t>(b</w:t>
      </w:r>
      <w:r w:rsidR="00FF5FE3">
        <w:rPr>
          <w:b/>
          <w:lang w:val="en-GB"/>
        </w:rPr>
        <w:t>) Fulfilled-by-marketplace</w:t>
      </w:r>
      <w:r w:rsidRPr="004B063A">
        <w:rPr>
          <w:b/>
          <w:lang w:val="en-GB"/>
        </w:rPr>
        <w:t xml:space="preserve"> model</w:t>
      </w:r>
      <w:r w:rsidR="004B063A">
        <w:rPr>
          <w:b/>
          <w:lang w:val="en-GB"/>
        </w:rPr>
        <w:t xml:space="preserve"> </w:t>
      </w:r>
    </w:p>
    <w:p w14:paraId="34536BB0" w14:textId="47416362" w:rsidR="006E759A" w:rsidRPr="004B063A" w:rsidRDefault="006E759A" w:rsidP="006E759A">
      <w:pPr>
        <w:pStyle w:val="ExhibitText"/>
        <w:rPr>
          <w:lang w:val="en-GB"/>
        </w:rPr>
      </w:pPr>
      <w:r w:rsidRPr="004B063A">
        <w:rPr>
          <w:lang w:val="en-GB"/>
        </w:rPr>
        <w:t xml:space="preserve">In this model, the seller </w:t>
      </w:r>
      <w:r w:rsidR="00ED4231">
        <w:rPr>
          <w:lang w:val="en-GB"/>
        </w:rPr>
        <w:t>was</w:t>
      </w:r>
      <w:r w:rsidRPr="004B063A">
        <w:rPr>
          <w:lang w:val="en-GB"/>
        </w:rPr>
        <w:t xml:space="preserve"> registered at the warehouse of the </w:t>
      </w:r>
      <w:r w:rsidR="009D534A" w:rsidRPr="004B063A">
        <w:rPr>
          <w:lang w:val="en-GB"/>
        </w:rPr>
        <w:t>e-commerce</w:t>
      </w:r>
      <w:r w:rsidR="004B063A">
        <w:rPr>
          <w:lang w:val="en-GB"/>
        </w:rPr>
        <w:t xml:space="preserve"> </w:t>
      </w:r>
      <w:r w:rsidRPr="004B063A">
        <w:rPr>
          <w:lang w:val="en-GB"/>
        </w:rPr>
        <w:t>platform</w:t>
      </w:r>
      <w:r w:rsidR="00ED4231">
        <w:rPr>
          <w:lang w:val="en-GB"/>
        </w:rPr>
        <w:t xml:space="preserve"> and </w:t>
      </w:r>
      <w:r w:rsidR="00934498">
        <w:rPr>
          <w:lang w:val="en-GB"/>
        </w:rPr>
        <w:t>was</w:t>
      </w:r>
      <w:r w:rsidR="00ED4231">
        <w:rPr>
          <w:lang w:val="en-GB"/>
        </w:rPr>
        <w:t xml:space="preserve"> </w:t>
      </w:r>
      <w:r w:rsidRPr="004B063A">
        <w:rPr>
          <w:lang w:val="en-GB"/>
        </w:rPr>
        <w:t xml:space="preserve">given some shelf space in the warehouse. The seller </w:t>
      </w:r>
      <w:r w:rsidR="00ED4231">
        <w:rPr>
          <w:lang w:val="en-GB"/>
        </w:rPr>
        <w:t>kept</w:t>
      </w:r>
      <w:r w:rsidRPr="004B063A">
        <w:rPr>
          <w:lang w:val="en-GB"/>
        </w:rPr>
        <w:t xml:space="preserve"> </w:t>
      </w:r>
      <w:r w:rsidR="00934498">
        <w:rPr>
          <w:lang w:val="en-GB"/>
        </w:rPr>
        <w:t>its</w:t>
      </w:r>
      <w:r w:rsidR="00934498" w:rsidRPr="004B063A">
        <w:rPr>
          <w:lang w:val="en-GB"/>
        </w:rPr>
        <w:t xml:space="preserve"> </w:t>
      </w:r>
      <w:r w:rsidRPr="004B063A">
        <w:rPr>
          <w:lang w:val="en-GB"/>
        </w:rPr>
        <w:t>inventory at this warehouse</w:t>
      </w:r>
      <w:r w:rsidR="00ED4231">
        <w:rPr>
          <w:lang w:val="en-GB"/>
        </w:rPr>
        <w:t>,</w:t>
      </w:r>
      <w:r w:rsidRPr="004B063A">
        <w:rPr>
          <w:lang w:val="en-GB"/>
        </w:rPr>
        <w:t xml:space="preserve"> owned by the platform. The platform </w:t>
      </w:r>
      <w:r w:rsidR="00ED4231">
        <w:rPr>
          <w:lang w:val="en-GB"/>
        </w:rPr>
        <w:t>stocked</w:t>
      </w:r>
      <w:r w:rsidR="00ED4231" w:rsidRPr="004B063A">
        <w:rPr>
          <w:lang w:val="en-GB"/>
        </w:rPr>
        <w:t xml:space="preserve"> </w:t>
      </w:r>
      <w:r w:rsidR="00F836DB">
        <w:rPr>
          <w:lang w:val="en-GB"/>
        </w:rPr>
        <w:t>the seller’s inventory</w:t>
      </w:r>
      <w:r w:rsidRPr="004B063A">
        <w:rPr>
          <w:lang w:val="en-GB"/>
        </w:rPr>
        <w:t xml:space="preserve"> in </w:t>
      </w:r>
      <w:r w:rsidR="00F836DB">
        <w:rPr>
          <w:lang w:val="en-GB"/>
        </w:rPr>
        <w:t>the platform’s warehouse</w:t>
      </w:r>
      <w:r w:rsidR="00F836DB" w:rsidRPr="004B063A">
        <w:rPr>
          <w:lang w:val="en-GB"/>
        </w:rPr>
        <w:t xml:space="preserve"> </w:t>
      </w:r>
      <w:r w:rsidRPr="004B063A">
        <w:rPr>
          <w:lang w:val="en-GB"/>
        </w:rPr>
        <w:t xml:space="preserve">own warehouse and </w:t>
      </w:r>
      <w:r w:rsidR="00ED4231">
        <w:rPr>
          <w:lang w:val="en-GB"/>
        </w:rPr>
        <w:t xml:space="preserve">managed </w:t>
      </w:r>
      <w:r w:rsidRPr="004B063A">
        <w:rPr>
          <w:lang w:val="en-GB"/>
        </w:rPr>
        <w:t>the life cycle of the order.</w:t>
      </w:r>
    </w:p>
    <w:p w14:paraId="7F5705F7" w14:textId="77777777" w:rsidR="006E759A" w:rsidRPr="004B063A" w:rsidRDefault="006E759A" w:rsidP="006E759A">
      <w:pPr>
        <w:pStyle w:val="BodyTextMain"/>
        <w:rPr>
          <w:lang w:val="en-GB"/>
        </w:rPr>
      </w:pPr>
    </w:p>
    <w:p w14:paraId="1B460D4B" w14:textId="77777777" w:rsidR="006E759A" w:rsidRPr="004B063A" w:rsidRDefault="006E759A" w:rsidP="006E759A">
      <w:pPr>
        <w:pStyle w:val="BodyTextMain"/>
        <w:rPr>
          <w:lang w:val="en-GB"/>
        </w:rPr>
      </w:pPr>
    </w:p>
    <w:p w14:paraId="488CDC6D" w14:textId="3BE95A48" w:rsidR="006E759A" w:rsidRPr="004B063A" w:rsidRDefault="006E759A" w:rsidP="006E759A">
      <w:pPr>
        <w:pStyle w:val="ExhibitText"/>
        <w:rPr>
          <w:b/>
          <w:lang w:val="en-GB"/>
        </w:rPr>
      </w:pPr>
      <w:r w:rsidRPr="004B063A">
        <w:rPr>
          <w:b/>
          <w:lang w:val="en-GB"/>
        </w:rPr>
        <w:t xml:space="preserve">Inventory </w:t>
      </w:r>
      <w:r w:rsidR="00ED4231">
        <w:rPr>
          <w:b/>
          <w:lang w:val="en-GB"/>
        </w:rPr>
        <w:t>stocked by the seller</w:t>
      </w:r>
    </w:p>
    <w:p w14:paraId="6978A4B3" w14:textId="77777777" w:rsidR="006E759A" w:rsidRPr="004B063A" w:rsidRDefault="006E759A" w:rsidP="006E759A">
      <w:pPr>
        <w:pStyle w:val="ExhibitText"/>
        <w:rPr>
          <w:lang w:val="en-GB"/>
        </w:rPr>
      </w:pPr>
    </w:p>
    <w:p w14:paraId="5EF119A3" w14:textId="0A2950D2" w:rsidR="006E759A" w:rsidRDefault="006E759A" w:rsidP="006E759A">
      <w:pPr>
        <w:pStyle w:val="ExhibitText"/>
        <w:rPr>
          <w:lang w:val="en-GB"/>
        </w:rPr>
      </w:pPr>
      <w:r w:rsidRPr="004B063A">
        <w:rPr>
          <w:lang w:val="en-GB"/>
        </w:rPr>
        <w:t xml:space="preserve">Also known as the </w:t>
      </w:r>
      <w:r w:rsidR="00ED4231">
        <w:rPr>
          <w:lang w:val="en-GB"/>
        </w:rPr>
        <w:t>drop-ship</w:t>
      </w:r>
      <w:r w:rsidRPr="004B063A">
        <w:rPr>
          <w:lang w:val="en-GB"/>
        </w:rPr>
        <w:t xml:space="preserve"> model, this model </w:t>
      </w:r>
      <w:r w:rsidR="00ED4231">
        <w:rPr>
          <w:lang w:val="en-GB"/>
        </w:rPr>
        <w:t>allowed</w:t>
      </w:r>
      <w:r w:rsidR="00ED4231" w:rsidRPr="004B063A">
        <w:rPr>
          <w:lang w:val="en-GB"/>
        </w:rPr>
        <w:t xml:space="preserve"> </w:t>
      </w:r>
      <w:r w:rsidRPr="004B063A">
        <w:rPr>
          <w:lang w:val="en-GB"/>
        </w:rPr>
        <w:t xml:space="preserve">an e-commerce marketplace to avoid purchasing </w:t>
      </w:r>
      <w:r w:rsidR="00ED4231">
        <w:rPr>
          <w:lang w:val="en-GB"/>
        </w:rPr>
        <w:t xml:space="preserve">a </w:t>
      </w:r>
      <w:r w:rsidRPr="004B063A">
        <w:rPr>
          <w:lang w:val="en-GB"/>
        </w:rPr>
        <w:t xml:space="preserve">large amount of inventory. Here, e-commerce marketplaces </w:t>
      </w:r>
      <w:r w:rsidR="00ED4231">
        <w:rPr>
          <w:lang w:val="en-GB"/>
        </w:rPr>
        <w:t>bought</w:t>
      </w:r>
      <w:r w:rsidR="00ED4231" w:rsidRPr="004B063A">
        <w:rPr>
          <w:lang w:val="en-GB"/>
        </w:rPr>
        <w:t xml:space="preserve"> </w:t>
      </w:r>
      <w:r w:rsidRPr="004B063A">
        <w:rPr>
          <w:lang w:val="en-GB"/>
        </w:rPr>
        <w:t xml:space="preserve">products individually from sellers and </w:t>
      </w:r>
      <w:r w:rsidR="00ED4231">
        <w:rPr>
          <w:lang w:val="en-GB"/>
        </w:rPr>
        <w:t>shipped</w:t>
      </w:r>
      <w:r w:rsidR="00ED4231" w:rsidRPr="004B063A">
        <w:rPr>
          <w:lang w:val="en-GB"/>
        </w:rPr>
        <w:t xml:space="preserve"> </w:t>
      </w:r>
      <w:r w:rsidRPr="004B063A">
        <w:rPr>
          <w:lang w:val="en-GB"/>
        </w:rPr>
        <w:t xml:space="preserve">them directly to customers. An e-commerce marketplace </w:t>
      </w:r>
      <w:r w:rsidR="00ED4231">
        <w:rPr>
          <w:lang w:val="en-GB"/>
        </w:rPr>
        <w:t>could</w:t>
      </w:r>
      <w:r w:rsidR="00ED4231" w:rsidRPr="004B063A">
        <w:rPr>
          <w:lang w:val="en-GB"/>
        </w:rPr>
        <w:t xml:space="preserve"> </w:t>
      </w:r>
      <w:r w:rsidRPr="004B063A">
        <w:rPr>
          <w:lang w:val="en-GB"/>
        </w:rPr>
        <w:t xml:space="preserve">partner with a drop-shipping supplier and list their merchandise for sale. On receiving the order, the marketplace </w:t>
      </w:r>
      <w:r w:rsidR="00ED4231">
        <w:rPr>
          <w:lang w:val="en-GB"/>
        </w:rPr>
        <w:t>would</w:t>
      </w:r>
      <w:r w:rsidR="00ED4231" w:rsidRPr="004B063A">
        <w:rPr>
          <w:lang w:val="en-GB"/>
        </w:rPr>
        <w:t xml:space="preserve"> </w:t>
      </w:r>
      <w:r w:rsidRPr="004B063A">
        <w:rPr>
          <w:lang w:val="en-GB"/>
        </w:rPr>
        <w:t xml:space="preserve">forward the order to the seller for </w:t>
      </w:r>
      <w:proofErr w:type="spellStart"/>
      <w:r w:rsidR="00ED4231">
        <w:rPr>
          <w:lang w:val="en-GB"/>
        </w:rPr>
        <w:t>fulfillment</w:t>
      </w:r>
      <w:proofErr w:type="spellEnd"/>
      <w:r w:rsidRPr="004B063A">
        <w:rPr>
          <w:lang w:val="en-GB"/>
        </w:rPr>
        <w:t xml:space="preserve">. This type of </w:t>
      </w:r>
      <w:proofErr w:type="spellStart"/>
      <w:r w:rsidR="00ED4231">
        <w:rPr>
          <w:lang w:val="en-GB"/>
        </w:rPr>
        <w:t>fulfillment</w:t>
      </w:r>
      <w:proofErr w:type="spellEnd"/>
      <w:r w:rsidR="00ED4231" w:rsidRPr="004B063A">
        <w:rPr>
          <w:lang w:val="en-GB"/>
        </w:rPr>
        <w:t xml:space="preserve"> </w:t>
      </w:r>
      <w:r w:rsidRPr="004B063A">
        <w:rPr>
          <w:lang w:val="en-GB"/>
        </w:rPr>
        <w:t xml:space="preserve">model </w:t>
      </w:r>
      <w:r w:rsidR="00ED4231">
        <w:rPr>
          <w:lang w:val="en-GB"/>
        </w:rPr>
        <w:t>could</w:t>
      </w:r>
      <w:r w:rsidR="00ED4231" w:rsidRPr="004B063A">
        <w:rPr>
          <w:lang w:val="en-GB"/>
        </w:rPr>
        <w:t xml:space="preserve"> </w:t>
      </w:r>
      <w:r w:rsidRPr="004B063A">
        <w:rPr>
          <w:lang w:val="en-GB"/>
        </w:rPr>
        <w:t>be classified into two subtypes</w:t>
      </w:r>
      <w:r w:rsidR="00ED4231">
        <w:rPr>
          <w:lang w:val="en-GB"/>
        </w:rPr>
        <w:t>:</w:t>
      </w:r>
    </w:p>
    <w:p w14:paraId="0E1E1158" w14:textId="77777777" w:rsidR="00ED4231" w:rsidRPr="004B063A" w:rsidRDefault="00ED4231" w:rsidP="006E759A">
      <w:pPr>
        <w:pStyle w:val="ExhibitText"/>
        <w:rPr>
          <w:lang w:val="en-GB"/>
        </w:rPr>
      </w:pPr>
    </w:p>
    <w:p w14:paraId="62716C76" w14:textId="5782E053" w:rsidR="006E759A" w:rsidRPr="004B063A" w:rsidRDefault="006E759A" w:rsidP="006E759A">
      <w:pPr>
        <w:pStyle w:val="ExhibitText"/>
        <w:rPr>
          <w:b/>
          <w:lang w:val="en-GB"/>
        </w:rPr>
      </w:pPr>
      <w:r w:rsidRPr="004B063A">
        <w:rPr>
          <w:b/>
          <w:lang w:val="en-GB"/>
        </w:rPr>
        <w:t xml:space="preserve">(a) </w:t>
      </w:r>
      <w:r w:rsidR="00121551">
        <w:rPr>
          <w:b/>
          <w:lang w:val="en-GB"/>
        </w:rPr>
        <w:t xml:space="preserve">Drop-ship model: </w:t>
      </w:r>
      <w:r w:rsidRPr="004B063A">
        <w:rPr>
          <w:b/>
          <w:lang w:val="en-GB"/>
        </w:rPr>
        <w:t>Shipped by seller</w:t>
      </w:r>
    </w:p>
    <w:p w14:paraId="345ADA70" w14:textId="20585A5A" w:rsidR="006E759A" w:rsidRDefault="006E759A" w:rsidP="006E759A">
      <w:pPr>
        <w:pStyle w:val="ExhibitText"/>
        <w:rPr>
          <w:lang w:val="en-GB"/>
        </w:rPr>
      </w:pPr>
      <w:r w:rsidRPr="004B063A">
        <w:rPr>
          <w:lang w:val="en-GB"/>
        </w:rPr>
        <w:t xml:space="preserve">In this variant of the </w:t>
      </w:r>
      <w:proofErr w:type="spellStart"/>
      <w:r w:rsidR="00121551">
        <w:rPr>
          <w:lang w:val="en-GB"/>
        </w:rPr>
        <w:t>fulfillment</w:t>
      </w:r>
      <w:proofErr w:type="spellEnd"/>
      <w:r w:rsidR="00121551" w:rsidRPr="004B063A">
        <w:rPr>
          <w:lang w:val="en-GB"/>
        </w:rPr>
        <w:t xml:space="preserve"> </w:t>
      </w:r>
      <w:r w:rsidRPr="004B063A">
        <w:rPr>
          <w:lang w:val="en-GB"/>
        </w:rPr>
        <w:t xml:space="preserve">model, the seller </w:t>
      </w:r>
      <w:r w:rsidR="00121551">
        <w:rPr>
          <w:lang w:val="en-GB"/>
        </w:rPr>
        <w:t>would</w:t>
      </w:r>
      <w:r w:rsidRPr="004B063A">
        <w:rPr>
          <w:lang w:val="en-GB"/>
        </w:rPr>
        <w:t xml:space="preserve"> ship the product from its warehouse to the customer and charge the marketplace the price of the shipped item. The marketplace </w:t>
      </w:r>
      <w:r w:rsidR="00121551">
        <w:rPr>
          <w:lang w:val="en-GB"/>
        </w:rPr>
        <w:t>would</w:t>
      </w:r>
      <w:r w:rsidR="00121551" w:rsidRPr="004B063A">
        <w:rPr>
          <w:lang w:val="en-GB"/>
        </w:rPr>
        <w:t xml:space="preserve"> </w:t>
      </w:r>
      <w:r w:rsidRPr="004B063A">
        <w:rPr>
          <w:lang w:val="en-GB"/>
        </w:rPr>
        <w:t>not have any process for checking the quality of the shipping and packing done by the seller.</w:t>
      </w:r>
    </w:p>
    <w:p w14:paraId="421D9A10" w14:textId="77777777" w:rsidR="00ED4231" w:rsidRPr="004B063A" w:rsidRDefault="00ED4231" w:rsidP="006E759A">
      <w:pPr>
        <w:pStyle w:val="ExhibitText"/>
        <w:rPr>
          <w:lang w:val="en-GB"/>
        </w:rPr>
      </w:pPr>
    </w:p>
    <w:p w14:paraId="1C7ABFEC" w14:textId="788EE218" w:rsidR="006E759A" w:rsidRPr="004B063A" w:rsidRDefault="006E759A" w:rsidP="006E759A">
      <w:pPr>
        <w:pStyle w:val="ExhibitText"/>
        <w:rPr>
          <w:b/>
          <w:lang w:val="en-GB"/>
        </w:rPr>
      </w:pPr>
      <w:r w:rsidRPr="004B063A">
        <w:rPr>
          <w:b/>
          <w:lang w:val="en-GB"/>
        </w:rPr>
        <w:t xml:space="preserve">(b) </w:t>
      </w:r>
      <w:r w:rsidR="00121551">
        <w:rPr>
          <w:b/>
          <w:lang w:val="en-GB"/>
        </w:rPr>
        <w:t>Drop-ship model:</w:t>
      </w:r>
      <w:r w:rsidRPr="004B063A">
        <w:rPr>
          <w:b/>
          <w:lang w:val="en-GB"/>
        </w:rPr>
        <w:t xml:space="preserve"> Shipped by marketplace</w:t>
      </w:r>
    </w:p>
    <w:p w14:paraId="2C219448" w14:textId="74D0A4BD" w:rsidR="006E759A" w:rsidRPr="004B063A" w:rsidRDefault="006E759A" w:rsidP="006E759A">
      <w:pPr>
        <w:pStyle w:val="ExhibitText"/>
        <w:rPr>
          <w:lang w:val="en-GB"/>
        </w:rPr>
      </w:pPr>
      <w:r w:rsidRPr="004B063A">
        <w:rPr>
          <w:lang w:val="en-GB"/>
        </w:rPr>
        <w:t>In a variation of the earlier model</w:t>
      </w:r>
      <w:r w:rsidR="00121551">
        <w:rPr>
          <w:lang w:val="en-GB"/>
        </w:rPr>
        <w:t>,</w:t>
      </w:r>
      <w:r w:rsidRPr="004B063A">
        <w:rPr>
          <w:lang w:val="en-GB"/>
        </w:rPr>
        <w:t xml:space="preserve"> the courier firm of the e-commerce platform </w:t>
      </w:r>
      <w:r w:rsidR="00121551">
        <w:rPr>
          <w:lang w:val="en-GB"/>
        </w:rPr>
        <w:t>picked</w:t>
      </w:r>
      <w:r w:rsidRPr="004B063A">
        <w:rPr>
          <w:lang w:val="en-GB"/>
        </w:rPr>
        <w:t xml:space="preserve"> up the order from the seller and </w:t>
      </w:r>
      <w:r w:rsidR="00121551">
        <w:rPr>
          <w:lang w:val="en-GB"/>
        </w:rPr>
        <w:t>dispatched</w:t>
      </w:r>
      <w:r w:rsidR="00121551" w:rsidRPr="004B063A">
        <w:rPr>
          <w:lang w:val="en-GB"/>
        </w:rPr>
        <w:t xml:space="preserve"> </w:t>
      </w:r>
      <w:r w:rsidRPr="004B063A">
        <w:rPr>
          <w:lang w:val="en-GB"/>
        </w:rPr>
        <w:t xml:space="preserve">it. The seller </w:t>
      </w:r>
      <w:r w:rsidR="00121551">
        <w:rPr>
          <w:lang w:val="en-GB"/>
        </w:rPr>
        <w:t xml:space="preserve">owned </w:t>
      </w:r>
      <w:r w:rsidRPr="004B063A">
        <w:rPr>
          <w:lang w:val="en-GB"/>
        </w:rPr>
        <w:t xml:space="preserve">the inventory and </w:t>
      </w:r>
      <w:r w:rsidR="00121551">
        <w:rPr>
          <w:lang w:val="en-GB"/>
        </w:rPr>
        <w:t>kept</w:t>
      </w:r>
      <w:r w:rsidR="00121551" w:rsidRPr="004B063A">
        <w:rPr>
          <w:lang w:val="en-GB"/>
        </w:rPr>
        <w:t xml:space="preserve"> </w:t>
      </w:r>
      <w:r w:rsidRPr="004B063A">
        <w:rPr>
          <w:lang w:val="en-GB"/>
        </w:rPr>
        <w:t>it at his warehouse</w:t>
      </w:r>
      <w:r w:rsidR="00121551">
        <w:rPr>
          <w:lang w:val="en-GB"/>
        </w:rPr>
        <w:t>,</w:t>
      </w:r>
      <w:r w:rsidRPr="004B063A">
        <w:rPr>
          <w:lang w:val="en-GB"/>
        </w:rPr>
        <w:t xml:space="preserve"> but the marketplace </w:t>
      </w:r>
      <w:r w:rsidR="00121551">
        <w:rPr>
          <w:lang w:val="en-GB"/>
        </w:rPr>
        <w:t xml:space="preserve">took </w:t>
      </w:r>
      <w:r w:rsidRPr="004B063A">
        <w:rPr>
          <w:lang w:val="en-GB"/>
        </w:rPr>
        <w:t xml:space="preserve">care of the shipping process. This model </w:t>
      </w:r>
      <w:r w:rsidR="00121551">
        <w:rPr>
          <w:lang w:val="en-GB"/>
        </w:rPr>
        <w:t>allowed</w:t>
      </w:r>
      <w:r w:rsidRPr="004B063A">
        <w:rPr>
          <w:lang w:val="en-GB"/>
        </w:rPr>
        <w:t xml:space="preserve"> the marketplace to have tighter control of the shipping process.</w:t>
      </w:r>
    </w:p>
    <w:p w14:paraId="6ACE1563" w14:textId="070F6551" w:rsidR="00E55448" w:rsidRPr="004B063A" w:rsidRDefault="00E55448">
      <w:pPr>
        <w:spacing w:after="200" w:line="276" w:lineRule="auto"/>
        <w:rPr>
          <w:rFonts w:ascii="Arial" w:hAnsi="Arial" w:cs="Arial"/>
          <w:b/>
          <w:caps/>
          <w:lang w:val="en-GB"/>
        </w:rPr>
      </w:pPr>
    </w:p>
    <w:p w14:paraId="29B6C771" w14:textId="48BCE1A9" w:rsidR="006E759A" w:rsidRPr="004B063A" w:rsidRDefault="006E759A" w:rsidP="006E759A">
      <w:pPr>
        <w:pStyle w:val="Footnote"/>
        <w:rPr>
          <w:lang w:val="en-GB"/>
        </w:rPr>
      </w:pPr>
      <w:r w:rsidRPr="004B063A">
        <w:rPr>
          <w:lang w:val="en-GB"/>
        </w:rPr>
        <w:t>Source:</w:t>
      </w:r>
      <w:r w:rsidRPr="004B063A">
        <w:rPr>
          <w:b/>
          <w:caps/>
          <w:lang w:val="en-GB"/>
        </w:rPr>
        <w:t xml:space="preserve"> </w:t>
      </w:r>
      <w:r w:rsidR="00121551">
        <w:rPr>
          <w:lang w:val="en-GB"/>
        </w:rPr>
        <w:t>KPMG,</w:t>
      </w:r>
      <w:r w:rsidRPr="004B063A">
        <w:rPr>
          <w:lang w:val="en-GB"/>
        </w:rPr>
        <w:t xml:space="preserve"> </w:t>
      </w:r>
      <w:r w:rsidR="00121551" w:rsidRPr="00F32CB3">
        <w:rPr>
          <w:i/>
          <w:lang w:val="en-GB"/>
        </w:rPr>
        <w:t>Fulfilled! India’s E-Commerce Retail Logistics Growth Story</w:t>
      </w:r>
      <w:r w:rsidR="00121551">
        <w:rPr>
          <w:lang w:val="en-GB"/>
        </w:rPr>
        <w:t>,</w:t>
      </w:r>
      <w:r w:rsidR="00121551" w:rsidRPr="00121551" w:rsidDel="00121551">
        <w:rPr>
          <w:lang w:val="en-GB"/>
        </w:rPr>
        <w:t xml:space="preserve"> </w:t>
      </w:r>
      <w:r w:rsidR="00F434F1">
        <w:rPr>
          <w:lang w:val="en-GB"/>
        </w:rPr>
        <w:t xml:space="preserve">August 2016, </w:t>
      </w:r>
      <w:r w:rsidRPr="004B063A">
        <w:rPr>
          <w:lang w:val="en-GB"/>
        </w:rPr>
        <w:t>accessed May 17, 2016</w:t>
      </w:r>
      <w:r w:rsidR="00F434F1">
        <w:rPr>
          <w:lang w:val="en-GB"/>
        </w:rPr>
        <w:t>,</w:t>
      </w:r>
      <w:r w:rsidRPr="004B063A">
        <w:rPr>
          <w:lang w:val="en-GB"/>
        </w:rPr>
        <w:t xml:space="preserve"> </w:t>
      </w:r>
      <w:r w:rsidR="00F434F1" w:rsidRPr="00F434F1">
        <w:rPr>
          <w:lang w:val="en-GB"/>
        </w:rPr>
        <w:t>https://assets.kpmg.com/content/dam/kpmg/in/pdf/2016/08/E-commerce-retail-logistics-India.pdf</w:t>
      </w:r>
      <w:r w:rsidR="00F434F1">
        <w:rPr>
          <w:lang w:val="en-GB"/>
        </w:rPr>
        <w:t>.</w:t>
      </w:r>
      <w:r w:rsidR="00F434F1" w:rsidRPr="00F434F1" w:rsidDel="00F434F1">
        <w:rPr>
          <w:lang w:val="en-GB"/>
        </w:rPr>
        <w:t xml:space="preserve"> </w:t>
      </w:r>
    </w:p>
    <w:p w14:paraId="3F2D231B" w14:textId="77777777" w:rsidR="006E759A" w:rsidRPr="004B063A" w:rsidRDefault="006E759A">
      <w:pPr>
        <w:spacing w:after="200" w:line="276" w:lineRule="auto"/>
        <w:rPr>
          <w:rFonts w:ascii="Arial" w:hAnsi="Arial" w:cs="Arial"/>
          <w:sz w:val="17"/>
          <w:szCs w:val="17"/>
          <w:lang w:val="en-GB"/>
        </w:rPr>
      </w:pPr>
      <w:r w:rsidRPr="004B063A">
        <w:rPr>
          <w:lang w:val="en-GB"/>
        </w:rPr>
        <w:br w:type="page"/>
      </w:r>
    </w:p>
    <w:p w14:paraId="41A89F92" w14:textId="77777777" w:rsidR="006E759A" w:rsidRPr="004B063A" w:rsidRDefault="006E759A" w:rsidP="00F32CB3">
      <w:pPr>
        <w:pStyle w:val="ExhibitHeading"/>
        <w:rPr>
          <w:lang w:val="en-GB"/>
        </w:rPr>
      </w:pPr>
      <w:r w:rsidRPr="004B063A">
        <w:rPr>
          <w:lang w:val="en-GB"/>
        </w:rPr>
        <w:t>Exhibit 5: PRODUCT FEATURES AND PRICING</w:t>
      </w:r>
    </w:p>
    <w:p w14:paraId="7CFE78EE" w14:textId="77777777" w:rsidR="006E759A" w:rsidRPr="004B063A" w:rsidRDefault="006E759A" w:rsidP="006E759A">
      <w:pPr>
        <w:jc w:val="center"/>
        <w:rPr>
          <w:rStyle w:val="FootnoteAnchor"/>
          <w:b/>
          <w:bCs/>
          <w:lang w:val="en-GB"/>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6E759A" w:rsidRPr="004B063A" w14:paraId="1D7F9907" w14:textId="77777777" w:rsidTr="00F32CB3">
        <w:trPr>
          <w:jc w:val="center"/>
        </w:trPr>
        <w:tc>
          <w:tcPr>
            <w:tcW w:w="1870" w:type="dxa"/>
            <w:vAlign w:val="center"/>
          </w:tcPr>
          <w:p w14:paraId="49723AF2" w14:textId="77777777" w:rsidR="006E759A" w:rsidRPr="004B063A" w:rsidRDefault="006E759A" w:rsidP="00F32CB3">
            <w:pPr>
              <w:jc w:val="center"/>
              <w:rPr>
                <w:rFonts w:ascii="Arial" w:hAnsi="Arial" w:cs="Arial"/>
                <w:b/>
                <w:sz w:val="19"/>
                <w:szCs w:val="19"/>
                <w:lang w:val="en-GB"/>
              </w:rPr>
            </w:pPr>
            <w:r w:rsidRPr="004B063A">
              <w:rPr>
                <w:rFonts w:ascii="Arial" w:hAnsi="Arial" w:cs="Arial"/>
                <w:b/>
                <w:sz w:val="19"/>
                <w:szCs w:val="19"/>
                <w:lang w:val="en-GB"/>
              </w:rPr>
              <w:t>Type of Package</w:t>
            </w:r>
          </w:p>
        </w:tc>
        <w:tc>
          <w:tcPr>
            <w:tcW w:w="1870" w:type="dxa"/>
            <w:vAlign w:val="center"/>
          </w:tcPr>
          <w:p w14:paraId="3E4C32C0" w14:textId="77777777" w:rsidR="006E759A" w:rsidRPr="004B063A" w:rsidRDefault="006E759A" w:rsidP="00F32CB3">
            <w:pPr>
              <w:jc w:val="center"/>
              <w:rPr>
                <w:rFonts w:ascii="Arial" w:hAnsi="Arial" w:cs="Arial"/>
                <w:b/>
                <w:sz w:val="19"/>
                <w:szCs w:val="19"/>
                <w:lang w:val="en-GB"/>
              </w:rPr>
            </w:pPr>
            <w:r w:rsidRPr="004B063A">
              <w:rPr>
                <w:rFonts w:ascii="Arial" w:hAnsi="Arial" w:cs="Arial"/>
                <w:b/>
                <w:sz w:val="19"/>
                <w:szCs w:val="19"/>
                <w:lang w:val="en-GB"/>
              </w:rPr>
              <w:t>Monthly Subscription</w:t>
            </w:r>
          </w:p>
        </w:tc>
        <w:tc>
          <w:tcPr>
            <w:tcW w:w="1870" w:type="dxa"/>
            <w:vAlign w:val="center"/>
          </w:tcPr>
          <w:p w14:paraId="0C43CB9E" w14:textId="77777777" w:rsidR="006E759A" w:rsidRPr="004B063A" w:rsidRDefault="006E759A" w:rsidP="00F32CB3">
            <w:pPr>
              <w:jc w:val="center"/>
              <w:rPr>
                <w:rFonts w:ascii="Arial" w:hAnsi="Arial" w:cs="Arial"/>
                <w:b/>
                <w:sz w:val="19"/>
                <w:szCs w:val="19"/>
                <w:lang w:val="en-GB"/>
              </w:rPr>
            </w:pPr>
            <w:r w:rsidRPr="004B063A">
              <w:rPr>
                <w:rFonts w:ascii="Arial" w:hAnsi="Arial" w:cs="Arial"/>
                <w:b/>
                <w:sz w:val="19"/>
                <w:szCs w:val="19"/>
                <w:lang w:val="en-GB"/>
              </w:rPr>
              <w:t>Upgrade Amount</w:t>
            </w:r>
          </w:p>
        </w:tc>
        <w:tc>
          <w:tcPr>
            <w:tcW w:w="1870" w:type="dxa"/>
            <w:vAlign w:val="center"/>
          </w:tcPr>
          <w:p w14:paraId="1FE7140A" w14:textId="77777777" w:rsidR="006E759A" w:rsidRPr="004B063A" w:rsidRDefault="006E759A" w:rsidP="00F32CB3">
            <w:pPr>
              <w:jc w:val="center"/>
              <w:rPr>
                <w:rFonts w:ascii="Arial" w:hAnsi="Arial" w:cs="Arial"/>
                <w:b/>
                <w:sz w:val="19"/>
                <w:szCs w:val="19"/>
                <w:lang w:val="en-GB"/>
              </w:rPr>
            </w:pPr>
            <w:r w:rsidRPr="004B063A">
              <w:rPr>
                <w:rFonts w:ascii="Arial" w:hAnsi="Arial" w:cs="Arial"/>
                <w:b/>
                <w:sz w:val="19"/>
                <w:szCs w:val="19"/>
                <w:lang w:val="en-GB"/>
              </w:rPr>
              <w:t>Minimum Recharge Amount</w:t>
            </w:r>
          </w:p>
        </w:tc>
        <w:tc>
          <w:tcPr>
            <w:tcW w:w="1870" w:type="dxa"/>
            <w:vAlign w:val="center"/>
          </w:tcPr>
          <w:p w14:paraId="7EF87A7A" w14:textId="0737FCA3" w:rsidR="006E759A" w:rsidRPr="004B063A" w:rsidRDefault="005100DD" w:rsidP="00E62979">
            <w:pPr>
              <w:jc w:val="center"/>
              <w:rPr>
                <w:rFonts w:ascii="Arial" w:hAnsi="Arial" w:cs="Arial"/>
                <w:b/>
                <w:sz w:val="19"/>
                <w:szCs w:val="19"/>
                <w:lang w:val="en-GB"/>
              </w:rPr>
            </w:pPr>
            <w:r>
              <w:rPr>
                <w:rFonts w:ascii="Arial" w:hAnsi="Arial" w:cs="Arial"/>
                <w:b/>
                <w:sz w:val="19"/>
                <w:szCs w:val="19"/>
                <w:lang w:val="en-GB"/>
              </w:rPr>
              <w:t xml:space="preserve">Price per </w:t>
            </w:r>
            <w:r w:rsidR="00924E99">
              <w:rPr>
                <w:rFonts w:ascii="Arial" w:hAnsi="Arial" w:cs="Arial"/>
                <w:b/>
                <w:sz w:val="19"/>
                <w:szCs w:val="19"/>
                <w:lang w:val="en-GB"/>
              </w:rPr>
              <w:t>T</w:t>
            </w:r>
            <w:r>
              <w:rPr>
                <w:rFonts w:ascii="Arial" w:hAnsi="Arial" w:cs="Arial"/>
                <w:b/>
                <w:sz w:val="19"/>
                <w:szCs w:val="19"/>
                <w:lang w:val="en-GB"/>
              </w:rPr>
              <w:t>ransaction</w:t>
            </w:r>
          </w:p>
        </w:tc>
      </w:tr>
      <w:tr w:rsidR="006E759A" w:rsidRPr="004B063A" w14:paraId="638488E9" w14:textId="77777777" w:rsidTr="00F32CB3">
        <w:trPr>
          <w:jc w:val="center"/>
        </w:trPr>
        <w:tc>
          <w:tcPr>
            <w:tcW w:w="1870" w:type="dxa"/>
          </w:tcPr>
          <w:p w14:paraId="431E5B03" w14:textId="77777777" w:rsidR="006E759A" w:rsidRPr="004B063A" w:rsidRDefault="006E759A" w:rsidP="004E20FC">
            <w:pPr>
              <w:rPr>
                <w:rFonts w:ascii="Arial" w:hAnsi="Arial" w:cs="Arial"/>
                <w:sz w:val="19"/>
                <w:szCs w:val="19"/>
                <w:lang w:val="en-GB"/>
              </w:rPr>
            </w:pPr>
            <w:proofErr w:type="spellStart"/>
            <w:r w:rsidRPr="004B063A">
              <w:rPr>
                <w:rFonts w:ascii="Arial" w:hAnsi="Arial" w:cs="Arial"/>
                <w:sz w:val="19"/>
                <w:szCs w:val="19"/>
                <w:lang w:val="en-GB"/>
              </w:rPr>
              <w:t>Lite</w:t>
            </w:r>
            <w:proofErr w:type="spellEnd"/>
          </w:p>
        </w:tc>
        <w:tc>
          <w:tcPr>
            <w:tcW w:w="1870" w:type="dxa"/>
          </w:tcPr>
          <w:p w14:paraId="7E966824" w14:textId="77777777" w:rsidR="006E759A" w:rsidRPr="004B063A" w:rsidRDefault="006E759A" w:rsidP="004E20FC">
            <w:pPr>
              <w:rPr>
                <w:rFonts w:ascii="Arial" w:hAnsi="Arial" w:cs="Arial"/>
                <w:sz w:val="19"/>
                <w:szCs w:val="19"/>
                <w:lang w:val="en-GB"/>
              </w:rPr>
            </w:pPr>
            <w:r w:rsidRPr="004B063A">
              <w:rPr>
                <w:rFonts w:ascii="Arial" w:hAnsi="Arial" w:cs="Arial"/>
                <w:sz w:val="19"/>
                <w:szCs w:val="19"/>
                <w:lang w:val="en-GB"/>
              </w:rPr>
              <w:t>NIL</w:t>
            </w:r>
          </w:p>
        </w:tc>
        <w:tc>
          <w:tcPr>
            <w:tcW w:w="1870" w:type="dxa"/>
            <w:vAlign w:val="center"/>
          </w:tcPr>
          <w:p w14:paraId="6B26160D" w14:textId="09E3AB1F" w:rsidR="006E759A" w:rsidRPr="004B063A" w:rsidRDefault="006E759A" w:rsidP="00F32CB3">
            <w:pPr>
              <w:jc w:val="right"/>
              <w:rPr>
                <w:rFonts w:ascii="Arial" w:hAnsi="Arial" w:cs="Arial"/>
                <w:sz w:val="19"/>
                <w:szCs w:val="19"/>
                <w:lang w:val="en-GB"/>
              </w:rPr>
            </w:pPr>
            <w:r w:rsidRPr="004B063A">
              <w:rPr>
                <w:rFonts w:ascii="Arial" w:hAnsi="Arial" w:cs="Arial"/>
                <w:bCs/>
                <w:caps/>
                <w:sz w:val="19"/>
                <w:szCs w:val="19"/>
                <w:lang w:val="en-GB"/>
              </w:rPr>
              <w:t>₹0</w:t>
            </w:r>
          </w:p>
        </w:tc>
        <w:tc>
          <w:tcPr>
            <w:tcW w:w="1870" w:type="dxa"/>
            <w:vAlign w:val="center"/>
          </w:tcPr>
          <w:p w14:paraId="2F28DCFF" w14:textId="7E2876AF" w:rsidR="006E759A" w:rsidRPr="004B063A" w:rsidRDefault="006E759A" w:rsidP="00F32CB3">
            <w:pPr>
              <w:jc w:val="right"/>
              <w:rPr>
                <w:rFonts w:ascii="Arial" w:hAnsi="Arial" w:cs="Arial"/>
                <w:sz w:val="19"/>
                <w:szCs w:val="19"/>
                <w:lang w:val="en-GB"/>
              </w:rPr>
            </w:pPr>
            <w:r w:rsidRPr="004B063A">
              <w:rPr>
                <w:rFonts w:ascii="Arial" w:hAnsi="Arial" w:cs="Arial"/>
                <w:bCs/>
                <w:caps/>
                <w:sz w:val="19"/>
                <w:szCs w:val="19"/>
                <w:lang w:val="en-GB"/>
              </w:rPr>
              <w:t>₹0</w:t>
            </w:r>
          </w:p>
        </w:tc>
        <w:tc>
          <w:tcPr>
            <w:tcW w:w="1870" w:type="dxa"/>
            <w:vAlign w:val="center"/>
          </w:tcPr>
          <w:p w14:paraId="4DB2E83F" w14:textId="715E2124" w:rsidR="006E759A" w:rsidRPr="004B063A" w:rsidRDefault="006E759A" w:rsidP="00F32CB3">
            <w:pPr>
              <w:jc w:val="right"/>
              <w:rPr>
                <w:rFonts w:ascii="Arial" w:hAnsi="Arial" w:cs="Arial"/>
                <w:sz w:val="19"/>
                <w:szCs w:val="19"/>
                <w:lang w:val="en-GB"/>
              </w:rPr>
            </w:pPr>
            <w:r w:rsidRPr="004B063A">
              <w:rPr>
                <w:rFonts w:ascii="Arial" w:hAnsi="Arial" w:cs="Arial"/>
                <w:bCs/>
                <w:caps/>
                <w:sz w:val="19"/>
                <w:szCs w:val="19"/>
                <w:lang w:val="en-GB"/>
              </w:rPr>
              <w:t>₹0</w:t>
            </w:r>
          </w:p>
        </w:tc>
      </w:tr>
      <w:tr w:rsidR="006E759A" w:rsidRPr="004B063A" w14:paraId="1898C8A9" w14:textId="77777777" w:rsidTr="00F32CB3">
        <w:trPr>
          <w:jc w:val="center"/>
        </w:trPr>
        <w:tc>
          <w:tcPr>
            <w:tcW w:w="1870" w:type="dxa"/>
          </w:tcPr>
          <w:p w14:paraId="6E852C2E" w14:textId="77777777" w:rsidR="006E759A" w:rsidRPr="004B063A" w:rsidRDefault="006E759A" w:rsidP="004E20FC">
            <w:pPr>
              <w:rPr>
                <w:rFonts w:ascii="Arial" w:hAnsi="Arial" w:cs="Arial"/>
                <w:sz w:val="19"/>
                <w:szCs w:val="19"/>
                <w:lang w:val="en-GB"/>
              </w:rPr>
            </w:pPr>
            <w:r w:rsidRPr="004B063A">
              <w:rPr>
                <w:rFonts w:ascii="Arial" w:hAnsi="Arial" w:cs="Arial"/>
                <w:sz w:val="19"/>
                <w:szCs w:val="19"/>
                <w:lang w:val="en-GB"/>
              </w:rPr>
              <w:t>Standard</w:t>
            </w:r>
          </w:p>
        </w:tc>
        <w:tc>
          <w:tcPr>
            <w:tcW w:w="1870" w:type="dxa"/>
          </w:tcPr>
          <w:p w14:paraId="05FCE33D" w14:textId="77777777" w:rsidR="006E759A" w:rsidRPr="004B063A" w:rsidRDefault="006E759A" w:rsidP="004E20FC">
            <w:pPr>
              <w:rPr>
                <w:rFonts w:ascii="Arial" w:hAnsi="Arial" w:cs="Arial"/>
                <w:sz w:val="19"/>
                <w:szCs w:val="19"/>
                <w:lang w:val="en-GB"/>
              </w:rPr>
            </w:pPr>
            <w:r w:rsidRPr="004B063A">
              <w:rPr>
                <w:rFonts w:ascii="Arial" w:hAnsi="Arial" w:cs="Arial"/>
                <w:sz w:val="19"/>
                <w:szCs w:val="19"/>
                <w:lang w:val="en-GB"/>
              </w:rPr>
              <w:t>NIL</w:t>
            </w:r>
          </w:p>
        </w:tc>
        <w:tc>
          <w:tcPr>
            <w:tcW w:w="1870" w:type="dxa"/>
            <w:vAlign w:val="center"/>
          </w:tcPr>
          <w:p w14:paraId="51A65ED2" w14:textId="432A4ECD" w:rsidR="006E759A" w:rsidRPr="004B063A" w:rsidRDefault="006E759A" w:rsidP="00F32CB3">
            <w:pPr>
              <w:jc w:val="right"/>
              <w:rPr>
                <w:rFonts w:ascii="Arial" w:hAnsi="Arial" w:cs="Arial"/>
                <w:sz w:val="19"/>
                <w:szCs w:val="19"/>
                <w:lang w:val="en-GB"/>
              </w:rPr>
            </w:pPr>
            <w:r w:rsidRPr="004B063A">
              <w:rPr>
                <w:rFonts w:ascii="Arial" w:hAnsi="Arial" w:cs="Arial"/>
                <w:bCs/>
                <w:caps/>
                <w:sz w:val="19"/>
                <w:szCs w:val="19"/>
                <w:lang w:val="en-GB"/>
              </w:rPr>
              <w:t>₹2</w:t>
            </w:r>
            <w:r w:rsidR="00924E99">
              <w:rPr>
                <w:rFonts w:ascii="Arial" w:hAnsi="Arial" w:cs="Arial"/>
                <w:bCs/>
                <w:caps/>
                <w:sz w:val="19"/>
                <w:szCs w:val="19"/>
                <w:lang w:val="en-GB"/>
              </w:rPr>
              <w:t>,</w:t>
            </w:r>
            <w:r w:rsidRPr="004B063A">
              <w:rPr>
                <w:rFonts w:ascii="Arial" w:hAnsi="Arial" w:cs="Arial"/>
                <w:bCs/>
                <w:caps/>
                <w:sz w:val="19"/>
                <w:szCs w:val="19"/>
                <w:lang w:val="en-GB"/>
              </w:rPr>
              <w:t>000</w:t>
            </w:r>
          </w:p>
        </w:tc>
        <w:tc>
          <w:tcPr>
            <w:tcW w:w="1870" w:type="dxa"/>
            <w:vAlign w:val="center"/>
          </w:tcPr>
          <w:p w14:paraId="769078F3" w14:textId="1565E207" w:rsidR="006E759A" w:rsidRPr="004B063A" w:rsidRDefault="006E759A" w:rsidP="00F32CB3">
            <w:pPr>
              <w:jc w:val="right"/>
              <w:rPr>
                <w:rFonts w:ascii="Arial" w:hAnsi="Arial" w:cs="Arial"/>
                <w:sz w:val="19"/>
                <w:szCs w:val="19"/>
                <w:lang w:val="en-GB"/>
              </w:rPr>
            </w:pPr>
            <w:r w:rsidRPr="004B063A">
              <w:rPr>
                <w:rFonts w:ascii="Arial" w:hAnsi="Arial" w:cs="Arial"/>
                <w:sz w:val="19"/>
                <w:szCs w:val="19"/>
                <w:lang w:val="en-GB"/>
              </w:rPr>
              <w:t>Multiples of 1</w:t>
            </w:r>
            <w:r w:rsidR="00924E99">
              <w:rPr>
                <w:rFonts w:ascii="Arial" w:hAnsi="Arial" w:cs="Arial"/>
                <w:sz w:val="19"/>
                <w:szCs w:val="19"/>
                <w:lang w:val="en-GB"/>
              </w:rPr>
              <w:t>,</w:t>
            </w:r>
            <w:r w:rsidRPr="004B063A">
              <w:rPr>
                <w:rFonts w:ascii="Arial" w:hAnsi="Arial" w:cs="Arial"/>
                <w:sz w:val="19"/>
                <w:szCs w:val="19"/>
                <w:lang w:val="en-GB"/>
              </w:rPr>
              <w:t>000</w:t>
            </w:r>
          </w:p>
        </w:tc>
        <w:tc>
          <w:tcPr>
            <w:tcW w:w="1870" w:type="dxa"/>
            <w:vAlign w:val="center"/>
          </w:tcPr>
          <w:p w14:paraId="1F7CFA3D" w14:textId="77777777" w:rsidR="006E759A" w:rsidRPr="004B063A" w:rsidRDefault="006E759A" w:rsidP="00F32CB3">
            <w:pPr>
              <w:jc w:val="right"/>
              <w:rPr>
                <w:rFonts w:ascii="Arial" w:hAnsi="Arial" w:cs="Arial"/>
                <w:sz w:val="19"/>
                <w:szCs w:val="19"/>
                <w:lang w:val="en-GB"/>
              </w:rPr>
            </w:pPr>
            <w:r w:rsidRPr="004B063A">
              <w:rPr>
                <w:rFonts w:ascii="Arial" w:hAnsi="Arial" w:cs="Arial"/>
                <w:bCs/>
                <w:caps/>
                <w:sz w:val="19"/>
                <w:szCs w:val="19"/>
                <w:lang w:val="en-GB"/>
              </w:rPr>
              <w:t>₹2</w:t>
            </w:r>
          </w:p>
        </w:tc>
      </w:tr>
      <w:tr w:rsidR="006E759A" w:rsidRPr="004B063A" w14:paraId="0A5A9CE5" w14:textId="77777777" w:rsidTr="00F32CB3">
        <w:trPr>
          <w:jc w:val="center"/>
        </w:trPr>
        <w:tc>
          <w:tcPr>
            <w:tcW w:w="1870" w:type="dxa"/>
          </w:tcPr>
          <w:p w14:paraId="3856AE59" w14:textId="77777777" w:rsidR="006E759A" w:rsidRPr="004B063A" w:rsidRDefault="006E759A" w:rsidP="004E20FC">
            <w:pPr>
              <w:rPr>
                <w:rFonts w:ascii="Arial" w:hAnsi="Arial" w:cs="Arial"/>
                <w:sz w:val="19"/>
                <w:szCs w:val="19"/>
                <w:lang w:val="en-GB"/>
              </w:rPr>
            </w:pPr>
            <w:r w:rsidRPr="004B063A">
              <w:rPr>
                <w:rFonts w:ascii="Arial" w:hAnsi="Arial" w:cs="Arial"/>
                <w:sz w:val="19"/>
                <w:szCs w:val="19"/>
                <w:lang w:val="en-GB"/>
              </w:rPr>
              <w:t>Professional</w:t>
            </w:r>
          </w:p>
        </w:tc>
        <w:tc>
          <w:tcPr>
            <w:tcW w:w="1870" w:type="dxa"/>
          </w:tcPr>
          <w:p w14:paraId="706B5396" w14:textId="77777777" w:rsidR="006E759A" w:rsidRPr="004B063A" w:rsidRDefault="006E759A" w:rsidP="004E20FC">
            <w:pPr>
              <w:rPr>
                <w:rFonts w:ascii="Arial" w:hAnsi="Arial" w:cs="Arial"/>
                <w:sz w:val="19"/>
                <w:szCs w:val="19"/>
                <w:lang w:val="en-GB"/>
              </w:rPr>
            </w:pPr>
            <w:r w:rsidRPr="004B063A">
              <w:rPr>
                <w:rFonts w:ascii="Arial" w:hAnsi="Arial" w:cs="Arial"/>
                <w:sz w:val="19"/>
                <w:szCs w:val="19"/>
                <w:lang w:val="en-GB"/>
              </w:rPr>
              <w:t>NIL</w:t>
            </w:r>
          </w:p>
        </w:tc>
        <w:tc>
          <w:tcPr>
            <w:tcW w:w="1870" w:type="dxa"/>
            <w:vAlign w:val="center"/>
          </w:tcPr>
          <w:p w14:paraId="607297BA" w14:textId="77777777" w:rsidR="006E759A" w:rsidRPr="004B063A" w:rsidRDefault="006E759A" w:rsidP="00F32CB3">
            <w:pPr>
              <w:jc w:val="right"/>
              <w:rPr>
                <w:rFonts w:ascii="Arial" w:hAnsi="Arial" w:cs="Arial"/>
                <w:sz w:val="19"/>
                <w:szCs w:val="19"/>
                <w:lang w:val="en-GB"/>
              </w:rPr>
            </w:pPr>
            <w:r w:rsidRPr="004B063A">
              <w:rPr>
                <w:rFonts w:ascii="Arial" w:hAnsi="Arial" w:cs="Arial"/>
                <w:bCs/>
                <w:caps/>
                <w:sz w:val="19"/>
                <w:szCs w:val="19"/>
                <w:lang w:val="en-GB"/>
              </w:rPr>
              <w:t>₹10,000</w:t>
            </w:r>
          </w:p>
        </w:tc>
        <w:tc>
          <w:tcPr>
            <w:tcW w:w="1870" w:type="dxa"/>
            <w:vAlign w:val="center"/>
          </w:tcPr>
          <w:p w14:paraId="2733ACB0" w14:textId="76E799A7" w:rsidR="006E759A" w:rsidRPr="004B063A" w:rsidRDefault="006E759A" w:rsidP="00F32CB3">
            <w:pPr>
              <w:jc w:val="right"/>
              <w:rPr>
                <w:rFonts w:ascii="Arial" w:hAnsi="Arial" w:cs="Arial"/>
                <w:sz w:val="19"/>
                <w:szCs w:val="19"/>
                <w:lang w:val="en-GB"/>
              </w:rPr>
            </w:pPr>
            <w:r w:rsidRPr="004B063A">
              <w:rPr>
                <w:rFonts w:ascii="Arial" w:hAnsi="Arial" w:cs="Arial"/>
                <w:sz w:val="19"/>
                <w:szCs w:val="19"/>
                <w:lang w:val="en-GB"/>
              </w:rPr>
              <w:t>Multiple</w:t>
            </w:r>
            <w:r w:rsidR="009059C5">
              <w:rPr>
                <w:rFonts w:ascii="Arial" w:hAnsi="Arial" w:cs="Arial"/>
                <w:sz w:val="19"/>
                <w:szCs w:val="19"/>
                <w:lang w:val="en-GB"/>
              </w:rPr>
              <w:t>s</w:t>
            </w:r>
            <w:r w:rsidRPr="004B063A">
              <w:rPr>
                <w:rFonts w:ascii="Arial" w:hAnsi="Arial" w:cs="Arial"/>
                <w:sz w:val="19"/>
                <w:szCs w:val="19"/>
                <w:lang w:val="en-GB"/>
              </w:rPr>
              <w:t xml:space="preserve"> of 1</w:t>
            </w:r>
            <w:r w:rsidR="00924E99">
              <w:rPr>
                <w:rFonts w:ascii="Arial" w:hAnsi="Arial" w:cs="Arial"/>
                <w:sz w:val="19"/>
                <w:szCs w:val="19"/>
                <w:lang w:val="en-GB"/>
              </w:rPr>
              <w:t>,</w:t>
            </w:r>
            <w:r w:rsidRPr="004B063A">
              <w:rPr>
                <w:rFonts w:ascii="Arial" w:hAnsi="Arial" w:cs="Arial"/>
                <w:sz w:val="19"/>
                <w:szCs w:val="19"/>
                <w:lang w:val="en-GB"/>
              </w:rPr>
              <w:t>000</w:t>
            </w:r>
          </w:p>
        </w:tc>
        <w:tc>
          <w:tcPr>
            <w:tcW w:w="1870" w:type="dxa"/>
            <w:vAlign w:val="center"/>
          </w:tcPr>
          <w:p w14:paraId="0474A7EB" w14:textId="77777777" w:rsidR="006E759A" w:rsidRPr="004B063A" w:rsidRDefault="006E759A" w:rsidP="00F32CB3">
            <w:pPr>
              <w:jc w:val="right"/>
              <w:rPr>
                <w:rFonts w:ascii="Arial" w:hAnsi="Arial" w:cs="Arial"/>
                <w:sz w:val="19"/>
                <w:szCs w:val="19"/>
                <w:lang w:val="en-GB"/>
              </w:rPr>
            </w:pPr>
            <w:r w:rsidRPr="004B063A">
              <w:rPr>
                <w:rFonts w:ascii="Arial" w:hAnsi="Arial" w:cs="Arial"/>
                <w:bCs/>
                <w:caps/>
                <w:sz w:val="19"/>
                <w:szCs w:val="19"/>
                <w:lang w:val="en-GB"/>
              </w:rPr>
              <w:t>₹3</w:t>
            </w:r>
          </w:p>
        </w:tc>
      </w:tr>
      <w:tr w:rsidR="006E759A" w:rsidRPr="004B063A" w14:paraId="30FF865C" w14:textId="77777777" w:rsidTr="006E759A">
        <w:trPr>
          <w:jc w:val="center"/>
        </w:trPr>
        <w:tc>
          <w:tcPr>
            <w:tcW w:w="1870" w:type="dxa"/>
          </w:tcPr>
          <w:p w14:paraId="5F574AF9" w14:textId="0F765832" w:rsidR="006E759A" w:rsidRPr="004B063A" w:rsidRDefault="006E759A" w:rsidP="004E20FC">
            <w:pPr>
              <w:rPr>
                <w:rFonts w:ascii="Arial" w:hAnsi="Arial" w:cs="Arial"/>
                <w:sz w:val="19"/>
                <w:szCs w:val="19"/>
                <w:lang w:val="en-GB"/>
              </w:rPr>
            </w:pPr>
            <w:r w:rsidRPr="004B063A">
              <w:rPr>
                <w:rFonts w:ascii="Arial" w:hAnsi="Arial" w:cs="Arial"/>
                <w:sz w:val="19"/>
                <w:szCs w:val="19"/>
                <w:lang w:val="en-GB"/>
              </w:rPr>
              <w:t xml:space="preserve">Enterprise </w:t>
            </w:r>
            <w:r w:rsidR="00561319">
              <w:rPr>
                <w:rFonts w:ascii="Arial" w:hAnsi="Arial" w:cs="Arial"/>
                <w:sz w:val="19"/>
                <w:szCs w:val="19"/>
                <w:lang w:val="en-GB"/>
              </w:rPr>
              <w:t>p</w:t>
            </w:r>
            <w:r w:rsidRPr="004B063A">
              <w:rPr>
                <w:rFonts w:ascii="Arial" w:hAnsi="Arial" w:cs="Arial"/>
                <w:sz w:val="19"/>
                <w:szCs w:val="19"/>
                <w:lang w:val="en-GB"/>
              </w:rPr>
              <w:t>ricing</w:t>
            </w:r>
          </w:p>
        </w:tc>
        <w:tc>
          <w:tcPr>
            <w:tcW w:w="7480" w:type="dxa"/>
            <w:gridSpan w:val="4"/>
          </w:tcPr>
          <w:p w14:paraId="64DDEDFA" w14:textId="5A5903F2" w:rsidR="006E759A" w:rsidRPr="004B063A" w:rsidRDefault="006E759A" w:rsidP="006E759A">
            <w:pPr>
              <w:jc w:val="center"/>
              <w:rPr>
                <w:rFonts w:ascii="Arial" w:hAnsi="Arial" w:cs="Arial"/>
                <w:bCs/>
                <w:caps/>
                <w:sz w:val="19"/>
                <w:szCs w:val="19"/>
                <w:lang w:val="en-GB"/>
              </w:rPr>
            </w:pPr>
            <w:r w:rsidRPr="004B063A">
              <w:rPr>
                <w:rFonts w:ascii="Arial" w:hAnsi="Arial" w:cs="Arial"/>
                <w:bCs/>
                <w:caps/>
                <w:sz w:val="19"/>
                <w:szCs w:val="19"/>
                <w:lang w:val="en-GB"/>
              </w:rPr>
              <w:t>CUSTOM PRICING</w:t>
            </w:r>
          </w:p>
        </w:tc>
      </w:tr>
    </w:tbl>
    <w:p w14:paraId="55D23889" w14:textId="77777777" w:rsidR="006E759A" w:rsidRPr="004B063A" w:rsidRDefault="006E759A" w:rsidP="006E759A">
      <w:pPr>
        <w:jc w:val="both"/>
        <w:rPr>
          <w:lang w:val="en-GB"/>
        </w:rPr>
      </w:pPr>
    </w:p>
    <w:tbl>
      <w:tblPr>
        <w:tblStyle w:val="TableGrid"/>
        <w:tblW w:w="0" w:type="auto"/>
        <w:tblInd w:w="1345" w:type="dxa"/>
        <w:tblLook w:val="04A0" w:firstRow="1" w:lastRow="0" w:firstColumn="1" w:lastColumn="0" w:noHBand="0" w:noVBand="1"/>
      </w:tblPr>
      <w:tblGrid>
        <w:gridCol w:w="4391"/>
        <w:gridCol w:w="985"/>
        <w:gridCol w:w="1272"/>
        <w:gridCol w:w="1357"/>
      </w:tblGrid>
      <w:tr w:rsidR="006E759A" w:rsidRPr="004B063A" w14:paraId="6C3073A5" w14:textId="77777777" w:rsidTr="00FC191E">
        <w:tc>
          <w:tcPr>
            <w:tcW w:w="4391" w:type="dxa"/>
          </w:tcPr>
          <w:p w14:paraId="309EC712" w14:textId="77777777" w:rsidR="006E759A" w:rsidRPr="004B063A" w:rsidRDefault="006E759A" w:rsidP="004E20FC">
            <w:pPr>
              <w:rPr>
                <w:rFonts w:ascii="Arial" w:hAnsi="Arial" w:cs="Arial"/>
                <w:sz w:val="19"/>
                <w:szCs w:val="19"/>
                <w:lang w:val="en-GB"/>
              </w:rPr>
            </w:pPr>
          </w:p>
        </w:tc>
        <w:tc>
          <w:tcPr>
            <w:tcW w:w="985" w:type="dxa"/>
          </w:tcPr>
          <w:p w14:paraId="5647DB80" w14:textId="77777777" w:rsidR="006E759A" w:rsidRPr="00D36075" w:rsidRDefault="006E759A" w:rsidP="00D36075">
            <w:pPr>
              <w:jc w:val="center"/>
              <w:rPr>
                <w:rFonts w:ascii="Arial" w:hAnsi="Arial" w:cs="Arial"/>
                <w:b/>
                <w:sz w:val="19"/>
                <w:szCs w:val="19"/>
                <w:lang w:val="en-GB"/>
              </w:rPr>
            </w:pPr>
            <w:proofErr w:type="spellStart"/>
            <w:r w:rsidRPr="00D36075">
              <w:rPr>
                <w:rFonts w:ascii="Arial" w:hAnsi="Arial" w:cs="Arial"/>
                <w:b/>
                <w:sz w:val="19"/>
                <w:szCs w:val="19"/>
                <w:lang w:val="en-GB"/>
              </w:rPr>
              <w:t>Lite</w:t>
            </w:r>
            <w:proofErr w:type="spellEnd"/>
          </w:p>
        </w:tc>
        <w:tc>
          <w:tcPr>
            <w:tcW w:w="1272" w:type="dxa"/>
          </w:tcPr>
          <w:p w14:paraId="1DBC8ECD" w14:textId="77777777" w:rsidR="006E759A" w:rsidRPr="00D36075" w:rsidRDefault="006E759A" w:rsidP="004E20FC">
            <w:pPr>
              <w:rPr>
                <w:rFonts w:ascii="Arial" w:hAnsi="Arial" w:cs="Arial"/>
                <w:b/>
                <w:sz w:val="19"/>
                <w:szCs w:val="19"/>
                <w:lang w:val="en-GB"/>
              </w:rPr>
            </w:pPr>
            <w:r w:rsidRPr="00D36075">
              <w:rPr>
                <w:rFonts w:ascii="Arial" w:hAnsi="Arial" w:cs="Arial"/>
                <w:b/>
                <w:sz w:val="19"/>
                <w:szCs w:val="19"/>
                <w:lang w:val="en-GB"/>
              </w:rPr>
              <w:t xml:space="preserve">Standard </w:t>
            </w:r>
          </w:p>
        </w:tc>
        <w:tc>
          <w:tcPr>
            <w:tcW w:w="1357" w:type="dxa"/>
          </w:tcPr>
          <w:p w14:paraId="65BF0505" w14:textId="77777777" w:rsidR="006E759A" w:rsidRPr="00D36075" w:rsidRDefault="006E759A" w:rsidP="004E20FC">
            <w:pPr>
              <w:rPr>
                <w:rFonts w:ascii="Arial" w:hAnsi="Arial" w:cs="Arial"/>
                <w:b/>
                <w:sz w:val="19"/>
                <w:szCs w:val="19"/>
                <w:lang w:val="en-GB"/>
              </w:rPr>
            </w:pPr>
            <w:r w:rsidRPr="00D36075">
              <w:rPr>
                <w:rFonts w:ascii="Arial" w:hAnsi="Arial" w:cs="Arial"/>
                <w:b/>
                <w:sz w:val="19"/>
                <w:szCs w:val="19"/>
                <w:lang w:val="en-GB"/>
              </w:rPr>
              <w:t>Professional</w:t>
            </w:r>
          </w:p>
        </w:tc>
      </w:tr>
      <w:tr w:rsidR="006E759A" w:rsidRPr="004B063A" w14:paraId="313A0FB7" w14:textId="77777777" w:rsidTr="00FC191E">
        <w:tc>
          <w:tcPr>
            <w:tcW w:w="4391" w:type="dxa"/>
          </w:tcPr>
          <w:p w14:paraId="19D17130" w14:textId="77777777"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Channels</w:t>
            </w:r>
          </w:p>
        </w:tc>
        <w:tc>
          <w:tcPr>
            <w:tcW w:w="985" w:type="dxa"/>
          </w:tcPr>
          <w:p w14:paraId="12EFF5D0"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6</w:t>
            </w:r>
          </w:p>
        </w:tc>
        <w:tc>
          <w:tcPr>
            <w:tcW w:w="1272" w:type="dxa"/>
          </w:tcPr>
          <w:p w14:paraId="1AB5E8F5"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Unlimited</w:t>
            </w:r>
          </w:p>
        </w:tc>
        <w:tc>
          <w:tcPr>
            <w:tcW w:w="1357" w:type="dxa"/>
          </w:tcPr>
          <w:p w14:paraId="4FB6C1EA"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Unlimited</w:t>
            </w:r>
          </w:p>
        </w:tc>
      </w:tr>
      <w:tr w:rsidR="006E759A" w:rsidRPr="004B063A" w14:paraId="2E480614" w14:textId="77777777" w:rsidTr="00FC191E">
        <w:tc>
          <w:tcPr>
            <w:tcW w:w="4391" w:type="dxa"/>
          </w:tcPr>
          <w:p w14:paraId="1B79B3ED" w14:textId="2D9EEE7F"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Multi-</w:t>
            </w:r>
            <w:r w:rsidR="00F326C0">
              <w:rPr>
                <w:rFonts w:ascii="Arial" w:hAnsi="Arial" w:cs="Arial"/>
                <w:b/>
                <w:sz w:val="19"/>
                <w:szCs w:val="19"/>
                <w:lang w:val="en-GB"/>
              </w:rPr>
              <w:t>channel</w:t>
            </w:r>
            <w:r w:rsidRPr="004B063A">
              <w:rPr>
                <w:rFonts w:ascii="Arial" w:hAnsi="Arial" w:cs="Arial"/>
                <w:b/>
                <w:sz w:val="19"/>
                <w:szCs w:val="19"/>
                <w:lang w:val="en-GB"/>
              </w:rPr>
              <w:t xml:space="preserve"> </w:t>
            </w:r>
            <w:r w:rsidR="00561319">
              <w:rPr>
                <w:rFonts w:ascii="Arial" w:hAnsi="Arial" w:cs="Arial"/>
                <w:b/>
                <w:sz w:val="19"/>
                <w:szCs w:val="19"/>
                <w:lang w:val="en-GB"/>
              </w:rPr>
              <w:t>order sync</w:t>
            </w:r>
          </w:p>
        </w:tc>
        <w:tc>
          <w:tcPr>
            <w:tcW w:w="985" w:type="dxa"/>
          </w:tcPr>
          <w:p w14:paraId="26F859C6"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c>
          <w:tcPr>
            <w:tcW w:w="1272" w:type="dxa"/>
          </w:tcPr>
          <w:p w14:paraId="2098D022" w14:textId="77777777" w:rsidR="006E759A" w:rsidRPr="004B063A" w:rsidRDefault="006E759A" w:rsidP="004E20FC">
            <w:pPr>
              <w:jc w:val="center"/>
              <w:rPr>
                <w:rFonts w:ascii="Arial" w:hAnsi="Arial" w:cs="Arial"/>
                <w:sz w:val="19"/>
                <w:szCs w:val="19"/>
                <w:lang w:val="en-GB"/>
              </w:rPr>
            </w:pPr>
            <w:r w:rsidRPr="004B063A">
              <w:rPr>
                <w:rFonts w:ascii="Arial" w:hAnsi="Arial" w:cs="Arial"/>
                <w:b/>
                <w:sz w:val="19"/>
                <w:szCs w:val="19"/>
                <w:lang w:val="en-GB"/>
              </w:rPr>
              <w:sym w:font="Wingdings" w:char="F0FC"/>
            </w:r>
          </w:p>
        </w:tc>
        <w:tc>
          <w:tcPr>
            <w:tcW w:w="1357" w:type="dxa"/>
          </w:tcPr>
          <w:p w14:paraId="21755B9B" w14:textId="77777777" w:rsidR="006E759A" w:rsidRPr="004B063A" w:rsidRDefault="006E759A" w:rsidP="004E20FC">
            <w:pPr>
              <w:jc w:val="center"/>
              <w:rPr>
                <w:rFonts w:ascii="Arial" w:hAnsi="Arial" w:cs="Arial"/>
                <w:sz w:val="19"/>
                <w:szCs w:val="19"/>
                <w:lang w:val="en-GB"/>
              </w:rPr>
            </w:pPr>
            <w:r w:rsidRPr="004B063A">
              <w:rPr>
                <w:rFonts w:ascii="Arial" w:hAnsi="Arial" w:cs="Arial"/>
                <w:b/>
                <w:sz w:val="19"/>
                <w:szCs w:val="19"/>
                <w:lang w:val="en-GB"/>
              </w:rPr>
              <w:sym w:font="Wingdings" w:char="F0FC"/>
            </w:r>
          </w:p>
        </w:tc>
      </w:tr>
      <w:tr w:rsidR="006E759A" w:rsidRPr="004B063A" w14:paraId="7ECAFF7B" w14:textId="77777777" w:rsidTr="00FC191E">
        <w:tc>
          <w:tcPr>
            <w:tcW w:w="4391" w:type="dxa"/>
          </w:tcPr>
          <w:p w14:paraId="1C1DECA8" w14:textId="570706AC" w:rsidR="006E759A" w:rsidRPr="004B063A" w:rsidRDefault="00561319" w:rsidP="004E20FC">
            <w:pPr>
              <w:rPr>
                <w:rFonts w:ascii="Arial" w:hAnsi="Arial" w:cs="Arial"/>
                <w:b/>
                <w:sz w:val="19"/>
                <w:szCs w:val="19"/>
                <w:lang w:val="en-GB"/>
              </w:rPr>
            </w:pPr>
            <w:r>
              <w:rPr>
                <w:rFonts w:ascii="Arial" w:hAnsi="Arial" w:cs="Arial"/>
                <w:b/>
                <w:sz w:val="19"/>
                <w:szCs w:val="19"/>
                <w:lang w:val="en-GB"/>
              </w:rPr>
              <w:t>Channel-wise inventory management</w:t>
            </w:r>
          </w:p>
        </w:tc>
        <w:tc>
          <w:tcPr>
            <w:tcW w:w="985" w:type="dxa"/>
          </w:tcPr>
          <w:p w14:paraId="430CB622" w14:textId="77777777" w:rsidR="006E759A" w:rsidRPr="004B063A" w:rsidRDefault="006E759A" w:rsidP="004E20FC">
            <w:pPr>
              <w:jc w:val="center"/>
              <w:rPr>
                <w:rFonts w:ascii="Arial" w:hAnsi="Arial" w:cs="Arial"/>
                <w:sz w:val="19"/>
                <w:szCs w:val="19"/>
                <w:lang w:val="en-GB"/>
              </w:rPr>
            </w:pPr>
            <w:r w:rsidRPr="004B063A">
              <w:rPr>
                <w:rFonts w:ascii="Arial" w:hAnsi="Arial" w:cs="Arial"/>
                <w:b/>
                <w:sz w:val="19"/>
                <w:szCs w:val="19"/>
                <w:lang w:val="en-GB"/>
              </w:rPr>
              <w:sym w:font="Wingdings" w:char="F0FC"/>
            </w:r>
          </w:p>
        </w:tc>
        <w:tc>
          <w:tcPr>
            <w:tcW w:w="1272" w:type="dxa"/>
          </w:tcPr>
          <w:p w14:paraId="59B40CAB" w14:textId="77777777" w:rsidR="006E759A" w:rsidRPr="004B063A" w:rsidRDefault="006E759A" w:rsidP="004E20FC">
            <w:pPr>
              <w:jc w:val="center"/>
              <w:rPr>
                <w:rFonts w:ascii="Arial" w:hAnsi="Arial" w:cs="Arial"/>
                <w:sz w:val="19"/>
                <w:szCs w:val="19"/>
                <w:lang w:val="en-GB"/>
              </w:rPr>
            </w:pPr>
            <w:r w:rsidRPr="004B063A">
              <w:rPr>
                <w:rFonts w:ascii="Arial" w:hAnsi="Arial" w:cs="Arial"/>
                <w:b/>
                <w:sz w:val="19"/>
                <w:szCs w:val="19"/>
                <w:lang w:val="en-GB"/>
              </w:rPr>
              <w:sym w:font="Wingdings" w:char="F0FC"/>
            </w:r>
          </w:p>
        </w:tc>
        <w:tc>
          <w:tcPr>
            <w:tcW w:w="1357" w:type="dxa"/>
          </w:tcPr>
          <w:p w14:paraId="6B56DF8C" w14:textId="77777777" w:rsidR="006E759A" w:rsidRPr="004B063A" w:rsidRDefault="006E759A" w:rsidP="004E20FC">
            <w:pPr>
              <w:jc w:val="center"/>
              <w:rPr>
                <w:rFonts w:ascii="Arial" w:hAnsi="Arial" w:cs="Arial"/>
                <w:sz w:val="19"/>
                <w:szCs w:val="19"/>
                <w:lang w:val="en-GB"/>
              </w:rPr>
            </w:pPr>
            <w:r w:rsidRPr="004B063A">
              <w:rPr>
                <w:rFonts w:ascii="Arial" w:hAnsi="Arial" w:cs="Arial"/>
                <w:b/>
                <w:sz w:val="19"/>
                <w:szCs w:val="19"/>
                <w:lang w:val="en-GB"/>
              </w:rPr>
              <w:sym w:font="Wingdings" w:char="F0FC"/>
            </w:r>
          </w:p>
        </w:tc>
      </w:tr>
      <w:tr w:rsidR="006E759A" w:rsidRPr="004B063A" w14:paraId="00E1DFFC" w14:textId="77777777" w:rsidTr="00FC191E">
        <w:tc>
          <w:tcPr>
            <w:tcW w:w="4391" w:type="dxa"/>
          </w:tcPr>
          <w:p w14:paraId="4CB81B2D" w14:textId="4397CB40"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 xml:space="preserve">Bulk </w:t>
            </w:r>
            <w:r w:rsidR="00561319">
              <w:rPr>
                <w:rFonts w:ascii="Arial" w:hAnsi="Arial" w:cs="Arial"/>
                <w:b/>
                <w:sz w:val="19"/>
                <w:szCs w:val="19"/>
                <w:lang w:val="en-GB"/>
              </w:rPr>
              <w:t>invoicing, labelling, and shipping</w:t>
            </w:r>
          </w:p>
        </w:tc>
        <w:tc>
          <w:tcPr>
            <w:tcW w:w="985" w:type="dxa"/>
          </w:tcPr>
          <w:p w14:paraId="4DF7732D"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c>
          <w:tcPr>
            <w:tcW w:w="1272" w:type="dxa"/>
          </w:tcPr>
          <w:p w14:paraId="290A596B"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c>
          <w:tcPr>
            <w:tcW w:w="1357" w:type="dxa"/>
          </w:tcPr>
          <w:p w14:paraId="0D153012"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r>
      <w:tr w:rsidR="006E759A" w:rsidRPr="004B063A" w14:paraId="75CE7C6C" w14:textId="77777777" w:rsidTr="00FC191E">
        <w:tc>
          <w:tcPr>
            <w:tcW w:w="4391" w:type="dxa"/>
          </w:tcPr>
          <w:p w14:paraId="745A77EC" w14:textId="77777777"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Users</w:t>
            </w:r>
          </w:p>
        </w:tc>
        <w:tc>
          <w:tcPr>
            <w:tcW w:w="985" w:type="dxa"/>
          </w:tcPr>
          <w:p w14:paraId="4DB78D79"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1</w:t>
            </w:r>
          </w:p>
        </w:tc>
        <w:tc>
          <w:tcPr>
            <w:tcW w:w="1272" w:type="dxa"/>
          </w:tcPr>
          <w:p w14:paraId="15BB4030"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Unlimited</w:t>
            </w:r>
          </w:p>
        </w:tc>
        <w:tc>
          <w:tcPr>
            <w:tcW w:w="1357" w:type="dxa"/>
          </w:tcPr>
          <w:p w14:paraId="4B9A3420"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Unlimited</w:t>
            </w:r>
          </w:p>
        </w:tc>
      </w:tr>
      <w:tr w:rsidR="006E759A" w:rsidRPr="004B063A" w14:paraId="0AE52275" w14:textId="77777777" w:rsidTr="00FC191E">
        <w:tc>
          <w:tcPr>
            <w:tcW w:w="4391" w:type="dxa"/>
          </w:tcPr>
          <w:p w14:paraId="0D884269" w14:textId="77777777"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Centralized inventory across channels</w:t>
            </w:r>
          </w:p>
        </w:tc>
        <w:tc>
          <w:tcPr>
            <w:tcW w:w="985" w:type="dxa"/>
          </w:tcPr>
          <w:p w14:paraId="3F685D55" w14:textId="77777777" w:rsidR="006E759A" w:rsidRPr="004B063A" w:rsidRDefault="006E759A" w:rsidP="004E20FC">
            <w:pPr>
              <w:jc w:val="center"/>
              <w:rPr>
                <w:rFonts w:ascii="Arial" w:hAnsi="Arial" w:cs="Arial"/>
                <w:b/>
                <w:sz w:val="19"/>
                <w:szCs w:val="19"/>
                <w:lang w:val="en-GB"/>
              </w:rPr>
            </w:pPr>
          </w:p>
        </w:tc>
        <w:tc>
          <w:tcPr>
            <w:tcW w:w="1272" w:type="dxa"/>
          </w:tcPr>
          <w:p w14:paraId="21D15FA5"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c>
          <w:tcPr>
            <w:tcW w:w="1357" w:type="dxa"/>
          </w:tcPr>
          <w:p w14:paraId="784F07A4"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r>
      <w:tr w:rsidR="006E759A" w:rsidRPr="004B063A" w14:paraId="45972294" w14:textId="77777777" w:rsidTr="00FC191E">
        <w:tc>
          <w:tcPr>
            <w:tcW w:w="4391" w:type="dxa"/>
          </w:tcPr>
          <w:p w14:paraId="136789FF" w14:textId="60FEDD86"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 xml:space="preserve">Accounting integration and </w:t>
            </w:r>
            <w:r w:rsidR="00561319">
              <w:rPr>
                <w:rFonts w:ascii="Arial" w:hAnsi="Arial" w:cs="Arial"/>
                <w:b/>
                <w:sz w:val="19"/>
                <w:szCs w:val="19"/>
                <w:lang w:val="en-GB"/>
              </w:rPr>
              <w:t>tax management</w:t>
            </w:r>
          </w:p>
        </w:tc>
        <w:tc>
          <w:tcPr>
            <w:tcW w:w="985" w:type="dxa"/>
          </w:tcPr>
          <w:p w14:paraId="0625A48D" w14:textId="77777777" w:rsidR="006E759A" w:rsidRPr="004B063A" w:rsidRDefault="006E759A" w:rsidP="004E20FC">
            <w:pPr>
              <w:jc w:val="center"/>
              <w:rPr>
                <w:rFonts w:ascii="Arial" w:hAnsi="Arial" w:cs="Arial"/>
                <w:b/>
                <w:sz w:val="19"/>
                <w:szCs w:val="19"/>
                <w:lang w:val="en-GB"/>
              </w:rPr>
            </w:pPr>
          </w:p>
        </w:tc>
        <w:tc>
          <w:tcPr>
            <w:tcW w:w="1272" w:type="dxa"/>
          </w:tcPr>
          <w:p w14:paraId="6D266F71"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c>
          <w:tcPr>
            <w:tcW w:w="1357" w:type="dxa"/>
          </w:tcPr>
          <w:p w14:paraId="768E210F"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r>
      <w:tr w:rsidR="006E759A" w:rsidRPr="004B063A" w14:paraId="1709A38A" w14:textId="77777777" w:rsidTr="00FC191E">
        <w:tc>
          <w:tcPr>
            <w:tcW w:w="4391" w:type="dxa"/>
          </w:tcPr>
          <w:p w14:paraId="5216516B" w14:textId="2C8542E9" w:rsidR="006E759A" w:rsidRPr="004B063A" w:rsidRDefault="00561319" w:rsidP="004E20FC">
            <w:pPr>
              <w:rPr>
                <w:rFonts w:ascii="Arial" w:hAnsi="Arial" w:cs="Arial"/>
                <w:b/>
                <w:sz w:val="19"/>
                <w:szCs w:val="19"/>
                <w:lang w:val="en-GB"/>
              </w:rPr>
            </w:pPr>
            <w:r>
              <w:rPr>
                <w:rFonts w:ascii="Arial" w:hAnsi="Arial" w:cs="Arial"/>
                <w:b/>
                <w:sz w:val="19"/>
                <w:szCs w:val="19"/>
                <w:lang w:val="en-GB"/>
              </w:rPr>
              <w:t>Role-based</w:t>
            </w:r>
            <w:r w:rsidR="006E759A" w:rsidRPr="004B063A">
              <w:rPr>
                <w:rFonts w:ascii="Arial" w:hAnsi="Arial" w:cs="Arial"/>
                <w:b/>
                <w:sz w:val="19"/>
                <w:szCs w:val="19"/>
                <w:lang w:val="en-GB"/>
              </w:rPr>
              <w:t xml:space="preserve"> customization view</w:t>
            </w:r>
          </w:p>
        </w:tc>
        <w:tc>
          <w:tcPr>
            <w:tcW w:w="985" w:type="dxa"/>
          </w:tcPr>
          <w:p w14:paraId="3D3E64EA" w14:textId="77777777" w:rsidR="006E759A" w:rsidRPr="004B063A" w:rsidRDefault="006E759A" w:rsidP="004E20FC">
            <w:pPr>
              <w:jc w:val="center"/>
              <w:rPr>
                <w:rFonts w:ascii="Arial" w:hAnsi="Arial" w:cs="Arial"/>
                <w:sz w:val="19"/>
                <w:szCs w:val="19"/>
                <w:lang w:val="en-GB"/>
              </w:rPr>
            </w:pPr>
          </w:p>
        </w:tc>
        <w:tc>
          <w:tcPr>
            <w:tcW w:w="1272" w:type="dxa"/>
          </w:tcPr>
          <w:p w14:paraId="1DB24631"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3 roles</w:t>
            </w:r>
          </w:p>
        </w:tc>
        <w:tc>
          <w:tcPr>
            <w:tcW w:w="1357" w:type="dxa"/>
          </w:tcPr>
          <w:p w14:paraId="5B3B8FD4"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9 roles</w:t>
            </w:r>
          </w:p>
        </w:tc>
      </w:tr>
      <w:tr w:rsidR="006E759A" w:rsidRPr="004B063A" w14:paraId="34747EAC" w14:textId="77777777" w:rsidTr="00FC191E">
        <w:tc>
          <w:tcPr>
            <w:tcW w:w="4391" w:type="dxa"/>
          </w:tcPr>
          <w:p w14:paraId="67D3B1B5" w14:textId="77777777"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Barcoding</w:t>
            </w:r>
          </w:p>
        </w:tc>
        <w:tc>
          <w:tcPr>
            <w:tcW w:w="985" w:type="dxa"/>
          </w:tcPr>
          <w:p w14:paraId="3F555F05" w14:textId="77777777" w:rsidR="006E759A" w:rsidRPr="004B063A" w:rsidRDefault="006E759A" w:rsidP="004E20FC">
            <w:pPr>
              <w:jc w:val="center"/>
              <w:rPr>
                <w:rFonts w:ascii="Arial" w:hAnsi="Arial" w:cs="Arial"/>
                <w:sz w:val="19"/>
                <w:szCs w:val="19"/>
                <w:lang w:val="en-GB"/>
              </w:rPr>
            </w:pPr>
          </w:p>
        </w:tc>
        <w:tc>
          <w:tcPr>
            <w:tcW w:w="1272" w:type="dxa"/>
          </w:tcPr>
          <w:p w14:paraId="492B1CBB" w14:textId="77777777" w:rsidR="006E759A" w:rsidRPr="004B063A" w:rsidRDefault="006E759A" w:rsidP="004E20FC">
            <w:pPr>
              <w:jc w:val="center"/>
              <w:rPr>
                <w:rFonts w:ascii="Arial" w:hAnsi="Arial" w:cs="Arial"/>
                <w:sz w:val="19"/>
                <w:szCs w:val="19"/>
                <w:lang w:val="en-GB"/>
              </w:rPr>
            </w:pPr>
          </w:p>
        </w:tc>
        <w:tc>
          <w:tcPr>
            <w:tcW w:w="1357" w:type="dxa"/>
          </w:tcPr>
          <w:p w14:paraId="15FA0A94" w14:textId="77777777" w:rsidR="006E759A" w:rsidRPr="004B063A" w:rsidRDefault="006E759A" w:rsidP="004E20FC">
            <w:pPr>
              <w:jc w:val="center"/>
              <w:rPr>
                <w:rFonts w:ascii="Arial" w:hAnsi="Arial" w:cs="Arial"/>
                <w:sz w:val="19"/>
                <w:szCs w:val="19"/>
                <w:lang w:val="en-GB"/>
              </w:rPr>
            </w:pPr>
            <w:r w:rsidRPr="004B063A">
              <w:rPr>
                <w:rFonts w:ascii="Arial" w:hAnsi="Arial" w:cs="Arial"/>
                <w:sz w:val="19"/>
                <w:szCs w:val="19"/>
                <w:lang w:val="en-GB"/>
              </w:rPr>
              <w:t>SKU level</w:t>
            </w:r>
          </w:p>
        </w:tc>
      </w:tr>
      <w:tr w:rsidR="006E759A" w:rsidRPr="004B063A" w14:paraId="2F610C1D" w14:textId="77777777" w:rsidTr="00FC191E">
        <w:tc>
          <w:tcPr>
            <w:tcW w:w="4391" w:type="dxa"/>
          </w:tcPr>
          <w:p w14:paraId="742C5B15" w14:textId="77777777"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Purchase management</w:t>
            </w:r>
          </w:p>
        </w:tc>
        <w:tc>
          <w:tcPr>
            <w:tcW w:w="985" w:type="dxa"/>
          </w:tcPr>
          <w:p w14:paraId="64AF2339" w14:textId="77777777" w:rsidR="006E759A" w:rsidRPr="004B063A" w:rsidRDefault="006E759A" w:rsidP="004E20FC">
            <w:pPr>
              <w:jc w:val="center"/>
              <w:rPr>
                <w:rFonts w:ascii="Arial" w:hAnsi="Arial" w:cs="Arial"/>
                <w:b/>
                <w:sz w:val="19"/>
                <w:szCs w:val="19"/>
                <w:lang w:val="en-GB"/>
              </w:rPr>
            </w:pPr>
          </w:p>
        </w:tc>
        <w:tc>
          <w:tcPr>
            <w:tcW w:w="1272" w:type="dxa"/>
          </w:tcPr>
          <w:p w14:paraId="2DE71F72" w14:textId="77777777" w:rsidR="006E759A" w:rsidRPr="004B063A" w:rsidRDefault="006E759A" w:rsidP="004E20FC">
            <w:pPr>
              <w:jc w:val="center"/>
              <w:rPr>
                <w:rFonts w:ascii="Arial" w:hAnsi="Arial" w:cs="Arial"/>
                <w:b/>
                <w:sz w:val="19"/>
                <w:szCs w:val="19"/>
                <w:lang w:val="en-GB"/>
              </w:rPr>
            </w:pPr>
          </w:p>
        </w:tc>
        <w:tc>
          <w:tcPr>
            <w:tcW w:w="1357" w:type="dxa"/>
          </w:tcPr>
          <w:p w14:paraId="16AE14CF"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r>
      <w:tr w:rsidR="006E759A" w:rsidRPr="004B063A" w14:paraId="6094C3E4" w14:textId="77777777" w:rsidTr="00FC191E">
        <w:tc>
          <w:tcPr>
            <w:tcW w:w="4391" w:type="dxa"/>
          </w:tcPr>
          <w:p w14:paraId="391A6FE1" w14:textId="0F64A756"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 xml:space="preserve">Inbound </w:t>
            </w:r>
            <w:r w:rsidR="00561319">
              <w:rPr>
                <w:rFonts w:ascii="Arial" w:hAnsi="Arial" w:cs="Arial"/>
                <w:b/>
                <w:sz w:val="19"/>
                <w:szCs w:val="19"/>
                <w:lang w:val="en-GB"/>
              </w:rPr>
              <w:t>operations</w:t>
            </w:r>
          </w:p>
        </w:tc>
        <w:tc>
          <w:tcPr>
            <w:tcW w:w="985" w:type="dxa"/>
          </w:tcPr>
          <w:p w14:paraId="4642DF2F" w14:textId="77777777" w:rsidR="006E759A" w:rsidRPr="004B063A" w:rsidRDefault="006E759A" w:rsidP="004E20FC">
            <w:pPr>
              <w:jc w:val="center"/>
              <w:rPr>
                <w:rFonts w:ascii="Arial" w:hAnsi="Arial" w:cs="Arial"/>
                <w:b/>
                <w:sz w:val="19"/>
                <w:szCs w:val="19"/>
                <w:lang w:val="en-GB"/>
              </w:rPr>
            </w:pPr>
          </w:p>
        </w:tc>
        <w:tc>
          <w:tcPr>
            <w:tcW w:w="1272" w:type="dxa"/>
          </w:tcPr>
          <w:p w14:paraId="0E78DCC1" w14:textId="77777777" w:rsidR="006E759A" w:rsidRPr="004B063A" w:rsidRDefault="006E759A" w:rsidP="004E20FC">
            <w:pPr>
              <w:jc w:val="center"/>
              <w:rPr>
                <w:rFonts w:ascii="Arial" w:hAnsi="Arial" w:cs="Arial"/>
                <w:b/>
                <w:sz w:val="19"/>
                <w:szCs w:val="19"/>
                <w:lang w:val="en-GB"/>
              </w:rPr>
            </w:pPr>
          </w:p>
        </w:tc>
        <w:tc>
          <w:tcPr>
            <w:tcW w:w="1357" w:type="dxa"/>
          </w:tcPr>
          <w:p w14:paraId="4DB980F3"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r>
      <w:tr w:rsidR="006E759A" w:rsidRPr="004B063A" w14:paraId="184CC410" w14:textId="77777777" w:rsidTr="00FC191E">
        <w:tc>
          <w:tcPr>
            <w:tcW w:w="4391" w:type="dxa"/>
          </w:tcPr>
          <w:p w14:paraId="462BE4F5" w14:textId="237434AF"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 xml:space="preserve">Returns </w:t>
            </w:r>
            <w:r w:rsidR="00561319">
              <w:rPr>
                <w:rFonts w:ascii="Arial" w:hAnsi="Arial" w:cs="Arial"/>
                <w:b/>
                <w:sz w:val="19"/>
                <w:szCs w:val="19"/>
                <w:lang w:val="en-GB"/>
              </w:rPr>
              <w:t>management</w:t>
            </w:r>
          </w:p>
        </w:tc>
        <w:tc>
          <w:tcPr>
            <w:tcW w:w="985" w:type="dxa"/>
          </w:tcPr>
          <w:p w14:paraId="1CFB70C2" w14:textId="77777777" w:rsidR="006E759A" w:rsidRPr="004B063A" w:rsidRDefault="006E759A" w:rsidP="004E20FC">
            <w:pPr>
              <w:jc w:val="center"/>
              <w:rPr>
                <w:rFonts w:ascii="Arial" w:hAnsi="Arial" w:cs="Arial"/>
                <w:b/>
                <w:sz w:val="19"/>
                <w:szCs w:val="19"/>
                <w:lang w:val="en-GB"/>
              </w:rPr>
            </w:pPr>
          </w:p>
        </w:tc>
        <w:tc>
          <w:tcPr>
            <w:tcW w:w="1272" w:type="dxa"/>
          </w:tcPr>
          <w:p w14:paraId="75218F93" w14:textId="77777777" w:rsidR="006E759A" w:rsidRPr="004B063A" w:rsidRDefault="006E759A" w:rsidP="004E20FC">
            <w:pPr>
              <w:jc w:val="center"/>
              <w:rPr>
                <w:rFonts w:ascii="Arial" w:hAnsi="Arial" w:cs="Arial"/>
                <w:b/>
                <w:sz w:val="19"/>
                <w:szCs w:val="19"/>
                <w:lang w:val="en-GB"/>
              </w:rPr>
            </w:pPr>
          </w:p>
        </w:tc>
        <w:tc>
          <w:tcPr>
            <w:tcW w:w="1357" w:type="dxa"/>
          </w:tcPr>
          <w:p w14:paraId="238DF716"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r>
      <w:tr w:rsidR="006E759A" w:rsidRPr="004B063A" w14:paraId="1E062A20" w14:textId="77777777" w:rsidTr="00FC191E">
        <w:tc>
          <w:tcPr>
            <w:tcW w:w="4391" w:type="dxa"/>
          </w:tcPr>
          <w:p w14:paraId="540A4EB6" w14:textId="77777777" w:rsidR="006E759A" w:rsidRPr="004B063A" w:rsidRDefault="006E759A" w:rsidP="004E20FC">
            <w:pPr>
              <w:rPr>
                <w:rFonts w:ascii="Arial" w:hAnsi="Arial" w:cs="Arial"/>
                <w:b/>
                <w:sz w:val="19"/>
                <w:szCs w:val="19"/>
                <w:lang w:val="en-GB"/>
              </w:rPr>
            </w:pPr>
            <w:r w:rsidRPr="004B063A">
              <w:rPr>
                <w:rFonts w:ascii="Arial" w:hAnsi="Arial" w:cs="Arial"/>
                <w:b/>
                <w:sz w:val="19"/>
                <w:szCs w:val="19"/>
                <w:lang w:val="en-GB"/>
              </w:rPr>
              <w:t>Multiple warehouses</w:t>
            </w:r>
          </w:p>
        </w:tc>
        <w:tc>
          <w:tcPr>
            <w:tcW w:w="985" w:type="dxa"/>
          </w:tcPr>
          <w:p w14:paraId="2A7A7F19" w14:textId="77777777" w:rsidR="006E759A" w:rsidRPr="004B063A" w:rsidRDefault="006E759A" w:rsidP="004E20FC">
            <w:pPr>
              <w:jc w:val="center"/>
              <w:rPr>
                <w:rFonts w:ascii="Arial" w:hAnsi="Arial" w:cs="Arial"/>
                <w:b/>
                <w:sz w:val="19"/>
                <w:szCs w:val="19"/>
                <w:lang w:val="en-GB"/>
              </w:rPr>
            </w:pPr>
          </w:p>
        </w:tc>
        <w:tc>
          <w:tcPr>
            <w:tcW w:w="1272" w:type="dxa"/>
          </w:tcPr>
          <w:p w14:paraId="386AB9E6"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c>
          <w:tcPr>
            <w:tcW w:w="1357" w:type="dxa"/>
          </w:tcPr>
          <w:p w14:paraId="716A81E5" w14:textId="77777777" w:rsidR="006E759A" w:rsidRPr="004B063A" w:rsidRDefault="006E759A" w:rsidP="004E20FC">
            <w:pPr>
              <w:jc w:val="center"/>
              <w:rPr>
                <w:rFonts w:ascii="Arial" w:hAnsi="Arial" w:cs="Arial"/>
                <w:b/>
                <w:sz w:val="19"/>
                <w:szCs w:val="19"/>
                <w:lang w:val="en-GB"/>
              </w:rPr>
            </w:pPr>
            <w:r w:rsidRPr="004B063A">
              <w:rPr>
                <w:rFonts w:ascii="Arial" w:hAnsi="Arial" w:cs="Arial"/>
                <w:b/>
                <w:sz w:val="19"/>
                <w:szCs w:val="19"/>
                <w:lang w:val="en-GB"/>
              </w:rPr>
              <w:sym w:font="Wingdings" w:char="F0FC"/>
            </w:r>
          </w:p>
        </w:tc>
      </w:tr>
    </w:tbl>
    <w:p w14:paraId="6D8AD1E2" w14:textId="77777777" w:rsidR="006E759A" w:rsidRPr="004B063A" w:rsidRDefault="006E759A" w:rsidP="006E759A">
      <w:pPr>
        <w:jc w:val="both"/>
        <w:rPr>
          <w:lang w:val="en-GB"/>
        </w:rPr>
      </w:pPr>
    </w:p>
    <w:p w14:paraId="795180F0" w14:textId="491DD787" w:rsidR="00561319" w:rsidRDefault="00561319" w:rsidP="006E759A">
      <w:pPr>
        <w:pStyle w:val="Footnote"/>
        <w:rPr>
          <w:lang w:val="en-GB"/>
        </w:rPr>
      </w:pPr>
      <w:r>
        <w:rPr>
          <w:lang w:val="en-GB"/>
        </w:rPr>
        <w:t xml:space="preserve">Note: </w:t>
      </w:r>
      <w:r w:rsidR="00924E99">
        <w:rPr>
          <w:lang w:val="en-GB"/>
        </w:rPr>
        <w:t>₹ = INR = Indian rupee; US1 = ₹6</w:t>
      </w:r>
      <w:r w:rsidR="00924E99">
        <w:rPr>
          <w:lang w:val="en-CA"/>
        </w:rPr>
        <w:t>1.93 on December 1, 2014</w:t>
      </w:r>
      <w:r w:rsidR="00924E99">
        <w:rPr>
          <w:lang w:val="en-GB"/>
        </w:rPr>
        <w:t xml:space="preserve">; </w:t>
      </w:r>
      <w:r>
        <w:rPr>
          <w:lang w:val="en-GB"/>
        </w:rPr>
        <w:t>SKU = stock-keeping unit</w:t>
      </w:r>
    </w:p>
    <w:p w14:paraId="0FCC997D" w14:textId="6793C0E9" w:rsidR="006E759A" w:rsidRPr="004B063A" w:rsidRDefault="006E759A" w:rsidP="006E759A">
      <w:pPr>
        <w:pStyle w:val="Footnote"/>
        <w:rPr>
          <w:lang w:val="en-GB"/>
        </w:rPr>
      </w:pPr>
      <w:r w:rsidRPr="004B063A">
        <w:rPr>
          <w:lang w:val="en-GB"/>
        </w:rPr>
        <w:t>Source: “</w:t>
      </w:r>
      <w:r w:rsidR="00833EDC" w:rsidRPr="00833EDC">
        <w:rPr>
          <w:lang w:val="en-GB"/>
        </w:rPr>
        <w:t>Introducing Credit-Balance Based Billing</w:t>
      </w:r>
      <w:r w:rsidR="00C93AED">
        <w:rPr>
          <w:lang w:val="en-GB"/>
        </w:rPr>
        <w:t>,</w:t>
      </w:r>
      <w:r w:rsidRPr="004B063A">
        <w:rPr>
          <w:lang w:val="en-GB"/>
        </w:rPr>
        <w:t xml:space="preserve">” </w:t>
      </w:r>
      <w:proofErr w:type="spellStart"/>
      <w:r w:rsidRPr="00F32CB3">
        <w:rPr>
          <w:lang w:val="en-GB"/>
        </w:rPr>
        <w:t>Unicommerce</w:t>
      </w:r>
      <w:proofErr w:type="spellEnd"/>
      <w:r w:rsidRPr="004B063A">
        <w:rPr>
          <w:i/>
          <w:lang w:val="en-GB"/>
        </w:rPr>
        <w:t>,</w:t>
      </w:r>
      <w:r w:rsidRPr="004B063A">
        <w:rPr>
          <w:lang w:val="en-GB"/>
        </w:rPr>
        <w:t xml:space="preserve"> accessed March 21, 2016, </w:t>
      </w:r>
      <w:bookmarkStart w:id="2" w:name="OLE_LINK55"/>
      <w:bookmarkStart w:id="3" w:name="OLE_LINK56"/>
      <w:r w:rsidRPr="004B063A">
        <w:rPr>
          <w:lang w:val="en-GB"/>
        </w:rPr>
        <w:t>http://support.unicommerce.com/customer/portal/articles/1896324-introducing-credit-balance-based-billing-system</w:t>
      </w:r>
      <w:bookmarkEnd w:id="2"/>
      <w:bookmarkEnd w:id="3"/>
      <w:r w:rsidRPr="004B063A">
        <w:rPr>
          <w:lang w:val="en-GB"/>
        </w:rPr>
        <w:t>.</w:t>
      </w:r>
    </w:p>
    <w:p w14:paraId="3D08B4AD" w14:textId="77777777" w:rsidR="006E759A" w:rsidRPr="004B063A" w:rsidRDefault="006E759A" w:rsidP="006E759A">
      <w:pPr>
        <w:pStyle w:val="BodyTextMain"/>
        <w:rPr>
          <w:lang w:val="en-GB"/>
        </w:rPr>
      </w:pPr>
    </w:p>
    <w:p w14:paraId="7511578C" w14:textId="77777777" w:rsidR="006E759A" w:rsidRPr="004B063A" w:rsidRDefault="006E759A" w:rsidP="006E759A">
      <w:pPr>
        <w:pStyle w:val="BodyTextMain"/>
        <w:rPr>
          <w:lang w:val="en-GB"/>
        </w:rPr>
      </w:pPr>
    </w:p>
    <w:p w14:paraId="523674A7" w14:textId="2A5C9BB7" w:rsidR="006E759A" w:rsidRPr="004B063A" w:rsidRDefault="006E759A" w:rsidP="006E759A">
      <w:pPr>
        <w:pStyle w:val="ExhibitHeading"/>
        <w:rPr>
          <w:lang w:val="en-GB"/>
        </w:rPr>
      </w:pPr>
      <w:r w:rsidRPr="004B063A">
        <w:rPr>
          <w:lang w:val="en-GB"/>
        </w:rPr>
        <w:t>EXHIBIT 6: TIGER GLOBAL</w:t>
      </w:r>
      <w:r w:rsidR="0036274C">
        <w:rPr>
          <w:lang w:val="en-GB"/>
        </w:rPr>
        <w:t xml:space="preserve"> Management</w:t>
      </w:r>
    </w:p>
    <w:p w14:paraId="303EB9E1" w14:textId="77777777" w:rsidR="006E759A" w:rsidRPr="004B063A" w:rsidRDefault="006E759A" w:rsidP="006E759A">
      <w:pPr>
        <w:pStyle w:val="BodyTextMain"/>
        <w:rPr>
          <w:lang w:val="en-GB"/>
        </w:rPr>
      </w:pPr>
    </w:p>
    <w:p w14:paraId="0E25FF44" w14:textId="691317F7" w:rsidR="006E759A" w:rsidRPr="004B063A" w:rsidRDefault="006E759A" w:rsidP="006E759A">
      <w:pPr>
        <w:pStyle w:val="ExhibitText"/>
        <w:rPr>
          <w:sz w:val="18"/>
          <w:szCs w:val="18"/>
          <w:lang w:val="en-GB"/>
        </w:rPr>
      </w:pPr>
      <w:bookmarkStart w:id="4" w:name="OLE_LINK3"/>
      <w:bookmarkStart w:id="5" w:name="OLE_LINK4"/>
      <w:bookmarkStart w:id="6" w:name="OLE_LINK5"/>
      <w:r w:rsidRPr="004B063A">
        <w:rPr>
          <w:sz w:val="18"/>
          <w:szCs w:val="18"/>
          <w:lang w:val="en-GB"/>
        </w:rPr>
        <w:t xml:space="preserve">Tiger Global </w:t>
      </w:r>
      <w:bookmarkEnd w:id="4"/>
      <w:bookmarkEnd w:id="5"/>
      <w:bookmarkEnd w:id="6"/>
      <w:r w:rsidRPr="004B063A">
        <w:rPr>
          <w:sz w:val="18"/>
          <w:szCs w:val="18"/>
          <w:lang w:val="en-GB"/>
        </w:rPr>
        <w:t>Management</w:t>
      </w:r>
      <w:r w:rsidR="00E3165C">
        <w:rPr>
          <w:sz w:val="18"/>
          <w:szCs w:val="18"/>
          <w:lang w:val="en-GB"/>
        </w:rPr>
        <w:t xml:space="preserve"> (Tiger Global)</w:t>
      </w:r>
      <w:r w:rsidRPr="004B063A">
        <w:rPr>
          <w:sz w:val="18"/>
          <w:szCs w:val="18"/>
          <w:lang w:val="en-GB"/>
        </w:rPr>
        <w:t xml:space="preserve"> was a hedge fund based out of New York. Founded in March 2001, Tiger Global </w:t>
      </w:r>
      <w:r w:rsidR="00E3165C">
        <w:rPr>
          <w:sz w:val="18"/>
          <w:szCs w:val="18"/>
          <w:lang w:val="en-GB"/>
        </w:rPr>
        <w:t>made</w:t>
      </w:r>
      <w:r w:rsidR="00E3165C" w:rsidRPr="004B063A">
        <w:rPr>
          <w:sz w:val="18"/>
          <w:szCs w:val="18"/>
          <w:lang w:val="en-GB"/>
        </w:rPr>
        <w:t xml:space="preserve"> </w:t>
      </w:r>
      <w:r w:rsidRPr="004B063A">
        <w:rPr>
          <w:sz w:val="18"/>
          <w:szCs w:val="18"/>
          <w:lang w:val="en-GB"/>
        </w:rPr>
        <w:t xml:space="preserve">investments in </w:t>
      </w:r>
      <w:r w:rsidR="00E3165C">
        <w:rPr>
          <w:sz w:val="18"/>
          <w:szCs w:val="18"/>
          <w:lang w:val="en-GB"/>
        </w:rPr>
        <w:t>public-</w:t>
      </w:r>
      <w:r w:rsidRPr="004B063A">
        <w:rPr>
          <w:sz w:val="18"/>
          <w:szCs w:val="18"/>
          <w:lang w:val="en-GB"/>
        </w:rPr>
        <w:t xml:space="preserve"> and </w:t>
      </w:r>
      <w:r w:rsidR="00E3165C">
        <w:rPr>
          <w:sz w:val="18"/>
          <w:szCs w:val="18"/>
          <w:lang w:val="en-GB"/>
        </w:rPr>
        <w:t>private-equity</w:t>
      </w:r>
      <w:r w:rsidRPr="004B063A">
        <w:rPr>
          <w:sz w:val="18"/>
          <w:szCs w:val="18"/>
          <w:lang w:val="en-GB"/>
        </w:rPr>
        <w:t xml:space="preserve"> markets across the globe. The </w:t>
      </w:r>
      <w:r w:rsidR="00721887">
        <w:rPr>
          <w:sz w:val="18"/>
          <w:szCs w:val="18"/>
          <w:lang w:val="en-GB"/>
        </w:rPr>
        <w:t>private-equity</w:t>
      </w:r>
      <w:r w:rsidRPr="004B063A">
        <w:rPr>
          <w:sz w:val="18"/>
          <w:szCs w:val="18"/>
          <w:lang w:val="en-GB"/>
        </w:rPr>
        <w:t xml:space="preserve"> business of Tiger</w:t>
      </w:r>
      <w:r w:rsidR="00721887">
        <w:rPr>
          <w:sz w:val="18"/>
          <w:szCs w:val="18"/>
          <w:lang w:val="en-GB"/>
        </w:rPr>
        <w:t xml:space="preserve"> Global</w:t>
      </w:r>
      <w:r w:rsidRPr="004B063A">
        <w:rPr>
          <w:sz w:val="18"/>
          <w:szCs w:val="18"/>
          <w:lang w:val="en-GB"/>
        </w:rPr>
        <w:t xml:space="preserve"> </w:t>
      </w:r>
      <w:r w:rsidR="00721887">
        <w:rPr>
          <w:sz w:val="18"/>
          <w:szCs w:val="18"/>
          <w:lang w:val="en-GB"/>
        </w:rPr>
        <w:t>specialized</w:t>
      </w:r>
      <w:r w:rsidR="00721887" w:rsidRPr="004B063A">
        <w:rPr>
          <w:sz w:val="18"/>
          <w:szCs w:val="18"/>
          <w:lang w:val="en-GB"/>
        </w:rPr>
        <w:t xml:space="preserve"> </w:t>
      </w:r>
      <w:r w:rsidRPr="004B063A">
        <w:rPr>
          <w:sz w:val="18"/>
          <w:szCs w:val="18"/>
          <w:lang w:val="en-GB"/>
        </w:rPr>
        <w:t xml:space="preserve">in investing in </w:t>
      </w:r>
      <w:r w:rsidR="00721887">
        <w:rPr>
          <w:sz w:val="18"/>
          <w:szCs w:val="18"/>
          <w:lang w:val="en-GB"/>
        </w:rPr>
        <w:t>early-stage</w:t>
      </w:r>
      <w:r w:rsidRPr="004B063A">
        <w:rPr>
          <w:sz w:val="18"/>
          <w:szCs w:val="18"/>
          <w:lang w:val="en-GB"/>
        </w:rPr>
        <w:t xml:space="preserve"> companies, growth companies</w:t>
      </w:r>
      <w:r w:rsidR="00721887">
        <w:rPr>
          <w:sz w:val="18"/>
          <w:szCs w:val="18"/>
          <w:lang w:val="en-GB"/>
        </w:rPr>
        <w:t>,</w:t>
      </w:r>
      <w:r w:rsidRPr="004B063A">
        <w:rPr>
          <w:sz w:val="18"/>
          <w:szCs w:val="18"/>
          <w:lang w:val="en-GB"/>
        </w:rPr>
        <w:t xml:space="preserve"> and start-ups. Tiger Global had a long-term orientation and generally invested in companies with a horizon of a decade. The fund had investments </w:t>
      </w:r>
      <w:r w:rsidR="00721887">
        <w:rPr>
          <w:sz w:val="18"/>
          <w:szCs w:val="18"/>
          <w:lang w:val="en-GB"/>
        </w:rPr>
        <w:t>in Internet</w:t>
      </w:r>
      <w:r w:rsidRPr="004B063A">
        <w:rPr>
          <w:sz w:val="18"/>
          <w:szCs w:val="18"/>
          <w:lang w:val="en-GB"/>
        </w:rPr>
        <w:t xml:space="preserve"> companies, technology, real estate, telecommunications, energy, media</w:t>
      </w:r>
      <w:r w:rsidR="00721887">
        <w:rPr>
          <w:sz w:val="18"/>
          <w:szCs w:val="18"/>
          <w:lang w:val="en-GB"/>
        </w:rPr>
        <w:t>,</w:t>
      </w:r>
      <w:r w:rsidRPr="004B063A">
        <w:rPr>
          <w:sz w:val="18"/>
          <w:szCs w:val="18"/>
          <w:lang w:val="en-GB"/>
        </w:rPr>
        <w:t xml:space="preserve"> and retail sectors. These investments were made across the United States, India, China, Southeast Asia, Latin America</w:t>
      </w:r>
      <w:r w:rsidR="00721887">
        <w:rPr>
          <w:sz w:val="18"/>
          <w:szCs w:val="18"/>
          <w:lang w:val="en-GB"/>
        </w:rPr>
        <w:t>,</w:t>
      </w:r>
      <w:r w:rsidRPr="004B063A">
        <w:rPr>
          <w:sz w:val="18"/>
          <w:szCs w:val="18"/>
          <w:lang w:val="en-GB"/>
        </w:rPr>
        <w:t xml:space="preserve"> and Eastern Europe.</w:t>
      </w:r>
    </w:p>
    <w:p w14:paraId="4B7D2DA3" w14:textId="77777777" w:rsidR="006E759A" w:rsidRPr="004B063A" w:rsidRDefault="006E759A" w:rsidP="006E759A">
      <w:pPr>
        <w:pStyle w:val="ExhibitText"/>
        <w:rPr>
          <w:sz w:val="18"/>
          <w:szCs w:val="18"/>
          <w:lang w:val="en-GB"/>
        </w:rPr>
      </w:pPr>
    </w:p>
    <w:p w14:paraId="62BE89F3" w14:textId="786B17BD" w:rsidR="006E759A" w:rsidRPr="004B063A" w:rsidRDefault="006E759A" w:rsidP="006E759A">
      <w:pPr>
        <w:pStyle w:val="ExhibitText"/>
        <w:rPr>
          <w:sz w:val="18"/>
          <w:szCs w:val="18"/>
          <w:lang w:val="en-GB"/>
        </w:rPr>
      </w:pPr>
      <w:r w:rsidRPr="004B063A">
        <w:rPr>
          <w:sz w:val="18"/>
          <w:szCs w:val="18"/>
          <w:lang w:val="en-GB"/>
        </w:rPr>
        <w:t xml:space="preserve">The private equity arm of Tiger Global was a highly respected firm all over the world. The firm had a proven track record for recognizing and investing in firms </w:t>
      </w:r>
      <w:r w:rsidR="00E3165C">
        <w:rPr>
          <w:sz w:val="18"/>
          <w:szCs w:val="18"/>
          <w:lang w:val="en-GB"/>
        </w:rPr>
        <w:t>that became</w:t>
      </w:r>
      <w:r w:rsidRPr="004B063A">
        <w:rPr>
          <w:sz w:val="18"/>
          <w:szCs w:val="18"/>
          <w:lang w:val="en-GB"/>
        </w:rPr>
        <w:t xml:space="preserve"> subsequent blockbusters.</w:t>
      </w:r>
      <w:r w:rsidR="004B063A">
        <w:rPr>
          <w:sz w:val="18"/>
          <w:szCs w:val="18"/>
          <w:lang w:val="en-GB"/>
        </w:rPr>
        <w:t xml:space="preserve"> </w:t>
      </w:r>
      <w:r w:rsidRPr="004B063A">
        <w:rPr>
          <w:sz w:val="18"/>
          <w:szCs w:val="18"/>
          <w:lang w:val="en-GB"/>
        </w:rPr>
        <w:t xml:space="preserve">Some of the famous investments </w:t>
      </w:r>
      <w:r w:rsidR="00E3165C">
        <w:rPr>
          <w:sz w:val="18"/>
          <w:szCs w:val="18"/>
          <w:lang w:val="en-GB"/>
        </w:rPr>
        <w:t>included</w:t>
      </w:r>
      <w:r w:rsidR="00E3165C" w:rsidRPr="004B063A">
        <w:rPr>
          <w:sz w:val="18"/>
          <w:szCs w:val="18"/>
          <w:lang w:val="en-GB"/>
        </w:rPr>
        <w:t xml:space="preserve"> </w:t>
      </w:r>
      <w:r w:rsidRPr="004B063A">
        <w:rPr>
          <w:sz w:val="18"/>
          <w:szCs w:val="18"/>
          <w:lang w:val="en-GB"/>
        </w:rPr>
        <w:t>titans such as Facebook</w:t>
      </w:r>
      <w:r w:rsidR="00721887">
        <w:rPr>
          <w:sz w:val="18"/>
          <w:szCs w:val="18"/>
          <w:lang w:val="en-GB"/>
        </w:rPr>
        <w:t xml:space="preserve"> Inc.,</w:t>
      </w:r>
      <w:r w:rsidRPr="004B063A">
        <w:rPr>
          <w:sz w:val="18"/>
          <w:szCs w:val="18"/>
          <w:lang w:val="en-GB"/>
        </w:rPr>
        <w:t xml:space="preserve"> LinkedIn</w:t>
      </w:r>
      <w:r w:rsidR="00721887">
        <w:rPr>
          <w:sz w:val="18"/>
          <w:szCs w:val="18"/>
          <w:lang w:val="en-GB"/>
        </w:rPr>
        <w:t>,</w:t>
      </w:r>
      <w:r w:rsidRPr="004B063A">
        <w:rPr>
          <w:sz w:val="18"/>
          <w:szCs w:val="18"/>
          <w:lang w:val="en-GB"/>
        </w:rPr>
        <w:t xml:space="preserve"> Airbnb</w:t>
      </w:r>
      <w:r w:rsidR="00E3165C">
        <w:rPr>
          <w:sz w:val="18"/>
          <w:szCs w:val="18"/>
          <w:lang w:val="en-GB"/>
        </w:rPr>
        <w:t xml:space="preserve"> Inc.</w:t>
      </w:r>
      <w:r w:rsidR="00721887">
        <w:rPr>
          <w:sz w:val="18"/>
          <w:szCs w:val="18"/>
          <w:lang w:val="en-GB"/>
        </w:rPr>
        <w:t>,</w:t>
      </w:r>
      <w:r w:rsidRPr="004B063A">
        <w:rPr>
          <w:sz w:val="18"/>
          <w:szCs w:val="18"/>
          <w:lang w:val="en-GB"/>
        </w:rPr>
        <w:t xml:space="preserve"> Zynga</w:t>
      </w:r>
      <w:r w:rsidR="00E3165C">
        <w:rPr>
          <w:sz w:val="18"/>
          <w:szCs w:val="18"/>
          <w:lang w:val="en-GB"/>
        </w:rPr>
        <w:t xml:space="preserve"> Inc.</w:t>
      </w:r>
      <w:r w:rsidR="00721887">
        <w:rPr>
          <w:sz w:val="18"/>
          <w:szCs w:val="18"/>
          <w:lang w:val="en-GB"/>
        </w:rPr>
        <w:t>,</w:t>
      </w:r>
      <w:r w:rsidR="00E33E29">
        <w:rPr>
          <w:sz w:val="18"/>
          <w:szCs w:val="18"/>
          <w:lang w:val="en-GB"/>
        </w:rPr>
        <w:t xml:space="preserve"> and </w:t>
      </w:r>
      <w:proofErr w:type="spellStart"/>
      <w:r w:rsidR="00E33E29">
        <w:rPr>
          <w:sz w:val="18"/>
          <w:szCs w:val="18"/>
          <w:lang w:val="en-GB"/>
        </w:rPr>
        <w:t>Quora</w:t>
      </w:r>
      <w:proofErr w:type="spellEnd"/>
      <w:r w:rsidRPr="004B063A">
        <w:rPr>
          <w:sz w:val="18"/>
          <w:szCs w:val="18"/>
          <w:lang w:val="en-GB"/>
        </w:rPr>
        <w:t xml:space="preserve">. </w:t>
      </w:r>
      <w:r w:rsidR="00C85F02">
        <w:rPr>
          <w:sz w:val="18"/>
          <w:szCs w:val="18"/>
          <w:lang w:val="en-GB"/>
        </w:rPr>
        <w:t xml:space="preserve">It </w:t>
      </w:r>
      <w:r w:rsidRPr="004B063A">
        <w:rPr>
          <w:sz w:val="18"/>
          <w:szCs w:val="18"/>
          <w:lang w:val="en-GB"/>
        </w:rPr>
        <w:t xml:space="preserve">was the venture fund that funded the e-commerce industry in India. It made investments in </w:t>
      </w:r>
      <w:proofErr w:type="spellStart"/>
      <w:r w:rsidR="00C85F02">
        <w:rPr>
          <w:sz w:val="18"/>
          <w:szCs w:val="18"/>
          <w:lang w:val="en-GB"/>
        </w:rPr>
        <w:t>MakeMyTrip</w:t>
      </w:r>
      <w:proofErr w:type="spellEnd"/>
      <w:r w:rsidR="00C85F02">
        <w:rPr>
          <w:sz w:val="18"/>
          <w:szCs w:val="18"/>
          <w:lang w:val="en-GB"/>
        </w:rPr>
        <w:t xml:space="preserve"> Limited</w:t>
      </w:r>
      <w:r w:rsidR="00114901">
        <w:rPr>
          <w:sz w:val="18"/>
          <w:szCs w:val="18"/>
          <w:lang w:val="en-GB"/>
        </w:rPr>
        <w:t xml:space="preserve"> (</w:t>
      </w:r>
      <w:proofErr w:type="spellStart"/>
      <w:r w:rsidR="00114901">
        <w:rPr>
          <w:sz w:val="18"/>
          <w:szCs w:val="18"/>
          <w:lang w:val="en-GB"/>
        </w:rPr>
        <w:t>MakeMyTrip</w:t>
      </w:r>
      <w:proofErr w:type="spellEnd"/>
      <w:r w:rsidR="00114901">
        <w:rPr>
          <w:sz w:val="18"/>
          <w:szCs w:val="18"/>
          <w:lang w:val="en-GB"/>
        </w:rPr>
        <w:t>)</w:t>
      </w:r>
      <w:r w:rsidRPr="004B063A">
        <w:rPr>
          <w:sz w:val="18"/>
          <w:szCs w:val="18"/>
          <w:lang w:val="en-GB"/>
        </w:rPr>
        <w:t>, Flipkart</w:t>
      </w:r>
      <w:r w:rsidR="00C85F02">
        <w:rPr>
          <w:sz w:val="18"/>
          <w:szCs w:val="18"/>
          <w:lang w:val="en-GB"/>
        </w:rPr>
        <w:t xml:space="preserve"> </w:t>
      </w:r>
      <w:proofErr w:type="spellStart"/>
      <w:r w:rsidR="00C85F02">
        <w:rPr>
          <w:sz w:val="18"/>
          <w:szCs w:val="18"/>
          <w:lang w:val="en-GB"/>
        </w:rPr>
        <w:t>Pvt.</w:t>
      </w:r>
      <w:proofErr w:type="spellEnd"/>
      <w:r w:rsidR="00C85F02">
        <w:rPr>
          <w:sz w:val="18"/>
          <w:szCs w:val="18"/>
          <w:lang w:val="en-GB"/>
        </w:rPr>
        <w:t xml:space="preserve"> Ltd.</w:t>
      </w:r>
      <w:r w:rsidR="00287E7A">
        <w:rPr>
          <w:sz w:val="18"/>
          <w:szCs w:val="18"/>
          <w:lang w:val="en-GB"/>
        </w:rPr>
        <w:t xml:space="preserve"> (Flipkart)</w:t>
      </w:r>
      <w:r w:rsidRPr="004B063A">
        <w:rPr>
          <w:sz w:val="18"/>
          <w:szCs w:val="18"/>
          <w:lang w:val="en-GB"/>
        </w:rPr>
        <w:t xml:space="preserve">, </w:t>
      </w:r>
      <w:proofErr w:type="spellStart"/>
      <w:r w:rsidRPr="004B063A">
        <w:rPr>
          <w:sz w:val="18"/>
          <w:szCs w:val="18"/>
          <w:lang w:val="en-GB"/>
        </w:rPr>
        <w:t>Myntra</w:t>
      </w:r>
      <w:proofErr w:type="spellEnd"/>
      <w:r w:rsidRPr="004B063A">
        <w:rPr>
          <w:sz w:val="18"/>
          <w:szCs w:val="18"/>
          <w:lang w:val="en-GB"/>
        </w:rPr>
        <w:t xml:space="preserve">, </w:t>
      </w:r>
      <w:proofErr w:type="spellStart"/>
      <w:r w:rsidR="00C85F02">
        <w:rPr>
          <w:sz w:val="18"/>
          <w:szCs w:val="18"/>
          <w:lang w:val="en-GB"/>
        </w:rPr>
        <w:t>Justdial</w:t>
      </w:r>
      <w:proofErr w:type="spellEnd"/>
      <w:r w:rsidRPr="004B063A">
        <w:rPr>
          <w:sz w:val="18"/>
          <w:szCs w:val="18"/>
          <w:lang w:val="en-GB"/>
        </w:rPr>
        <w:t xml:space="preserve">, </w:t>
      </w:r>
      <w:proofErr w:type="spellStart"/>
      <w:r w:rsidRPr="004B063A">
        <w:rPr>
          <w:sz w:val="18"/>
          <w:szCs w:val="18"/>
          <w:lang w:val="en-GB"/>
        </w:rPr>
        <w:t>LimeRoad</w:t>
      </w:r>
      <w:proofErr w:type="spellEnd"/>
      <w:r w:rsidRPr="004B063A">
        <w:rPr>
          <w:sz w:val="18"/>
          <w:szCs w:val="18"/>
          <w:lang w:val="en-GB"/>
        </w:rPr>
        <w:t>, Ola</w:t>
      </w:r>
      <w:r w:rsidR="00C85F02">
        <w:rPr>
          <w:sz w:val="18"/>
          <w:szCs w:val="18"/>
          <w:lang w:val="en-GB"/>
        </w:rPr>
        <w:t xml:space="preserve"> </w:t>
      </w:r>
      <w:r w:rsidRPr="004B063A">
        <w:rPr>
          <w:sz w:val="18"/>
          <w:szCs w:val="18"/>
          <w:lang w:val="en-GB"/>
        </w:rPr>
        <w:t xml:space="preserve">Cabs, </w:t>
      </w:r>
      <w:proofErr w:type="spellStart"/>
      <w:r w:rsidRPr="004B063A">
        <w:rPr>
          <w:sz w:val="18"/>
          <w:szCs w:val="18"/>
          <w:lang w:val="en-GB"/>
        </w:rPr>
        <w:t>Grofers</w:t>
      </w:r>
      <w:proofErr w:type="spellEnd"/>
      <w:r w:rsidRPr="004B063A">
        <w:rPr>
          <w:sz w:val="18"/>
          <w:szCs w:val="18"/>
          <w:lang w:val="en-GB"/>
        </w:rPr>
        <w:t xml:space="preserve">, </w:t>
      </w:r>
      <w:proofErr w:type="spellStart"/>
      <w:r w:rsidRPr="004B063A">
        <w:rPr>
          <w:sz w:val="18"/>
          <w:szCs w:val="18"/>
          <w:lang w:val="en-GB"/>
        </w:rPr>
        <w:t>Quikr</w:t>
      </w:r>
      <w:proofErr w:type="spellEnd"/>
      <w:r w:rsidRPr="004B063A">
        <w:rPr>
          <w:sz w:val="18"/>
          <w:szCs w:val="18"/>
          <w:lang w:val="en-GB"/>
        </w:rPr>
        <w:t xml:space="preserve">, </w:t>
      </w:r>
      <w:proofErr w:type="spellStart"/>
      <w:r w:rsidRPr="004B063A">
        <w:rPr>
          <w:sz w:val="18"/>
          <w:szCs w:val="18"/>
          <w:lang w:val="en-GB"/>
        </w:rPr>
        <w:t>Delhivery</w:t>
      </w:r>
      <w:proofErr w:type="spellEnd"/>
      <w:r w:rsidRPr="004B063A">
        <w:rPr>
          <w:sz w:val="18"/>
          <w:szCs w:val="18"/>
          <w:lang w:val="en-GB"/>
        </w:rPr>
        <w:t xml:space="preserve">, </w:t>
      </w:r>
      <w:proofErr w:type="spellStart"/>
      <w:r w:rsidRPr="004B063A">
        <w:rPr>
          <w:sz w:val="18"/>
          <w:szCs w:val="18"/>
          <w:lang w:val="en-GB"/>
        </w:rPr>
        <w:t>PolicyBazaar</w:t>
      </w:r>
      <w:proofErr w:type="spellEnd"/>
      <w:r w:rsidRPr="004B063A">
        <w:rPr>
          <w:sz w:val="18"/>
          <w:szCs w:val="18"/>
          <w:lang w:val="en-GB"/>
        </w:rPr>
        <w:t xml:space="preserve">, </w:t>
      </w:r>
      <w:proofErr w:type="spellStart"/>
      <w:r w:rsidRPr="004B063A">
        <w:rPr>
          <w:sz w:val="18"/>
          <w:szCs w:val="18"/>
          <w:lang w:val="en-GB"/>
        </w:rPr>
        <w:t>Inshorts</w:t>
      </w:r>
      <w:proofErr w:type="spellEnd"/>
      <w:r w:rsidRPr="004B063A">
        <w:rPr>
          <w:sz w:val="18"/>
          <w:szCs w:val="18"/>
          <w:lang w:val="en-GB"/>
        </w:rPr>
        <w:t xml:space="preserve">, </w:t>
      </w:r>
      <w:r w:rsidR="00C85F02">
        <w:rPr>
          <w:sz w:val="18"/>
          <w:szCs w:val="18"/>
          <w:lang w:val="en-GB"/>
        </w:rPr>
        <w:t xml:space="preserve">ZO </w:t>
      </w:r>
      <w:r w:rsidR="00C85F02" w:rsidRPr="004B063A">
        <w:rPr>
          <w:sz w:val="18"/>
          <w:szCs w:val="18"/>
          <w:lang w:val="en-GB"/>
        </w:rPr>
        <w:t>Rooms</w:t>
      </w:r>
      <w:r w:rsidRPr="004B063A">
        <w:rPr>
          <w:sz w:val="18"/>
          <w:szCs w:val="18"/>
          <w:lang w:val="en-GB"/>
        </w:rPr>
        <w:t xml:space="preserve">, </w:t>
      </w:r>
      <w:r w:rsidR="005100DD">
        <w:rPr>
          <w:sz w:val="18"/>
          <w:szCs w:val="18"/>
          <w:lang w:val="en-GB"/>
        </w:rPr>
        <w:t>The Viral Fever</w:t>
      </w:r>
      <w:r w:rsidRPr="004B063A">
        <w:rPr>
          <w:sz w:val="18"/>
          <w:szCs w:val="18"/>
          <w:lang w:val="en-GB"/>
        </w:rPr>
        <w:t xml:space="preserve">, </w:t>
      </w:r>
      <w:r w:rsidR="004B67F1">
        <w:rPr>
          <w:sz w:val="18"/>
          <w:szCs w:val="18"/>
          <w:lang w:val="en-GB"/>
        </w:rPr>
        <w:t xml:space="preserve">and </w:t>
      </w:r>
      <w:r w:rsidRPr="004B063A">
        <w:rPr>
          <w:sz w:val="18"/>
          <w:szCs w:val="18"/>
          <w:lang w:val="en-GB"/>
        </w:rPr>
        <w:t xml:space="preserve">Hike. Tiger </w:t>
      </w:r>
      <w:r w:rsidR="00924E99" w:rsidRPr="004B063A">
        <w:rPr>
          <w:sz w:val="18"/>
          <w:szCs w:val="18"/>
          <w:lang w:val="en-GB"/>
        </w:rPr>
        <w:t>Global</w:t>
      </w:r>
      <w:r w:rsidR="00924E99">
        <w:rPr>
          <w:sz w:val="18"/>
          <w:szCs w:val="18"/>
          <w:lang w:val="en-GB"/>
        </w:rPr>
        <w:t xml:space="preserve"> </w:t>
      </w:r>
      <w:r w:rsidRPr="004B063A">
        <w:rPr>
          <w:sz w:val="18"/>
          <w:szCs w:val="18"/>
          <w:lang w:val="en-GB"/>
        </w:rPr>
        <w:t xml:space="preserve">had successful exits from </w:t>
      </w:r>
      <w:proofErr w:type="spellStart"/>
      <w:r w:rsidR="001046A0">
        <w:rPr>
          <w:sz w:val="18"/>
          <w:szCs w:val="18"/>
          <w:lang w:val="en-GB"/>
        </w:rPr>
        <w:t>MakeMyTrip</w:t>
      </w:r>
      <w:proofErr w:type="spellEnd"/>
      <w:r w:rsidR="001046A0" w:rsidRPr="004B063A">
        <w:rPr>
          <w:sz w:val="18"/>
          <w:szCs w:val="18"/>
          <w:lang w:val="en-GB"/>
        </w:rPr>
        <w:t xml:space="preserve"> </w:t>
      </w:r>
      <w:r w:rsidRPr="004B063A">
        <w:rPr>
          <w:sz w:val="18"/>
          <w:szCs w:val="18"/>
          <w:lang w:val="en-GB"/>
        </w:rPr>
        <w:t xml:space="preserve">and </w:t>
      </w:r>
      <w:proofErr w:type="spellStart"/>
      <w:r w:rsidR="001046A0">
        <w:rPr>
          <w:sz w:val="18"/>
          <w:szCs w:val="18"/>
          <w:lang w:val="en-GB"/>
        </w:rPr>
        <w:t>Justdia</w:t>
      </w:r>
      <w:r w:rsidRPr="004B063A">
        <w:rPr>
          <w:sz w:val="18"/>
          <w:szCs w:val="18"/>
          <w:lang w:val="en-GB"/>
        </w:rPr>
        <w:t>l</w:t>
      </w:r>
      <w:proofErr w:type="spellEnd"/>
      <w:r w:rsidRPr="004B063A">
        <w:rPr>
          <w:sz w:val="18"/>
          <w:szCs w:val="18"/>
          <w:lang w:val="en-GB"/>
        </w:rPr>
        <w:t xml:space="preserve">, which </w:t>
      </w:r>
      <w:r w:rsidR="001046A0">
        <w:rPr>
          <w:sz w:val="18"/>
          <w:szCs w:val="18"/>
          <w:lang w:val="en-GB"/>
        </w:rPr>
        <w:t>had been</w:t>
      </w:r>
      <w:r w:rsidRPr="004B063A">
        <w:rPr>
          <w:sz w:val="18"/>
          <w:szCs w:val="18"/>
          <w:lang w:val="en-GB"/>
        </w:rPr>
        <w:t xml:space="preserve"> </w:t>
      </w:r>
      <w:r w:rsidR="00586CB9">
        <w:rPr>
          <w:sz w:val="18"/>
          <w:szCs w:val="18"/>
          <w:lang w:val="en-GB"/>
        </w:rPr>
        <w:t>sole-equity</w:t>
      </w:r>
      <w:r w:rsidRPr="004B063A">
        <w:rPr>
          <w:sz w:val="18"/>
          <w:szCs w:val="18"/>
          <w:lang w:val="en-GB"/>
        </w:rPr>
        <w:t xml:space="preserve"> listings of the Indian </w:t>
      </w:r>
      <w:r w:rsidR="009D534A" w:rsidRPr="004B063A">
        <w:rPr>
          <w:sz w:val="18"/>
          <w:szCs w:val="18"/>
          <w:lang w:val="en-GB"/>
        </w:rPr>
        <w:t>e-commerce</w:t>
      </w:r>
      <w:r w:rsidR="004B063A">
        <w:rPr>
          <w:sz w:val="18"/>
          <w:szCs w:val="18"/>
          <w:lang w:val="en-GB"/>
        </w:rPr>
        <w:t xml:space="preserve"> </w:t>
      </w:r>
      <w:r w:rsidRPr="004B063A">
        <w:rPr>
          <w:sz w:val="18"/>
          <w:szCs w:val="18"/>
          <w:lang w:val="en-GB"/>
        </w:rPr>
        <w:t>space until 201</w:t>
      </w:r>
      <w:r w:rsidR="00452BBD" w:rsidRPr="004B063A">
        <w:rPr>
          <w:sz w:val="18"/>
          <w:szCs w:val="18"/>
          <w:lang w:val="en-GB"/>
        </w:rPr>
        <w:t>4</w:t>
      </w:r>
      <w:r w:rsidRPr="004B063A">
        <w:rPr>
          <w:sz w:val="18"/>
          <w:szCs w:val="18"/>
          <w:lang w:val="en-GB"/>
        </w:rPr>
        <w:t>.</w:t>
      </w:r>
    </w:p>
    <w:p w14:paraId="6207CB24" w14:textId="77777777" w:rsidR="006E759A" w:rsidRPr="004B063A" w:rsidRDefault="006E759A" w:rsidP="006E759A">
      <w:pPr>
        <w:pStyle w:val="ExhibitText"/>
        <w:rPr>
          <w:sz w:val="18"/>
          <w:szCs w:val="18"/>
          <w:lang w:val="en-GB"/>
        </w:rPr>
      </w:pPr>
    </w:p>
    <w:p w14:paraId="42BF1C99" w14:textId="78EF9543" w:rsidR="006E759A" w:rsidRPr="00F32CB3" w:rsidRDefault="00287E7A" w:rsidP="006E759A">
      <w:pPr>
        <w:pStyle w:val="ExhibitText"/>
        <w:rPr>
          <w:spacing w:val="-2"/>
          <w:sz w:val="18"/>
          <w:szCs w:val="18"/>
          <w:lang w:val="en-GB"/>
        </w:rPr>
      </w:pPr>
      <w:r w:rsidRPr="00F32CB3">
        <w:rPr>
          <w:spacing w:val="-2"/>
          <w:sz w:val="18"/>
          <w:szCs w:val="18"/>
          <w:lang w:val="en-GB"/>
        </w:rPr>
        <w:t>Tiger Global</w:t>
      </w:r>
      <w:r w:rsidR="006E759A" w:rsidRPr="00F32CB3">
        <w:rPr>
          <w:spacing w:val="-2"/>
          <w:sz w:val="18"/>
          <w:szCs w:val="18"/>
          <w:lang w:val="en-GB"/>
        </w:rPr>
        <w:t xml:space="preserve"> </w:t>
      </w:r>
      <w:r w:rsidR="00586CB9" w:rsidRPr="00F32CB3">
        <w:rPr>
          <w:spacing w:val="-2"/>
          <w:sz w:val="18"/>
          <w:szCs w:val="18"/>
          <w:lang w:val="en-GB"/>
        </w:rPr>
        <w:t xml:space="preserve">had </w:t>
      </w:r>
      <w:r w:rsidR="006E759A" w:rsidRPr="00F32CB3">
        <w:rPr>
          <w:spacing w:val="-2"/>
          <w:sz w:val="18"/>
          <w:szCs w:val="18"/>
          <w:lang w:val="en-GB"/>
        </w:rPr>
        <w:t xml:space="preserve">been a doyen of the Indian venture capital scene. It </w:t>
      </w:r>
      <w:r w:rsidRPr="00F32CB3">
        <w:rPr>
          <w:spacing w:val="-2"/>
          <w:sz w:val="18"/>
          <w:szCs w:val="18"/>
          <w:lang w:val="en-GB"/>
        </w:rPr>
        <w:t xml:space="preserve">was rumoured </w:t>
      </w:r>
      <w:r w:rsidR="006E759A" w:rsidRPr="00F32CB3">
        <w:rPr>
          <w:spacing w:val="-2"/>
          <w:sz w:val="18"/>
          <w:szCs w:val="18"/>
          <w:lang w:val="en-GB"/>
        </w:rPr>
        <w:t>to have earmarked ove</w:t>
      </w:r>
      <w:r w:rsidR="00EF6B4D" w:rsidRPr="00F32CB3">
        <w:rPr>
          <w:spacing w:val="-2"/>
          <w:sz w:val="18"/>
          <w:szCs w:val="18"/>
          <w:lang w:val="en-GB"/>
        </w:rPr>
        <w:t xml:space="preserve">r </w:t>
      </w:r>
      <w:r w:rsidRPr="00F32CB3">
        <w:rPr>
          <w:spacing w:val="-2"/>
          <w:sz w:val="18"/>
          <w:szCs w:val="18"/>
          <w:lang w:val="en-GB"/>
        </w:rPr>
        <w:t>$2.5 billion</w:t>
      </w:r>
      <w:r w:rsidR="00EF6B4D" w:rsidRPr="00F32CB3">
        <w:rPr>
          <w:spacing w:val="-2"/>
          <w:sz w:val="18"/>
          <w:szCs w:val="18"/>
          <w:lang w:val="en-GB"/>
        </w:rPr>
        <w:t xml:space="preserve"> for investment in </w:t>
      </w:r>
      <w:r w:rsidR="00865D0A">
        <w:rPr>
          <w:spacing w:val="-2"/>
          <w:sz w:val="18"/>
          <w:szCs w:val="18"/>
          <w:lang w:val="en-GB"/>
        </w:rPr>
        <w:t>2015</w:t>
      </w:r>
      <w:r w:rsidR="006E759A" w:rsidRPr="00F32CB3">
        <w:rPr>
          <w:spacing w:val="-2"/>
          <w:sz w:val="18"/>
          <w:szCs w:val="18"/>
          <w:lang w:val="en-GB"/>
        </w:rPr>
        <w:t xml:space="preserve">. Tiger </w:t>
      </w:r>
      <w:r w:rsidRPr="00F32CB3">
        <w:rPr>
          <w:spacing w:val="-2"/>
          <w:sz w:val="18"/>
          <w:szCs w:val="18"/>
          <w:lang w:val="en-GB"/>
        </w:rPr>
        <w:t xml:space="preserve">Global </w:t>
      </w:r>
      <w:r w:rsidR="006E759A" w:rsidRPr="00F32CB3">
        <w:rPr>
          <w:spacing w:val="-2"/>
          <w:sz w:val="18"/>
          <w:szCs w:val="18"/>
          <w:lang w:val="en-GB"/>
        </w:rPr>
        <w:t>was one of the early investors in Flipkart in 2010</w:t>
      </w:r>
      <w:r w:rsidRPr="00F32CB3">
        <w:rPr>
          <w:spacing w:val="-2"/>
          <w:sz w:val="18"/>
          <w:szCs w:val="18"/>
          <w:lang w:val="en-GB"/>
        </w:rPr>
        <w:t>,</w:t>
      </w:r>
      <w:r w:rsidR="006E759A" w:rsidRPr="00F32CB3">
        <w:rPr>
          <w:spacing w:val="-2"/>
          <w:sz w:val="18"/>
          <w:szCs w:val="18"/>
          <w:lang w:val="en-GB"/>
        </w:rPr>
        <w:t xml:space="preserve"> and</w:t>
      </w:r>
      <w:r w:rsidRPr="00F32CB3">
        <w:rPr>
          <w:spacing w:val="-2"/>
          <w:sz w:val="18"/>
          <w:szCs w:val="18"/>
          <w:lang w:val="en-GB"/>
        </w:rPr>
        <w:t xml:space="preserve"> it</w:t>
      </w:r>
      <w:r w:rsidR="006E759A" w:rsidRPr="00F32CB3">
        <w:rPr>
          <w:spacing w:val="-2"/>
          <w:sz w:val="18"/>
          <w:szCs w:val="18"/>
          <w:lang w:val="en-GB"/>
        </w:rPr>
        <w:t xml:space="preserve"> continued investing in Flipkart over subsequent years. It also invested in LetsBuy.com (</w:t>
      </w:r>
      <w:r w:rsidRPr="00F32CB3">
        <w:rPr>
          <w:spacing w:val="-2"/>
          <w:sz w:val="18"/>
          <w:szCs w:val="18"/>
          <w:lang w:val="en-GB"/>
        </w:rPr>
        <w:t xml:space="preserve">a </w:t>
      </w:r>
      <w:r w:rsidR="006E759A" w:rsidRPr="00F32CB3">
        <w:rPr>
          <w:spacing w:val="-2"/>
          <w:sz w:val="18"/>
          <w:szCs w:val="18"/>
          <w:lang w:val="en-GB"/>
        </w:rPr>
        <w:t xml:space="preserve">website selling electronics) and </w:t>
      </w:r>
      <w:proofErr w:type="spellStart"/>
      <w:r w:rsidR="006E759A" w:rsidRPr="00F32CB3">
        <w:rPr>
          <w:spacing w:val="-2"/>
          <w:sz w:val="18"/>
          <w:szCs w:val="18"/>
          <w:lang w:val="en-GB"/>
        </w:rPr>
        <w:t>Myntra</w:t>
      </w:r>
      <w:proofErr w:type="spellEnd"/>
      <w:r w:rsidR="006E759A" w:rsidRPr="00F32CB3">
        <w:rPr>
          <w:spacing w:val="-2"/>
          <w:sz w:val="18"/>
          <w:szCs w:val="18"/>
          <w:lang w:val="en-GB"/>
        </w:rPr>
        <w:t>, which were later merged with Flipkart</w:t>
      </w:r>
      <w:r w:rsidRPr="00F32CB3">
        <w:rPr>
          <w:spacing w:val="-2"/>
          <w:sz w:val="18"/>
          <w:szCs w:val="18"/>
          <w:lang w:val="en-GB"/>
        </w:rPr>
        <w:t>,</w:t>
      </w:r>
      <w:r w:rsidR="006E759A" w:rsidRPr="00F32CB3">
        <w:rPr>
          <w:spacing w:val="-2"/>
          <w:sz w:val="18"/>
          <w:szCs w:val="18"/>
          <w:lang w:val="en-GB"/>
        </w:rPr>
        <w:t xml:space="preserve"> citing reasons of operating synergies. Out of these two firms, </w:t>
      </w:r>
      <w:r w:rsidRPr="00F32CB3">
        <w:rPr>
          <w:spacing w:val="-2"/>
          <w:sz w:val="18"/>
          <w:szCs w:val="18"/>
          <w:lang w:val="en-GB"/>
        </w:rPr>
        <w:t xml:space="preserve">LetsBuy.com </w:t>
      </w:r>
      <w:r w:rsidR="006E759A" w:rsidRPr="00F32CB3">
        <w:rPr>
          <w:spacing w:val="-2"/>
          <w:sz w:val="18"/>
          <w:szCs w:val="18"/>
          <w:lang w:val="en-GB"/>
        </w:rPr>
        <w:t xml:space="preserve">was completely merged with Flipkart, whereas </w:t>
      </w:r>
      <w:proofErr w:type="spellStart"/>
      <w:r w:rsidR="006E759A" w:rsidRPr="00F32CB3">
        <w:rPr>
          <w:spacing w:val="-2"/>
          <w:sz w:val="18"/>
          <w:szCs w:val="18"/>
          <w:lang w:val="en-GB"/>
        </w:rPr>
        <w:t>Myntra</w:t>
      </w:r>
      <w:proofErr w:type="spellEnd"/>
      <w:r w:rsidR="006E759A" w:rsidRPr="00F32CB3">
        <w:rPr>
          <w:spacing w:val="-2"/>
          <w:sz w:val="18"/>
          <w:szCs w:val="18"/>
          <w:lang w:val="en-GB"/>
        </w:rPr>
        <w:t xml:space="preserve"> continued to maintain an operational website. Tiger </w:t>
      </w:r>
      <w:r w:rsidRPr="00F32CB3">
        <w:rPr>
          <w:spacing w:val="-2"/>
          <w:sz w:val="18"/>
          <w:szCs w:val="18"/>
          <w:lang w:val="en-GB"/>
        </w:rPr>
        <w:t xml:space="preserve">Global </w:t>
      </w:r>
      <w:r w:rsidR="006E759A" w:rsidRPr="00F32CB3">
        <w:rPr>
          <w:spacing w:val="-2"/>
          <w:sz w:val="18"/>
          <w:szCs w:val="18"/>
          <w:lang w:val="en-GB"/>
        </w:rPr>
        <w:t>was planning to ram</w:t>
      </w:r>
      <w:r w:rsidR="00255377" w:rsidRPr="00F32CB3">
        <w:rPr>
          <w:spacing w:val="-2"/>
          <w:sz w:val="18"/>
          <w:szCs w:val="18"/>
          <w:lang w:val="en-GB"/>
        </w:rPr>
        <w:t>p up their investments in India</w:t>
      </w:r>
      <w:r w:rsidRPr="00F32CB3">
        <w:rPr>
          <w:spacing w:val="-2"/>
          <w:sz w:val="18"/>
          <w:szCs w:val="18"/>
          <w:lang w:val="en-GB"/>
        </w:rPr>
        <w:t>,</w:t>
      </w:r>
      <w:r w:rsidR="00255377" w:rsidRPr="00F32CB3">
        <w:rPr>
          <w:spacing w:val="-2"/>
          <w:sz w:val="18"/>
          <w:szCs w:val="18"/>
          <w:lang w:val="en-GB"/>
        </w:rPr>
        <w:t xml:space="preserve"> and they were actively looking for good companies to add to their portfolio</w:t>
      </w:r>
      <w:r w:rsidR="006E759A" w:rsidRPr="00F32CB3">
        <w:rPr>
          <w:spacing w:val="-2"/>
          <w:sz w:val="18"/>
          <w:szCs w:val="18"/>
          <w:lang w:val="en-GB"/>
        </w:rPr>
        <w:t>.</w:t>
      </w:r>
    </w:p>
    <w:p w14:paraId="0318CD8C" w14:textId="77777777" w:rsidR="006E759A" w:rsidRPr="004B063A" w:rsidRDefault="006E759A" w:rsidP="006E759A">
      <w:pPr>
        <w:pStyle w:val="ExhibitText"/>
        <w:rPr>
          <w:sz w:val="18"/>
          <w:szCs w:val="18"/>
          <w:lang w:val="en-GB"/>
        </w:rPr>
      </w:pPr>
    </w:p>
    <w:p w14:paraId="2C876596" w14:textId="77F77B8F" w:rsidR="00692654" w:rsidRPr="00F32CB3" w:rsidRDefault="006E759A" w:rsidP="006E759A">
      <w:pPr>
        <w:pStyle w:val="Footnote"/>
        <w:rPr>
          <w:rStyle w:val="Hyperlink"/>
          <w:color w:val="auto"/>
          <w:lang w:val="en-GB"/>
        </w:rPr>
      </w:pPr>
      <w:r w:rsidRPr="00F32CB3">
        <w:rPr>
          <w:lang w:val="en-GB"/>
        </w:rPr>
        <w:t xml:space="preserve">Source: </w:t>
      </w:r>
      <w:proofErr w:type="spellStart"/>
      <w:r w:rsidR="005F2815" w:rsidRPr="00F32CB3">
        <w:rPr>
          <w:lang w:val="en-GB"/>
        </w:rPr>
        <w:t>Kunal</w:t>
      </w:r>
      <w:proofErr w:type="spellEnd"/>
      <w:r w:rsidR="005F2815" w:rsidRPr="00F32CB3">
        <w:rPr>
          <w:lang w:val="en-GB"/>
        </w:rPr>
        <w:t xml:space="preserve"> N. </w:t>
      </w:r>
      <w:proofErr w:type="spellStart"/>
      <w:r w:rsidR="005F2815" w:rsidRPr="00F32CB3">
        <w:rPr>
          <w:lang w:val="en-GB"/>
        </w:rPr>
        <w:t>Talgeri</w:t>
      </w:r>
      <w:proofErr w:type="spellEnd"/>
      <w:r w:rsidRPr="00F32CB3">
        <w:rPr>
          <w:lang w:val="en-GB"/>
        </w:rPr>
        <w:t xml:space="preserve">, </w:t>
      </w:r>
      <w:r w:rsidR="005F2815" w:rsidRPr="00F32CB3">
        <w:rPr>
          <w:lang w:val="en-GB"/>
        </w:rPr>
        <w:t>“Trail of the Tiger,”</w:t>
      </w:r>
      <w:r w:rsidRPr="00F32CB3">
        <w:rPr>
          <w:lang w:val="en-GB"/>
        </w:rPr>
        <w:t xml:space="preserve"> </w:t>
      </w:r>
      <w:r w:rsidRPr="00F32CB3">
        <w:rPr>
          <w:i/>
          <w:lang w:val="en-GB"/>
        </w:rPr>
        <w:t>Fortune India</w:t>
      </w:r>
      <w:r w:rsidRPr="00F32CB3">
        <w:rPr>
          <w:lang w:val="en-GB"/>
        </w:rPr>
        <w:t>, May 5, 2014, accessed May 31, 2017, www.fortuneindia.com/technology/trail-of-the-tiger/100529</w:t>
      </w:r>
      <w:r w:rsidR="005F2815" w:rsidRPr="00F32CB3">
        <w:rPr>
          <w:rStyle w:val="Hyperlink"/>
          <w:color w:val="auto"/>
          <w:u w:val="none"/>
          <w:lang w:val="en-GB"/>
        </w:rPr>
        <w:t>.</w:t>
      </w:r>
    </w:p>
    <w:p w14:paraId="164CA528" w14:textId="6C4C161B" w:rsidR="0048122B" w:rsidRPr="004B063A" w:rsidRDefault="0048122B">
      <w:pPr>
        <w:spacing w:after="200" w:line="276" w:lineRule="auto"/>
        <w:rPr>
          <w:rFonts w:ascii="Arial" w:hAnsi="Arial" w:cs="Arial"/>
          <w:b/>
          <w:caps/>
          <w:lang w:val="en-GB"/>
        </w:rPr>
      </w:pPr>
    </w:p>
    <w:p w14:paraId="38B8F3F2" w14:textId="3DF8FF12" w:rsidR="006E759A" w:rsidRPr="004B063A" w:rsidRDefault="006E759A" w:rsidP="006E759A">
      <w:pPr>
        <w:pStyle w:val="ExhibitHeading"/>
        <w:rPr>
          <w:lang w:val="en-GB"/>
        </w:rPr>
      </w:pPr>
      <w:r w:rsidRPr="004B063A">
        <w:rPr>
          <w:lang w:val="en-GB"/>
        </w:rPr>
        <w:t>EXHIBIT 7: SNAPDEAL</w:t>
      </w:r>
    </w:p>
    <w:p w14:paraId="1BDEE3E5" w14:textId="77777777" w:rsidR="006E759A" w:rsidRPr="004B063A" w:rsidRDefault="006E759A" w:rsidP="006E759A">
      <w:pPr>
        <w:pStyle w:val="BodyTextMain"/>
        <w:rPr>
          <w:lang w:val="en-GB"/>
        </w:rPr>
      </w:pPr>
    </w:p>
    <w:p w14:paraId="2A736701" w14:textId="78049033" w:rsidR="006E759A" w:rsidRPr="00995503" w:rsidRDefault="006E759A" w:rsidP="006E759A">
      <w:pPr>
        <w:pStyle w:val="ExhibitText"/>
        <w:rPr>
          <w:rStyle w:val="FootnoteAnchor"/>
          <w:sz w:val="19"/>
          <w:szCs w:val="19"/>
          <w:lang w:val="en-GB"/>
        </w:rPr>
      </w:pPr>
      <w:proofErr w:type="spellStart"/>
      <w:r w:rsidRPr="00995503">
        <w:rPr>
          <w:sz w:val="19"/>
          <w:szCs w:val="19"/>
          <w:lang w:val="en-GB"/>
        </w:rPr>
        <w:t>Snapdeal</w:t>
      </w:r>
      <w:proofErr w:type="spellEnd"/>
      <w:r w:rsidRPr="00995503">
        <w:rPr>
          <w:sz w:val="19"/>
          <w:szCs w:val="19"/>
          <w:lang w:val="en-GB"/>
        </w:rPr>
        <w:t>, India's largest online marketplace</w:t>
      </w:r>
      <w:r w:rsidR="00C15172" w:rsidRPr="00995503">
        <w:rPr>
          <w:sz w:val="19"/>
          <w:szCs w:val="19"/>
          <w:lang w:val="en-GB"/>
        </w:rPr>
        <w:t>,</w:t>
      </w:r>
      <w:r w:rsidRPr="00995503">
        <w:rPr>
          <w:sz w:val="19"/>
          <w:szCs w:val="19"/>
          <w:lang w:val="en-GB"/>
        </w:rPr>
        <w:t xml:space="preserve"> </w:t>
      </w:r>
      <w:r w:rsidR="00586CB9" w:rsidRPr="00995503">
        <w:rPr>
          <w:sz w:val="19"/>
          <w:szCs w:val="19"/>
          <w:lang w:val="en-GB"/>
        </w:rPr>
        <w:t xml:space="preserve">featured </w:t>
      </w:r>
      <w:r w:rsidR="00C15172" w:rsidRPr="00995503">
        <w:rPr>
          <w:sz w:val="19"/>
          <w:szCs w:val="19"/>
          <w:lang w:val="en-GB"/>
        </w:rPr>
        <w:t>best-priced</w:t>
      </w:r>
      <w:r w:rsidRPr="00995503">
        <w:rPr>
          <w:sz w:val="19"/>
          <w:szCs w:val="19"/>
          <w:lang w:val="en-GB"/>
        </w:rPr>
        <w:t xml:space="preserve"> deals on products such as mobile phones, computers, consumer electronics, apparels, watches, </w:t>
      </w:r>
      <w:r w:rsidR="00C15172" w:rsidRPr="00995503">
        <w:rPr>
          <w:sz w:val="19"/>
          <w:szCs w:val="19"/>
          <w:lang w:val="en-GB"/>
        </w:rPr>
        <w:t xml:space="preserve">and </w:t>
      </w:r>
      <w:r w:rsidRPr="00995503">
        <w:rPr>
          <w:sz w:val="19"/>
          <w:szCs w:val="19"/>
          <w:lang w:val="en-GB"/>
        </w:rPr>
        <w:t xml:space="preserve">footwear. Founded in February 2010 by </w:t>
      </w:r>
      <w:proofErr w:type="spellStart"/>
      <w:r w:rsidRPr="00995503">
        <w:rPr>
          <w:sz w:val="19"/>
          <w:szCs w:val="19"/>
          <w:lang w:val="en-GB"/>
        </w:rPr>
        <w:t>Kunal</w:t>
      </w:r>
      <w:proofErr w:type="spellEnd"/>
      <w:r w:rsidRPr="00995503">
        <w:rPr>
          <w:sz w:val="19"/>
          <w:szCs w:val="19"/>
          <w:lang w:val="en-GB"/>
        </w:rPr>
        <w:t xml:space="preserve"> </w:t>
      </w:r>
      <w:proofErr w:type="spellStart"/>
      <w:r w:rsidRPr="00995503">
        <w:rPr>
          <w:sz w:val="19"/>
          <w:szCs w:val="19"/>
          <w:lang w:val="en-GB"/>
        </w:rPr>
        <w:t>Bahl</w:t>
      </w:r>
      <w:proofErr w:type="spellEnd"/>
      <w:r w:rsidRPr="00995503">
        <w:rPr>
          <w:sz w:val="19"/>
          <w:szCs w:val="19"/>
          <w:lang w:val="en-GB"/>
        </w:rPr>
        <w:t xml:space="preserve"> and </w:t>
      </w:r>
      <w:proofErr w:type="spellStart"/>
      <w:r w:rsidRPr="00995503">
        <w:rPr>
          <w:sz w:val="19"/>
          <w:szCs w:val="19"/>
          <w:lang w:val="en-GB"/>
        </w:rPr>
        <w:t>Rohit</w:t>
      </w:r>
      <w:proofErr w:type="spellEnd"/>
      <w:r w:rsidRPr="00995503">
        <w:rPr>
          <w:sz w:val="19"/>
          <w:szCs w:val="19"/>
          <w:lang w:val="en-GB"/>
        </w:rPr>
        <w:t xml:space="preserve"> Bansal, </w:t>
      </w:r>
      <w:proofErr w:type="spellStart"/>
      <w:r w:rsidRPr="00995503">
        <w:rPr>
          <w:sz w:val="19"/>
          <w:szCs w:val="19"/>
          <w:lang w:val="en-GB"/>
        </w:rPr>
        <w:t>Snapdeal</w:t>
      </w:r>
      <w:proofErr w:type="spellEnd"/>
      <w:r w:rsidRPr="00995503">
        <w:rPr>
          <w:sz w:val="19"/>
          <w:szCs w:val="19"/>
          <w:lang w:val="en-GB"/>
        </w:rPr>
        <w:t xml:space="preserve"> started its life as an </w:t>
      </w:r>
      <w:r w:rsidR="00C15172" w:rsidRPr="00995503">
        <w:rPr>
          <w:sz w:val="19"/>
          <w:szCs w:val="19"/>
          <w:lang w:val="en-GB"/>
        </w:rPr>
        <w:t>online-deals</w:t>
      </w:r>
      <w:r w:rsidRPr="00995503">
        <w:rPr>
          <w:sz w:val="19"/>
          <w:szCs w:val="19"/>
          <w:lang w:val="en-GB"/>
        </w:rPr>
        <w:t xml:space="preserve"> company</w:t>
      </w:r>
      <w:r w:rsidR="00586CB9" w:rsidRPr="00995503">
        <w:rPr>
          <w:sz w:val="19"/>
          <w:szCs w:val="19"/>
          <w:lang w:val="en-GB"/>
        </w:rPr>
        <w:t>,</w:t>
      </w:r>
      <w:r w:rsidRPr="00995503">
        <w:rPr>
          <w:sz w:val="19"/>
          <w:szCs w:val="19"/>
          <w:lang w:val="en-GB"/>
        </w:rPr>
        <w:t xml:space="preserve"> </w:t>
      </w:r>
      <w:r w:rsidR="00C15172" w:rsidRPr="00995503">
        <w:rPr>
          <w:sz w:val="19"/>
          <w:szCs w:val="19"/>
          <w:lang w:val="en-GB"/>
        </w:rPr>
        <w:t>along</w:t>
      </w:r>
      <w:r w:rsidRPr="00995503">
        <w:rPr>
          <w:sz w:val="19"/>
          <w:szCs w:val="19"/>
          <w:lang w:val="en-GB"/>
        </w:rPr>
        <w:t xml:space="preserve"> the lines of Groupon. </w:t>
      </w:r>
      <w:proofErr w:type="spellStart"/>
      <w:r w:rsidRPr="00995503">
        <w:rPr>
          <w:sz w:val="19"/>
          <w:szCs w:val="19"/>
          <w:lang w:val="en-GB"/>
        </w:rPr>
        <w:t>Snapdeal</w:t>
      </w:r>
      <w:proofErr w:type="spellEnd"/>
      <w:r w:rsidRPr="00995503">
        <w:rPr>
          <w:sz w:val="19"/>
          <w:szCs w:val="19"/>
          <w:lang w:val="en-GB"/>
        </w:rPr>
        <w:t xml:space="preserve"> was initially funded by the likes of Nexus Venture Partners, </w:t>
      </w:r>
      <w:proofErr w:type="spellStart"/>
      <w:r w:rsidRPr="00995503">
        <w:rPr>
          <w:sz w:val="19"/>
          <w:szCs w:val="19"/>
          <w:lang w:val="en-GB"/>
        </w:rPr>
        <w:t>Kalaari</w:t>
      </w:r>
      <w:proofErr w:type="spellEnd"/>
      <w:r w:rsidRPr="00995503">
        <w:rPr>
          <w:sz w:val="19"/>
          <w:szCs w:val="19"/>
          <w:lang w:val="en-GB"/>
        </w:rPr>
        <w:t xml:space="preserve"> Capital, Bessemer Venture Partners</w:t>
      </w:r>
      <w:r w:rsidR="00C15172" w:rsidRPr="00995503">
        <w:rPr>
          <w:sz w:val="19"/>
          <w:szCs w:val="19"/>
          <w:lang w:val="en-GB"/>
        </w:rPr>
        <w:t>,</w:t>
      </w:r>
      <w:r w:rsidRPr="00995503">
        <w:rPr>
          <w:sz w:val="19"/>
          <w:szCs w:val="19"/>
          <w:lang w:val="en-GB"/>
        </w:rPr>
        <w:t xml:space="preserve"> and eBay</w:t>
      </w:r>
      <w:r w:rsidR="00C15172" w:rsidRPr="00995503">
        <w:rPr>
          <w:sz w:val="19"/>
          <w:szCs w:val="19"/>
          <w:lang w:val="en-GB"/>
        </w:rPr>
        <w:t xml:space="preserve"> </w:t>
      </w:r>
      <w:proofErr w:type="spellStart"/>
      <w:r w:rsidR="00C15172" w:rsidRPr="00995503">
        <w:rPr>
          <w:sz w:val="19"/>
          <w:szCs w:val="19"/>
          <w:lang w:val="en-GB"/>
        </w:rPr>
        <w:t>Inc</w:t>
      </w:r>
      <w:proofErr w:type="spellEnd"/>
      <w:r w:rsidR="004C794D" w:rsidRPr="00995503">
        <w:rPr>
          <w:sz w:val="19"/>
          <w:szCs w:val="19"/>
          <w:lang w:val="en-GB"/>
        </w:rPr>
        <w:t xml:space="preserve"> (eBay)</w:t>
      </w:r>
      <w:r w:rsidRPr="00995503">
        <w:rPr>
          <w:sz w:val="19"/>
          <w:szCs w:val="19"/>
          <w:lang w:val="en-GB"/>
        </w:rPr>
        <w:t>.</w:t>
      </w:r>
      <w:r w:rsidR="004B063A" w:rsidRPr="00995503">
        <w:rPr>
          <w:sz w:val="19"/>
          <w:szCs w:val="19"/>
          <w:lang w:val="en-GB"/>
        </w:rPr>
        <w:t xml:space="preserve"> </w:t>
      </w:r>
      <w:r w:rsidRPr="00995503">
        <w:rPr>
          <w:sz w:val="19"/>
          <w:szCs w:val="19"/>
          <w:lang w:val="en-GB"/>
        </w:rPr>
        <w:t xml:space="preserve">At the end of 2011, </w:t>
      </w:r>
      <w:proofErr w:type="spellStart"/>
      <w:r w:rsidRPr="00995503">
        <w:rPr>
          <w:sz w:val="19"/>
          <w:szCs w:val="19"/>
          <w:lang w:val="en-GB"/>
        </w:rPr>
        <w:t>Snapdeal</w:t>
      </w:r>
      <w:proofErr w:type="spellEnd"/>
      <w:r w:rsidRPr="00995503">
        <w:rPr>
          <w:sz w:val="19"/>
          <w:szCs w:val="19"/>
          <w:lang w:val="en-GB"/>
        </w:rPr>
        <w:t xml:space="preserve"> pivoted from the </w:t>
      </w:r>
      <w:r w:rsidR="00C15172" w:rsidRPr="00995503">
        <w:rPr>
          <w:sz w:val="19"/>
          <w:szCs w:val="19"/>
          <w:lang w:val="en-GB"/>
        </w:rPr>
        <w:t>group-deals</w:t>
      </w:r>
      <w:r w:rsidRPr="00995503">
        <w:rPr>
          <w:sz w:val="19"/>
          <w:szCs w:val="19"/>
          <w:lang w:val="en-GB"/>
        </w:rPr>
        <w:t xml:space="preserve"> business to the marketplace model. At the end of August 2014, </w:t>
      </w:r>
      <w:proofErr w:type="spellStart"/>
      <w:r w:rsidRPr="00995503">
        <w:rPr>
          <w:sz w:val="19"/>
          <w:szCs w:val="19"/>
          <w:lang w:val="en-GB"/>
        </w:rPr>
        <w:t>Snapdeal</w:t>
      </w:r>
      <w:proofErr w:type="spellEnd"/>
      <w:r w:rsidRPr="00995503">
        <w:rPr>
          <w:sz w:val="19"/>
          <w:szCs w:val="19"/>
          <w:lang w:val="en-GB"/>
        </w:rPr>
        <w:t xml:space="preserve"> was the </w:t>
      </w:r>
      <w:r w:rsidR="00C15172" w:rsidRPr="00995503">
        <w:rPr>
          <w:sz w:val="19"/>
          <w:szCs w:val="19"/>
          <w:lang w:val="en-GB"/>
        </w:rPr>
        <w:t>second-largest</w:t>
      </w:r>
      <w:r w:rsidRPr="00995503">
        <w:rPr>
          <w:sz w:val="19"/>
          <w:szCs w:val="19"/>
          <w:lang w:val="en-GB"/>
        </w:rPr>
        <w:t xml:space="preserve"> e-tailing company after Flipkart</w:t>
      </w:r>
      <w:r w:rsidR="004C794D" w:rsidRPr="00995503">
        <w:rPr>
          <w:sz w:val="19"/>
          <w:szCs w:val="19"/>
          <w:lang w:val="en-GB"/>
        </w:rPr>
        <w:t>,</w:t>
      </w:r>
      <w:r w:rsidRPr="00995503">
        <w:rPr>
          <w:sz w:val="19"/>
          <w:szCs w:val="19"/>
          <w:lang w:val="en-GB"/>
        </w:rPr>
        <w:t xml:space="preserve"> with 50,000 merchants selling </w:t>
      </w:r>
      <w:r w:rsidR="004C794D" w:rsidRPr="00995503">
        <w:rPr>
          <w:sz w:val="19"/>
          <w:szCs w:val="19"/>
          <w:lang w:val="en-GB"/>
        </w:rPr>
        <w:t xml:space="preserve">five </w:t>
      </w:r>
      <w:r w:rsidRPr="00995503">
        <w:rPr>
          <w:sz w:val="19"/>
          <w:szCs w:val="19"/>
          <w:lang w:val="en-GB"/>
        </w:rPr>
        <w:t xml:space="preserve">million products on its site, adding a product every 20 seconds. With a growth of 600 </w:t>
      </w:r>
      <w:r w:rsidR="004C794D" w:rsidRPr="00995503">
        <w:rPr>
          <w:sz w:val="19"/>
          <w:szCs w:val="19"/>
          <w:lang w:val="en-GB"/>
        </w:rPr>
        <w:t xml:space="preserve">per cent </w:t>
      </w:r>
      <w:r w:rsidR="00797F9D" w:rsidRPr="00995503">
        <w:rPr>
          <w:sz w:val="19"/>
          <w:szCs w:val="19"/>
          <w:lang w:val="en-GB"/>
        </w:rPr>
        <w:t xml:space="preserve">over </w:t>
      </w:r>
      <w:r w:rsidR="00D46118" w:rsidRPr="00995503">
        <w:rPr>
          <w:sz w:val="19"/>
          <w:szCs w:val="19"/>
          <w:lang w:val="en-GB"/>
        </w:rPr>
        <w:t>2013</w:t>
      </w:r>
      <w:r w:rsidR="00797F9D" w:rsidRPr="00995503">
        <w:rPr>
          <w:sz w:val="19"/>
          <w:szCs w:val="19"/>
          <w:lang w:val="en-GB"/>
        </w:rPr>
        <w:t xml:space="preserve"> to 20</w:t>
      </w:r>
      <w:r w:rsidR="00D46118" w:rsidRPr="00995503">
        <w:rPr>
          <w:sz w:val="19"/>
          <w:szCs w:val="19"/>
          <w:lang w:val="en-GB"/>
        </w:rPr>
        <w:t>14</w:t>
      </w:r>
      <w:r w:rsidRPr="00995503">
        <w:rPr>
          <w:sz w:val="19"/>
          <w:szCs w:val="19"/>
          <w:lang w:val="en-GB"/>
        </w:rPr>
        <w:t xml:space="preserve">, </w:t>
      </w:r>
      <w:proofErr w:type="spellStart"/>
      <w:r w:rsidRPr="00995503">
        <w:rPr>
          <w:sz w:val="19"/>
          <w:szCs w:val="19"/>
          <w:lang w:val="en-GB"/>
        </w:rPr>
        <w:t>Snapdeal</w:t>
      </w:r>
      <w:proofErr w:type="spellEnd"/>
      <w:r w:rsidRPr="00995503">
        <w:rPr>
          <w:sz w:val="19"/>
          <w:szCs w:val="19"/>
          <w:lang w:val="en-GB"/>
        </w:rPr>
        <w:t xml:space="preserve"> had broken many records in the e-commerce space.</w:t>
      </w:r>
    </w:p>
    <w:p w14:paraId="54302FEE" w14:textId="77777777" w:rsidR="006E759A" w:rsidRPr="00995503" w:rsidRDefault="006E759A" w:rsidP="006E759A">
      <w:pPr>
        <w:pStyle w:val="BodyTextMain"/>
        <w:rPr>
          <w:sz w:val="19"/>
          <w:szCs w:val="19"/>
          <w:lang w:val="en-GB"/>
        </w:rPr>
      </w:pPr>
      <w:bookmarkStart w:id="7" w:name="__DdeLink__271_640956292"/>
      <w:bookmarkEnd w:id="7"/>
    </w:p>
    <w:p w14:paraId="28434DE8" w14:textId="3D9F6590" w:rsidR="006E759A" w:rsidRPr="00995503" w:rsidRDefault="004C794D" w:rsidP="006E759A">
      <w:pPr>
        <w:pStyle w:val="ExhibitText"/>
        <w:rPr>
          <w:sz w:val="19"/>
          <w:szCs w:val="19"/>
          <w:lang w:val="en-GB"/>
        </w:rPr>
      </w:pPr>
      <w:r w:rsidRPr="00995503">
        <w:rPr>
          <w:sz w:val="19"/>
          <w:szCs w:val="19"/>
          <w:lang w:val="en-GB"/>
        </w:rPr>
        <w:t xml:space="preserve">Up until </w:t>
      </w:r>
      <w:r w:rsidR="008C6021" w:rsidRPr="00995503">
        <w:rPr>
          <w:sz w:val="19"/>
          <w:szCs w:val="19"/>
          <w:lang w:val="en-GB"/>
        </w:rPr>
        <w:t>2014</w:t>
      </w:r>
      <w:r w:rsidR="006E759A" w:rsidRPr="00995503">
        <w:rPr>
          <w:sz w:val="19"/>
          <w:szCs w:val="19"/>
          <w:lang w:val="en-GB"/>
        </w:rPr>
        <w:t xml:space="preserve">, </w:t>
      </w:r>
      <w:proofErr w:type="spellStart"/>
      <w:r w:rsidR="006E759A" w:rsidRPr="00995503">
        <w:rPr>
          <w:sz w:val="19"/>
          <w:szCs w:val="19"/>
          <w:lang w:val="en-GB"/>
        </w:rPr>
        <w:t>Snapdeal</w:t>
      </w:r>
      <w:proofErr w:type="spellEnd"/>
      <w:r w:rsidR="006E759A" w:rsidRPr="00995503">
        <w:rPr>
          <w:sz w:val="19"/>
          <w:szCs w:val="19"/>
          <w:lang w:val="en-GB"/>
        </w:rPr>
        <w:t xml:space="preserve"> had secured funding to the tune of </w:t>
      </w:r>
      <w:r w:rsidRPr="00995503">
        <w:rPr>
          <w:sz w:val="19"/>
          <w:szCs w:val="19"/>
          <w:lang w:val="en-GB"/>
        </w:rPr>
        <w:t>US$1.5 billion</w:t>
      </w:r>
      <w:r w:rsidR="006E759A" w:rsidRPr="00995503">
        <w:rPr>
          <w:sz w:val="19"/>
          <w:szCs w:val="19"/>
          <w:lang w:val="en-GB"/>
        </w:rPr>
        <w:t xml:space="preserve"> from investors such as eBay, </w:t>
      </w:r>
      <w:proofErr w:type="spellStart"/>
      <w:r w:rsidRPr="00995503">
        <w:rPr>
          <w:sz w:val="19"/>
          <w:szCs w:val="19"/>
          <w:lang w:val="en-GB"/>
        </w:rPr>
        <w:t>SoftBank</w:t>
      </w:r>
      <w:proofErr w:type="spellEnd"/>
      <w:r w:rsidRPr="00995503">
        <w:rPr>
          <w:sz w:val="19"/>
          <w:szCs w:val="19"/>
          <w:lang w:val="en-GB"/>
        </w:rPr>
        <w:t xml:space="preserve"> Capital</w:t>
      </w:r>
      <w:r w:rsidR="006E759A" w:rsidRPr="00995503">
        <w:rPr>
          <w:sz w:val="19"/>
          <w:szCs w:val="19"/>
          <w:lang w:val="en-GB"/>
        </w:rPr>
        <w:t xml:space="preserve">, Azim </w:t>
      </w:r>
      <w:proofErr w:type="spellStart"/>
      <w:r w:rsidR="006E759A" w:rsidRPr="00995503">
        <w:rPr>
          <w:sz w:val="19"/>
          <w:szCs w:val="19"/>
          <w:lang w:val="en-GB"/>
        </w:rPr>
        <w:t>Premji</w:t>
      </w:r>
      <w:proofErr w:type="spellEnd"/>
      <w:r w:rsidR="006E759A" w:rsidRPr="00995503">
        <w:rPr>
          <w:sz w:val="19"/>
          <w:szCs w:val="19"/>
          <w:lang w:val="en-GB"/>
        </w:rPr>
        <w:t xml:space="preserve">, </w:t>
      </w:r>
      <w:proofErr w:type="spellStart"/>
      <w:r w:rsidR="006E759A" w:rsidRPr="00995503">
        <w:rPr>
          <w:sz w:val="19"/>
          <w:szCs w:val="19"/>
          <w:lang w:val="en-GB"/>
        </w:rPr>
        <w:t>Ratan</w:t>
      </w:r>
      <w:proofErr w:type="spellEnd"/>
      <w:r w:rsidR="006E759A" w:rsidRPr="00995503">
        <w:rPr>
          <w:sz w:val="19"/>
          <w:szCs w:val="19"/>
          <w:lang w:val="en-GB"/>
        </w:rPr>
        <w:t xml:space="preserve"> Tata, Foxconn</w:t>
      </w:r>
      <w:r w:rsidR="00B35D9A" w:rsidRPr="00995503">
        <w:rPr>
          <w:sz w:val="19"/>
          <w:szCs w:val="19"/>
          <w:lang w:val="en-GB"/>
        </w:rPr>
        <w:t xml:space="preserve"> Technology Group,</w:t>
      </w:r>
      <w:r w:rsidR="006E759A" w:rsidRPr="00995503">
        <w:rPr>
          <w:sz w:val="19"/>
          <w:szCs w:val="19"/>
          <w:lang w:val="en-GB"/>
        </w:rPr>
        <w:t xml:space="preserve"> and Alibaba</w:t>
      </w:r>
      <w:r w:rsidR="00B35D9A" w:rsidRPr="00995503">
        <w:rPr>
          <w:sz w:val="19"/>
          <w:szCs w:val="19"/>
          <w:lang w:val="en-GB"/>
        </w:rPr>
        <w:t xml:space="preserve"> Group Holding Limited</w:t>
      </w:r>
      <w:r w:rsidR="006E759A" w:rsidRPr="00995503">
        <w:rPr>
          <w:sz w:val="19"/>
          <w:szCs w:val="19"/>
          <w:lang w:val="en-GB"/>
        </w:rPr>
        <w:t xml:space="preserve">. Funding from </w:t>
      </w:r>
      <w:proofErr w:type="spellStart"/>
      <w:r w:rsidR="006E759A" w:rsidRPr="00995503">
        <w:rPr>
          <w:sz w:val="19"/>
          <w:szCs w:val="19"/>
          <w:lang w:val="en-GB"/>
        </w:rPr>
        <w:t>Ratan</w:t>
      </w:r>
      <w:proofErr w:type="spellEnd"/>
      <w:r w:rsidR="006E759A" w:rsidRPr="00995503">
        <w:rPr>
          <w:sz w:val="19"/>
          <w:szCs w:val="19"/>
          <w:lang w:val="en-GB"/>
        </w:rPr>
        <w:t xml:space="preserve"> </w:t>
      </w:r>
      <w:r w:rsidR="00A917AF" w:rsidRPr="00995503">
        <w:rPr>
          <w:sz w:val="19"/>
          <w:szCs w:val="19"/>
          <w:lang w:val="en-GB"/>
        </w:rPr>
        <w:t>Tata</w:t>
      </w:r>
      <w:r w:rsidR="006E759A" w:rsidRPr="00995503">
        <w:rPr>
          <w:sz w:val="19"/>
          <w:szCs w:val="19"/>
          <w:lang w:val="en-GB"/>
        </w:rPr>
        <w:t xml:space="preserve"> raised </w:t>
      </w:r>
      <w:proofErr w:type="spellStart"/>
      <w:r w:rsidR="00A917AF" w:rsidRPr="00995503">
        <w:rPr>
          <w:sz w:val="19"/>
          <w:szCs w:val="19"/>
          <w:lang w:val="en-GB"/>
        </w:rPr>
        <w:t>Snapdeal’s</w:t>
      </w:r>
      <w:proofErr w:type="spellEnd"/>
      <w:r w:rsidR="006E759A" w:rsidRPr="00995503">
        <w:rPr>
          <w:sz w:val="19"/>
          <w:szCs w:val="19"/>
          <w:lang w:val="en-GB"/>
        </w:rPr>
        <w:t xml:space="preserve"> profile significantly in the </w:t>
      </w:r>
      <w:r w:rsidR="00A917AF" w:rsidRPr="00995503">
        <w:rPr>
          <w:sz w:val="19"/>
          <w:szCs w:val="19"/>
          <w:lang w:val="en-GB"/>
        </w:rPr>
        <w:t xml:space="preserve">start-up </w:t>
      </w:r>
      <w:r w:rsidR="006E759A" w:rsidRPr="00995503">
        <w:rPr>
          <w:sz w:val="19"/>
          <w:szCs w:val="19"/>
          <w:lang w:val="en-GB"/>
        </w:rPr>
        <w:t xml:space="preserve">ecosystem. </w:t>
      </w:r>
      <w:proofErr w:type="spellStart"/>
      <w:r w:rsidR="006E759A" w:rsidRPr="00995503">
        <w:rPr>
          <w:sz w:val="19"/>
          <w:szCs w:val="19"/>
          <w:lang w:val="en-GB"/>
        </w:rPr>
        <w:t>Snapdeal</w:t>
      </w:r>
      <w:proofErr w:type="spellEnd"/>
      <w:r w:rsidR="006E759A" w:rsidRPr="00995503">
        <w:rPr>
          <w:sz w:val="19"/>
          <w:szCs w:val="19"/>
          <w:lang w:val="en-GB"/>
        </w:rPr>
        <w:t xml:space="preserve"> had acquired Grabbon.com in 2010, eSportsBuy.com in 2012, </w:t>
      </w:r>
      <w:r w:rsidR="00A917AF" w:rsidRPr="00995503">
        <w:rPr>
          <w:sz w:val="19"/>
          <w:szCs w:val="19"/>
          <w:lang w:val="en-GB"/>
        </w:rPr>
        <w:t xml:space="preserve">and </w:t>
      </w:r>
      <w:proofErr w:type="spellStart"/>
      <w:r w:rsidR="006E759A" w:rsidRPr="00995503">
        <w:rPr>
          <w:sz w:val="19"/>
          <w:szCs w:val="19"/>
          <w:lang w:val="en-GB"/>
        </w:rPr>
        <w:t>Shopo</w:t>
      </w:r>
      <w:proofErr w:type="spellEnd"/>
      <w:r w:rsidR="006E759A" w:rsidRPr="00995503">
        <w:rPr>
          <w:sz w:val="19"/>
          <w:szCs w:val="19"/>
          <w:lang w:val="en-GB"/>
        </w:rPr>
        <w:t xml:space="preserve"> in 2013. </w:t>
      </w:r>
      <w:proofErr w:type="spellStart"/>
      <w:r w:rsidR="006E759A" w:rsidRPr="00995503">
        <w:rPr>
          <w:sz w:val="19"/>
          <w:szCs w:val="19"/>
          <w:lang w:val="en-GB"/>
        </w:rPr>
        <w:t>Snapdeal</w:t>
      </w:r>
      <w:proofErr w:type="spellEnd"/>
      <w:r w:rsidR="006E759A" w:rsidRPr="00995503">
        <w:rPr>
          <w:sz w:val="19"/>
          <w:szCs w:val="19"/>
          <w:lang w:val="en-GB"/>
        </w:rPr>
        <w:t xml:space="preserve"> acquired </w:t>
      </w:r>
      <w:proofErr w:type="spellStart"/>
      <w:r w:rsidR="006E759A" w:rsidRPr="00995503">
        <w:rPr>
          <w:sz w:val="19"/>
          <w:szCs w:val="19"/>
          <w:lang w:val="en-GB"/>
        </w:rPr>
        <w:t>Doozton</w:t>
      </w:r>
      <w:proofErr w:type="spellEnd"/>
      <w:r w:rsidR="006E759A" w:rsidRPr="00995503">
        <w:rPr>
          <w:sz w:val="19"/>
          <w:szCs w:val="19"/>
          <w:lang w:val="en-GB"/>
        </w:rPr>
        <w:t xml:space="preserve"> in April </w:t>
      </w:r>
      <w:r w:rsidR="00A917AF" w:rsidRPr="00995503">
        <w:rPr>
          <w:sz w:val="19"/>
          <w:szCs w:val="19"/>
          <w:lang w:val="en-GB"/>
        </w:rPr>
        <w:t xml:space="preserve">2014 </w:t>
      </w:r>
      <w:r w:rsidR="006E759A" w:rsidRPr="00995503">
        <w:rPr>
          <w:sz w:val="19"/>
          <w:szCs w:val="19"/>
          <w:lang w:val="en-GB"/>
        </w:rPr>
        <w:t xml:space="preserve">and </w:t>
      </w:r>
      <w:r w:rsidR="00A917AF" w:rsidRPr="00995503">
        <w:rPr>
          <w:sz w:val="19"/>
          <w:szCs w:val="19"/>
          <w:lang w:val="en-GB"/>
        </w:rPr>
        <w:t xml:space="preserve">Wishpicker.com </w:t>
      </w:r>
      <w:r w:rsidR="006E759A" w:rsidRPr="00995503">
        <w:rPr>
          <w:sz w:val="19"/>
          <w:szCs w:val="19"/>
          <w:lang w:val="en-GB"/>
        </w:rPr>
        <w:t xml:space="preserve">in December 2014. </w:t>
      </w:r>
      <w:r w:rsidR="00D73BFC" w:rsidRPr="00995503">
        <w:rPr>
          <w:sz w:val="19"/>
          <w:szCs w:val="19"/>
          <w:lang w:val="en-GB"/>
        </w:rPr>
        <w:t xml:space="preserve">Over </w:t>
      </w:r>
      <w:r w:rsidR="007C7D8A" w:rsidRPr="00995503">
        <w:rPr>
          <w:sz w:val="19"/>
          <w:szCs w:val="19"/>
          <w:lang w:val="en-GB"/>
        </w:rPr>
        <w:t>2015</w:t>
      </w:r>
      <w:r w:rsidR="00D73BFC" w:rsidRPr="00995503">
        <w:rPr>
          <w:sz w:val="19"/>
          <w:szCs w:val="19"/>
          <w:lang w:val="en-GB"/>
        </w:rPr>
        <w:t xml:space="preserve">, </w:t>
      </w:r>
      <w:proofErr w:type="spellStart"/>
      <w:r w:rsidR="00D73BFC" w:rsidRPr="00995503">
        <w:rPr>
          <w:sz w:val="19"/>
          <w:szCs w:val="19"/>
          <w:lang w:val="en-GB"/>
        </w:rPr>
        <w:t>Snapdeal</w:t>
      </w:r>
      <w:proofErr w:type="spellEnd"/>
      <w:r w:rsidR="00D73BFC" w:rsidRPr="00995503">
        <w:rPr>
          <w:sz w:val="19"/>
          <w:szCs w:val="19"/>
          <w:lang w:val="en-GB"/>
        </w:rPr>
        <w:t xml:space="preserve"> was looking to acquire companies </w:t>
      </w:r>
      <w:r w:rsidR="00697927" w:rsidRPr="00995503">
        <w:rPr>
          <w:sz w:val="19"/>
          <w:szCs w:val="19"/>
          <w:lang w:val="en-GB"/>
        </w:rPr>
        <w:t xml:space="preserve">that </w:t>
      </w:r>
      <w:r w:rsidR="00D73BFC" w:rsidRPr="00995503">
        <w:rPr>
          <w:sz w:val="19"/>
          <w:szCs w:val="19"/>
          <w:lang w:val="en-GB"/>
        </w:rPr>
        <w:t xml:space="preserve">would give it a strategic advantage in the e-commerce space. </w:t>
      </w:r>
    </w:p>
    <w:p w14:paraId="39108E21" w14:textId="57AB8D55" w:rsidR="006E759A" w:rsidRPr="004B063A" w:rsidRDefault="006E759A" w:rsidP="006E759A">
      <w:pPr>
        <w:pStyle w:val="BodyTextMain"/>
        <w:rPr>
          <w:lang w:val="en-GB"/>
        </w:rPr>
      </w:pPr>
    </w:p>
    <w:p w14:paraId="6B59E7D8" w14:textId="47DC021A" w:rsidR="006E759A" w:rsidRPr="004B063A" w:rsidRDefault="006E759A" w:rsidP="0039623D">
      <w:pPr>
        <w:pStyle w:val="Footnote"/>
        <w:rPr>
          <w:lang w:val="en-GB"/>
        </w:rPr>
      </w:pPr>
      <w:r w:rsidRPr="004B063A">
        <w:rPr>
          <w:lang w:val="en-GB"/>
        </w:rPr>
        <w:t xml:space="preserve">Source: </w:t>
      </w:r>
      <w:r w:rsidR="00697927" w:rsidRPr="004B063A">
        <w:rPr>
          <w:lang w:val="en-GB"/>
        </w:rPr>
        <w:t>Sunny</w:t>
      </w:r>
      <w:r w:rsidR="00697927">
        <w:rPr>
          <w:lang w:val="en-GB"/>
        </w:rPr>
        <w:t xml:space="preserve"> Sen</w:t>
      </w:r>
      <w:r w:rsidR="00697927" w:rsidRPr="004B063A">
        <w:rPr>
          <w:lang w:val="en-GB"/>
        </w:rPr>
        <w:t xml:space="preserve">, </w:t>
      </w:r>
      <w:r w:rsidR="00697927">
        <w:rPr>
          <w:lang w:val="en-GB"/>
        </w:rPr>
        <w:t>“</w:t>
      </w:r>
      <w:r w:rsidR="00697927" w:rsidRPr="00095D79">
        <w:rPr>
          <w:lang w:val="en-GB"/>
        </w:rPr>
        <w:t xml:space="preserve">Supercharged: How </w:t>
      </w:r>
      <w:proofErr w:type="spellStart"/>
      <w:r w:rsidR="00697927" w:rsidRPr="00095D79">
        <w:rPr>
          <w:lang w:val="en-GB"/>
        </w:rPr>
        <w:t>Kunal</w:t>
      </w:r>
      <w:proofErr w:type="spellEnd"/>
      <w:r w:rsidR="00697927" w:rsidRPr="00095D79">
        <w:rPr>
          <w:lang w:val="en-GB"/>
        </w:rPr>
        <w:t xml:space="preserve"> </w:t>
      </w:r>
      <w:proofErr w:type="spellStart"/>
      <w:r w:rsidR="00697927" w:rsidRPr="00095D79">
        <w:rPr>
          <w:lang w:val="en-GB"/>
        </w:rPr>
        <w:t>Bahl</w:t>
      </w:r>
      <w:proofErr w:type="spellEnd"/>
      <w:r w:rsidR="00697927" w:rsidRPr="00095D79">
        <w:rPr>
          <w:lang w:val="en-GB"/>
        </w:rPr>
        <w:t xml:space="preserve"> and </w:t>
      </w:r>
      <w:proofErr w:type="spellStart"/>
      <w:r w:rsidR="00697927" w:rsidRPr="00095D79">
        <w:rPr>
          <w:lang w:val="en-GB"/>
        </w:rPr>
        <w:t>Rohit</w:t>
      </w:r>
      <w:proofErr w:type="spellEnd"/>
      <w:r w:rsidR="00697927" w:rsidRPr="00095D79">
        <w:rPr>
          <w:lang w:val="en-GB"/>
        </w:rPr>
        <w:t xml:space="preserve"> Bansal Created the Country's Biggest Online Marketplace</w:t>
      </w:r>
      <w:r w:rsidR="00697927">
        <w:rPr>
          <w:lang w:val="en-GB"/>
        </w:rPr>
        <w:t>,</w:t>
      </w:r>
      <w:r w:rsidR="00697927" w:rsidRPr="004B063A">
        <w:rPr>
          <w:lang w:val="en-GB"/>
        </w:rPr>
        <w:t xml:space="preserve">” </w:t>
      </w:r>
      <w:r w:rsidR="00697927" w:rsidRPr="00B35CCB">
        <w:rPr>
          <w:lang w:val="en-GB"/>
        </w:rPr>
        <w:t>Business Today</w:t>
      </w:r>
      <w:r w:rsidR="00697927" w:rsidRPr="004B063A">
        <w:rPr>
          <w:lang w:val="en-GB"/>
        </w:rPr>
        <w:t>, August 17</w:t>
      </w:r>
      <w:r w:rsidR="00697927">
        <w:rPr>
          <w:lang w:val="en-GB"/>
        </w:rPr>
        <w:t>,</w:t>
      </w:r>
      <w:r w:rsidR="00697927" w:rsidRPr="004B063A">
        <w:rPr>
          <w:lang w:val="en-GB"/>
        </w:rPr>
        <w:t xml:space="preserve"> 2014, accessed April 19, 2016, www.businesstoday.in/magazine/features/snapdeal-flipkart-alibabacom-kunal-bahl-rohit-bansal/story/208582.html</w:t>
      </w:r>
      <w:r w:rsidRPr="004B063A">
        <w:rPr>
          <w:lang w:val="en-GB"/>
        </w:rPr>
        <w:t xml:space="preserve">; </w:t>
      </w:r>
      <w:proofErr w:type="spellStart"/>
      <w:r w:rsidR="0039623D">
        <w:rPr>
          <w:lang w:val="en-GB"/>
        </w:rPr>
        <w:t>Masoom</w:t>
      </w:r>
      <w:proofErr w:type="spellEnd"/>
      <w:r w:rsidR="0039623D">
        <w:rPr>
          <w:lang w:val="en-GB"/>
        </w:rPr>
        <w:t xml:space="preserve"> </w:t>
      </w:r>
      <w:proofErr w:type="spellStart"/>
      <w:r w:rsidR="0039623D">
        <w:rPr>
          <w:lang w:val="en-GB"/>
        </w:rPr>
        <w:t>Gupte</w:t>
      </w:r>
      <w:proofErr w:type="spellEnd"/>
      <w:r w:rsidR="0039623D">
        <w:rPr>
          <w:lang w:val="en-GB"/>
        </w:rPr>
        <w:t xml:space="preserve">, </w:t>
      </w:r>
      <w:r w:rsidR="00697927">
        <w:rPr>
          <w:lang w:val="en-GB"/>
        </w:rPr>
        <w:t>“</w:t>
      </w:r>
      <w:r w:rsidR="00697927" w:rsidRPr="00697927">
        <w:rPr>
          <w:lang w:val="en-GB"/>
        </w:rPr>
        <w:t xml:space="preserve">How </w:t>
      </w:r>
      <w:proofErr w:type="spellStart"/>
      <w:r w:rsidR="00697927" w:rsidRPr="00697927">
        <w:rPr>
          <w:lang w:val="en-GB"/>
        </w:rPr>
        <w:t>Snapdeal</w:t>
      </w:r>
      <w:proofErr w:type="spellEnd"/>
      <w:r w:rsidR="00697927" w:rsidRPr="00697927">
        <w:rPr>
          <w:lang w:val="en-GB"/>
        </w:rPr>
        <w:t xml:space="preserve"> Caught </w:t>
      </w:r>
      <w:proofErr w:type="spellStart"/>
      <w:r w:rsidR="00697927" w:rsidRPr="00697927">
        <w:rPr>
          <w:lang w:val="en-GB"/>
        </w:rPr>
        <w:t>Ratan</w:t>
      </w:r>
      <w:proofErr w:type="spellEnd"/>
      <w:r w:rsidR="00697927" w:rsidRPr="00697927">
        <w:rPr>
          <w:lang w:val="en-GB"/>
        </w:rPr>
        <w:t xml:space="preserve"> Tata's Eye</w:t>
      </w:r>
      <w:r w:rsidR="00697927">
        <w:rPr>
          <w:lang w:val="en-GB"/>
        </w:rPr>
        <w:t>,”</w:t>
      </w:r>
      <w:r w:rsidRPr="004B063A">
        <w:rPr>
          <w:lang w:val="en-GB"/>
        </w:rPr>
        <w:t xml:space="preserve"> </w:t>
      </w:r>
      <w:r w:rsidR="0039623D" w:rsidRPr="00F32CB3">
        <w:rPr>
          <w:i/>
          <w:lang w:val="en-GB"/>
        </w:rPr>
        <w:t>Economic Times</w:t>
      </w:r>
      <w:r w:rsidR="0039623D">
        <w:rPr>
          <w:lang w:val="en-GB"/>
        </w:rPr>
        <w:t xml:space="preserve">, </w:t>
      </w:r>
      <w:r w:rsidRPr="004B063A">
        <w:rPr>
          <w:lang w:val="en-GB"/>
        </w:rPr>
        <w:t>September 10, 2014, accessed May 31, 2017</w:t>
      </w:r>
      <w:r w:rsidR="0039623D">
        <w:rPr>
          <w:lang w:val="en-GB"/>
        </w:rPr>
        <w:t>,</w:t>
      </w:r>
      <w:r w:rsidRPr="004B063A">
        <w:rPr>
          <w:lang w:val="en-GB"/>
        </w:rPr>
        <w:t xml:space="preserve"> </w:t>
      </w:r>
      <w:r w:rsidR="0039623D" w:rsidRPr="0039623D">
        <w:rPr>
          <w:lang w:val="en-GB"/>
        </w:rPr>
        <w:t>https://economictimes.indiatimes.com/magazines/panache/how-snapdeal-caught-ratan-tatas-eye/articleshow/42149664.cms</w:t>
      </w:r>
      <w:r w:rsidR="0039623D">
        <w:rPr>
          <w:lang w:val="en-GB"/>
        </w:rPr>
        <w:t>.</w:t>
      </w:r>
    </w:p>
    <w:p w14:paraId="73202DDF" w14:textId="77777777" w:rsidR="006E759A" w:rsidRPr="004B063A" w:rsidRDefault="006E759A" w:rsidP="006E759A">
      <w:pPr>
        <w:pStyle w:val="BodyTextMain"/>
        <w:rPr>
          <w:sz w:val="20"/>
          <w:szCs w:val="20"/>
          <w:lang w:val="en-GB"/>
        </w:rPr>
      </w:pPr>
    </w:p>
    <w:p w14:paraId="7943FDB1" w14:textId="77777777" w:rsidR="006767AB" w:rsidRDefault="006767AB" w:rsidP="006E759A">
      <w:pPr>
        <w:jc w:val="center"/>
        <w:rPr>
          <w:rFonts w:ascii="Arial" w:hAnsi="Arial" w:cs="Arial"/>
          <w:b/>
          <w:bCs/>
          <w:lang w:val="en-GB"/>
        </w:rPr>
      </w:pPr>
    </w:p>
    <w:p w14:paraId="4B296174" w14:textId="4905A97D" w:rsidR="006E759A" w:rsidRPr="004B063A" w:rsidRDefault="006E759A" w:rsidP="006E759A">
      <w:pPr>
        <w:jc w:val="center"/>
        <w:rPr>
          <w:rFonts w:ascii="Arial" w:hAnsi="Arial" w:cs="Arial"/>
          <w:b/>
          <w:bCs/>
          <w:lang w:val="en-GB"/>
        </w:rPr>
      </w:pPr>
      <w:r w:rsidRPr="004B063A">
        <w:rPr>
          <w:rFonts w:ascii="Arial" w:hAnsi="Arial" w:cs="Arial"/>
          <w:b/>
          <w:bCs/>
          <w:lang w:val="en-GB"/>
        </w:rPr>
        <w:t>EXHIBIT 8: ENTREPRENEUR PROFILES</w:t>
      </w:r>
    </w:p>
    <w:p w14:paraId="0D8C7456" w14:textId="77777777" w:rsidR="006E759A" w:rsidRPr="004B063A" w:rsidRDefault="006E759A" w:rsidP="006E759A">
      <w:pPr>
        <w:rPr>
          <w:rFonts w:ascii="Arial" w:hAnsi="Arial" w:cs="Arial"/>
          <w:b/>
          <w:bCs/>
          <w:lang w:val="en-GB"/>
        </w:rPr>
      </w:pPr>
    </w:p>
    <w:p w14:paraId="6057CEDF" w14:textId="2F561F3C" w:rsidR="006E759A" w:rsidRPr="004B063A" w:rsidRDefault="006E759A" w:rsidP="00831868">
      <w:pPr>
        <w:pStyle w:val="Casehead2"/>
        <w:rPr>
          <w:lang w:val="en-GB"/>
        </w:rPr>
      </w:pPr>
      <w:r w:rsidRPr="004B063A">
        <w:rPr>
          <w:lang w:val="en-GB"/>
        </w:rPr>
        <w:t xml:space="preserve">Ankit </w:t>
      </w:r>
      <w:proofErr w:type="spellStart"/>
      <w:r w:rsidRPr="004B063A">
        <w:rPr>
          <w:lang w:val="en-GB"/>
        </w:rPr>
        <w:t>Pruthi</w:t>
      </w:r>
      <w:proofErr w:type="spellEnd"/>
      <w:r w:rsidRPr="004B063A">
        <w:rPr>
          <w:lang w:val="en-GB"/>
        </w:rPr>
        <w:t xml:space="preserve">, </w:t>
      </w:r>
      <w:r w:rsidR="006767AB">
        <w:rPr>
          <w:lang w:val="en-GB"/>
        </w:rPr>
        <w:t>c</w:t>
      </w:r>
      <w:r w:rsidRPr="004B063A">
        <w:rPr>
          <w:lang w:val="en-GB"/>
        </w:rPr>
        <w:t xml:space="preserve">o-founder and </w:t>
      </w:r>
      <w:r w:rsidR="006767AB">
        <w:rPr>
          <w:lang w:val="en-GB"/>
        </w:rPr>
        <w:t>chief executive officer,</w:t>
      </w:r>
      <w:r w:rsidR="006767AB" w:rsidRPr="004B063A">
        <w:rPr>
          <w:lang w:val="en-GB"/>
        </w:rPr>
        <w:t xml:space="preserve"> </w:t>
      </w:r>
      <w:proofErr w:type="spellStart"/>
      <w:r w:rsidRPr="004B063A">
        <w:rPr>
          <w:lang w:val="en-GB"/>
        </w:rPr>
        <w:t>Unicommerce</w:t>
      </w:r>
      <w:proofErr w:type="spellEnd"/>
      <w:r w:rsidRPr="004B063A">
        <w:rPr>
          <w:lang w:val="en-GB"/>
        </w:rPr>
        <w:t xml:space="preserve"> </w:t>
      </w:r>
    </w:p>
    <w:p w14:paraId="2228D3E9" w14:textId="77777777" w:rsidR="00831868" w:rsidRPr="004B063A" w:rsidRDefault="00831868" w:rsidP="00831868">
      <w:pPr>
        <w:pStyle w:val="ExhibitText"/>
        <w:rPr>
          <w:sz w:val="17"/>
          <w:szCs w:val="19"/>
          <w:lang w:val="en-GB"/>
        </w:rPr>
      </w:pPr>
    </w:p>
    <w:p w14:paraId="23A833BB" w14:textId="09E4BF31" w:rsidR="006E759A" w:rsidRPr="004B063A" w:rsidRDefault="006767AB" w:rsidP="00831868">
      <w:pPr>
        <w:pStyle w:val="ExhibitText"/>
        <w:rPr>
          <w:sz w:val="19"/>
          <w:szCs w:val="19"/>
          <w:lang w:val="en-GB"/>
        </w:rPr>
      </w:pPr>
      <w:proofErr w:type="spellStart"/>
      <w:r>
        <w:rPr>
          <w:sz w:val="19"/>
          <w:szCs w:val="19"/>
          <w:lang w:val="en-GB"/>
        </w:rPr>
        <w:t>Pruthi</w:t>
      </w:r>
      <w:proofErr w:type="spellEnd"/>
      <w:r w:rsidRPr="004B063A">
        <w:rPr>
          <w:sz w:val="19"/>
          <w:szCs w:val="19"/>
          <w:lang w:val="en-GB"/>
        </w:rPr>
        <w:t xml:space="preserve"> </w:t>
      </w:r>
      <w:r w:rsidR="006E759A" w:rsidRPr="004B063A">
        <w:rPr>
          <w:sz w:val="19"/>
          <w:szCs w:val="19"/>
          <w:lang w:val="en-GB"/>
        </w:rPr>
        <w:t xml:space="preserve">graduated from </w:t>
      </w:r>
      <w:r>
        <w:rPr>
          <w:sz w:val="19"/>
          <w:szCs w:val="19"/>
          <w:lang w:val="en-GB"/>
        </w:rPr>
        <w:t xml:space="preserve">the </w:t>
      </w:r>
      <w:r w:rsidR="006E759A" w:rsidRPr="004B063A">
        <w:rPr>
          <w:sz w:val="19"/>
          <w:szCs w:val="19"/>
          <w:lang w:val="en-GB"/>
        </w:rPr>
        <w:t xml:space="preserve">Indian Institute of Technology Delhi </w:t>
      </w:r>
      <w:r w:rsidR="004D77EB">
        <w:rPr>
          <w:sz w:val="19"/>
          <w:szCs w:val="19"/>
          <w:lang w:val="en-GB"/>
        </w:rPr>
        <w:t xml:space="preserve">(IIT Delhi) </w:t>
      </w:r>
      <w:r w:rsidR="006E759A" w:rsidRPr="004B063A">
        <w:rPr>
          <w:sz w:val="19"/>
          <w:szCs w:val="19"/>
          <w:lang w:val="en-GB"/>
        </w:rPr>
        <w:t xml:space="preserve">in 2004. He worked as a technical resource in Infosys and Qwest Software Services for </w:t>
      </w:r>
      <w:r>
        <w:rPr>
          <w:sz w:val="19"/>
          <w:szCs w:val="19"/>
          <w:lang w:val="en-GB"/>
        </w:rPr>
        <w:t>about</w:t>
      </w:r>
      <w:r w:rsidRPr="004B063A">
        <w:rPr>
          <w:sz w:val="19"/>
          <w:szCs w:val="19"/>
          <w:lang w:val="en-GB"/>
        </w:rPr>
        <w:t xml:space="preserve"> </w:t>
      </w:r>
      <w:r w:rsidR="006E759A" w:rsidRPr="004B063A">
        <w:rPr>
          <w:sz w:val="19"/>
          <w:szCs w:val="19"/>
          <w:lang w:val="en-GB"/>
        </w:rPr>
        <w:t xml:space="preserve">four years before joining the Indian Institute of Management Ahmedabad for his </w:t>
      </w:r>
      <w:r>
        <w:rPr>
          <w:sz w:val="19"/>
          <w:szCs w:val="19"/>
          <w:lang w:val="en-GB"/>
        </w:rPr>
        <w:t>master of business administration</w:t>
      </w:r>
      <w:r w:rsidR="006E759A" w:rsidRPr="004B063A">
        <w:rPr>
          <w:sz w:val="19"/>
          <w:szCs w:val="19"/>
          <w:lang w:val="en-GB"/>
        </w:rPr>
        <w:t xml:space="preserve">. After his degree, he worked for a couple of years in Estee Advisors </w:t>
      </w:r>
      <w:r>
        <w:rPr>
          <w:sz w:val="19"/>
          <w:szCs w:val="19"/>
          <w:lang w:val="en-GB"/>
        </w:rPr>
        <w:t xml:space="preserve">Private Limited </w:t>
      </w:r>
      <w:r w:rsidR="006E759A" w:rsidRPr="004B063A">
        <w:rPr>
          <w:sz w:val="19"/>
          <w:szCs w:val="19"/>
          <w:lang w:val="en-GB"/>
        </w:rPr>
        <w:t xml:space="preserve">before co-founding </w:t>
      </w:r>
      <w:proofErr w:type="spellStart"/>
      <w:r w:rsidR="006E759A" w:rsidRPr="004B063A">
        <w:rPr>
          <w:sz w:val="19"/>
          <w:szCs w:val="19"/>
          <w:lang w:val="en-GB"/>
        </w:rPr>
        <w:t>Unicommerce</w:t>
      </w:r>
      <w:proofErr w:type="spellEnd"/>
      <w:r w:rsidR="006E759A" w:rsidRPr="004B063A">
        <w:rPr>
          <w:sz w:val="19"/>
          <w:szCs w:val="19"/>
          <w:lang w:val="en-GB"/>
        </w:rPr>
        <w:t xml:space="preserve">. </w:t>
      </w:r>
    </w:p>
    <w:p w14:paraId="13564E57" w14:textId="77777777" w:rsidR="00831868" w:rsidRPr="004B063A" w:rsidRDefault="00831868" w:rsidP="00831868">
      <w:pPr>
        <w:pStyle w:val="ExhibitText"/>
        <w:rPr>
          <w:sz w:val="18"/>
          <w:lang w:val="en-GB"/>
        </w:rPr>
      </w:pPr>
    </w:p>
    <w:p w14:paraId="71081806" w14:textId="77777777" w:rsidR="00831868" w:rsidRPr="004B063A" w:rsidRDefault="00831868" w:rsidP="00831868">
      <w:pPr>
        <w:pStyle w:val="ExhibitText"/>
        <w:rPr>
          <w:sz w:val="18"/>
          <w:lang w:val="en-GB"/>
        </w:rPr>
      </w:pPr>
    </w:p>
    <w:p w14:paraId="06D543EF" w14:textId="27877D90" w:rsidR="006E759A" w:rsidRPr="004B063A" w:rsidRDefault="006E759A" w:rsidP="00831868">
      <w:pPr>
        <w:pStyle w:val="Casehead2"/>
        <w:rPr>
          <w:lang w:val="en-GB"/>
        </w:rPr>
      </w:pPr>
      <w:r w:rsidRPr="004B063A">
        <w:rPr>
          <w:lang w:val="en-GB"/>
        </w:rPr>
        <w:t xml:space="preserve">Karun </w:t>
      </w:r>
      <w:proofErr w:type="spellStart"/>
      <w:r w:rsidRPr="004B063A">
        <w:rPr>
          <w:lang w:val="en-GB"/>
        </w:rPr>
        <w:t>Singla</w:t>
      </w:r>
      <w:proofErr w:type="spellEnd"/>
      <w:r w:rsidRPr="004B063A">
        <w:rPr>
          <w:lang w:val="en-GB"/>
        </w:rPr>
        <w:t xml:space="preserve">, </w:t>
      </w:r>
      <w:r w:rsidR="00EB650C">
        <w:rPr>
          <w:lang w:val="en-GB"/>
        </w:rPr>
        <w:t>co-founder and chief technology officer,</w:t>
      </w:r>
      <w:r w:rsidRPr="004B063A">
        <w:rPr>
          <w:lang w:val="en-GB"/>
        </w:rPr>
        <w:t xml:space="preserve"> </w:t>
      </w:r>
      <w:proofErr w:type="spellStart"/>
      <w:r w:rsidRPr="004B063A">
        <w:rPr>
          <w:lang w:val="en-GB"/>
        </w:rPr>
        <w:t>Unicommerce</w:t>
      </w:r>
      <w:proofErr w:type="spellEnd"/>
      <w:r w:rsidRPr="004B063A">
        <w:rPr>
          <w:lang w:val="en-GB"/>
        </w:rPr>
        <w:t xml:space="preserve"> </w:t>
      </w:r>
    </w:p>
    <w:p w14:paraId="5E8E95C4" w14:textId="77777777" w:rsidR="00831868" w:rsidRPr="004B063A" w:rsidRDefault="00831868" w:rsidP="00831868">
      <w:pPr>
        <w:pStyle w:val="ExhibitText"/>
        <w:rPr>
          <w:sz w:val="17"/>
          <w:szCs w:val="19"/>
          <w:lang w:val="en-GB"/>
        </w:rPr>
      </w:pPr>
    </w:p>
    <w:p w14:paraId="3E9BE7BD" w14:textId="3F7AB55B" w:rsidR="006E759A" w:rsidRPr="004B063A" w:rsidRDefault="00EB650C" w:rsidP="00831868">
      <w:pPr>
        <w:pStyle w:val="ExhibitText"/>
        <w:rPr>
          <w:sz w:val="19"/>
          <w:szCs w:val="19"/>
          <w:lang w:val="en-GB"/>
        </w:rPr>
      </w:pPr>
      <w:proofErr w:type="spellStart"/>
      <w:r>
        <w:rPr>
          <w:sz w:val="19"/>
          <w:szCs w:val="19"/>
          <w:lang w:val="en-GB"/>
        </w:rPr>
        <w:t>Singla</w:t>
      </w:r>
      <w:proofErr w:type="spellEnd"/>
      <w:r w:rsidR="006E759A" w:rsidRPr="004B063A">
        <w:rPr>
          <w:sz w:val="19"/>
          <w:szCs w:val="19"/>
          <w:lang w:val="en-GB"/>
        </w:rPr>
        <w:t>, a mechanical engineer from</w:t>
      </w:r>
      <w:r>
        <w:rPr>
          <w:sz w:val="19"/>
          <w:szCs w:val="19"/>
          <w:lang w:val="en-GB"/>
        </w:rPr>
        <w:t xml:space="preserve"> </w:t>
      </w:r>
      <w:r w:rsidR="004D77EB">
        <w:rPr>
          <w:sz w:val="19"/>
          <w:szCs w:val="19"/>
          <w:lang w:val="en-GB"/>
        </w:rPr>
        <w:t>IIT</w:t>
      </w:r>
      <w:r w:rsidR="006E759A" w:rsidRPr="004B063A">
        <w:rPr>
          <w:sz w:val="19"/>
          <w:szCs w:val="19"/>
          <w:lang w:val="en-GB"/>
        </w:rPr>
        <w:t xml:space="preserve"> Delhi worked in various technical roles in software firms before co-founding </w:t>
      </w:r>
      <w:proofErr w:type="spellStart"/>
      <w:r w:rsidR="006E759A" w:rsidRPr="004B063A">
        <w:rPr>
          <w:sz w:val="19"/>
          <w:szCs w:val="19"/>
          <w:lang w:val="en-GB"/>
        </w:rPr>
        <w:t>Unicommerce</w:t>
      </w:r>
      <w:proofErr w:type="spellEnd"/>
      <w:r w:rsidR="006E759A" w:rsidRPr="004B063A">
        <w:rPr>
          <w:sz w:val="19"/>
          <w:szCs w:val="19"/>
          <w:lang w:val="en-GB"/>
        </w:rPr>
        <w:t xml:space="preserve"> with </w:t>
      </w:r>
      <w:r>
        <w:rPr>
          <w:sz w:val="19"/>
          <w:szCs w:val="19"/>
          <w:lang w:val="en-GB"/>
        </w:rPr>
        <w:t xml:space="preserve">Ankit </w:t>
      </w:r>
      <w:proofErr w:type="spellStart"/>
      <w:r>
        <w:rPr>
          <w:sz w:val="19"/>
          <w:szCs w:val="19"/>
          <w:lang w:val="en-GB"/>
        </w:rPr>
        <w:t>Pruthi</w:t>
      </w:r>
      <w:proofErr w:type="spellEnd"/>
      <w:r w:rsidRPr="004B063A">
        <w:rPr>
          <w:sz w:val="19"/>
          <w:szCs w:val="19"/>
          <w:lang w:val="en-GB"/>
        </w:rPr>
        <w:t xml:space="preserve"> </w:t>
      </w:r>
      <w:r w:rsidR="006E759A" w:rsidRPr="004B063A">
        <w:rPr>
          <w:sz w:val="19"/>
          <w:szCs w:val="19"/>
          <w:lang w:val="en-GB"/>
        </w:rPr>
        <w:t xml:space="preserve">and </w:t>
      </w:r>
      <w:proofErr w:type="spellStart"/>
      <w:r w:rsidR="006E759A" w:rsidRPr="004B063A">
        <w:rPr>
          <w:sz w:val="19"/>
          <w:szCs w:val="19"/>
          <w:lang w:val="en-GB"/>
        </w:rPr>
        <w:t>Vibhu</w:t>
      </w:r>
      <w:proofErr w:type="spellEnd"/>
      <w:r>
        <w:rPr>
          <w:sz w:val="19"/>
          <w:szCs w:val="19"/>
          <w:lang w:val="en-GB"/>
        </w:rPr>
        <w:t xml:space="preserve"> Garg</w:t>
      </w:r>
      <w:r w:rsidR="006E759A" w:rsidRPr="004B063A">
        <w:rPr>
          <w:sz w:val="19"/>
          <w:szCs w:val="19"/>
          <w:lang w:val="en-GB"/>
        </w:rPr>
        <w:t xml:space="preserve">. He started his career </w:t>
      </w:r>
      <w:r>
        <w:rPr>
          <w:sz w:val="19"/>
          <w:szCs w:val="19"/>
          <w:lang w:val="en-GB"/>
        </w:rPr>
        <w:t>in</w:t>
      </w:r>
      <w:r w:rsidR="006E759A" w:rsidRPr="004B063A">
        <w:rPr>
          <w:sz w:val="19"/>
          <w:szCs w:val="19"/>
          <w:lang w:val="en-GB"/>
        </w:rPr>
        <w:t xml:space="preserve"> Infosys</w:t>
      </w:r>
      <w:r w:rsidR="00995503">
        <w:rPr>
          <w:sz w:val="19"/>
          <w:szCs w:val="19"/>
          <w:lang w:val="en-GB"/>
        </w:rPr>
        <w:t xml:space="preserve"> Technologies Ltd.</w:t>
      </w:r>
      <w:r w:rsidR="006E759A" w:rsidRPr="004B063A">
        <w:rPr>
          <w:sz w:val="19"/>
          <w:szCs w:val="19"/>
          <w:lang w:val="en-GB"/>
        </w:rPr>
        <w:t xml:space="preserve"> before moving on to work at Headstrong </w:t>
      </w:r>
      <w:r w:rsidR="00995503">
        <w:rPr>
          <w:sz w:val="19"/>
          <w:szCs w:val="19"/>
          <w:lang w:val="en-GB"/>
        </w:rPr>
        <w:t xml:space="preserve">Services LLC </w:t>
      </w:r>
      <w:r w:rsidR="006E759A" w:rsidRPr="004B063A">
        <w:rPr>
          <w:sz w:val="19"/>
          <w:szCs w:val="19"/>
          <w:lang w:val="en-GB"/>
        </w:rPr>
        <w:t>and British Telecom. Karun</w:t>
      </w:r>
      <w:r w:rsidR="006D738D">
        <w:rPr>
          <w:sz w:val="19"/>
          <w:szCs w:val="19"/>
          <w:lang w:val="en-GB"/>
        </w:rPr>
        <w:t>’</w:t>
      </w:r>
      <w:r w:rsidR="006E759A" w:rsidRPr="004B063A">
        <w:rPr>
          <w:sz w:val="19"/>
          <w:szCs w:val="19"/>
          <w:lang w:val="en-GB"/>
        </w:rPr>
        <w:t xml:space="preserve">s first brush with e-commerce platforms came when he worked as a </w:t>
      </w:r>
      <w:r w:rsidR="006709F3">
        <w:rPr>
          <w:sz w:val="19"/>
          <w:szCs w:val="19"/>
          <w:lang w:val="en-GB"/>
        </w:rPr>
        <w:t>technical architect</w:t>
      </w:r>
      <w:r w:rsidR="006E759A" w:rsidRPr="004B063A">
        <w:rPr>
          <w:sz w:val="19"/>
          <w:szCs w:val="19"/>
          <w:lang w:val="en-GB"/>
        </w:rPr>
        <w:t xml:space="preserve"> at </w:t>
      </w:r>
      <w:proofErr w:type="spellStart"/>
      <w:r w:rsidR="006709F3">
        <w:rPr>
          <w:sz w:val="19"/>
          <w:szCs w:val="19"/>
          <w:lang w:val="en-GB"/>
        </w:rPr>
        <w:t>ixigo</w:t>
      </w:r>
      <w:proofErr w:type="spellEnd"/>
      <w:r w:rsidR="006E759A" w:rsidRPr="004B063A">
        <w:rPr>
          <w:sz w:val="19"/>
          <w:szCs w:val="19"/>
          <w:lang w:val="en-GB"/>
        </w:rPr>
        <w:t xml:space="preserve">, a portal for flight aggregation. After a couple of years, he moved to </w:t>
      </w:r>
      <w:proofErr w:type="spellStart"/>
      <w:r w:rsidR="006709F3">
        <w:rPr>
          <w:sz w:val="19"/>
          <w:szCs w:val="19"/>
          <w:lang w:val="en-GB"/>
        </w:rPr>
        <w:t>Snapdeal</w:t>
      </w:r>
      <w:proofErr w:type="spellEnd"/>
      <w:r w:rsidR="006E759A" w:rsidRPr="004B063A">
        <w:rPr>
          <w:sz w:val="19"/>
          <w:szCs w:val="19"/>
          <w:lang w:val="en-GB"/>
        </w:rPr>
        <w:t xml:space="preserve"> in the role of </w:t>
      </w:r>
      <w:r w:rsidR="006709F3">
        <w:rPr>
          <w:sz w:val="19"/>
          <w:szCs w:val="19"/>
          <w:lang w:val="en-GB"/>
        </w:rPr>
        <w:t>vice-president of engineering,</w:t>
      </w:r>
      <w:r w:rsidR="006E759A" w:rsidRPr="004B063A">
        <w:rPr>
          <w:sz w:val="19"/>
          <w:szCs w:val="19"/>
          <w:lang w:val="en-GB"/>
        </w:rPr>
        <w:t xml:space="preserve"> where he designed </w:t>
      </w:r>
      <w:r w:rsidR="006709F3">
        <w:rPr>
          <w:sz w:val="19"/>
          <w:szCs w:val="19"/>
          <w:lang w:val="en-GB"/>
        </w:rPr>
        <w:t>back-end</w:t>
      </w:r>
      <w:r w:rsidR="006709F3" w:rsidRPr="004B063A">
        <w:rPr>
          <w:sz w:val="19"/>
          <w:szCs w:val="19"/>
          <w:lang w:val="en-GB"/>
        </w:rPr>
        <w:t xml:space="preserve"> </w:t>
      </w:r>
      <w:r w:rsidR="00995503">
        <w:rPr>
          <w:sz w:val="19"/>
          <w:szCs w:val="19"/>
          <w:lang w:val="en-GB"/>
        </w:rPr>
        <w:t xml:space="preserve">and full-stack </w:t>
      </w:r>
      <w:r w:rsidR="006E759A" w:rsidRPr="004B063A">
        <w:rPr>
          <w:sz w:val="19"/>
          <w:szCs w:val="19"/>
          <w:lang w:val="en-GB"/>
        </w:rPr>
        <w:t xml:space="preserve">technology </w:t>
      </w:r>
      <w:r w:rsidR="00995503">
        <w:rPr>
          <w:sz w:val="19"/>
          <w:szCs w:val="19"/>
          <w:lang w:val="en-GB"/>
        </w:rPr>
        <w:t>architecture</w:t>
      </w:r>
      <w:r w:rsidR="006E759A" w:rsidRPr="004B063A">
        <w:rPr>
          <w:sz w:val="19"/>
          <w:szCs w:val="19"/>
          <w:lang w:val="en-GB"/>
        </w:rPr>
        <w:t xml:space="preserve">. He left </w:t>
      </w:r>
      <w:proofErr w:type="spellStart"/>
      <w:r w:rsidR="006E759A" w:rsidRPr="004B063A">
        <w:rPr>
          <w:sz w:val="19"/>
          <w:szCs w:val="19"/>
          <w:lang w:val="en-GB"/>
        </w:rPr>
        <w:t>Snapdeal</w:t>
      </w:r>
      <w:proofErr w:type="spellEnd"/>
      <w:r w:rsidR="006E759A" w:rsidRPr="004B063A">
        <w:rPr>
          <w:sz w:val="19"/>
          <w:szCs w:val="19"/>
          <w:lang w:val="en-GB"/>
        </w:rPr>
        <w:t xml:space="preserve"> in December 2011 to start </w:t>
      </w:r>
      <w:proofErr w:type="spellStart"/>
      <w:r w:rsidR="006E759A" w:rsidRPr="004B063A">
        <w:rPr>
          <w:sz w:val="19"/>
          <w:szCs w:val="19"/>
          <w:lang w:val="en-GB"/>
        </w:rPr>
        <w:t>Unicommerce</w:t>
      </w:r>
      <w:proofErr w:type="spellEnd"/>
      <w:r w:rsidR="006E759A" w:rsidRPr="004B063A">
        <w:rPr>
          <w:sz w:val="19"/>
          <w:szCs w:val="19"/>
          <w:lang w:val="en-GB"/>
        </w:rPr>
        <w:t>.</w:t>
      </w:r>
    </w:p>
    <w:p w14:paraId="1F145626" w14:textId="77777777" w:rsidR="00831868" w:rsidRPr="004B063A" w:rsidRDefault="00831868" w:rsidP="00831868">
      <w:pPr>
        <w:pStyle w:val="ExhibitText"/>
        <w:rPr>
          <w:sz w:val="18"/>
          <w:lang w:val="en-GB"/>
        </w:rPr>
      </w:pPr>
    </w:p>
    <w:p w14:paraId="6A39B064" w14:textId="77777777" w:rsidR="00831868" w:rsidRPr="004B063A" w:rsidRDefault="00831868" w:rsidP="00831868">
      <w:pPr>
        <w:pStyle w:val="ExhibitText"/>
        <w:rPr>
          <w:sz w:val="18"/>
          <w:lang w:val="en-GB"/>
        </w:rPr>
      </w:pPr>
    </w:p>
    <w:p w14:paraId="7E16152C" w14:textId="5FFA77BB" w:rsidR="006E759A" w:rsidRPr="004B063A" w:rsidRDefault="006E759A" w:rsidP="00831868">
      <w:pPr>
        <w:pStyle w:val="Casehead2"/>
        <w:rPr>
          <w:lang w:val="en-GB"/>
        </w:rPr>
      </w:pPr>
      <w:proofErr w:type="spellStart"/>
      <w:r w:rsidRPr="004B063A">
        <w:rPr>
          <w:lang w:val="en-GB"/>
        </w:rPr>
        <w:t>Vibhu</w:t>
      </w:r>
      <w:proofErr w:type="spellEnd"/>
      <w:r w:rsidRPr="004B063A">
        <w:rPr>
          <w:lang w:val="en-GB"/>
        </w:rPr>
        <w:t xml:space="preserve"> Garg, </w:t>
      </w:r>
      <w:r w:rsidR="00EF755B">
        <w:rPr>
          <w:lang w:val="en-GB"/>
        </w:rPr>
        <w:t>co-founder and chief operating officer,</w:t>
      </w:r>
      <w:r w:rsidRPr="004B063A">
        <w:rPr>
          <w:lang w:val="en-GB"/>
        </w:rPr>
        <w:t xml:space="preserve"> </w:t>
      </w:r>
      <w:proofErr w:type="spellStart"/>
      <w:r w:rsidRPr="004B063A">
        <w:rPr>
          <w:lang w:val="en-GB"/>
        </w:rPr>
        <w:t>Unicommerce</w:t>
      </w:r>
      <w:proofErr w:type="spellEnd"/>
      <w:r w:rsidR="004B063A">
        <w:rPr>
          <w:lang w:val="en-GB"/>
        </w:rPr>
        <w:t xml:space="preserve"> </w:t>
      </w:r>
    </w:p>
    <w:p w14:paraId="4230DC32" w14:textId="77777777" w:rsidR="00831868" w:rsidRPr="004B063A" w:rsidRDefault="00831868" w:rsidP="00831868">
      <w:pPr>
        <w:pStyle w:val="ExhibitText"/>
        <w:rPr>
          <w:sz w:val="15"/>
          <w:szCs w:val="19"/>
          <w:lang w:val="en-GB"/>
        </w:rPr>
      </w:pPr>
    </w:p>
    <w:p w14:paraId="30373F2F" w14:textId="3478D234" w:rsidR="006E759A" w:rsidRPr="004B063A" w:rsidRDefault="004D77EB" w:rsidP="00831868">
      <w:pPr>
        <w:pStyle w:val="ExhibitText"/>
        <w:rPr>
          <w:sz w:val="19"/>
          <w:szCs w:val="19"/>
          <w:lang w:val="en-GB"/>
        </w:rPr>
      </w:pPr>
      <w:r>
        <w:rPr>
          <w:sz w:val="19"/>
          <w:szCs w:val="19"/>
          <w:lang w:val="en-GB"/>
        </w:rPr>
        <w:t>Garg,</w:t>
      </w:r>
      <w:r w:rsidR="006E759A" w:rsidRPr="004B063A">
        <w:rPr>
          <w:sz w:val="19"/>
          <w:szCs w:val="19"/>
          <w:lang w:val="en-GB"/>
        </w:rPr>
        <w:t xml:space="preserve"> also a graduate </w:t>
      </w:r>
      <w:r>
        <w:rPr>
          <w:sz w:val="19"/>
          <w:szCs w:val="19"/>
          <w:lang w:val="en-GB"/>
        </w:rPr>
        <w:t>of</w:t>
      </w:r>
      <w:r w:rsidR="00EF755B" w:rsidRPr="004B063A">
        <w:rPr>
          <w:sz w:val="19"/>
          <w:szCs w:val="19"/>
          <w:lang w:val="en-GB"/>
        </w:rPr>
        <w:t xml:space="preserve"> </w:t>
      </w:r>
      <w:r>
        <w:rPr>
          <w:sz w:val="19"/>
          <w:szCs w:val="19"/>
          <w:lang w:val="en-GB"/>
        </w:rPr>
        <w:t>IIT</w:t>
      </w:r>
      <w:r w:rsidR="006E759A" w:rsidRPr="004B063A">
        <w:rPr>
          <w:sz w:val="19"/>
          <w:szCs w:val="19"/>
          <w:lang w:val="en-GB"/>
        </w:rPr>
        <w:t xml:space="preserve"> Delhi</w:t>
      </w:r>
      <w:r w:rsidR="00EF755B">
        <w:rPr>
          <w:sz w:val="19"/>
          <w:szCs w:val="19"/>
          <w:lang w:val="en-GB"/>
        </w:rPr>
        <w:t>,</w:t>
      </w:r>
      <w:r w:rsidR="006E759A" w:rsidRPr="004B063A">
        <w:rPr>
          <w:sz w:val="19"/>
          <w:szCs w:val="19"/>
          <w:lang w:val="en-GB"/>
        </w:rPr>
        <w:t xml:space="preserve"> started as a software engineer in Infosys</w:t>
      </w:r>
      <w:r w:rsidR="00995503">
        <w:rPr>
          <w:sz w:val="19"/>
          <w:szCs w:val="19"/>
          <w:lang w:val="en-GB"/>
        </w:rPr>
        <w:t xml:space="preserve"> Technologies Ltd</w:t>
      </w:r>
      <w:r w:rsidR="006E759A" w:rsidRPr="004B063A">
        <w:rPr>
          <w:sz w:val="19"/>
          <w:szCs w:val="19"/>
          <w:lang w:val="en-GB"/>
        </w:rPr>
        <w:t xml:space="preserve">. Subsequently, like </w:t>
      </w:r>
      <w:proofErr w:type="spellStart"/>
      <w:r w:rsidR="00CA17A7">
        <w:rPr>
          <w:sz w:val="19"/>
          <w:szCs w:val="19"/>
          <w:lang w:val="en-GB"/>
        </w:rPr>
        <w:t>Singla</w:t>
      </w:r>
      <w:proofErr w:type="spellEnd"/>
      <w:r w:rsidR="00CA17A7">
        <w:rPr>
          <w:sz w:val="19"/>
          <w:szCs w:val="19"/>
          <w:lang w:val="en-GB"/>
        </w:rPr>
        <w:t>,</w:t>
      </w:r>
      <w:r w:rsidR="00CA17A7" w:rsidRPr="004B063A">
        <w:rPr>
          <w:sz w:val="19"/>
          <w:szCs w:val="19"/>
          <w:lang w:val="en-GB"/>
        </w:rPr>
        <w:t xml:space="preserve"> </w:t>
      </w:r>
      <w:r w:rsidR="006E759A" w:rsidRPr="004B063A">
        <w:rPr>
          <w:sz w:val="19"/>
          <w:szCs w:val="19"/>
          <w:lang w:val="en-GB"/>
        </w:rPr>
        <w:t>he moved to Headstrong</w:t>
      </w:r>
      <w:r w:rsidR="00995503">
        <w:rPr>
          <w:sz w:val="19"/>
          <w:szCs w:val="19"/>
          <w:lang w:val="en-GB"/>
        </w:rPr>
        <w:t xml:space="preserve"> Services LLC</w:t>
      </w:r>
      <w:r w:rsidR="006E759A" w:rsidRPr="004B063A">
        <w:rPr>
          <w:sz w:val="19"/>
          <w:szCs w:val="19"/>
          <w:lang w:val="en-GB"/>
        </w:rPr>
        <w:t xml:space="preserve"> and then to </w:t>
      </w:r>
      <w:proofErr w:type="spellStart"/>
      <w:r w:rsidR="00CA17A7">
        <w:rPr>
          <w:sz w:val="19"/>
          <w:szCs w:val="19"/>
          <w:lang w:val="en-GB"/>
        </w:rPr>
        <w:t>ixigo</w:t>
      </w:r>
      <w:proofErr w:type="spellEnd"/>
      <w:r w:rsidR="006E759A" w:rsidRPr="004B063A">
        <w:rPr>
          <w:sz w:val="19"/>
          <w:szCs w:val="19"/>
          <w:lang w:val="en-GB"/>
        </w:rPr>
        <w:t xml:space="preserve"> as a </w:t>
      </w:r>
      <w:r w:rsidR="00CA17A7">
        <w:rPr>
          <w:sz w:val="19"/>
          <w:szCs w:val="19"/>
          <w:lang w:val="en-GB"/>
        </w:rPr>
        <w:t>product lead</w:t>
      </w:r>
      <w:r w:rsidR="006E759A" w:rsidRPr="004B063A">
        <w:rPr>
          <w:sz w:val="19"/>
          <w:szCs w:val="19"/>
          <w:lang w:val="en-GB"/>
        </w:rPr>
        <w:t xml:space="preserve">. </w:t>
      </w:r>
      <w:proofErr w:type="spellStart"/>
      <w:r w:rsidR="006E759A" w:rsidRPr="004B063A">
        <w:rPr>
          <w:sz w:val="19"/>
          <w:szCs w:val="19"/>
          <w:lang w:val="en-GB"/>
        </w:rPr>
        <w:t>Vibhu</w:t>
      </w:r>
      <w:proofErr w:type="spellEnd"/>
      <w:r w:rsidR="006E759A" w:rsidRPr="004B063A">
        <w:rPr>
          <w:sz w:val="19"/>
          <w:szCs w:val="19"/>
          <w:lang w:val="en-GB"/>
        </w:rPr>
        <w:t xml:space="preserve"> was the second employee to join </w:t>
      </w:r>
      <w:proofErr w:type="spellStart"/>
      <w:r w:rsidR="00CA17A7">
        <w:rPr>
          <w:sz w:val="19"/>
          <w:szCs w:val="19"/>
          <w:lang w:val="en-GB"/>
        </w:rPr>
        <w:t>ixigo</w:t>
      </w:r>
      <w:proofErr w:type="spellEnd"/>
      <w:r w:rsidR="006E759A" w:rsidRPr="004B063A">
        <w:rPr>
          <w:sz w:val="19"/>
          <w:szCs w:val="19"/>
          <w:lang w:val="en-GB"/>
        </w:rPr>
        <w:t xml:space="preserve">. He managed the product and worked on the user interface of the website. His product and technology skills played a critical role in </w:t>
      </w:r>
      <w:proofErr w:type="spellStart"/>
      <w:r w:rsidR="00CA17A7">
        <w:rPr>
          <w:sz w:val="19"/>
          <w:szCs w:val="19"/>
          <w:lang w:val="en-GB"/>
        </w:rPr>
        <w:t>ixigo’s</w:t>
      </w:r>
      <w:proofErr w:type="spellEnd"/>
      <w:r w:rsidR="006E759A" w:rsidRPr="004B063A">
        <w:rPr>
          <w:sz w:val="19"/>
          <w:szCs w:val="19"/>
          <w:lang w:val="en-GB"/>
        </w:rPr>
        <w:t xml:space="preserve"> launch.</w:t>
      </w:r>
      <w:r w:rsidR="004B063A">
        <w:rPr>
          <w:sz w:val="19"/>
          <w:szCs w:val="19"/>
          <w:lang w:val="en-GB"/>
        </w:rPr>
        <w:t xml:space="preserve"> </w:t>
      </w:r>
      <w:r w:rsidR="00CA17A7">
        <w:rPr>
          <w:sz w:val="19"/>
          <w:szCs w:val="19"/>
          <w:lang w:val="en-GB"/>
        </w:rPr>
        <w:t>Garg</w:t>
      </w:r>
      <w:r w:rsidR="006E759A" w:rsidRPr="004B063A">
        <w:rPr>
          <w:sz w:val="19"/>
          <w:szCs w:val="19"/>
          <w:lang w:val="en-GB"/>
        </w:rPr>
        <w:t xml:space="preserve"> managed the product team and ensured continuity during a period when </w:t>
      </w:r>
      <w:proofErr w:type="spellStart"/>
      <w:r w:rsidR="00CA17A7">
        <w:rPr>
          <w:sz w:val="19"/>
          <w:szCs w:val="19"/>
          <w:lang w:val="en-GB"/>
        </w:rPr>
        <w:t>ixigo</w:t>
      </w:r>
      <w:proofErr w:type="spellEnd"/>
      <w:r w:rsidR="00CA17A7" w:rsidRPr="004B063A">
        <w:rPr>
          <w:sz w:val="19"/>
          <w:szCs w:val="19"/>
          <w:lang w:val="en-GB"/>
        </w:rPr>
        <w:t xml:space="preserve"> </w:t>
      </w:r>
      <w:r w:rsidR="006E759A" w:rsidRPr="004B063A">
        <w:rPr>
          <w:sz w:val="19"/>
          <w:szCs w:val="19"/>
          <w:lang w:val="en-GB"/>
        </w:rPr>
        <w:t xml:space="preserve">did not have seed funding. Over due course, </w:t>
      </w:r>
      <w:proofErr w:type="spellStart"/>
      <w:r w:rsidR="00CA17A7">
        <w:rPr>
          <w:sz w:val="19"/>
          <w:szCs w:val="19"/>
          <w:lang w:val="en-GB"/>
        </w:rPr>
        <w:t>ixigo</w:t>
      </w:r>
      <w:proofErr w:type="spellEnd"/>
      <w:r w:rsidR="00CA17A7" w:rsidRPr="004B063A">
        <w:rPr>
          <w:sz w:val="19"/>
          <w:szCs w:val="19"/>
          <w:lang w:val="en-GB"/>
        </w:rPr>
        <w:t xml:space="preserve"> </w:t>
      </w:r>
      <w:r w:rsidR="006E759A" w:rsidRPr="004B063A">
        <w:rPr>
          <w:sz w:val="19"/>
          <w:szCs w:val="19"/>
          <w:lang w:val="en-GB"/>
        </w:rPr>
        <w:t xml:space="preserve">went on to win </w:t>
      </w:r>
      <w:r w:rsidR="00CA17A7">
        <w:rPr>
          <w:sz w:val="19"/>
          <w:szCs w:val="19"/>
          <w:lang w:val="en-GB"/>
        </w:rPr>
        <w:t>product-of-the-year</w:t>
      </w:r>
      <w:r w:rsidR="006E759A" w:rsidRPr="004B063A">
        <w:rPr>
          <w:sz w:val="19"/>
          <w:szCs w:val="19"/>
          <w:lang w:val="en-GB"/>
        </w:rPr>
        <w:t xml:space="preserve"> awards for its design.</w:t>
      </w:r>
      <w:bookmarkStart w:id="8" w:name="OLE_LINK1"/>
      <w:bookmarkStart w:id="9" w:name="OLE_LINK2"/>
      <w:r w:rsidR="006E759A" w:rsidRPr="004B063A">
        <w:rPr>
          <w:sz w:val="19"/>
          <w:szCs w:val="19"/>
          <w:lang w:val="en-GB"/>
        </w:rPr>
        <w:t xml:space="preserve"> In 2014, SAIF Partners and </w:t>
      </w:r>
      <w:proofErr w:type="spellStart"/>
      <w:r w:rsidR="00114901">
        <w:rPr>
          <w:sz w:val="19"/>
          <w:szCs w:val="19"/>
          <w:lang w:val="en-GB"/>
        </w:rPr>
        <w:t>MakeMyTrip</w:t>
      </w:r>
      <w:proofErr w:type="spellEnd"/>
      <w:r w:rsidR="00114901">
        <w:rPr>
          <w:sz w:val="19"/>
          <w:szCs w:val="19"/>
          <w:lang w:val="en-GB"/>
        </w:rPr>
        <w:t xml:space="preserve"> Limited</w:t>
      </w:r>
      <w:r w:rsidR="006E759A" w:rsidRPr="004B063A">
        <w:rPr>
          <w:sz w:val="19"/>
          <w:szCs w:val="19"/>
          <w:lang w:val="en-GB"/>
        </w:rPr>
        <w:t xml:space="preserve"> funded </w:t>
      </w:r>
      <w:proofErr w:type="spellStart"/>
      <w:r w:rsidR="00114901">
        <w:rPr>
          <w:sz w:val="19"/>
          <w:szCs w:val="19"/>
          <w:lang w:val="en-GB"/>
        </w:rPr>
        <w:t>ixigo</w:t>
      </w:r>
      <w:proofErr w:type="spellEnd"/>
      <w:r w:rsidR="006E759A" w:rsidRPr="004B063A">
        <w:rPr>
          <w:sz w:val="19"/>
          <w:szCs w:val="19"/>
          <w:lang w:val="en-GB"/>
        </w:rPr>
        <w:t xml:space="preserve"> in a landmark deal. After working in </w:t>
      </w:r>
      <w:proofErr w:type="spellStart"/>
      <w:r w:rsidR="00114901">
        <w:rPr>
          <w:sz w:val="19"/>
          <w:szCs w:val="19"/>
          <w:lang w:val="en-GB"/>
        </w:rPr>
        <w:t>ixigo</w:t>
      </w:r>
      <w:proofErr w:type="spellEnd"/>
      <w:r w:rsidR="006E759A" w:rsidRPr="004B063A">
        <w:rPr>
          <w:sz w:val="19"/>
          <w:szCs w:val="19"/>
          <w:lang w:val="en-GB"/>
        </w:rPr>
        <w:t xml:space="preserve"> for approximately three years, </w:t>
      </w:r>
      <w:r w:rsidR="00114901">
        <w:rPr>
          <w:sz w:val="19"/>
          <w:szCs w:val="19"/>
          <w:lang w:val="en-GB"/>
        </w:rPr>
        <w:t>Garg</w:t>
      </w:r>
      <w:r w:rsidR="00114901" w:rsidRPr="004B063A">
        <w:rPr>
          <w:sz w:val="19"/>
          <w:szCs w:val="19"/>
          <w:lang w:val="en-GB"/>
        </w:rPr>
        <w:t xml:space="preserve"> </w:t>
      </w:r>
      <w:r w:rsidR="006E759A" w:rsidRPr="004B063A">
        <w:rPr>
          <w:sz w:val="19"/>
          <w:szCs w:val="19"/>
          <w:lang w:val="en-GB"/>
        </w:rPr>
        <w:t xml:space="preserve">left to </w:t>
      </w:r>
      <w:proofErr w:type="gramStart"/>
      <w:r w:rsidR="006E759A" w:rsidRPr="004B063A">
        <w:rPr>
          <w:sz w:val="19"/>
          <w:szCs w:val="19"/>
          <w:lang w:val="en-GB"/>
        </w:rPr>
        <w:t>co-found</w:t>
      </w:r>
      <w:proofErr w:type="gramEnd"/>
      <w:r w:rsidR="006E759A" w:rsidRPr="004B063A">
        <w:rPr>
          <w:sz w:val="19"/>
          <w:szCs w:val="19"/>
          <w:lang w:val="en-GB"/>
        </w:rPr>
        <w:t xml:space="preserve"> </w:t>
      </w:r>
      <w:proofErr w:type="spellStart"/>
      <w:r w:rsidR="006E759A" w:rsidRPr="004B063A">
        <w:rPr>
          <w:sz w:val="19"/>
          <w:szCs w:val="19"/>
          <w:lang w:val="en-GB"/>
        </w:rPr>
        <w:t>Unicommerce</w:t>
      </w:r>
      <w:proofErr w:type="spellEnd"/>
      <w:r w:rsidR="006E759A" w:rsidRPr="004B063A">
        <w:rPr>
          <w:sz w:val="19"/>
          <w:szCs w:val="19"/>
          <w:lang w:val="en-GB"/>
        </w:rPr>
        <w:t xml:space="preserve"> with </w:t>
      </w:r>
      <w:proofErr w:type="spellStart"/>
      <w:r w:rsidR="00114901">
        <w:rPr>
          <w:sz w:val="19"/>
          <w:szCs w:val="19"/>
          <w:lang w:val="en-GB"/>
        </w:rPr>
        <w:t>Pruthi</w:t>
      </w:r>
      <w:proofErr w:type="spellEnd"/>
      <w:r w:rsidR="006E759A" w:rsidRPr="004B063A">
        <w:rPr>
          <w:sz w:val="19"/>
          <w:szCs w:val="19"/>
          <w:lang w:val="en-GB"/>
        </w:rPr>
        <w:t xml:space="preserve"> and </w:t>
      </w:r>
      <w:proofErr w:type="spellStart"/>
      <w:r w:rsidR="00114901">
        <w:rPr>
          <w:sz w:val="19"/>
          <w:szCs w:val="19"/>
          <w:lang w:val="en-GB"/>
        </w:rPr>
        <w:t>Singla</w:t>
      </w:r>
      <w:proofErr w:type="spellEnd"/>
      <w:r w:rsidR="006E759A" w:rsidRPr="004B063A">
        <w:rPr>
          <w:sz w:val="19"/>
          <w:szCs w:val="19"/>
          <w:lang w:val="en-GB"/>
        </w:rPr>
        <w:t>.</w:t>
      </w:r>
    </w:p>
    <w:bookmarkEnd w:id="8"/>
    <w:bookmarkEnd w:id="9"/>
    <w:p w14:paraId="5FF80087" w14:textId="77777777" w:rsidR="006E759A" w:rsidRPr="004B063A" w:rsidRDefault="006E759A" w:rsidP="006E759A">
      <w:pPr>
        <w:pStyle w:val="BodyTextMain"/>
        <w:rPr>
          <w:sz w:val="18"/>
          <w:lang w:val="en-GB"/>
        </w:rPr>
      </w:pPr>
    </w:p>
    <w:p w14:paraId="1E447ECD" w14:textId="7841D5F6" w:rsidR="006E759A" w:rsidRDefault="006E759A" w:rsidP="006E759A">
      <w:pPr>
        <w:pStyle w:val="Footnote"/>
        <w:rPr>
          <w:rStyle w:val="Hyperlink"/>
          <w:color w:val="auto"/>
          <w:u w:val="none"/>
          <w:lang w:val="en-GB"/>
        </w:rPr>
      </w:pPr>
      <w:r w:rsidRPr="004B063A">
        <w:rPr>
          <w:lang w:val="en-GB"/>
        </w:rPr>
        <w:t xml:space="preserve">Source: </w:t>
      </w:r>
      <w:r w:rsidR="00AC1A64" w:rsidRPr="00AC1A64">
        <w:rPr>
          <w:lang w:val="en-GB"/>
        </w:rPr>
        <w:t xml:space="preserve">Le </w:t>
      </w:r>
      <w:proofErr w:type="spellStart"/>
      <w:r w:rsidR="00AC1A64" w:rsidRPr="00AC1A64">
        <w:rPr>
          <w:lang w:val="en-GB"/>
        </w:rPr>
        <w:t>Travenues</w:t>
      </w:r>
      <w:proofErr w:type="spellEnd"/>
      <w:r w:rsidR="00AC1A64" w:rsidRPr="00AC1A64">
        <w:rPr>
          <w:lang w:val="en-GB"/>
        </w:rPr>
        <w:t xml:space="preserve"> Technology </w:t>
      </w:r>
      <w:proofErr w:type="spellStart"/>
      <w:r w:rsidR="00AC1A64" w:rsidRPr="00AC1A64">
        <w:rPr>
          <w:lang w:val="en-GB"/>
        </w:rPr>
        <w:t>Pvt.</w:t>
      </w:r>
      <w:proofErr w:type="spellEnd"/>
      <w:r w:rsidR="00AC1A64" w:rsidRPr="00AC1A64">
        <w:rPr>
          <w:lang w:val="en-GB"/>
        </w:rPr>
        <w:t xml:space="preserve"> Ltd.</w:t>
      </w:r>
      <w:r w:rsidRPr="004B063A">
        <w:rPr>
          <w:lang w:val="en-GB"/>
        </w:rPr>
        <w:t xml:space="preserve">, </w:t>
      </w:r>
      <w:r w:rsidR="00AC1A64">
        <w:rPr>
          <w:lang w:val="en-GB"/>
        </w:rPr>
        <w:t>“</w:t>
      </w:r>
      <w:r w:rsidR="00AC1A64" w:rsidRPr="00AC1A64">
        <w:rPr>
          <w:lang w:val="en-GB"/>
        </w:rPr>
        <w:t>Ixigo.Com Voted Product of the Year 2013</w:t>
      </w:r>
      <w:r w:rsidR="00AC1A64">
        <w:rPr>
          <w:lang w:val="en-GB"/>
        </w:rPr>
        <w:t>,”</w:t>
      </w:r>
      <w:r w:rsidRPr="004B063A">
        <w:rPr>
          <w:lang w:val="en-GB"/>
        </w:rPr>
        <w:t xml:space="preserve"> </w:t>
      </w:r>
      <w:r w:rsidR="00AC1A64">
        <w:rPr>
          <w:lang w:val="en-GB"/>
        </w:rPr>
        <w:t xml:space="preserve">PR Newswire, </w:t>
      </w:r>
      <w:r w:rsidRPr="004B063A">
        <w:rPr>
          <w:lang w:val="en-GB"/>
        </w:rPr>
        <w:t xml:space="preserve">March 12, 2013, accessed April 9, 2016, </w:t>
      </w:r>
      <w:r w:rsidR="00AC1A64" w:rsidRPr="00995503">
        <w:t>www.prnewswire.com/news-releases/ixigocom-voted-product-of-the-year-2013-197282971.html</w:t>
      </w:r>
      <w:r w:rsidR="00831868" w:rsidRPr="004B063A">
        <w:rPr>
          <w:rStyle w:val="Hyperlink"/>
          <w:color w:val="auto"/>
          <w:u w:val="none"/>
          <w:lang w:val="en-GB"/>
        </w:rPr>
        <w:t>.</w:t>
      </w:r>
    </w:p>
    <w:p w14:paraId="35458ED9" w14:textId="648ACBA2" w:rsidR="00831868" w:rsidRPr="004B063A" w:rsidRDefault="00831868" w:rsidP="00831868">
      <w:pPr>
        <w:pStyle w:val="ExhibitHeading"/>
        <w:rPr>
          <w:lang w:val="en-GB"/>
        </w:rPr>
      </w:pPr>
      <w:r w:rsidRPr="004B063A">
        <w:rPr>
          <w:lang w:val="en-GB"/>
        </w:rPr>
        <w:t>EXHIBIT 9: UNICOMMERCE Balance Sheet</w:t>
      </w:r>
      <w:r w:rsidR="009D3705">
        <w:rPr>
          <w:lang w:val="en-GB"/>
        </w:rPr>
        <w:t xml:space="preserve"> for </w:t>
      </w:r>
      <w:r w:rsidR="000D759E">
        <w:rPr>
          <w:lang w:val="en-GB"/>
        </w:rPr>
        <w:t>year</w:t>
      </w:r>
      <w:r w:rsidR="009D3705">
        <w:rPr>
          <w:lang w:val="en-GB"/>
        </w:rPr>
        <w:t>s</w:t>
      </w:r>
      <w:r w:rsidR="000D759E">
        <w:rPr>
          <w:lang w:val="en-GB"/>
        </w:rPr>
        <w:t xml:space="preserve"> ending </w:t>
      </w:r>
      <w:r w:rsidRPr="004B063A">
        <w:rPr>
          <w:lang w:val="en-GB"/>
        </w:rPr>
        <w:t>March 31</w:t>
      </w:r>
      <w:r w:rsidR="009D3705">
        <w:rPr>
          <w:lang w:val="en-GB"/>
        </w:rPr>
        <w:t xml:space="preserve"> (</w:t>
      </w:r>
      <w:r w:rsidR="006D738D">
        <w:rPr>
          <w:lang w:val="en-GB"/>
        </w:rPr>
        <w:t xml:space="preserve">in </w:t>
      </w:r>
      <w:r w:rsidR="009D3705">
        <w:rPr>
          <w:lang w:val="en-GB"/>
        </w:rPr>
        <w:t>₹)</w:t>
      </w:r>
    </w:p>
    <w:p w14:paraId="19517F41" w14:textId="77777777" w:rsidR="00831868" w:rsidRPr="004B063A" w:rsidRDefault="00831868" w:rsidP="00831868">
      <w:pPr>
        <w:pStyle w:val="BodyTextMain"/>
        <w:rPr>
          <w:lang w:val="en-GB"/>
        </w:rPr>
      </w:pPr>
    </w:p>
    <w:tbl>
      <w:tblPr>
        <w:tblW w:w="3958" w:type="pct"/>
        <w:jc w:val="center"/>
        <w:tblLayout w:type="fixed"/>
        <w:tblLook w:val="04A0" w:firstRow="1" w:lastRow="0" w:firstColumn="1" w:lastColumn="0" w:noHBand="0" w:noVBand="1"/>
      </w:tblPr>
      <w:tblGrid>
        <w:gridCol w:w="3595"/>
        <w:gridCol w:w="1171"/>
        <w:gridCol w:w="1316"/>
        <w:gridCol w:w="1319"/>
      </w:tblGrid>
      <w:tr w:rsidR="00D73BFC" w:rsidRPr="004B063A" w14:paraId="5851A521" w14:textId="77777777" w:rsidTr="00EC6FE0">
        <w:trPr>
          <w:trHeight w:val="60"/>
          <w:jc w:val="center"/>
        </w:trPr>
        <w:tc>
          <w:tcPr>
            <w:tcW w:w="242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5FA5E" w14:textId="77777777" w:rsidR="00D73BFC" w:rsidRPr="004B063A" w:rsidRDefault="00D73BFC" w:rsidP="004E20FC">
            <w:pPr>
              <w:rPr>
                <w:rFonts w:ascii="Arial" w:hAnsi="Arial" w:cs="Arial"/>
                <w:b/>
                <w:sz w:val="19"/>
                <w:szCs w:val="19"/>
                <w:lang w:val="en-GB"/>
              </w:rPr>
            </w:pPr>
            <w:r w:rsidRPr="004B063A">
              <w:rPr>
                <w:rFonts w:ascii="Arial" w:hAnsi="Arial" w:cs="Arial"/>
                <w:b/>
                <w:sz w:val="19"/>
                <w:szCs w:val="19"/>
                <w:lang w:val="en-GB"/>
              </w:rPr>
              <w:t> Particulars</w:t>
            </w:r>
          </w:p>
        </w:tc>
        <w:tc>
          <w:tcPr>
            <w:tcW w:w="791" w:type="pct"/>
            <w:tcBorders>
              <w:top w:val="single" w:sz="4" w:space="0" w:color="auto"/>
              <w:left w:val="nil"/>
              <w:bottom w:val="single" w:sz="4" w:space="0" w:color="auto"/>
              <w:right w:val="single" w:sz="4" w:space="0" w:color="auto"/>
            </w:tcBorders>
            <w:shd w:val="clear" w:color="auto" w:fill="auto"/>
            <w:noWrap/>
            <w:vAlign w:val="bottom"/>
            <w:hideMark/>
          </w:tcPr>
          <w:p w14:paraId="56E2B254" w14:textId="77777777" w:rsidR="00D73BFC" w:rsidRPr="004B063A" w:rsidRDefault="00D73BFC" w:rsidP="004E20FC">
            <w:pPr>
              <w:jc w:val="center"/>
              <w:rPr>
                <w:rFonts w:ascii="Arial" w:hAnsi="Arial" w:cs="Arial"/>
                <w:b/>
                <w:sz w:val="19"/>
                <w:szCs w:val="19"/>
                <w:lang w:val="en-GB"/>
              </w:rPr>
            </w:pPr>
            <w:r w:rsidRPr="004B063A">
              <w:rPr>
                <w:rFonts w:ascii="Arial" w:hAnsi="Arial" w:cs="Arial"/>
                <w:b/>
                <w:sz w:val="19"/>
                <w:szCs w:val="19"/>
                <w:lang w:val="en-GB"/>
              </w:rPr>
              <w:t>2012</w:t>
            </w:r>
          </w:p>
        </w:tc>
        <w:tc>
          <w:tcPr>
            <w:tcW w:w="889" w:type="pct"/>
            <w:tcBorders>
              <w:top w:val="single" w:sz="4" w:space="0" w:color="auto"/>
              <w:left w:val="nil"/>
              <w:bottom w:val="single" w:sz="4" w:space="0" w:color="auto"/>
              <w:right w:val="single" w:sz="4" w:space="0" w:color="auto"/>
            </w:tcBorders>
            <w:shd w:val="clear" w:color="auto" w:fill="auto"/>
            <w:noWrap/>
            <w:vAlign w:val="bottom"/>
            <w:hideMark/>
          </w:tcPr>
          <w:p w14:paraId="51E0139C" w14:textId="77777777" w:rsidR="00D73BFC" w:rsidRPr="004B063A" w:rsidRDefault="00D73BFC" w:rsidP="004E20FC">
            <w:pPr>
              <w:jc w:val="center"/>
              <w:rPr>
                <w:rFonts w:ascii="Arial" w:hAnsi="Arial" w:cs="Arial"/>
                <w:b/>
                <w:sz w:val="19"/>
                <w:szCs w:val="19"/>
                <w:lang w:val="en-GB"/>
              </w:rPr>
            </w:pPr>
            <w:r w:rsidRPr="004B063A">
              <w:rPr>
                <w:rFonts w:ascii="Arial" w:hAnsi="Arial" w:cs="Arial"/>
                <w:b/>
                <w:sz w:val="19"/>
                <w:szCs w:val="19"/>
                <w:lang w:val="en-GB"/>
              </w:rPr>
              <w:t>2013</w:t>
            </w:r>
          </w:p>
        </w:tc>
        <w:tc>
          <w:tcPr>
            <w:tcW w:w="891" w:type="pct"/>
            <w:tcBorders>
              <w:top w:val="single" w:sz="4" w:space="0" w:color="auto"/>
              <w:left w:val="nil"/>
              <w:bottom w:val="single" w:sz="4" w:space="0" w:color="auto"/>
              <w:right w:val="single" w:sz="4" w:space="0" w:color="auto"/>
            </w:tcBorders>
            <w:shd w:val="clear" w:color="auto" w:fill="auto"/>
            <w:noWrap/>
            <w:vAlign w:val="bottom"/>
            <w:hideMark/>
          </w:tcPr>
          <w:p w14:paraId="1C5D325F" w14:textId="77777777" w:rsidR="00D73BFC" w:rsidRPr="004B063A" w:rsidRDefault="00D73BFC" w:rsidP="004E20FC">
            <w:pPr>
              <w:jc w:val="center"/>
              <w:rPr>
                <w:rFonts w:ascii="Arial" w:hAnsi="Arial" w:cs="Arial"/>
                <w:b/>
                <w:sz w:val="19"/>
                <w:szCs w:val="19"/>
                <w:lang w:val="en-GB"/>
              </w:rPr>
            </w:pPr>
            <w:r w:rsidRPr="004B063A">
              <w:rPr>
                <w:rFonts w:ascii="Arial" w:hAnsi="Arial" w:cs="Arial"/>
                <w:b/>
                <w:sz w:val="19"/>
                <w:szCs w:val="19"/>
                <w:lang w:val="en-GB"/>
              </w:rPr>
              <w:t>2014</w:t>
            </w:r>
          </w:p>
        </w:tc>
      </w:tr>
      <w:tr w:rsidR="00D73BFC" w:rsidRPr="004B063A" w14:paraId="46145853"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4F38B8C8" w14:textId="4A5DF848"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 xml:space="preserve">Equity and </w:t>
            </w:r>
            <w:r w:rsidR="001967C9">
              <w:rPr>
                <w:rFonts w:ascii="Arial" w:hAnsi="Arial" w:cs="Arial"/>
                <w:b/>
                <w:bCs/>
                <w:sz w:val="19"/>
                <w:szCs w:val="19"/>
                <w:lang w:val="en-GB"/>
              </w:rPr>
              <w:t>liabilities</w:t>
            </w:r>
          </w:p>
        </w:tc>
        <w:tc>
          <w:tcPr>
            <w:tcW w:w="791" w:type="pct"/>
            <w:tcBorders>
              <w:top w:val="nil"/>
              <w:left w:val="nil"/>
              <w:bottom w:val="single" w:sz="4" w:space="0" w:color="auto"/>
              <w:right w:val="single" w:sz="4" w:space="0" w:color="auto"/>
            </w:tcBorders>
            <w:shd w:val="clear" w:color="auto" w:fill="auto"/>
            <w:noWrap/>
            <w:vAlign w:val="bottom"/>
            <w:hideMark/>
          </w:tcPr>
          <w:p w14:paraId="4E15A9AC"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301AFD3C"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91" w:type="pct"/>
            <w:tcBorders>
              <w:top w:val="nil"/>
              <w:left w:val="nil"/>
              <w:bottom w:val="single" w:sz="4" w:space="0" w:color="auto"/>
              <w:right w:val="single" w:sz="4" w:space="0" w:color="auto"/>
            </w:tcBorders>
            <w:shd w:val="clear" w:color="auto" w:fill="auto"/>
            <w:noWrap/>
            <w:vAlign w:val="bottom"/>
            <w:hideMark/>
          </w:tcPr>
          <w:p w14:paraId="1671A0CB"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498FF2EF"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158D309C" w14:textId="77777777"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Shareholders’ funds</w:t>
            </w:r>
          </w:p>
        </w:tc>
        <w:tc>
          <w:tcPr>
            <w:tcW w:w="791" w:type="pct"/>
            <w:tcBorders>
              <w:top w:val="nil"/>
              <w:left w:val="nil"/>
              <w:bottom w:val="single" w:sz="4" w:space="0" w:color="auto"/>
              <w:right w:val="single" w:sz="4" w:space="0" w:color="auto"/>
            </w:tcBorders>
            <w:shd w:val="clear" w:color="auto" w:fill="auto"/>
            <w:noWrap/>
            <w:vAlign w:val="bottom"/>
            <w:hideMark/>
          </w:tcPr>
          <w:p w14:paraId="648E9CF2"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4E27ECAB"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91" w:type="pct"/>
            <w:tcBorders>
              <w:top w:val="nil"/>
              <w:left w:val="nil"/>
              <w:bottom w:val="single" w:sz="4" w:space="0" w:color="auto"/>
              <w:right w:val="single" w:sz="4" w:space="0" w:color="auto"/>
            </w:tcBorders>
            <w:shd w:val="clear" w:color="auto" w:fill="auto"/>
            <w:noWrap/>
            <w:vAlign w:val="bottom"/>
            <w:hideMark/>
          </w:tcPr>
          <w:p w14:paraId="6CAF4684"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2D9065C3"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32679617" w14:textId="25C5E089"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(a)</w:t>
            </w:r>
            <w:r w:rsidR="001967C9">
              <w:rPr>
                <w:rFonts w:ascii="Arial" w:hAnsi="Arial" w:cs="Arial"/>
                <w:sz w:val="19"/>
                <w:szCs w:val="19"/>
                <w:lang w:val="en-GB"/>
              </w:rPr>
              <w:t xml:space="preserve"> </w:t>
            </w:r>
            <w:r w:rsidRPr="004B063A">
              <w:rPr>
                <w:rFonts w:ascii="Arial" w:hAnsi="Arial" w:cs="Arial"/>
                <w:sz w:val="19"/>
                <w:szCs w:val="19"/>
                <w:lang w:val="en-GB"/>
              </w:rPr>
              <w:t>Share capital</w:t>
            </w:r>
          </w:p>
        </w:tc>
        <w:tc>
          <w:tcPr>
            <w:tcW w:w="791" w:type="pct"/>
            <w:tcBorders>
              <w:top w:val="nil"/>
              <w:left w:val="nil"/>
              <w:bottom w:val="single" w:sz="4" w:space="0" w:color="auto"/>
              <w:right w:val="single" w:sz="4" w:space="0" w:color="auto"/>
            </w:tcBorders>
            <w:shd w:val="clear" w:color="auto" w:fill="auto"/>
            <w:noWrap/>
            <w:vAlign w:val="bottom"/>
            <w:hideMark/>
          </w:tcPr>
          <w:p w14:paraId="4AF5ACF9" w14:textId="120AC703"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227,000</w:t>
            </w:r>
          </w:p>
        </w:tc>
        <w:tc>
          <w:tcPr>
            <w:tcW w:w="889" w:type="pct"/>
            <w:tcBorders>
              <w:top w:val="nil"/>
              <w:left w:val="nil"/>
              <w:bottom w:val="single" w:sz="4" w:space="0" w:color="auto"/>
              <w:right w:val="single" w:sz="4" w:space="0" w:color="auto"/>
            </w:tcBorders>
            <w:shd w:val="clear" w:color="auto" w:fill="auto"/>
            <w:noWrap/>
            <w:vAlign w:val="bottom"/>
            <w:hideMark/>
          </w:tcPr>
          <w:p w14:paraId="4DF9A446" w14:textId="4281844C"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1,362,100</w:t>
            </w:r>
          </w:p>
        </w:tc>
        <w:tc>
          <w:tcPr>
            <w:tcW w:w="891" w:type="pct"/>
            <w:tcBorders>
              <w:top w:val="nil"/>
              <w:left w:val="nil"/>
              <w:bottom w:val="single" w:sz="4" w:space="0" w:color="auto"/>
              <w:right w:val="single" w:sz="4" w:space="0" w:color="auto"/>
            </w:tcBorders>
            <w:shd w:val="clear" w:color="auto" w:fill="auto"/>
            <w:noWrap/>
            <w:vAlign w:val="bottom"/>
            <w:hideMark/>
          </w:tcPr>
          <w:p w14:paraId="7D1FE6C5" w14:textId="7DBD3903"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1,362,100</w:t>
            </w:r>
          </w:p>
        </w:tc>
      </w:tr>
      <w:tr w:rsidR="00D73BFC" w:rsidRPr="004B063A" w14:paraId="74009741"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179CAF87" w14:textId="5F412D63"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(b) Reserves and </w:t>
            </w:r>
            <w:r w:rsidR="001967C9">
              <w:rPr>
                <w:rFonts w:ascii="Arial" w:hAnsi="Arial" w:cs="Arial"/>
                <w:sz w:val="19"/>
                <w:szCs w:val="19"/>
                <w:lang w:val="en-GB"/>
              </w:rPr>
              <w:t>s</w:t>
            </w:r>
            <w:r w:rsidRPr="004B063A">
              <w:rPr>
                <w:rFonts w:ascii="Arial" w:hAnsi="Arial" w:cs="Arial"/>
                <w:sz w:val="19"/>
                <w:szCs w:val="19"/>
                <w:lang w:val="en-GB"/>
              </w:rPr>
              <w:t>urplus</w:t>
            </w:r>
          </w:p>
        </w:tc>
        <w:tc>
          <w:tcPr>
            <w:tcW w:w="791" w:type="pct"/>
            <w:tcBorders>
              <w:top w:val="nil"/>
              <w:left w:val="nil"/>
              <w:bottom w:val="single" w:sz="4" w:space="0" w:color="auto"/>
              <w:right w:val="single" w:sz="4" w:space="0" w:color="auto"/>
            </w:tcBorders>
            <w:shd w:val="clear" w:color="auto" w:fill="auto"/>
            <w:noWrap/>
            <w:vAlign w:val="bottom"/>
            <w:hideMark/>
          </w:tcPr>
          <w:p w14:paraId="71067EAB" w14:textId="62770E32"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1,871,491</w:t>
            </w:r>
          </w:p>
        </w:tc>
        <w:tc>
          <w:tcPr>
            <w:tcW w:w="889" w:type="pct"/>
            <w:tcBorders>
              <w:top w:val="nil"/>
              <w:left w:val="nil"/>
              <w:bottom w:val="single" w:sz="4" w:space="0" w:color="auto"/>
              <w:right w:val="single" w:sz="4" w:space="0" w:color="auto"/>
            </w:tcBorders>
            <w:shd w:val="clear" w:color="auto" w:fill="auto"/>
            <w:noWrap/>
            <w:vAlign w:val="bottom"/>
            <w:hideMark/>
          </w:tcPr>
          <w:p w14:paraId="213661E8" w14:textId="0C688F33"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59,836,957</w:t>
            </w:r>
          </w:p>
        </w:tc>
        <w:tc>
          <w:tcPr>
            <w:tcW w:w="891" w:type="pct"/>
            <w:tcBorders>
              <w:top w:val="nil"/>
              <w:left w:val="nil"/>
              <w:bottom w:val="single" w:sz="4" w:space="0" w:color="auto"/>
              <w:right w:val="single" w:sz="4" w:space="0" w:color="auto"/>
            </w:tcBorders>
            <w:shd w:val="clear" w:color="auto" w:fill="auto"/>
            <w:noWrap/>
            <w:vAlign w:val="bottom"/>
            <w:hideMark/>
          </w:tcPr>
          <w:p w14:paraId="3E56B774" w14:textId="224A54BF"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58,034,586</w:t>
            </w:r>
          </w:p>
        </w:tc>
      </w:tr>
      <w:tr w:rsidR="00D73BFC" w:rsidRPr="004B063A" w14:paraId="6A2546EF"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55B79AB0" w14:textId="18A1E63A" w:rsidR="00D73BFC" w:rsidRPr="004B063A" w:rsidRDefault="001967C9" w:rsidP="004E20FC">
            <w:pPr>
              <w:rPr>
                <w:rFonts w:ascii="Arial" w:hAnsi="Arial" w:cs="Arial"/>
                <w:b/>
                <w:bCs/>
                <w:sz w:val="19"/>
                <w:szCs w:val="19"/>
                <w:lang w:val="en-GB"/>
              </w:rPr>
            </w:pPr>
            <w:r>
              <w:rPr>
                <w:rFonts w:ascii="Arial" w:hAnsi="Arial" w:cs="Arial"/>
                <w:b/>
                <w:bCs/>
                <w:sz w:val="19"/>
                <w:szCs w:val="19"/>
                <w:lang w:val="en-GB"/>
              </w:rPr>
              <w:t>Non-current</w:t>
            </w:r>
            <w:r w:rsidRPr="004B063A">
              <w:rPr>
                <w:rFonts w:ascii="Arial" w:hAnsi="Arial" w:cs="Arial"/>
                <w:b/>
                <w:bCs/>
                <w:sz w:val="19"/>
                <w:szCs w:val="19"/>
                <w:lang w:val="en-GB"/>
              </w:rPr>
              <w:t xml:space="preserve"> </w:t>
            </w:r>
            <w:r w:rsidR="00D73BFC" w:rsidRPr="004B063A">
              <w:rPr>
                <w:rFonts w:ascii="Arial" w:hAnsi="Arial" w:cs="Arial"/>
                <w:b/>
                <w:bCs/>
                <w:sz w:val="19"/>
                <w:szCs w:val="19"/>
                <w:lang w:val="en-GB"/>
              </w:rPr>
              <w:t>liabilities</w:t>
            </w:r>
          </w:p>
        </w:tc>
        <w:tc>
          <w:tcPr>
            <w:tcW w:w="791" w:type="pct"/>
            <w:tcBorders>
              <w:top w:val="nil"/>
              <w:left w:val="nil"/>
              <w:bottom w:val="single" w:sz="4" w:space="0" w:color="auto"/>
              <w:right w:val="single" w:sz="4" w:space="0" w:color="auto"/>
            </w:tcBorders>
            <w:shd w:val="clear" w:color="auto" w:fill="auto"/>
            <w:noWrap/>
            <w:vAlign w:val="bottom"/>
            <w:hideMark/>
          </w:tcPr>
          <w:p w14:paraId="7FB6385C"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0C9D2D3E"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91" w:type="pct"/>
            <w:tcBorders>
              <w:top w:val="nil"/>
              <w:left w:val="nil"/>
              <w:bottom w:val="single" w:sz="4" w:space="0" w:color="auto"/>
              <w:right w:val="single" w:sz="4" w:space="0" w:color="auto"/>
            </w:tcBorders>
            <w:shd w:val="clear" w:color="auto" w:fill="auto"/>
            <w:noWrap/>
            <w:vAlign w:val="bottom"/>
            <w:hideMark/>
          </w:tcPr>
          <w:p w14:paraId="04DD54E8"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537D5916"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331F28EC" w14:textId="1609F373"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(a)</w:t>
            </w:r>
            <w:r w:rsidR="001967C9">
              <w:rPr>
                <w:rFonts w:ascii="Arial" w:hAnsi="Arial" w:cs="Arial"/>
                <w:sz w:val="19"/>
                <w:szCs w:val="19"/>
                <w:lang w:val="en-GB"/>
              </w:rPr>
              <w:t xml:space="preserve"> </w:t>
            </w:r>
            <w:r w:rsidRPr="004B063A">
              <w:rPr>
                <w:rFonts w:ascii="Arial" w:hAnsi="Arial" w:cs="Arial"/>
                <w:sz w:val="19"/>
                <w:szCs w:val="19"/>
                <w:lang w:val="en-GB"/>
              </w:rPr>
              <w:t xml:space="preserve">Deferred </w:t>
            </w:r>
            <w:r w:rsidR="001967C9">
              <w:rPr>
                <w:rFonts w:ascii="Arial" w:hAnsi="Arial" w:cs="Arial"/>
                <w:sz w:val="19"/>
                <w:szCs w:val="19"/>
                <w:lang w:val="en-GB"/>
              </w:rPr>
              <w:t>tax</w:t>
            </w:r>
            <w:r w:rsidRPr="004B063A">
              <w:rPr>
                <w:rFonts w:ascii="Arial" w:hAnsi="Arial" w:cs="Arial"/>
                <w:sz w:val="19"/>
                <w:szCs w:val="19"/>
                <w:lang w:val="en-GB"/>
              </w:rPr>
              <w:t xml:space="preserve"> liabilities (net)</w:t>
            </w:r>
          </w:p>
        </w:tc>
        <w:tc>
          <w:tcPr>
            <w:tcW w:w="791" w:type="pct"/>
            <w:tcBorders>
              <w:top w:val="nil"/>
              <w:left w:val="nil"/>
              <w:bottom w:val="single" w:sz="4" w:space="0" w:color="auto"/>
              <w:right w:val="single" w:sz="4" w:space="0" w:color="auto"/>
            </w:tcBorders>
            <w:shd w:val="clear" w:color="auto" w:fill="auto"/>
            <w:noWrap/>
            <w:vAlign w:val="bottom"/>
            <w:hideMark/>
          </w:tcPr>
          <w:p w14:paraId="4D71C75E" w14:textId="16CD34FB"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14,648</w:t>
            </w:r>
          </w:p>
        </w:tc>
        <w:tc>
          <w:tcPr>
            <w:tcW w:w="889" w:type="pct"/>
            <w:tcBorders>
              <w:top w:val="nil"/>
              <w:left w:val="nil"/>
              <w:bottom w:val="single" w:sz="4" w:space="0" w:color="auto"/>
              <w:right w:val="single" w:sz="4" w:space="0" w:color="auto"/>
            </w:tcBorders>
            <w:shd w:val="clear" w:color="auto" w:fill="auto"/>
            <w:noWrap/>
            <w:vAlign w:val="bottom"/>
            <w:hideMark/>
          </w:tcPr>
          <w:p w14:paraId="20FA2EA0"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91" w:type="pct"/>
            <w:tcBorders>
              <w:top w:val="nil"/>
              <w:left w:val="nil"/>
              <w:bottom w:val="single" w:sz="4" w:space="0" w:color="auto"/>
              <w:right w:val="single" w:sz="4" w:space="0" w:color="auto"/>
            </w:tcBorders>
            <w:shd w:val="clear" w:color="auto" w:fill="auto"/>
            <w:noWrap/>
            <w:vAlign w:val="bottom"/>
            <w:hideMark/>
          </w:tcPr>
          <w:p w14:paraId="38DB82EC"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5A478FC4"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0ACF725E" w14:textId="59764F7C"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(b) </w:t>
            </w:r>
            <w:r w:rsidR="001967C9">
              <w:rPr>
                <w:rFonts w:ascii="Arial" w:hAnsi="Arial" w:cs="Arial"/>
                <w:sz w:val="19"/>
                <w:szCs w:val="19"/>
                <w:lang w:val="en-GB"/>
              </w:rPr>
              <w:t>Long-term</w:t>
            </w:r>
            <w:r w:rsidRPr="004B063A">
              <w:rPr>
                <w:rFonts w:ascii="Arial" w:hAnsi="Arial" w:cs="Arial"/>
                <w:sz w:val="19"/>
                <w:szCs w:val="19"/>
                <w:lang w:val="en-GB"/>
              </w:rPr>
              <w:t xml:space="preserve"> provisions</w:t>
            </w:r>
          </w:p>
        </w:tc>
        <w:tc>
          <w:tcPr>
            <w:tcW w:w="791" w:type="pct"/>
            <w:tcBorders>
              <w:top w:val="nil"/>
              <w:left w:val="nil"/>
              <w:bottom w:val="single" w:sz="4" w:space="0" w:color="auto"/>
              <w:right w:val="single" w:sz="4" w:space="0" w:color="auto"/>
            </w:tcBorders>
            <w:shd w:val="clear" w:color="auto" w:fill="auto"/>
            <w:noWrap/>
            <w:vAlign w:val="bottom"/>
            <w:hideMark/>
          </w:tcPr>
          <w:p w14:paraId="53633DAA"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21418178" w14:textId="2AD41AC5"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146,106</w:t>
            </w:r>
          </w:p>
        </w:tc>
        <w:tc>
          <w:tcPr>
            <w:tcW w:w="891" w:type="pct"/>
            <w:tcBorders>
              <w:top w:val="nil"/>
              <w:left w:val="nil"/>
              <w:bottom w:val="single" w:sz="4" w:space="0" w:color="auto"/>
              <w:right w:val="single" w:sz="4" w:space="0" w:color="auto"/>
            </w:tcBorders>
            <w:shd w:val="clear" w:color="auto" w:fill="auto"/>
            <w:noWrap/>
            <w:vAlign w:val="bottom"/>
            <w:hideMark/>
          </w:tcPr>
          <w:p w14:paraId="6910A2D8" w14:textId="2613BF6D"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703,878</w:t>
            </w:r>
          </w:p>
        </w:tc>
      </w:tr>
      <w:tr w:rsidR="00D73BFC" w:rsidRPr="004B063A" w14:paraId="4634EE49"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06634599" w14:textId="5EA3737D"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 xml:space="preserve">Current </w:t>
            </w:r>
            <w:r w:rsidR="001967C9">
              <w:rPr>
                <w:rFonts w:ascii="Arial" w:hAnsi="Arial" w:cs="Arial"/>
                <w:b/>
                <w:bCs/>
                <w:sz w:val="19"/>
                <w:szCs w:val="19"/>
                <w:lang w:val="en-GB"/>
              </w:rPr>
              <w:t>liabilities</w:t>
            </w:r>
          </w:p>
        </w:tc>
        <w:tc>
          <w:tcPr>
            <w:tcW w:w="791" w:type="pct"/>
            <w:tcBorders>
              <w:top w:val="nil"/>
              <w:left w:val="nil"/>
              <w:bottom w:val="single" w:sz="4" w:space="0" w:color="auto"/>
              <w:right w:val="single" w:sz="4" w:space="0" w:color="auto"/>
            </w:tcBorders>
            <w:shd w:val="clear" w:color="auto" w:fill="auto"/>
            <w:noWrap/>
            <w:vAlign w:val="bottom"/>
            <w:hideMark/>
          </w:tcPr>
          <w:p w14:paraId="2971A792"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08364D3B"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91" w:type="pct"/>
            <w:tcBorders>
              <w:top w:val="nil"/>
              <w:left w:val="nil"/>
              <w:bottom w:val="single" w:sz="4" w:space="0" w:color="auto"/>
              <w:right w:val="single" w:sz="4" w:space="0" w:color="auto"/>
            </w:tcBorders>
            <w:shd w:val="clear" w:color="auto" w:fill="auto"/>
            <w:noWrap/>
            <w:vAlign w:val="bottom"/>
            <w:hideMark/>
          </w:tcPr>
          <w:p w14:paraId="263D84F6"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4D693355"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77A639FD" w14:textId="3F9279C5"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(a) </w:t>
            </w:r>
            <w:r w:rsidR="001967C9">
              <w:rPr>
                <w:rFonts w:ascii="Arial" w:hAnsi="Arial" w:cs="Arial"/>
                <w:sz w:val="19"/>
                <w:szCs w:val="19"/>
                <w:lang w:val="en-GB"/>
              </w:rPr>
              <w:t>Short-term</w:t>
            </w:r>
            <w:r w:rsidRPr="004B063A">
              <w:rPr>
                <w:rFonts w:ascii="Arial" w:hAnsi="Arial" w:cs="Arial"/>
                <w:sz w:val="19"/>
                <w:szCs w:val="19"/>
                <w:lang w:val="en-GB"/>
              </w:rPr>
              <w:t xml:space="preserve"> borrowings</w:t>
            </w:r>
          </w:p>
        </w:tc>
        <w:tc>
          <w:tcPr>
            <w:tcW w:w="791" w:type="pct"/>
            <w:tcBorders>
              <w:top w:val="nil"/>
              <w:left w:val="nil"/>
              <w:bottom w:val="single" w:sz="4" w:space="0" w:color="auto"/>
              <w:right w:val="single" w:sz="4" w:space="0" w:color="auto"/>
            </w:tcBorders>
            <w:shd w:val="clear" w:color="auto" w:fill="auto"/>
            <w:noWrap/>
            <w:vAlign w:val="bottom"/>
            <w:hideMark/>
          </w:tcPr>
          <w:p w14:paraId="3F0B8616" w14:textId="715661F7"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2,884,000</w:t>
            </w:r>
          </w:p>
        </w:tc>
        <w:tc>
          <w:tcPr>
            <w:tcW w:w="889" w:type="pct"/>
            <w:tcBorders>
              <w:top w:val="nil"/>
              <w:left w:val="nil"/>
              <w:bottom w:val="single" w:sz="4" w:space="0" w:color="auto"/>
              <w:right w:val="single" w:sz="4" w:space="0" w:color="auto"/>
            </w:tcBorders>
            <w:shd w:val="clear" w:color="auto" w:fill="auto"/>
            <w:noWrap/>
            <w:vAlign w:val="bottom"/>
            <w:hideMark/>
          </w:tcPr>
          <w:p w14:paraId="3823D87A" w14:textId="19F9340C"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1,233,000</w:t>
            </w:r>
          </w:p>
        </w:tc>
        <w:tc>
          <w:tcPr>
            <w:tcW w:w="891" w:type="pct"/>
            <w:tcBorders>
              <w:top w:val="nil"/>
              <w:left w:val="nil"/>
              <w:bottom w:val="single" w:sz="4" w:space="0" w:color="auto"/>
              <w:right w:val="single" w:sz="4" w:space="0" w:color="auto"/>
            </w:tcBorders>
            <w:shd w:val="clear" w:color="auto" w:fill="auto"/>
            <w:noWrap/>
            <w:vAlign w:val="bottom"/>
            <w:hideMark/>
          </w:tcPr>
          <w:p w14:paraId="52349C08"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7385C127"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57E31B78" w14:textId="084E78D2"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(b) Trade </w:t>
            </w:r>
            <w:r w:rsidR="001967C9">
              <w:rPr>
                <w:rFonts w:ascii="Arial" w:hAnsi="Arial" w:cs="Arial"/>
                <w:sz w:val="19"/>
                <w:szCs w:val="19"/>
                <w:lang w:val="en-GB"/>
              </w:rPr>
              <w:t>payables</w:t>
            </w:r>
          </w:p>
        </w:tc>
        <w:tc>
          <w:tcPr>
            <w:tcW w:w="791" w:type="pct"/>
            <w:tcBorders>
              <w:top w:val="nil"/>
              <w:left w:val="nil"/>
              <w:bottom w:val="single" w:sz="4" w:space="0" w:color="auto"/>
              <w:right w:val="single" w:sz="4" w:space="0" w:color="auto"/>
            </w:tcBorders>
            <w:shd w:val="clear" w:color="auto" w:fill="auto"/>
            <w:noWrap/>
            <w:vAlign w:val="bottom"/>
            <w:hideMark/>
          </w:tcPr>
          <w:p w14:paraId="3EA1B165"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5C1F519F" w14:textId="457DB634"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687,164</w:t>
            </w:r>
          </w:p>
        </w:tc>
        <w:tc>
          <w:tcPr>
            <w:tcW w:w="891" w:type="pct"/>
            <w:tcBorders>
              <w:top w:val="nil"/>
              <w:left w:val="nil"/>
              <w:bottom w:val="single" w:sz="4" w:space="0" w:color="auto"/>
              <w:right w:val="single" w:sz="4" w:space="0" w:color="auto"/>
            </w:tcBorders>
            <w:shd w:val="clear" w:color="auto" w:fill="auto"/>
            <w:noWrap/>
            <w:vAlign w:val="bottom"/>
            <w:hideMark/>
          </w:tcPr>
          <w:p w14:paraId="388B2A1D" w14:textId="02C3BF49"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2,283,326</w:t>
            </w:r>
          </w:p>
        </w:tc>
      </w:tr>
      <w:tr w:rsidR="00D73BFC" w:rsidRPr="004B063A" w14:paraId="7E8D66FF"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6D4FEA94" w14:textId="2A8E178E"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(c) Other current </w:t>
            </w:r>
            <w:r w:rsidR="001967C9">
              <w:rPr>
                <w:rFonts w:ascii="Arial" w:hAnsi="Arial" w:cs="Arial"/>
                <w:sz w:val="19"/>
                <w:szCs w:val="19"/>
                <w:lang w:val="en-GB"/>
              </w:rPr>
              <w:t>liabilities</w:t>
            </w:r>
          </w:p>
        </w:tc>
        <w:tc>
          <w:tcPr>
            <w:tcW w:w="791" w:type="pct"/>
            <w:tcBorders>
              <w:top w:val="nil"/>
              <w:left w:val="nil"/>
              <w:bottom w:val="single" w:sz="4" w:space="0" w:color="auto"/>
              <w:right w:val="single" w:sz="4" w:space="0" w:color="auto"/>
            </w:tcBorders>
            <w:shd w:val="clear" w:color="auto" w:fill="auto"/>
            <w:noWrap/>
            <w:vAlign w:val="bottom"/>
            <w:hideMark/>
          </w:tcPr>
          <w:p w14:paraId="2DE721E2"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170BA728" w14:textId="282A79BB"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938,484</w:t>
            </w:r>
          </w:p>
        </w:tc>
        <w:tc>
          <w:tcPr>
            <w:tcW w:w="891" w:type="pct"/>
            <w:tcBorders>
              <w:top w:val="nil"/>
              <w:left w:val="nil"/>
              <w:bottom w:val="single" w:sz="4" w:space="0" w:color="auto"/>
              <w:right w:val="single" w:sz="4" w:space="0" w:color="auto"/>
            </w:tcBorders>
            <w:shd w:val="clear" w:color="auto" w:fill="auto"/>
            <w:noWrap/>
            <w:vAlign w:val="bottom"/>
            <w:hideMark/>
          </w:tcPr>
          <w:p w14:paraId="35186B05" w14:textId="008CCEEF"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6,335,566</w:t>
            </w:r>
          </w:p>
        </w:tc>
      </w:tr>
      <w:tr w:rsidR="00D73BFC" w:rsidRPr="004B063A" w14:paraId="23927A07"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11B5328F" w14:textId="34EB4BB1"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(d) </w:t>
            </w:r>
            <w:r w:rsidR="001967C9">
              <w:rPr>
                <w:rFonts w:ascii="Arial" w:hAnsi="Arial" w:cs="Arial"/>
                <w:sz w:val="19"/>
                <w:szCs w:val="19"/>
                <w:lang w:val="en-GB"/>
              </w:rPr>
              <w:t>Short-term</w:t>
            </w:r>
            <w:r w:rsidRPr="004B063A">
              <w:rPr>
                <w:rFonts w:ascii="Arial" w:hAnsi="Arial" w:cs="Arial"/>
                <w:sz w:val="19"/>
                <w:szCs w:val="19"/>
                <w:lang w:val="en-GB"/>
              </w:rPr>
              <w:t xml:space="preserve"> provisions</w:t>
            </w:r>
          </w:p>
        </w:tc>
        <w:tc>
          <w:tcPr>
            <w:tcW w:w="791" w:type="pct"/>
            <w:tcBorders>
              <w:top w:val="nil"/>
              <w:left w:val="nil"/>
              <w:bottom w:val="single" w:sz="4" w:space="0" w:color="auto"/>
              <w:right w:val="single" w:sz="4" w:space="0" w:color="auto"/>
            </w:tcBorders>
            <w:shd w:val="clear" w:color="auto" w:fill="auto"/>
            <w:noWrap/>
            <w:vAlign w:val="bottom"/>
            <w:hideMark/>
          </w:tcPr>
          <w:p w14:paraId="6F615D68" w14:textId="41C386DD"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86,843</w:t>
            </w:r>
          </w:p>
        </w:tc>
        <w:tc>
          <w:tcPr>
            <w:tcW w:w="889" w:type="pct"/>
            <w:tcBorders>
              <w:top w:val="nil"/>
              <w:left w:val="nil"/>
              <w:bottom w:val="single" w:sz="4" w:space="0" w:color="auto"/>
              <w:right w:val="single" w:sz="4" w:space="0" w:color="auto"/>
            </w:tcBorders>
            <w:shd w:val="clear" w:color="auto" w:fill="auto"/>
            <w:noWrap/>
            <w:vAlign w:val="bottom"/>
            <w:hideMark/>
          </w:tcPr>
          <w:p w14:paraId="0549473C" w14:textId="0519AF28"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8,571</w:t>
            </w:r>
          </w:p>
        </w:tc>
        <w:tc>
          <w:tcPr>
            <w:tcW w:w="891" w:type="pct"/>
            <w:tcBorders>
              <w:top w:val="nil"/>
              <w:left w:val="nil"/>
              <w:bottom w:val="single" w:sz="4" w:space="0" w:color="auto"/>
              <w:right w:val="single" w:sz="4" w:space="0" w:color="auto"/>
            </w:tcBorders>
            <w:shd w:val="clear" w:color="auto" w:fill="auto"/>
            <w:noWrap/>
            <w:vAlign w:val="bottom"/>
            <w:hideMark/>
          </w:tcPr>
          <w:p w14:paraId="673E845D" w14:textId="45614BAD"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33,032</w:t>
            </w:r>
          </w:p>
        </w:tc>
      </w:tr>
      <w:tr w:rsidR="00D73BFC" w:rsidRPr="004B063A" w14:paraId="0AB8EE9E"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45602EDE" w14:textId="618C3C19"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T</w:t>
            </w:r>
            <w:r w:rsidR="006D738D">
              <w:rPr>
                <w:rFonts w:ascii="Arial" w:hAnsi="Arial" w:cs="Arial"/>
                <w:b/>
                <w:bCs/>
                <w:sz w:val="19"/>
                <w:szCs w:val="19"/>
                <w:lang w:val="en-GB"/>
              </w:rPr>
              <w:t>otal</w:t>
            </w:r>
          </w:p>
        </w:tc>
        <w:tc>
          <w:tcPr>
            <w:tcW w:w="791" w:type="pct"/>
            <w:tcBorders>
              <w:top w:val="nil"/>
              <w:left w:val="nil"/>
              <w:bottom w:val="single" w:sz="4" w:space="0" w:color="auto"/>
              <w:right w:val="single" w:sz="4" w:space="0" w:color="auto"/>
            </w:tcBorders>
            <w:shd w:val="clear" w:color="auto" w:fill="auto"/>
            <w:noWrap/>
            <w:vAlign w:val="bottom"/>
            <w:hideMark/>
          </w:tcPr>
          <w:p w14:paraId="15F2C9B3" w14:textId="06AC5340"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5,083,982</w:t>
            </w:r>
          </w:p>
        </w:tc>
        <w:tc>
          <w:tcPr>
            <w:tcW w:w="889" w:type="pct"/>
            <w:tcBorders>
              <w:top w:val="nil"/>
              <w:left w:val="nil"/>
              <w:bottom w:val="single" w:sz="4" w:space="0" w:color="auto"/>
              <w:right w:val="single" w:sz="4" w:space="0" w:color="auto"/>
            </w:tcBorders>
            <w:shd w:val="clear" w:color="auto" w:fill="auto"/>
            <w:noWrap/>
            <w:vAlign w:val="bottom"/>
            <w:hideMark/>
          </w:tcPr>
          <w:p w14:paraId="1E30A3B5" w14:textId="1C027267"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64,212,382</w:t>
            </w:r>
          </w:p>
        </w:tc>
        <w:tc>
          <w:tcPr>
            <w:tcW w:w="891" w:type="pct"/>
            <w:tcBorders>
              <w:top w:val="nil"/>
              <w:left w:val="nil"/>
              <w:bottom w:val="single" w:sz="4" w:space="0" w:color="auto"/>
              <w:right w:val="single" w:sz="4" w:space="0" w:color="auto"/>
            </w:tcBorders>
            <w:shd w:val="clear" w:color="auto" w:fill="auto"/>
            <w:noWrap/>
            <w:vAlign w:val="bottom"/>
            <w:hideMark/>
          </w:tcPr>
          <w:p w14:paraId="4B051BC3" w14:textId="24EB9D15"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68,752,488</w:t>
            </w:r>
          </w:p>
        </w:tc>
      </w:tr>
      <w:tr w:rsidR="00D73BFC" w:rsidRPr="004B063A" w14:paraId="58915880"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73A6D632" w14:textId="5BEA7554"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A</w:t>
            </w:r>
            <w:r w:rsidR="006D738D">
              <w:rPr>
                <w:rFonts w:ascii="Arial" w:hAnsi="Arial" w:cs="Arial"/>
                <w:b/>
                <w:bCs/>
                <w:sz w:val="19"/>
                <w:szCs w:val="19"/>
                <w:lang w:val="en-GB"/>
              </w:rPr>
              <w:t>ssets</w:t>
            </w:r>
          </w:p>
        </w:tc>
        <w:tc>
          <w:tcPr>
            <w:tcW w:w="791" w:type="pct"/>
            <w:tcBorders>
              <w:top w:val="nil"/>
              <w:left w:val="nil"/>
              <w:bottom w:val="single" w:sz="4" w:space="0" w:color="auto"/>
              <w:right w:val="single" w:sz="4" w:space="0" w:color="auto"/>
            </w:tcBorders>
            <w:shd w:val="clear" w:color="auto" w:fill="auto"/>
            <w:noWrap/>
            <w:vAlign w:val="bottom"/>
            <w:hideMark/>
          </w:tcPr>
          <w:p w14:paraId="62744236"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211CE9CF"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91" w:type="pct"/>
            <w:tcBorders>
              <w:top w:val="nil"/>
              <w:left w:val="nil"/>
              <w:bottom w:val="single" w:sz="4" w:space="0" w:color="auto"/>
              <w:right w:val="single" w:sz="4" w:space="0" w:color="auto"/>
            </w:tcBorders>
            <w:shd w:val="clear" w:color="auto" w:fill="auto"/>
            <w:noWrap/>
            <w:vAlign w:val="bottom"/>
            <w:hideMark/>
          </w:tcPr>
          <w:p w14:paraId="6D427C05"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2E02F280"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5AFCF9F8" w14:textId="7DF5E2ED"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w:t>
            </w:r>
            <w:proofErr w:type="spellStart"/>
            <w:r w:rsidRPr="004B063A">
              <w:rPr>
                <w:rFonts w:ascii="Arial" w:hAnsi="Arial" w:cs="Arial"/>
                <w:sz w:val="19"/>
                <w:szCs w:val="19"/>
                <w:lang w:val="en-GB"/>
              </w:rPr>
              <w:t>i</w:t>
            </w:r>
            <w:proofErr w:type="spellEnd"/>
            <w:r w:rsidRPr="004B063A">
              <w:rPr>
                <w:rFonts w:ascii="Arial" w:hAnsi="Arial" w:cs="Arial"/>
                <w:sz w:val="19"/>
                <w:szCs w:val="19"/>
                <w:lang w:val="en-GB"/>
              </w:rPr>
              <w:t xml:space="preserve">) Tangible </w:t>
            </w:r>
            <w:r w:rsidR="001967C9">
              <w:rPr>
                <w:rFonts w:ascii="Arial" w:hAnsi="Arial" w:cs="Arial"/>
                <w:sz w:val="19"/>
                <w:szCs w:val="19"/>
                <w:lang w:val="en-GB"/>
              </w:rPr>
              <w:t>assets</w:t>
            </w:r>
          </w:p>
        </w:tc>
        <w:tc>
          <w:tcPr>
            <w:tcW w:w="791" w:type="pct"/>
            <w:tcBorders>
              <w:top w:val="nil"/>
              <w:left w:val="nil"/>
              <w:bottom w:val="single" w:sz="4" w:space="0" w:color="auto"/>
              <w:right w:val="single" w:sz="4" w:space="0" w:color="auto"/>
            </w:tcBorders>
            <w:shd w:val="clear" w:color="auto" w:fill="auto"/>
            <w:noWrap/>
            <w:vAlign w:val="bottom"/>
            <w:hideMark/>
          </w:tcPr>
          <w:p w14:paraId="360E8645" w14:textId="5D0F960E"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128,975</w:t>
            </w:r>
          </w:p>
        </w:tc>
        <w:tc>
          <w:tcPr>
            <w:tcW w:w="889" w:type="pct"/>
            <w:tcBorders>
              <w:top w:val="nil"/>
              <w:left w:val="nil"/>
              <w:bottom w:val="single" w:sz="4" w:space="0" w:color="auto"/>
              <w:right w:val="single" w:sz="4" w:space="0" w:color="auto"/>
            </w:tcBorders>
            <w:shd w:val="clear" w:color="auto" w:fill="auto"/>
            <w:noWrap/>
            <w:vAlign w:val="bottom"/>
            <w:hideMark/>
          </w:tcPr>
          <w:p w14:paraId="6641E379" w14:textId="39FC8FF2"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657,494</w:t>
            </w:r>
          </w:p>
        </w:tc>
        <w:tc>
          <w:tcPr>
            <w:tcW w:w="891" w:type="pct"/>
            <w:tcBorders>
              <w:top w:val="nil"/>
              <w:left w:val="nil"/>
              <w:bottom w:val="single" w:sz="4" w:space="0" w:color="auto"/>
              <w:right w:val="single" w:sz="4" w:space="0" w:color="auto"/>
            </w:tcBorders>
            <w:shd w:val="clear" w:color="auto" w:fill="auto"/>
            <w:noWrap/>
            <w:vAlign w:val="bottom"/>
            <w:hideMark/>
          </w:tcPr>
          <w:p w14:paraId="08C09411" w14:textId="292B103B"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3,057,135</w:t>
            </w:r>
          </w:p>
        </w:tc>
      </w:tr>
      <w:tr w:rsidR="00D73BFC" w:rsidRPr="004B063A" w14:paraId="2DF9A4F5"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421DF39D" w14:textId="741A6EB0"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(ii) Intangible </w:t>
            </w:r>
            <w:r w:rsidR="001967C9">
              <w:rPr>
                <w:rFonts w:ascii="Arial" w:hAnsi="Arial" w:cs="Arial"/>
                <w:sz w:val="19"/>
                <w:szCs w:val="19"/>
                <w:lang w:val="en-GB"/>
              </w:rPr>
              <w:t>assets</w:t>
            </w:r>
          </w:p>
        </w:tc>
        <w:tc>
          <w:tcPr>
            <w:tcW w:w="791" w:type="pct"/>
            <w:tcBorders>
              <w:top w:val="nil"/>
              <w:left w:val="nil"/>
              <w:bottom w:val="single" w:sz="4" w:space="0" w:color="auto"/>
              <w:right w:val="single" w:sz="4" w:space="0" w:color="auto"/>
            </w:tcBorders>
            <w:shd w:val="clear" w:color="auto" w:fill="auto"/>
            <w:noWrap/>
            <w:vAlign w:val="bottom"/>
            <w:hideMark/>
          </w:tcPr>
          <w:p w14:paraId="1217A315" w14:textId="35154C2D"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160,384</w:t>
            </w:r>
          </w:p>
        </w:tc>
        <w:tc>
          <w:tcPr>
            <w:tcW w:w="889" w:type="pct"/>
            <w:tcBorders>
              <w:top w:val="nil"/>
              <w:left w:val="nil"/>
              <w:bottom w:val="single" w:sz="4" w:space="0" w:color="auto"/>
              <w:right w:val="single" w:sz="4" w:space="0" w:color="auto"/>
            </w:tcBorders>
            <w:shd w:val="clear" w:color="auto" w:fill="auto"/>
            <w:noWrap/>
            <w:vAlign w:val="bottom"/>
            <w:hideMark/>
          </w:tcPr>
          <w:p w14:paraId="2FD81653" w14:textId="0D18261B"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618,318</w:t>
            </w:r>
          </w:p>
        </w:tc>
        <w:tc>
          <w:tcPr>
            <w:tcW w:w="891" w:type="pct"/>
            <w:tcBorders>
              <w:top w:val="nil"/>
              <w:left w:val="nil"/>
              <w:bottom w:val="single" w:sz="4" w:space="0" w:color="auto"/>
              <w:right w:val="single" w:sz="4" w:space="0" w:color="auto"/>
            </w:tcBorders>
            <w:shd w:val="clear" w:color="auto" w:fill="auto"/>
            <w:noWrap/>
            <w:vAlign w:val="bottom"/>
            <w:hideMark/>
          </w:tcPr>
          <w:p w14:paraId="0FDD42C0" w14:textId="727A7F6B"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3,348,894</w:t>
            </w:r>
          </w:p>
        </w:tc>
      </w:tr>
      <w:tr w:rsidR="00D73BFC" w:rsidRPr="004B063A" w14:paraId="3CDA8552"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5D3A255E"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(iv) Intangible assets under development</w:t>
            </w:r>
          </w:p>
        </w:tc>
        <w:tc>
          <w:tcPr>
            <w:tcW w:w="791" w:type="pct"/>
            <w:tcBorders>
              <w:top w:val="nil"/>
              <w:left w:val="nil"/>
              <w:bottom w:val="single" w:sz="4" w:space="0" w:color="auto"/>
              <w:right w:val="single" w:sz="4" w:space="0" w:color="auto"/>
            </w:tcBorders>
            <w:shd w:val="clear" w:color="auto" w:fill="auto"/>
            <w:noWrap/>
            <w:vAlign w:val="bottom"/>
            <w:hideMark/>
          </w:tcPr>
          <w:p w14:paraId="1AB8633D" w14:textId="6077331D"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0</w:t>
            </w:r>
          </w:p>
        </w:tc>
        <w:tc>
          <w:tcPr>
            <w:tcW w:w="889" w:type="pct"/>
            <w:tcBorders>
              <w:top w:val="nil"/>
              <w:left w:val="nil"/>
              <w:bottom w:val="single" w:sz="4" w:space="0" w:color="auto"/>
              <w:right w:val="single" w:sz="4" w:space="0" w:color="auto"/>
            </w:tcBorders>
            <w:shd w:val="clear" w:color="auto" w:fill="auto"/>
            <w:noWrap/>
            <w:vAlign w:val="bottom"/>
            <w:hideMark/>
          </w:tcPr>
          <w:p w14:paraId="2EC3D7B4" w14:textId="57F0DA7E"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511,575</w:t>
            </w:r>
          </w:p>
        </w:tc>
        <w:tc>
          <w:tcPr>
            <w:tcW w:w="891" w:type="pct"/>
            <w:tcBorders>
              <w:top w:val="nil"/>
              <w:left w:val="nil"/>
              <w:bottom w:val="single" w:sz="4" w:space="0" w:color="auto"/>
              <w:right w:val="single" w:sz="4" w:space="0" w:color="auto"/>
            </w:tcBorders>
            <w:shd w:val="clear" w:color="auto" w:fill="auto"/>
            <w:noWrap/>
            <w:vAlign w:val="bottom"/>
            <w:hideMark/>
          </w:tcPr>
          <w:p w14:paraId="2A36E53D" w14:textId="4DFAF062"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0</w:t>
            </w:r>
          </w:p>
        </w:tc>
      </w:tr>
      <w:tr w:rsidR="00D73BFC" w:rsidRPr="004B063A" w14:paraId="63022016"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2639626C" w14:textId="2EE4CCEC"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(a) </w:t>
            </w:r>
            <w:r w:rsidR="001967C9">
              <w:rPr>
                <w:rFonts w:ascii="Arial" w:hAnsi="Arial" w:cs="Arial"/>
                <w:sz w:val="19"/>
                <w:szCs w:val="19"/>
                <w:lang w:val="en-GB"/>
              </w:rPr>
              <w:t>Long-term</w:t>
            </w:r>
            <w:r w:rsidRPr="004B063A">
              <w:rPr>
                <w:rFonts w:ascii="Arial" w:hAnsi="Arial" w:cs="Arial"/>
                <w:sz w:val="19"/>
                <w:szCs w:val="19"/>
                <w:lang w:val="en-GB"/>
              </w:rPr>
              <w:t xml:space="preserve"> loans and advances</w:t>
            </w:r>
          </w:p>
        </w:tc>
        <w:tc>
          <w:tcPr>
            <w:tcW w:w="791" w:type="pct"/>
            <w:tcBorders>
              <w:top w:val="nil"/>
              <w:left w:val="nil"/>
              <w:bottom w:val="single" w:sz="4" w:space="0" w:color="auto"/>
              <w:right w:val="single" w:sz="4" w:space="0" w:color="auto"/>
            </w:tcBorders>
            <w:shd w:val="clear" w:color="auto" w:fill="auto"/>
            <w:noWrap/>
            <w:vAlign w:val="bottom"/>
            <w:hideMark/>
          </w:tcPr>
          <w:p w14:paraId="02819597"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405478DA" w14:textId="1A96541A"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1,795,663</w:t>
            </w:r>
          </w:p>
        </w:tc>
        <w:tc>
          <w:tcPr>
            <w:tcW w:w="891" w:type="pct"/>
            <w:tcBorders>
              <w:top w:val="nil"/>
              <w:left w:val="nil"/>
              <w:bottom w:val="single" w:sz="4" w:space="0" w:color="auto"/>
              <w:right w:val="single" w:sz="4" w:space="0" w:color="auto"/>
            </w:tcBorders>
            <w:shd w:val="clear" w:color="auto" w:fill="auto"/>
            <w:noWrap/>
            <w:vAlign w:val="bottom"/>
            <w:hideMark/>
          </w:tcPr>
          <w:p w14:paraId="03AD297B" w14:textId="14251F2C"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4,394,882</w:t>
            </w:r>
          </w:p>
        </w:tc>
      </w:tr>
      <w:tr w:rsidR="00D73BFC" w:rsidRPr="004B063A" w14:paraId="4D9400EB"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6395D2DE" w14:textId="6F299786"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 xml:space="preserve">Current </w:t>
            </w:r>
            <w:r w:rsidR="001967C9">
              <w:rPr>
                <w:rFonts w:ascii="Arial" w:hAnsi="Arial" w:cs="Arial"/>
                <w:b/>
                <w:bCs/>
                <w:sz w:val="19"/>
                <w:szCs w:val="19"/>
                <w:lang w:val="en-GB"/>
              </w:rPr>
              <w:t>assets</w:t>
            </w:r>
          </w:p>
        </w:tc>
        <w:tc>
          <w:tcPr>
            <w:tcW w:w="791" w:type="pct"/>
            <w:tcBorders>
              <w:top w:val="nil"/>
              <w:left w:val="nil"/>
              <w:bottom w:val="single" w:sz="4" w:space="0" w:color="auto"/>
              <w:right w:val="single" w:sz="4" w:space="0" w:color="auto"/>
            </w:tcBorders>
            <w:shd w:val="clear" w:color="auto" w:fill="auto"/>
            <w:noWrap/>
            <w:vAlign w:val="bottom"/>
            <w:hideMark/>
          </w:tcPr>
          <w:p w14:paraId="05C7778D"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50421B16"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91" w:type="pct"/>
            <w:tcBorders>
              <w:top w:val="nil"/>
              <w:left w:val="nil"/>
              <w:bottom w:val="single" w:sz="4" w:space="0" w:color="auto"/>
              <w:right w:val="single" w:sz="4" w:space="0" w:color="auto"/>
            </w:tcBorders>
            <w:shd w:val="clear" w:color="auto" w:fill="auto"/>
            <w:noWrap/>
            <w:vAlign w:val="bottom"/>
            <w:hideMark/>
          </w:tcPr>
          <w:p w14:paraId="1316040B"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3024AF58"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41F404EC"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(a) Trade receivables</w:t>
            </w:r>
          </w:p>
        </w:tc>
        <w:tc>
          <w:tcPr>
            <w:tcW w:w="791" w:type="pct"/>
            <w:tcBorders>
              <w:top w:val="nil"/>
              <w:left w:val="nil"/>
              <w:bottom w:val="single" w:sz="4" w:space="0" w:color="auto"/>
              <w:right w:val="single" w:sz="4" w:space="0" w:color="auto"/>
            </w:tcBorders>
            <w:shd w:val="clear" w:color="auto" w:fill="auto"/>
            <w:noWrap/>
            <w:vAlign w:val="bottom"/>
            <w:hideMark/>
          </w:tcPr>
          <w:p w14:paraId="496DAB80" w14:textId="29A6E6E4"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80,000</w:t>
            </w:r>
          </w:p>
        </w:tc>
        <w:tc>
          <w:tcPr>
            <w:tcW w:w="889" w:type="pct"/>
            <w:tcBorders>
              <w:top w:val="nil"/>
              <w:left w:val="nil"/>
              <w:bottom w:val="single" w:sz="4" w:space="0" w:color="auto"/>
              <w:right w:val="single" w:sz="4" w:space="0" w:color="auto"/>
            </w:tcBorders>
            <w:shd w:val="clear" w:color="auto" w:fill="auto"/>
            <w:noWrap/>
            <w:vAlign w:val="bottom"/>
            <w:hideMark/>
          </w:tcPr>
          <w:p w14:paraId="0F591835" w14:textId="02F4925F"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713,651</w:t>
            </w:r>
          </w:p>
        </w:tc>
        <w:tc>
          <w:tcPr>
            <w:tcW w:w="891" w:type="pct"/>
            <w:tcBorders>
              <w:top w:val="nil"/>
              <w:left w:val="nil"/>
              <w:bottom w:val="single" w:sz="4" w:space="0" w:color="auto"/>
              <w:right w:val="single" w:sz="4" w:space="0" w:color="auto"/>
            </w:tcBorders>
            <w:shd w:val="clear" w:color="auto" w:fill="auto"/>
            <w:noWrap/>
            <w:vAlign w:val="bottom"/>
            <w:hideMark/>
          </w:tcPr>
          <w:p w14:paraId="68026066" w14:textId="7B9FFC4F"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6,163,580</w:t>
            </w:r>
          </w:p>
        </w:tc>
      </w:tr>
      <w:tr w:rsidR="00D73BFC" w:rsidRPr="004B063A" w14:paraId="618FDA32"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0A677D31"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(b) Cash and cash equivalents</w:t>
            </w:r>
          </w:p>
        </w:tc>
        <w:tc>
          <w:tcPr>
            <w:tcW w:w="791" w:type="pct"/>
            <w:tcBorders>
              <w:top w:val="nil"/>
              <w:left w:val="nil"/>
              <w:bottom w:val="single" w:sz="4" w:space="0" w:color="auto"/>
              <w:right w:val="single" w:sz="4" w:space="0" w:color="auto"/>
            </w:tcBorders>
            <w:shd w:val="clear" w:color="auto" w:fill="auto"/>
            <w:noWrap/>
            <w:vAlign w:val="bottom"/>
            <w:hideMark/>
          </w:tcPr>
          <w:p w14:paraId="3F3A7972" w14:textId="439F4C93"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4,639,996</w:t>
            </w:r>
          </w:p>
        </w:tc>
        <w:tc>
          <w:tcPr>
            <w:tcW w:w="889" w:type="pct"/>
            <w:tcBorders>
              <w:top w:val="nil"/>
              <w:left w:val="nil"/>
              <w:bottom w:val="single" w:sz="4" w:space="0" w:color="auto"/>
              <w:right w:val="single" w:sz="4" w:space="0" w:color="auto"/>
            </w:tcBorders>
            <w:shd w:val="clear" w:color="auto" w:fill="auto"/>
            <w:noWrap/>
            <w:vAlign w:val="bottom"/>
            <w:hideMark/>
          </w:tcPr>
          <w:p w14:paraId="4151F08B" w14:textId="51498722"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57,117,429</w:t>
            </w:r>
          </w:p>
        </w:tc>
        <w:tc>
          <w:tcPr>
            <w:tcW w:w="891" w:type="pct"/>
            <w:tcBorders>
              <w:top w:val="nil"/>
              <w:left w:val="nil"/>
              <w:bottom w:val="single" w:sz="4" w:space="0" w:color="auto"/>
              <w:right w:val="single" w:sz="4" w:space="0" w:color="auto"/>
            </w:tcBorders>
            <w:shd w:val="clear" w:color="auto" w:fill="auto"/>
            <w:noWrap/>
            <w:vAlign w:val="bottom"/>
            <w:hideMark/>
          </w:tcPr>
          <w:p w14:paraId="7F85CE12" w14:textId="0CD1F421"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46,656,552</w:t>
            </w:r>
          </w:p>
        </w:tc>
      </w:tr>
      <w:tr w:rsidR="00D73BFC" w:rsidRPr="004B063A" w14:paraId="7B9CF250"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66B2A726" w14:textId="6D8F421E"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(c) </w:t>
            </w:r>
            <w:r w:rsidR="001967C9">
              <w:rPr>
                <w:rFonts w:ascii="Arial" w:hAnsi="Arial" w:cs="Arial"/>
                <w:sz w:val="19"/>
                <w:szCs w:val="19"/>
                <w:lang w:val="en-GB"/>
              </w:rPr>
              <w:t>Short-term</w:t>
            </w:r>
            <w:r w:rsidRPr="004B063A">
              <w:rPr>
                <w:rFonts w:ascii="Arial" w:hAnsi="Arial" w:cs="Arial"/>
                <w:sz w:val="19"/>
                <w:szCs w:val="19"/>
                <w:lang w:val="en-GB"/>
              </w:rPr>
              <w:t xml:space="preserve"> loans and advances</w:t>
            </w:r>
          </w:p>
        </w:tc>
        <w:tc>
          <w:tcPr>
            <w:tcW w:w="791" w:type="pct"/>
            <w:tcBorders>
              <w:top w:val="nil"/>
              <w:left w:val="nil"/>
              <w:bottom w:val="single" w:sz="4" w:space="0" w:color="auto"/>
              <w:right w:val="single" w:sz="4" w:space="0" w:color="auto"/>
            </w:tcBorders>
            <w:shd w:val="clear" w:color="auto" w:fill="auto"/>
            <w:noWrap/>
            <w:vAlign w:val="bottom"/>
            <w:hideMark/>
          </w:tcPr>
          <w:p w14:paraId="6EC347BA" w14:textId="2BE87894"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74,627</w:t>
            </w:r>
          </w:p>
        </w:tc>
        <w:tc>
          <w:tcPr>
            <w:tcW w:w="889" w:type="pct"/>
            <w:tcBorders>
              <w:top w:val="nil"/>
              <w:left w:val="nil"/>
              <w:bottom w:val="single" w:sz="4" w:space="0" w:color="auto"/>
              <w:right w:val="single" w:sz="4" w:space="0" w:color="auto"/>
            </w:tcBorders>
            <w:shd w:val="clear" w:color="auto" w:fill="auto"/>
            <w:noWrap/>
            <w:vAlign w:val="bottom"/>
            <w:hideMark/>
          </w:tcPr>
          <w:p w14:paraId="54A38C20" w14:textId="10668D07"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606,219</w:t>
            </w:r>
          </w:p>
        </w:tc>
        <w:tc>
          <w:tcPr>
            <w:tcW w:w="891" w:type="pct"/>
            <w:tcBorders>
              <w:top w:val="nil"/>
              <w:left w:val="nil"/>
              <w:bottom w:val="single" w:sz="4" w:space="0" w:color="auto"/>
              <w:right w:val="single" w:sz="4" w:space="0" w:color="auto"/>
            </w:tcBorders>
            <w:shd w:val="clear" w:color="auto" w:fill="auto"/>
            <w:noWrap/>
            <w:vAlign w:val="bottom"/>
            <w:hideMark/>
          </w:tcPr>
          <w:p w14:paraId="214394A6" w14:textId="493CEF0E"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1,188,592</w:t>
            </w:r>
          </w:p>
        </w:tc>
      </w:tr>
      <w:tr w:rsidR="00D73BFC" w:rsidRPr="004B063A" w14:paraId="17006483"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4F08EED5"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(d) Other current assets</w:t>
            </w:r>
          </w:p>
        </w:tc>
        <w:tc>
          <w:tcPr>
            <w:tcW w:w="791" w:type="pct"/>
            <w:tcBorders>
              <w:top w:val="nil"/>
              <w:left w:val="nil"/>
              <w:bottom w:val="single" w:sz="4" w:space="0" w:color="auto"/>
              <w:right w:val="single" w:sz="4" w:space="0" w:color="auto"/>
            </w:tcBorders>
            <w:shd w:val="clear" w:color="auto" w:fill="auto"/>
            <w:noWrap/>
            <w:vAlign w:val="bottom"/>
            <w:hideMark/>
          </w:tcPr>
          <w:p w14:paraId="24BF4051"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889" w:type="pct"/>
            <w:tcBorders>
              <w:top w:val="nil"/>
              <w:left w:val="nil"/>
              <w:bottom w:val="single" w:sz="4" w:space="0" w:color="auto"/>
              <w:right w:val="single" w:sz="4" w:space="0" w:color="auto"/>
            </w:tcBorders>
            <w:shd w:val="clear" w:color="auto" w:fill="auto"/>
            <w:noWrap/>
            <w:vAlign w:val="bottom"/>
            <w:hideMark/>
          </w:tcPr>
          <w:p w14:paraId="58131C38" w14:textId="41ABB7B0"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2,191,583</w:t>
            </w:r>
          </w:p>
        </w:tc>
        <w:tc>
          <w:tcPr>
            <w:tcW w:w="891" w:type="pct"/>
            <w:tcBorders>
              <w:top w:val="nil"/>
              <w:left w:val="nil"/>
              <w:bottom w:val="single" w:sz="4" w:space="0" w:color="auto"/>
              <w:right w:val="single" w:sz="4" w:space="0" w:color="auto"/>
            </w:tcBorders>
            <w:shd w:val="clear" w:color="auto" w:fill="auto"/>
            <w:noWrap/>
            <w:vAlign w:val="bottom"/>
            <w:hideMark/>
          </w:tcPr>
          <w:p w14:paraId="702E8468" w14:textId="73B2BF57"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3,942,853</w:t>
            </w:r>
          </w:p>
        </w:tc>
      </w:tr>
      <w:tr w:rsidR="00D73BFC" w:rsidRPr="004B063A" w14:paraId="0F2C613A" w14:textId="77777777" w:rsidTr="00EC6FE0">
        <w:trPr>
          <w:trHeight w:val="60"/>
          <w:jc w:val="center"/>
        </w:trPr>
        <w:tc>
          <w:tcPr>
            <w:tcW w:w="2429" w:type="pct"/>
            <w:tcBorders>
              <w:top w:val="nil"/>
              <w:left w:val="single" w:sz="4" w:space="0" w:color="auto"/>
              <w:bottom w:val="single" w:sz="4" w:space="0" w:color="auto"/>
              <w:right w:val="single" w:sz="4" w:space="0" w:color="auto"/>
            </w:tcBorders>
            <w:shd w:val="clear" w:color="auto" w:fill="auto"/>
            <w:noWrap/>
            <w:vAlign w:val="bottom"/>
            <w:hideMark/>
          </w:tcPr>
          <w:p w14:paraId="051CAD7E" w14:textId="4CA40715" w:rsidR="00D73BFC" w:rsidRPr="004B063A" w:rsidRDefault="00D73BFC" w:rsidP="004E20FC">
            <w:pPr>
              <w:rPr>
                <w:rFonts w:ascii="Arial" w:hAnsi="Arial" w:cs="Arial"/>
                <w:b/>
                <w:sz w:val="19"/>
                <w:szCs w:val="19"/>
                <w:lang w:val="en-GB"/>
              </w:rPr>
            </w:pPr>
            <w:r w:rsidRPr="004B063A">
              <w:rPr>
                <w:rFonts w:ascii="Arial" w:hAnsi="Arial" w:cs="Arial"/>
                <w:b/>
                <w:sz w:val="19"/>
                <w:szCs w:val="19"/>
                <w:lang w:val="en-GB"/>
              </w:rPr>
              <w:t>T</w:t>
            </w:r>
            <w:r w:rsidR="006D738D">
              <w:rPr>
                <w:rFonts w:ascii="Arial" w:hAnsi="Arial" w:cs="Arial"/>
                <w:b/>
                <w:sz w:val="19"/>
                <w:szCs w:val="19"/>
                <w:lang w:val="en-GB"/>
              </w:rPr>
              <w:t>otal</w:t>
            </w:r>
          </w:p>
        </w:tc>
        <w:tc>
          <w:tcPr>
            <w:tcW w:w="791" w:type="pct"/>
            <w:tcBorders>
              <w:top w:val="nil"/>
              <w:left w:val="nil"/>
              <w:bottom w:val="single" w:sz="4" w:space="0" w:color="auto"/>
              <w:right w:val="single" w:sz="4" w:space="0" w:color="auto"/>
            </w:tcBorders>
            <w:shd w:val="clear" w:color="auto" w:fill="auto"/>
            <w:noWrap/>
            <w:vAlign w:val="bottom"/>
            <w:hideMark/>
          </w:tcPr>
          <w:p w14:paraId="38385B38" w14:textId="2B6355BB"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5,083,982</w:t>
            </w:r>
          </w:p>
        </w:tc>
        <w:tc>
          <w:tcPr>
            <w:tcW w:w="889" w:type="pct"/>
            <w:tcBorders>
              <w:top w:val="nil"/>
              <w:left w:val="nil"/>
              <w:bottom w:val="single" w:sz="4" w:space="0" w:color="auto"/>
              <w:right w:val="single" w:sz="4" w:space="0" w:color="auto"/>
            </w:tcBorders>
            <w:shd w:val="clear" w:color="auto" w:fill="auto"/>
            <w:noWrap/>
            <w:vAlign w:val="bottom"/>
            <w:hideMark/>
          </w:tcPr>
          <w:p w14:paraId="65103FC5" w14:textId="1CDCBAC8"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64,211,932</w:t>
            </w:r>
          </w:p>
        </w:tc>
        <w:tc>
          <w:tcPr>
            <w:tcW w:w="891" w:type="pct"/>
            <w:tcBorders>
              <w:top w:val="nil"/>
              <w:left w:val="nil"/>
              <w:bottom w:val="single" w:sz="4" w:space="0" w:color="auto"/>
              <w:right w:val="single" w:sz="4" w:space="0" w:color="auto"/>
            </w:tcBorders>
            <w:shd w:val="clear" w:color="auto" w:fill="auto"/>
            <w:noWrap/>
            <w:vAlign w:val="bottom"/>
            <w:hideMark/>
          </w:tcPr>
          <w:p w14:paraId="3B6B4CE5" w14:textId="5AF647F2"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68,752,488</w:t>
            </w:r>
          </w:p>
        </w:tc>
      </w:tr>
    </w:tbl>
    <w:p w14:paraId="5B514198" w14:textId="77777777" w:rsidR="00831868" w:rsidRPr="004B063A" w:rsidRDefault="00831868" w:rsidP="00831868">
      <w:pPr>
        <w:pStyle w:val="BodyTextMain"/>
        <w:rPr>
          <w:lang w:val="en-GB"/>
        </w:rPr>
      </w:pPr>
    </w:p>
    <w:p w14:paraId="574E56DC" w14:textId="77777777" w:rsidR="00831868" w:rsidRPr="004B063A" w:rsidRDefault="00831868" w:rsidP="00831868">
      <w:pPr>
        <w:pStyle w:val="BodyTextMain"/>
        <w:rPr>
          <w:lang w:val="en-GB"/>
        </w:rPr>
      </w:pPr>
    </w:p>
    <w:p w14:paraId="349AA405" w14:textId="7B9A0CD3" w:rsidR="00831868" w:rsidRPr="004B063A" w:rsidRDefault="00831868" w:rsidP="00831868">
      <w:pPr>
        <w:pStyle w:val="Casehead2"/>
        <w:rPr>
          <w:lang w:val="en-GB"/>
        </w:rPr>
      </w:pPr>
      <w:r w:rsidRPr="004B063A">
        <w:rPr>
          <w:lang w:val="en-GB"/>
        </w:rPr>
        <w:t xml:space="preserve">Income </w:t>
      </w:r>
      <w:r w:rsidR="009D3705">
        <w:rPr>
          <w:lang w:val="en-GB"/>
        </w:rPr>
        <w:t>s</w:t>
      </w:r>
      <w:r w:rsidRPr="004B063A">
        <w:rPr>
          <w:lang w:val="en-GB"/>
        </w:rPr>
        <w:t>tatement as on March 31</w:t>
      </w:r>
      <w:r w:rsidR="009D3705">
        <w:rPr>
          <w:lang w:val="en-GB"/>
        </w:rPr>
        <w:t xml:space="preserve"> </w:t>
      </w:r>
      <w:r w:rsidRPr="004B063A">
        <w:rPr>
          <w:lang w:val="en-GB"/>
        </w:rPr>
        <w:t>of the year ending</w:t>
      </w:r>
    </w:p>
    <w:p w14:paraId="73670C50" w14:textId="77777777" w:rsidR="00831868" w:rsidRPr="004B063A" w:rsidRDefault="00831868" w:rsidP="00831868">
      <w:pPr>
        <w:pStyle w:val="BodyTextMain"/>
        <w:rPr>
          <w:lang w:val="en-GB"/>
        </w:rPr>
      </w:pPr>
    </w:p>
    <w:tbl>
      <w:tblPr>
        <w:tblW w:w="6848" w:type="dxa"/>
        <w:jc w:val="center"/>
        <w:tblLook w:val="04A0" w:firstRow="1" w:lastRow="0" w:firstColumn="1" w:lastColumn="0" w:noHBand="0" w:noVBand="1"/>
      </w:tblPr>
      <w:tblGrid>
        <w:gridCol w:w="2847"/>
        <w:gridCol w:w="1301"/>
        <w:gridCol w:w="1260"/>
        <w:gridCol w:w="1440"/>
      </w:tblGrid>
      <w:tr w:rsidR="00D73BFC" w:rsidRPr="004B063A" w14:paraId="4D975404" w14:textId="77777777" w:rsidTr="00EC6FE0">
        <w:trPr>
          <w:trHeight w:val="60"/>
          <w:jc w:val="center"/>
        </w:trPr>
        <w:tc>
          <w:tcPr>
            <w:tcW w:w="28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32544" w14:textId="77777777" w:rsidR="00D73BFC" w:rsidRPr="004B063A" w:rsidRDefault="00D73BFC" w:rsidP="004E20FC">
            <w:pPr>
              <w:rPr>
                <w:rFonts w:ascii="Arial" w:hAnsi="Arial" w:cs="Arial"/>
                <w:b/>
                <w:sz w:val="19"/>
                <w:szCs w:val="19"/>
                <w:lang w:val="en-GB"/>
              </w:rPr>
            </w:pPr>
            <w:r w:rsidRPr="004B063A">
              <w:rPr>
                <w:rFonts w:ascii="Arial" w:hAnsi="Arial" w:cs="Arial"/>
                <w:b/>
                <w:sz w:val="19"/>
                <w:szCs w:val="19"/>
                <w:lang w:val="en-GB"/>
              </w:rPr>
              <w:t>Particulars</w:t>
            </w:r>
          </w:p>
        </w:tc>
        <w:tc>
          <w:tcPr>
            <w:tcW w:w="1301" w:type="dxa"/>
            <w:tcBorders>
              <w:top w:val="single" w:sz="4" w:space="0" w:color="auto"/>
              <w:left w:val="nil"/>
              <w:bottom w:val="single" w:sz="4" w:space="0" w:color="auto"/>
              <w:right w:val="single" w:sz="4" w:space="0" w:color="auto"/>
            </w:tcBorders>
            <w:shd w:val="clear" w:color="auto" w:fill="auto"/>
            <w:noWrap/>
            <w:vAlign w:val="bottom"/>
            <w:hideMark/>
          </w:tcPr>
          <w:p w14:paraId="47096630" w14:textId="77777777" w:rsidR="00D73BFC" w:rsidRPr="004B063A" w:rsidRDefault="00D73BFC" w:rsidP="00831868">
            <w:pPr>
              <w:jc w:val="center"/>
              <w:rPr>
                <w:rFonts w:ascii="Arial" w:hAnsi="Arial" w:cs="Arial"/>
                <w:b/>
                <w:sz w:val="19"/>
                <w:szCs w:val="19"/>
                <w:lang w:val="en-GB"/>
              </w:rPr>
            </w:pPr>
            <w:r w:rsidRPr="004B063A">
              <w:rPr>
                <w:rFonts w:ascii="Arial" w:hAnsi="Arial" w:cs="Arial"/>
                <w:b/>
                <w:sz w:val="19"/>
                <w:szCs w:val="19"/>
                <w:lang w:val="en-GB"/>
              </w:rPr>
              <w:t>2012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A21A06" w14:textId="77777777" w:rsidR="00D73BFC" w:rsidRPr="004B063A" w:rsidRDefault="00D73BFC" w:rsidP="00831868">
            <w:pPr>
              <w:jc w:val="center"/>
              <w:rPr>
                <w:rFonts w:ascii="Arial" w:hAnsi="Arial" w:cs="Arial"/>
                <w:b/>
                <w:sz w:val="19"/>
                <w:szCs w:val="19"/>
                <w:lang w:val="en-GB"/>
              </w:rPr>
            </w:pPr>
            <w:r w:rsidRPr="004B063A">
              <w:rPr>
                <w:rFonts w:ascii="Arial" w:hAnsi="Arial" w:cs="Arial"/>
                <w:b/>
                <w:sz w:val="19"/>
                <w:szCs w:val="19"/>
                <w:lang w:val="en-GB"/>
              </w:rPr>
              <w:t>2013</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BCD492C" w14:textId="77777777" w:rsidR="00D73BFC" w:rsidRPr="004B063A" w:rsidRDefault="00D73BFC" w:rsidP="00831868">
            <w:pPr>
              <w:jc w:val="center"/>
              <w:rPr>
                <w:rFonts w:ascii="Arial" w:hAnsi="Arial" w:cs="Arial"/>
                <w:b/>
                <w:sz w:val="19"/>
                <w:szCs w:val="19"/>
                <w:lang w:val="en-GB"/>
              </w:rPr>
            </w:pPr>
            <w:r w:rsidRPr="004B063A">
              <w:rPr>
                <w:rFonts w:ascii="Arial" w:hAnsi="Arial" w:cs="Arial"/>
                <w:b/>
                <w:sz w:val="19"/>
                <w:szCs w:val="19"/>
                <w:lang w:val="en-GB"/>
              </w:rPr>
              <w:t>2014</w:t>
            </w:r>
          </w:p>
        </w:tc>
      </w:tr>
      <w:tr w:rsidR="00D73BFC" w:rsidRPr="004B063A" w14:paraId="1329D11A"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417EEC5A" w14:textId="5FEAEBCB"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 xml:space="preserve">Total </w:t>
            </w:r>
            <w:r w:rsidR="00373ABE">
              <w:rPr>
                <w:rFonts w:ascii="Arial" w:hAnsi="Arial" w:cs="Arial"/>
                <w:b/>
                <w:bCs/>
                <w:sz w:val="19"/>
                <w:szCs w:val="19"/>
                <w:lang w:val="en-GB"/>
              </w:rPr>
              <w:t>revenue</w:t>
            </w:r>
          </w:p>
        </w:tc>
        <w:tc>
          <w:tcPr>
            <w:tcW w:w="1301" w:type="dxa"/>
            <w:tcBorders>
              <w:top w:val="nil"/>
              <w:left w:val="nil"/>
              <w:bottom w:val="single" w:sz="4" w:space="0" w:color="auto"/>
              <w:right w:val="single" w:sz="4" w:space="0" w:color="auto"/>
            </w:tcBorders>
            <w:shd w:val="clear" w:color="auto" w:fill="auto"/>
            <w:noWrap/>
            <w:vAlign w:val="bottom"/>
            <w:hideMark/>
          </w:tcPr>
          <w:p w14:paraId="3D3E1CCD" w14:textId="5264BAC3"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200,000</w:t>
            </w:r>
          </w:p>
        </w:tc>
        <w:tc>
          <w:tcPr>
            <w:tcW w:w="1260" w:type="dxa"/>
            <w:tcBorders>
              <w:top w:val="nil"/>
              <w:left w:val="nil"/>
              <w:bottom w:val="single" w:sz="4" w:space="0" w:color="auto"/>
              <w:right w:val="single" w:sz="4" w:space="0" w:color="auto"/>
            </w:tcBorders>
            <w:shd w:val="clear" w:color="auto" w:fill="auto"/>
            <w:noWrap/>
            <w:vAlign w:val="bottom"/>
            <w:hideMark/>
          </w:tcPr>
          <w:p w14:paraId="12E3B1BA" w14:textId="7D5DB9E1"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6,113,963</w:t>
            </w:r>
          </w:p>
        </w:tc>
        <w:tc>
          <w:tcPr>
            <w:tcW w:w="1440" w:type="dxa"/>
            <w:tcBorders>
              <w:top w:val="nil"/>
              <w:left w:val="nil"/>
              <w:bottom w:val="single" w:sz="4" w:space="0" w:color="auto"/>
              <w:right w:val="single" w:sz="4" w:space="0" w:color="auto"/>
            </w:tcBorders>
            <w:shd w:val="clear" w:color="auto" w:fill="auto"/>
            <w:noWrap/>
            <w:vAlign w:val="bottom"/>
            <w:hideMark/>
          </w:tcPr>
          <w:p w14:paraId="4425EA76" w14:textId="0FB0F449"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36,000,928</w:t>
            </w:r>
          </w:p>
        </w:tc>
      </w:tr>
      <w:tr w:rsidR="00D73BFC" w:rsidRPr="004B063A" w14:paraId="518391DE"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46478805" w14:textId="77777777"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Expenses</w:t>
            </w:r>
          </w:p>
        </w:tc>
        <w:tc>
          <w:tcPr>
            <w:tcW w:w="1301" w:type="dxa"/>
            <w:tcBorders>
              <w:top w:val="nil"/>
              <w:left w:val="nil"/>
              <w:bottom w:val="single" w:sz="4" w:space="0" w:color="auto"/>
              <w:right w:val="single" w:sz="4" w:space="0" w:color="auto"/>
            </w:tcBorders>
            <w:shd w:val="clear" w:color="auto" w:fill="auto"/>
            <w:noWrap/>
            <w:vAlign w:val="bottom"/>
            <w:hideMark/>
          </w:tcPr>
          <w:p w14:paraId="4139FCC9"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1260" w:type="dxa"/>
            <w:tcBorders>
              <w:top w:val="nil"/>
              <w:left w:val="nil"/>
              <w:bottom w:val="single" w:sz="4" w:space="0" w:color="auto"/>
              <w:right w:val="single" w:sz="4" w:space="0" w:color="auto"/>
            </w:tcBorders>
            <w:shd w:val="clear" w:color="auto" w:fill="auto"/>
            <w:noWrap/>
            <w:vAlign w:val="bottom"/>
            <w:hideMark/>
          </w:tcPr>
          <w:p w14:paraId="68A3841B"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c>
          <w:tcPr>
            <w:tcW w:w="1440" w:type="dxa"/>
            <w:tcBorders>
              <w:top w:val="nil"/>
              <w:left w:val="nil"/>
              <w:bottom w:val="single" w:sz="4" w:space="0" w:color="auto"/>
              <w:right w:val="single" w:sz="4" w:space="0" w:color="auto"/>
            </w:tcBorders>
            <w:shd w:val="clear" w:color="auto" w:fill="auto"/>
            <w:noWrap/>
            <w:vAlign w:val="bottom"/>
            <w:hideMark/>
          </w:tcPr>
          <w:p w14:paraId="640FFEE3" w14:textId="7777777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w:t>
            </w:r>
          </w:p>
        </w:tc>
      </w:tr>
      <w:tr w:rsidR="00D73BFC" w:rsidRPr="004B063A" w14:paraId="4CB6D758"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3F7FE09E" w14:textId="12985EA0"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Employee </w:t>
            </w:r>
            <w:r w:rsidR="00373ABE">
              <w:rPr>
                <w:rFonts w:ascii="Arial" w:hAnsi="Arial" w:cs="Arial"/>
                <w:sz w:val="19"/>
                <w:szCs w:val="19"/>
                <w:lang w:val="en-GB"/>
              </w:rPr>
              <w:t>expenses</w:t>
            </w:r>
          </w:p>
        </w:tc>
        <w:tc>
          <w:tcPr>
            <w:tcW w:w="1301" w:type="dxa"/>
            <w:tcBorders>
              <w:top w:val="nil"/>
              <w:left w:val="nil"/>
              <w:bottom w:val="single" w:sz="4" w:space="0" w:color="auto"/>
              <w:right w:val="single" w:sz="4" w:space="0" w:color="auto"/>
            </w:tcBorders>
            <w:shd w:val="clear" w:color="auto" w:fill="auto"/>
            <w:noWrap/>
            <w:vAlign w:val="bottom"/>
            <w:hideMark/>
          </w:tcPr>
          <w:p w14:paraId="27D8E79D" w14:textId="7A72EC40"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168,600</w:t>
            </w:r>
          </w:p>
        </w:tc>
        <w:tc>
          <w:tcPr>
            <w:tcW w:w="1260" w:type="dxa"/>
            <w:tcBorders>
              <w:top w:val="nil"/>
              <w:left w:val="nil"/>
              <w:bottom w:val="single" w:sz="4" w:space="0" w:color="auto"/>
              <w:right w:val="single" w:sz="4" w:space="0" w:color="auto"/>
            </w:tcBorders>
            <w:shd w:val="clear" w:color="auto" w:fill="auto"/>
            <w:noWrap/>
            <w:vAlign w:val="bottom"/>
            <w:hideMark/>
          </w:tcPr>
          <w:p w14:paraId="473A402F" w14:textId="25DE4212"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2,579,956</w:t>
            </w:r>
          </w:p>
        </w:tc>
        <w:tc>
          <w:tcPr>
            <w:tcW w:w="1440" w:type="dxa"/>
            <w:tcBorders>
              <w:top w:val="nil"/>
              <w:left w:val="nil"/>
              <w:bottom w:val="single" w:sz="4" w:space="0" w:color="auto"/>
              <w:right w:val="single" w:sz="4" w:space="0" w:color="auto"/>
            </w:tcBorders>
            <w:shd w:val="clear" w:color="auto" w:fill="auto"/>
            <w:noWrap/>
            <w:vAlign w:val="bottom"/>
            <w:hideMark/>
          </w:tcPr>
          <w:p w14:paraId="20BD3639" w14:textId="5A9978E4"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20,974,585</w:t>
            </w:r>
          </w:p>
        </w:tc>
      </w:tr>
      <w:tr w:rsidR="00D73BFC" w:rsidRPr="004B063A" w14:paraId="319830C7"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1D702303" w14:textId="4CBFA030"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Managerial </w:t>
            </w:r>
            <w:r w:rsidR="00373ABE">
              <w:rPr>
                <w:rFonts w:ascii="Arial" w:hAnsi="Arial" w:cs="Arial"/>
                <w:sz w:val="19"/>
                <w:szCs w:val="19"/>
                <w:lang w:val="en-GB"/>
              </w:rPr>
              <w:t>remuneration</w:t>
            </w:r>
          </w:p>
        </w:tc>
        <w:tc>
          <w:tcPr>
            <w:tcW w:w="1301" w:type="dxa"/>
            <w:tcBorders>
              <w:top w:val="nil"/>
              <w:left w:val="nil"/>
              <w:bottom w:val="single" w:sz="4" w:space="0" w:color="auto"/>
              <w:right w:val="single" w:sz="4" w:space="0" w:color="auto"/>
            </w:tcBorders>
            <w:shd w:val="clear" w:color="auto" w:fill="auto"/>
            <w:noWrap/>
            <w:vAlign w:val="bottom"/>
            <w:hideMark/>
          </w:tcPr>
          <w:p w14:paraId="71FBEDF9" w14:textId="6E7137B6"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0</w:t>
            </w:r>
          </w:p>
        </w:tc>
        <w:tc>
          <w:tcPr>
            <w:tcW w:w="1260" w:type="dxa"/>
            <w:tcBorders>
              <w:top w:val="nil"/>
              <w:left w:val="nil"/>
              <w:bottom w:val="single" w:sz="4" w:space="0" w:color="auto"/>
              <w:right w:val="single" w:sz="4" w:space="0" w:color="auto"/>
            </w:tcBorders>
            <w:shd w:val="clear" w:color="auto" w:fill="auto"/>
            <w:noWrap/>
            <w:vAlign w:val="bottom"/>
            <w:hideMark/>
          </w:tcPr>
          <w:p w14:paraId="68E55906" w14:textId="08733F00"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300,000</w:t>
            </w:r>
          </w:p>
        </w:tc>
        <w:tc>
          <w:tcPr>
            <w:tcW w:w="1440" w:type="dxa"/>
            <w:tcBorders>
              <w:top w:val="nil"/>
              <w:left w:val="nil"/>
              <w:bottom w:val="single" w:sz="4" w:space="0" w:color="auto"/>
              <w:right w:val="single" w:sz="4" w:space="0" w:color="auto"/>
            </w:tcBorders>
            <w:shd w:val="clear" w:color="auto" w:fill="auto"/>
            <w:noWrap/>
            <w:vAlign w:val="bottom"/>
            <w:hideMark/>
          </w:tcPr>
          <w:p w14:paraId="419526DA" w14:textId="48449C78"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4,167,000</w:t>
            </w:r>
          </w:p>
        </w:tc>
      </w:tr>
      <w:tr w:rsidR="00D73BFC" w:rsidRPr="004B063A" w14:paraId="06A6B854"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36941CF5" w14:textId="0B338DA6"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Auditor </w:t>
            </w:r>
            <w:r w:rsidR="00373ABE">
              <w:rPr>
                <w:rFonts w:ascii="Arial" w:hAnsi="Arial" w:cs="Arial"/>
                <w:sz w:val="19"/>
                <w:szCs w:val="19"/>
                <w:lang w:val="en-GB"/>
              </w:rPr>
              <w:t>payments</w:t>
            </w:r>
          </w:p>
        </w:tc>
        <w:tc>
          <w:tcPr>
            <w:tcW w:w="1301" w:type="dxa"/>
            <w:tcBorders>
              <w:top w:val="nil"/>
              <w:left w:val="nil"/>
              <w:bottom w:val="single" w:sz="4" w:space="0" w:color="auto"/>
              <w:right w:val="single" w:sz="4" w:space="0" w:color="auto"/>
            </w:tcBorders>
            <w:shd w:val="clear" w:color="auto" w:fill="auto"/>
            <w:noWrap/>
            <w:vAlign w:val="bottom"/>
            <w:hideMark/>
          </w:tcPr>
          <w:p w14:paraId="6B27B499" w14:textId="53CDDBEA"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6,000</w:t>
            </w:r>
          </w:p>
        </w:tc>
        <w:tc>
          <w:tcPr>
            <w:tcW w:w="1260" w:type="dxa"/>
            <w:tcBorders>
              <w:top w:val="nil"/>
              <w:left w:val="nil"/>
              <w:bottom w:val="single" w:sz="4" w:space="0" w:color="auto"/>
              <w:right w:val="single" w:sz="4" w:space="0" w:color="auto"/>
            </w:tcBorders>
            <w:shd w:val="clear" w:color="auto" w:fill="auto"/>
            <w:noWrap/>
            <w:vAlign w:val="bottom"/>
            <w:hideMark/>
          </w:tcPr>
          <w:p w14:paraId="6D484A5D" w14:textId="1B7A8C35"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250,000</w:t>
            </w:r>
          </w:p>
        </w:tc>
        <w:tc>
          <w:tcPr>
            <w:tcW w:w="1440" w:type="dxa"/>
            <w:tcBorders>
              <w:top w:val="nil"/>
              <w:left w:val="nil"/>
              <w:bottom w:val="single" w:sz="4" w:space="0" w:color="auto"/>
              <w:right w:val="single" w:sz="4" w:space="0" w:color="auto"/>
            </w:tcBorders>
            <w:shd w:val="clear" w:color="auto" w:fill="auto"/>
            <w:noWrap/>
            <w:vAlign w:val="bottom"/>
            <w:hideMark/>
          </w:tcPr>
          <w:p w14:paraId="0959CA80" w14:textId="47618BD2"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350,000</w:t>
            </w:r>
          </w:p>
        </w:tc>
      </w:tr>
      <w:tr w:rsidR="00D73BFC" w:rsidRPr="004B063A" w14:paraId="037035C2"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44FA1328" w14:textId="043DC478"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Power and </w:t>
            </w:r>
            <w:r w:rsidR="00373ABE">
              <w:rPr>
                <w:rFonts w:ascii="Arial" w:hAnsi="Arial" w:cs="Arial"/>
                <w:sz w:val="19"/>
                <w:szCs w:val="19"/>
                <w:lang w:val="en-GB"/>
              </w:rPr>
              <w:t>fuel costs</w:t>
            </w:r>
          </w:p>
        </w:tc>
        <w:tc>
          <w:tcPr>
            <w:tcW w:w="1301" w:type="dxa"/>
            <w:tcBorders>
              <w:top w:val="nil"/>
              <w:left w:val="nil"/>
              <w:bottom w:val="single" w:sz="4" w:space="0" w:color="auto"/>
              <w:right w:val="single" w:sz="4" w:space="0" w:color="auto"/>
            </w:tcBorders>
            <w:shd w:val="clear" w:color="auto" w:fill="auto"/>
            <w:noWrap/>
            <w:vAlign w:val="bottom"/>
            <w:hideMark/>
          </w:tcPr>
          <w:p w14:paraId="48BDB88D" w14:textId="50A6E684"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6,840</w:t>
            </w:r>
          </w:p>
        </w:tc>
        <w:tc>
          <w:tcPr>
            <w:tcW w:w="1260" w:type="dxa"/>
            <w:tcBorders>
              <w:top w:val="nil"/>
              <w:left w:val="nil"/>
              <w:bottom w:val="single" w:sz="4" w:space="0" w:color="auto"/>
              <w:right w:val="single" w:sz="4" w:space="0" w:color="auto"/>
            </w:tcBorders>
            <w:shd w:val="clear" w:color="auto" w:fill="auto"/>
            <w:noWrap/>
            <w:vAlign w:val="bottom"/>
            <w:hideMark/>
          </w:tcPr>
          <w:p w14:paraId="315DDCF4" w14:textId="2DE63543"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102,541</w:t>
            </w:r>
          </w:p>
        </w:tc>
        <w:tc>
          <w:tcPr>
            <w:tcW w:w="1440" w:type="dxa"/>
            <w:tcBorders>
              <w:top w:val="nil"/>
              <w:left w:val="nil"/>
              <w:bottom w:val="single" w:sz="4" w:space="0" w:color="auto"/>
              <w:right w:val="single" w:sz="4" w:space="0" w:color="auto"/>
            </w:tcBorders>
            <w:shd w:val="clear" w:color="auto" w:fill="auto"/>
            <w:noWrap/>
            <w:vAlign w:val="bottom"/>
            <w:hideMark/>
          </w:tcPr>
          <w:p w14:paraId="78F24D69" w14:textId="739626F9"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325,585</w:t>
            </w:r>
          </w:p>
        </w:tc>
      </w:tr>
      <w:tr w:rsidR="00D73BFC" w:rsidRPr="004B063A" w14:paraId="42A2076D"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02CAFB58" w14:textId="62622447"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Depreciation and </w:t>
            </w:r>
            <w:r w:rsidR="00373ABE">
              <w:rPr>
                <w:rFonts w:ascii="Arial" w:hAnsi="Arial" w:cs="Arial"/>
                <w:sz w:val="19"/>
                <w:szCs w:val="19"/>
                <w:lang w:val="en-GB"/>
              </w:rPr>
              <w:t>amortization</w:t>
            </w:r>
          </w:p>
        </w:tc>
        <w:tc>
          <w:tcPr>
            <w:tcW w:w="1301" w:type="dxa"/>
            <w:tcBorders>
              <w:top w:val="nil"/>
              <w:left w:val="nil"/>
              <w:bottom w:val="single" w:sz="4" w:space="0" w:color="auto"/>
              <w:right w:val="single" w:sz="4" w:space="0" w:color="auto"/>
            </w:tcBorders>
            <w:shd w:val="clear" w:color="auto" w:fill="auto"/>
            <w:noWrap/>
            <w:vAlign w:val="bottom"/>
            <w:hideMark/>
          </w:tcPr>
          <w:p w14:paraId="40191B5A" w14:textId="6A16A184"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12,315</w:t>
            </w:r>
          </w:p>
        </w:tc>
        <w:tc>
          <w:tcPr>
            <w:tcW w:w="1260" w:type="dxa"/>
            <w:tcBorders>
              <w:top w:val="nil"/>
              <w:left w:val="nil"/>
              <w:bottom w:val="single" w:sz="4" w:space="0" w:color="auto"/>
              <w:right w:val="single" w:sz="4" w:space="0" w:color="auto"/>
            </w:tcBorders>
            <w:shd w:val="clear" w:color="auto" w:fill="auto"/>
            <w:noWrap/>
            <w:vAlign w:val="bottom"/>
            <w:hideMark/>
          </w:tcPr>
          <w:p w14:paraId="1E3B25B8" w14:textId="013F2A1C"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209,529</w:t>
            </w:r>
          </w:p>
        </w:tc>
        <w:tc>
          <w:tcPr>
            <w:tcW w:w="1440" w:type="dxa"/>
            <w:tcBorders>
              <w:top w:val="nil"/>
              <w:left w:val="nil"/>
              <w:bottom w:val="single" w:sz="4" w:space="0" w:color="auto"/>
              <w:right w:val="single" w:sz="4" w:space="0" w:color="auto"/>
            </w:tcBorders>
            <w:shd w:val="clear" w:color="auto" w:fill="auto"/>
            <w:noWrap/>
            <w:vAlign w:val="bottom"/>
            <w:hideMark/>
          </w:tcPr>
          <w:p w14:paraId="5E22B525" w14:textId="6F3F2FE3"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1,070,896</w:t>
            </w:r>
          </w:p>
        </w:tc>
      </w:tr>
      <w:tr w:rsidR="00D73BFC" w:rsidRPr="004B063A" w14:paraId="41CFA0C0"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5D03CA52" w14:textId="661D0EC0"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Other </w:t>
            </w:r>
            <w:r w:rsidR="00373ABE">
              <w:rPr>
                <w:rFonts w:ascii="Arial" w:hAnsi="Arial" w:cs="Arial"/>
                <w:sz w:val="19"/>
                <w:szCs w:val="19"/>
                <w:lang w:val="en-GB"/>
              </w:rPr>
              <w:t>expenses</w:t>
            </w:r>
          </w:p>
        </w:tc>
        <w:tc>
          <w:tcPr>
            <w:tcW w:w="1301" w:type="dxa"/>
            <w:tcBorders>
              <w:top w:val="nil"/>
              <w:left w:val="nil"/>
              <w:bottom w:val="single" w:sz="4" w:space="0" w:color="auto"/>
              <w:right w:val="single" w:sz="4" w:space="0" w:color="auto"/>
            </w:tcBorders>
            <w:shd w:val="clear" w:color="auto" w:fill="auto"/>
            <w:noWrap/>
            <w:vAlign w:val="bottom"/>
            <w:hideMark/>
          </w:tcPr>
          <w:p w14:paraId="757590F0" w14:textId="03CBC7BA"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100,106</w:t>
            </w:r>
          </w:p>
        </w:tc>
        <w:tc>
          <w:tcPr>
            <w:tcW w:w="1260" w:type="dxa"/>
            <w:tcBorders>
              <w:top w:val="nil"/>
              <w:left w:val="nil"/>
              <w:bottom w:val="single" w:sz="4" w:space="0" w:color="auto"/>
              <w:right w:val="single" w:sz="4" w:space="0" w:color="auto"/>
            </w:tcBorders>
            <w:shd w:val="clear" w:color="auto" w:fill="auto"/>
            <w:noWrap/>
            <w:vAlign w:val="bottom"/>
            <w:hideMark/>
          </w:tcPr>
          <w:p w14:paraId="3A464FA2" w14:textId="3BB9D43B"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3,638,710</w:t>
            </w:r>
          </w:p>
        </w:tc>
        <w:tc>
          <w:tcPr>
            <w:tcW w:w="1440" w:type="dxa"/>
            <w:tcBorders>
              <w:top w:val="nil"/>
              <w:left w:val="nil"/>
              <w:bottom w:val="single" w:sz="4" w:space="0" w:color="auto"/>
              <w:right w:val="single" w:sz="4" w:space="0" w:color="auto"/>
            </w:tcBorders>
            <w:shd w:val="clear" w:color="auto" w:fill="auto"/>
            <w:noWrap/>
            <w:vAlign w:val="bottom"/>
            <w:hideMark/>
          </w:tcPr>
          <w:p w14:paraId="3669CADA" w14:textId="630FB4F9"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12,145,614</w:t>
            </w:r>
          </w:p>
        </w:tc>
      </w:tr>
      <w:tr w:rsidR="00D73BFC" w:rsidRPr="004B063A" w14:paraId="3DED5299"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5556AE21" w14:textId="6C9E909E" w:rsidR="00D73BFC" w:rsidRPr="004B063A" w:rsidRDefault="00D73BFC" w:rsidP="004E20FC">
            <w:pPr>
              <w:rPr>
                <w:rFonts w:ascii="Arial" w:hAnsi="Arial" w:cs="Arial"/>
                <w:sz w:val="19"/>
                <w:szCs w:val="19"/>
                <w:lang w:val="en-GB"/>
              </w:rPr>
            </w:pPr>
            <w:r w:rsidRPr="004B063A">
              <w:rPr>
                <w:rFonts w:ascii="Arial" w:hAnsi="Arial" w:cs="Arial"/>
                <w:sz w:val="19"/>
                <w:szCs w:val="19"/>
                <w:lang w:val="en-GB"/>
              </w:rPr>
              <w:t xml:space="preserve">Total </w:t>
            </w:r>
            <w:r w:rsidR="00373ABE">
              <w:rPr>
                <w:rFonts w:ascii="Arial" w:hAnsi="Arial" w:cs="Arial"/>
                <w:sz w:val="19"/>
                <w:szCs w:val="19"/>
                <w:lang w:val="en-GB"/>
              </w:rPr>
              <w:t>expenses</w:t>
            </w:r>
          </w:p>
        </w:tc>
        <w:tc>
          <w:tcPr>
            <w:tcW w:w="1301" w:type="dxa"/>
            <w:tcBorders>
              <w:top w:val="nil"/>
              <w:left w:val="nil"/>
              <w:bottom w:val="single" w:sz="4" w:space="0" w:color="auto"/>
              <w:right w:val="single" w:sz="4" w:space="0" w:color="auto"/>
            </w:tcBorders>
            <w:shd w:val="clear" w:color="auto" w:fill="auto"/>
            <w:noWrap/>
            <w:vAlign w:val="bottom"/>
            <w:hideMark/>
          </w:tcPr>
          <w:p w14:paraId="796313A8" w14:textId="1A1EE746"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293,861</w:t>
            </w:r>
          </w:p>
        </w:tc>
        <w:tc>
          <w:tcPr>
            <w:tcW w:w="1260" w:type="dxa"/>
            <w:tcBorders>
              <w:top w:val="nil"/>
              <w:left w:val="nil"/>
              <w:bottom w:val="single" w:sz="4" w:space="0" w:color="auto"/>
              <w:right w:val="single" w:sz="4" w:space="0" w:color="auto"/>
            </w:tcBorders>
            <w:shd w:val="clear" w:color="auto" w:fill="auto"/>
            <w:noWrap/>
            <w:vAlign w:val="bottom"/>
            <w:hideMark/>
          </w:tcPr>
          <w:p w14:paraId="68F614E8" w14:textId="2E9B353C"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7,080,736</w:t>
            </w:r>
          </w:p>
        </w:tc>
        <w:tc>
          <w:tcPr>
            <w:tcW w:w="1440" w:type="dxa"/>
            <w:tcBorders>
              <w:top w:val="nil"/>
              <w:left w:val="nil"/>
              <w:bottom w:val="single" w:sz="4" w:space="0" w:color="auto"/>
              <w:right w:val="single" w:sz="4" w:space="0" w:color="auto"/>
            </w:tcBorders>
            <w:shd w:val="clear" w:color="auto" w:fill="auto"/>
            <w:noWrap/>
            <w:vAlign w:val="bottom"/>
            <w:hideMark/>
          </w:tcPr>
          <w:p w14:paraId="438CF24E" w14:textId="1355F93E"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39,033,680</w:t>
            </w:r>
          </w:p>
        </w:tc>
      </w:tr>
      <w:tr w:rsidR="00D73BFC" w:rsidRPr="004B063A" w14:paraId="34981D41"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54868A01" w14:textId="64478D13"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 xml:space="preserve">Profit </w:t>
            </w:r>
            <w:r w:rsidR="00373ABE">
              <w:rPr>
                <w:rFonts w:ascii="Arial" w:hAnsi="Arial" w:cs="Arial"/>
                <w:b/>
                <w:bCs/>
                <w:sz w:val="19"/>
                <w:szCs w:val="19"/>
                <w:lang w:val="en-GB"/>
              </w:rPr>
              <w:t>before taxes</w:t>
            </w:r>
          </w:p>
        </w:tc>
        <w:tc>
          <w:tcPr>
            <w:tcW w:w="1301" w:type="dxa"/>
            <w:tcBorders>
              <w:top w:val="nil"/>
              <w:left w:val="nil"/>
              <w:bottom w:val="single" w:sz="4" w:space="0" w:color="auto"/>
              <w:right w:val="single" w:sz="4" w:space="0" w:color="auto"/>
            </w:tcBorders>
            <w:shd w:val="clear" w:color="auto" w:fill="auto"/>
            <w:noWrap/>
            <w:vAlign w:val="bottom"/>
            <w:hideMark/>
          </w:tcPr>
          <w:p w14:paraId="48691AB6" w14:textId="62278129" w:rsidR="00D73BFC" w:rsidRPr="004B063A" w:rsidRDefault="00F25E0B" w:rsidP="004E20FC">
            <w:pPr>
              <w:jc w:val="right"/>
              <w:rPr>
                <w:rFonts w:ascii="Arial" w:hAnsi="Arial" w:cs="Arial"/>
                <w:sz w:val="19"/>
                <w:szCs w:val="19"/>
                <w:lang w:val="en-GB"/>
              </w:rPr>
            </w:pPr>
            <w:r>
              <w:rPr>
                <w:rFonts w:ascii="Arial" w:hAnsi="Arial" w:cs="Arial"/>
                <w:sz w:val="19"/>
                <w:szCs w:val="19"/>
                <w:lang w:val="en-GB"/>
              </w:rPr>
              <w:t>−</w:t>
            </w:r>
            <w:r w:rsidR="00D73BFC" w:rsidRPr="004B063A">
              <w:rPr>
                <w:rFonts w:ascii="Arial" w:hAnsi="Arial" w:cs="Arial"/>
                <w:sz w:val="19"/>
                <w:szCs w:val="19"/>
                <w:lang w:val="en-GB"/>
              </w:rPr>
              <w:t>93,861</w:t>
            </w:r>
          </w:p>
        </w:tc>
        <w:tc>
          <w:tcPr>
            <w:tcW w:w="1260" w:type="dxa"/>
            <w:tcBorders>
              <w:top w:val="nil"/>
              <w:left w:val="nil"/>
              <w:bottom w:val="single" w:sz="4" w:space="0" w:color="auto"/>
              <w:right w:val="single" w:sz="4" w:space="0" w:color="auto"/>
            </w:tcBorders>
            <w:shd w:val="clear" w:color="auto" w:fill="auto"/>
            <w:noWrap/>
            <w:vAlign w:val="bottom"/>
            <w:hideMark/>
          </w:tcPr>
          <w:p w14:paraId="03328380" w14:textId="13727900" w:rsidR="00D73BFC" w:rsidRPr="004B063A" w:rsidRDefault="00F25E0B" w:rsidP="004E20FC">
            <w:pPr>
              <w:jc w:val="right"/>
              <w:rPr>
                <w:rFonts w:ascii="Arial" w:hAnsi="Arial" w:cs="Arial"/>
                <w:sz w:val="19"/>
                <w:szCs w:val="19"/>
                <w:lang w:val="en-GB"/>
              </w:rPr>
            </w:pPr>
            <w:r>
              <w:rPr>
                <w:rFonts w:ascii="Arial" w:hAnsi="Arial" w:cs="Arial"/>
                <w:sz w:val="19"/>
                <w:szCs w:val="19"/>
                <w:lang w:val="en-GB"/>
              </w:rPr>
              <w:t>−</w:t>
            </w:r>
            <w:r w:rsidR="00D73BFC" w:rsidRPr="004B063A">
              <w:rPr>
                <w:rFonts w:ascii="Arial" w:hAnsi="Arial" w:cs="Arial"/>
                <w:sz w:val="19"/>
                <w:szCs w:val="19"/>
                <w:lang w:val="en-GB"/>
              </w:rPr>
              <w:t>966,773</w:t>
            </w:r>
          </w:p>
        </w:tc>
        <w:tc>
          <w:tcPr>
            <w:tcW w:w="1440" w:type="dxa"/>
            <w:tcBorders>
              <w:top w:val="nil"/>
              <w:left w:val="nil"/>
              <w:bottom w:val="single" w:sz="4" w:space="0" w:color="auto"/>
              <w:right w:val="single" w:sz="4" w:space="0" w:color="auto"/>
            </w:tcBorders>
            <w:shd w:val="clear" w:color="auto" w:fill="auto"/>
            <w:noWrap/>
            <w:vAlign w:val="bottom"/>
            <w:hideMark/>
          </w:tcPr>
          <w:p w14:paraId="43EB6EA3" w14:textId="0113711F" w:rsidR="00D73BFC" w:rsidRPr="004B063A" w:rsidRDefault="00F25E0B" w:rsidP="004E20FC">
            <w:pPr>
              <w:jc w:val="right"/>
              <w:rPr>
                <w:rFonts w:ascii="Arial" w:hAnsi="Arial" w:cs="Arial"/>
                <w:sz w:val="19"/>
                <w:szCs w:val="19"/>
                <w:lang w:val="en-GB"/>
              </w:rPr>
            </w:pPr>
            <w:r>
              <w:rPr>
                <w:rFonts w:ascii="Arial" w:hAnsi="Arial" w:cs="Arial"/>
                <w:sz w:val="19"/>
                <w:szCs w:val="19"/>
                <w:lang w:val="en-GB"/>
              </w:rPr>
              <w:t>−</w:t>
            </w:r>
            <w:r w:rsidR="00D73BFC" w:rsidRPr="004B063A">
              <w:rPr>
                <w:rFonts w:ascii="Arial" w:hAnsi="Arial" w:cs="Arial"/>
                <w:sz w:val="19"/>
                <w:szCs w:val="19"/>
                <w:lang w:val="en-GB"/>
              </w:rPr>
              <w:t>3,032,752</w:t>
            </w:r>
          </w:p>
        </w:tc>
      </w:tr>
      <w:tr w:rsidR="00D73BFC" w:rsidRPr="004B063A" w14:paraId="1FED58F9"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4AA724CC" w14:textId="77777777"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Taxes</w:t>
            </w:r>
          </w:p>
        </w:tc>
        <w:tc>
          <w:tcPr>
            <w:tcW w:w="1301" w:type="dxa"/>
            <w:tcBorders>
              <w:top w:val="nil"/>
              <w:left w:val="nil"/>
              <w:bottom w:val="single" w:sz="4" w:space="0" w:color="auto"/>
              <w:right w:val="single" w:sz="4" w:space="0" w:color="auto"/>
            </w:tcBorders>
            <w:shd w:val="clear" w:color="auto" w:fill="auto"/>
            <w:noWrap/>
            <w:vAlign w:val="bottom"/>
            <w:hideMark/>
          </w:tcPr>
          <w:p w14:paraId="093B8C51" w14:textId="61E773F9"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 xml:space="preserve"> 14,648</w:t>
            </w:r>
          </w:p>
        </w:tc>
        <w:tc>
          <w:tcPr>
            <w:tcW w:w="1260" w:type="dxa"/>
            <w:tcBorders>
              <w:top w:val="nil"/>
              <w:left w:val="nil"/>
              <w:bottom w:val="single" w:sz="4" w:space="0" w:color="auto"/>
              <w:right w:val="single" w:sz="4" w:space="0" w:color="auto"/>
            </w:tcBorders>
            <w:shd w:val="clear" w:color="auto" w:fill="auto"/>
            <w:noWrap/>
            <w:vAlign w:val="bottom"/>
            <w:hideMark/>
          </w:tcPr>
          <w:p w14:paraId="4C82A99C" w14:textId="32503308" w:rsidR="00D73BFC" w:rsidRPr="004B063A" w:rsidRDefault="00F25E0B" w:rsidP="004E20FC">
            <w:pPr>
              <w:jc w:val="right"/>
              <w:rPr>
                <w:rFonts w:ascii="Arial" w:hAnsi="Arial" w:cs="Arial"/>
                <w:sz w:val="19"/>
                <w:szCs w:val="19"/>
                <w:lang w:val="en-GB"/>
              </w:rPr>
            </w:pPr>
            <w:r>
              <w:rPr>
                <w:rFonts w:ascii="Arial" w:hAnsi="Arial" w:cs="Arial"/>
                <w:sz w:val="19"/>
                <w:szCs w:val="19"/>
                <w:lang w:val="en-GB"/>
              </w:rPr>
              <w:t>−</w:t>
            </w:r>
            <w:r w:rsidR="00D73BFC" w:rsidRPr="004B063A">
              <w:rPr>
                <w:rFonts w:ascii="Arial" w:hAnsi="Arial" w:cs="Arial"/>
                <w:sz w:val="19"/>
                <w:szCs w:val="19"/>
                <w:lang w:val="en-GB"/>
              </w:rPr>
              <w:t>14,648</w:t>
            </w:r>
          </w:p>
        </w:tc>
        <w:tc>
          <w:tcPr>
            <w:tcW w:w="1440" w:type="dxa"/>
            <w:tcBorders>
              <w:top w:val="nil"/>
              <w:left w:val="nil"/>
              <w:bottom w:val="single" w:sz="4" w:space="0" w:color="auto"/>
              <w:right w:val="single" w:sz="4" w:space="0" w:color="auto"/>
            </w:tcBorders>
            <w:shd w:val="clear" w:color="auto" w:fill="auto"/>
            <w:noWrap/>
            <w:vAlign w:val="bottom"/>
            <w:hideMark/>
          </w:tcPr>
          <w:p w14:paraId="4BB1A9A0" w14:textId="49C28A74" w:rsidR="00D73BFC" w:rsidRPr="004B063A" w:rsidRDefault="00D73BFC" w:rsidP="004E20FC">
            <w:pPr>
              <w:jc w:val="right"/>
              <w:rPr>
                <w:rFonts w:ascii="Arial" w:hAnsi="Arial" w:cs="Arial"/>
                <w:sz w:val="19"/>
                <w:szCs w:val="19"/>
                <w:lang w:val="en-GB"/>
              </w:rPr>
            </w:pPr>
            <w:r w:rsidRPr="004B063A">
              <w:rPr>
                <w:rFonts w:ascii="Arial" w:hAnsi="Arial" w:cs="Arial"/>
                <w:sz w:val="19"/>
                <w:szCs w:val="19"/>
                <w:lang w:val="en-GB"/>
              </w:rPr>
              <w:t>0</w:t>
            </w:r>
          </w:p>
        </w:tc>
      </w:tr>
      <w:tr w:rsidR="00D73BFC" w:rsidRPr="004B063A" w14:paraId="18776CED" w14:textId="77777777" w:rsidTr="00EC6FE0">
        <w:trPr>
          <w:trHeight w:val="60"/>
          <w:jc w:val="center"/>
        </w:trPr>
        <w:tc>
          <w:tcPr>
            <w:tcW w:w="2847" w:type="dxa"/>
            <w:tcBorders>
              <w:top w:val="nil"/>
              <w:left w:val="single" w:sz="4" w:space="0" w:color="auto"/>
              <w:bottom w:val="single" w:sz="4" w:space="0" w:color="auto"/>
              <w:right w:val="single" w:sz="4" w:space="0" w:color="auto"/>
            </w:tcBorders>
            <w:shd w:val="clear" w:color="auto" w:fill="auto"/>
            <w:noWrap/>
            <w:vAlign w:val="bottom"/>
            <w:hideMark/>
          </w:tcPr>
          <w:p w14:paraId="6F7AFC88" w14:textId="47466818" w:rsidR="00D73BFC" w:rsidRPr="004B063A" w:rsidRDefault="00D73BFC" w:rsidP="004E20FC">
            <w:pPr>
              <w:rPr>
                <w:rFonts w:ascii="Arial" w:hAnsi="Arial" w:cs="Arial"/>
                <w:b/>
                <w:bCs/>
                <w:sz w:val="19"/>
                <w:szCs w:val="19"/>
                <w:lang w:val="en-GB"/>
              </w:rPr>
            </w:pPr>
            <w:r w:rsidRPr="004B063A">
              <w:rPr>
                <w:rFonts w:ascii="Arial" w:hAnsi="Arial" w:cs="Arial"/>
                <w:b/>
                <w:bCs/>
                <w:sz w:val="19"/>
                <w:szCs w:val="19"/>
                <w:lang w:val="en-GB"/>
              </w:rPr>
              <w:t xml:space="preserve">Profit </w:t>
            </w:r>
            <w:r w:rsidR="00373ABE">
              <w:rPr>
                <w:rFonts w:ascii="Arial" w:hAnsi="Arial" w:cs="Arial"/>
                <w:b/>
                <w:bCs/>
                <w:sz w:val="19"/>
                <w:szCs w:val="19"/>
                <w:lang w:val="en-GB"/>
              </w:rPr>
              <w:t>after taxes</w:t>
            </w:r>
          </w:p>
        </w:tc>
        <w:tc>
          <w:tcPr>
            <w:tcW w:w="1301" w:type="dxa"/>
            <w:tcBorders>
              <w:top w:val="nil"/>
              <w:left w:val="nil"/>
              <w:bottom w:val="single" w:sz="4" w:space="0" w:color="auto"/>
              <w:right w:val="single" w:sz="4" w:space="0" w:color="auto"/>
            </w:tcBorders>
            <w:shd w:val="clear" w:color="auto" w:fill="auto"/>
            <w:noWrap/>
            <w:vAlign w:val="bottom"/>
            <w:hideMark/>
          </w:tcPr>
          <w:p w14:paraId="5C36D076" w14:textId="2B1874E1" w:rsidR="00D73BFC" w:rsidRPr="004B063A" w:rsidRDefault="00F25E0B" w:rsidP="004E20FC">
            <w:pPr>
              <w:jc w:val="right"/>
              <w:rPr>
                <w:rFonts w:ascii="Arial" w:hAnsi="Arial" w:cs="Arial"/>
                <w:sz w:val="19"/>
                <w:szCs w:val="19"/>
                <w:lang w:val="en-GB"/>
              </w:rPr>
            </w:pPr>
            <w:r>
              <w:rPr>
                <w:rFonts w:ascii="Arial" w:hAnsi="Arial" w:cs="Arial"/>
                <w:sz w:val="19"/>
                <w:szCs w:val="19"/>
                <w:lang w:val="en-GB"/>
              </w:rPr>
              <w:t>−</w:t>
            </w:r>
            <w:r w:rsidR="00D73BFC" w:rsidRPr="004B063A">
              <w:rPr>
                <w:rFonts w:ascii="Arial" w:hAnsi="Arial" w:cs="Arial"/>
                <w:sz w:val="19"/>
                <w:szCs w:val="19"/>
                <w:lang w:val="en-GB"/>
              </w:rPr>
              <w:t>108,509</w:t>
            </w:r>
          </w:p>
        </w:tc>
        <w:tc>
          <w:tcPr>
            <w:tcW w:w="1260" w:type="dxa"/>
            <w:tcBorders>
              <w:top w:val="nil"/>
              <w:left w:val="nil"/>
              <w:bottom w:val="single" w:sz="4" w:space="0" w:color="auto"/>
              <w:right w:val="single" w:sz="4" w:space="0" w:color="auto"/>
            </w:tcBorders>
            <w:shd w:val="clear" w:color="auto" w:fill="auto"/>
            <w:noWrap/>
            <w:vAlign w:val="bottom"/>
            <w:hideMark/>
          </w:tcPr>
          <w:p w14:paraId="3DE81DCD" w14:textId="7BACE47F" w:rsidR="00D73BFC" w:rsidRPr="004B063A" w:rsidRDefault="00F25E0B" w:rsidP="004E20FC">
            <w:pPr>
              <w:jc w:val="right"/>
              <w:rPr>
                <w:rFonts w:ascii="Arial" w:hAnsi="Arial" w:cs="Arial"/>
                <w:sz w:val="19"/>
                <w:szCs w:val="19"/>
                <w:lang w:val="en-GB"/>
              </w:rPr>
            </w:pPr>
            <w:r>
              <w:rPr>
                <w:rFonts w:ascii="Arial" w:hAnsi="Arial" w:cs="Arial"/>
                <w:sz w:val="19"/>
                <w:szCs w:val="19"/>
                <w:lang w:val="en-GB"/>
              </w:rPr>
              <w:t>−</w:t>
            </w:r>
            <w:r w:rsidR="00D73BFC" w:rsidRPr="004B063A">
              <w:rPr>
                <w:rFonts w:ascii="Arial" w:hAnsi="Arial" w:cs="Arial"/>
                <w:sz w:val="19"/>
                <w:szCs w:val="19"/>
                <w:lang w:val="en-GB"/>
              </w:rPr>
              <w:t>952,125</w:t>
            </w:r>
          </w:p>
        </w:tc>
        <w:tc>
          <w:tcPr>
            <w:tcW w:w="1440" w:type="dxa"/>
            <w:tcBorders>
              <w:top w:val="nil"/>
              <w:left w:val="nil"/>
              <w:bottom w:val="single" w:sz="4" w:space="0" w:color="auto"/>
              <w:right w:val="single" w:sz="4" w:space="0" w:color="auto"/>
            </w:tcBorders>
            <w:shd w:val="clear" w:color="auto" w:fill="auto"/>
            <w:noWrap/>
            <w:vAlign w:val="bottom"/>
            <w:hideMark/>
          </w:tcPr>
          <w:p w14:paraId="0CCC20A3" w14:textId="5D9F5752" w:rsidR="00D73BFC" w:rsidRPr="004B063A" w:rsidRDefault="00F25E0B" w:rsidP="004E20FC">
            <w:pPr>
              <w:jc w:val="right"/>
              <w:rPr>
                <w:rFonts w:ascii="Arial" w:hAnsi="Arial" w:cs="Arial"/>
                <w:sz w:val="19"/>
                <w:szCs w:val="19"/>
                <w:lang w:val="en-GB"/>
              </w:rPr>
            </w:pPr>
            <w:r>
              <w:rPr>
                <w:rFonts w:ascii="Arial" w:hAnsi="Arial" w:cs="Arial"/>
                <w:sz w:val="19"/>
                <w:szCs w:val="19"/>
                <w:lang w:val="en-GB"/>
              </w:rPr>
              <w:t>−</w:t>
            </w:r>
            <w:r w:rsidR="00D73BFC" w:rsidRPr="004B063A">
              <w:rPr>
                <w:rFonts w:ascii="Arial" w:hAnsi="Arial" w:cs="Arial"/>
                <w:sz w:val="19"/>
                <w:szCs w:val="19"/>
                <w:lang w:val="en-GB"/>
              </w:rPr>
              <w:t>3,032,752</w:t>
            </w:r>
          </w:p>
        </w:tc>
      </w:tr>
    </w:tbl>
    <w:p w14:paraId="389A828F" w14:textId="77777777" w:rsidR="00831868" w:rsidRPr="004B063A" w:rsidRDefault="00831868" w:rsidP="00831868">
      <w:pPr>
        <w:pStyle w:val="BodyTextMain"/>
        <w:rPr>
          <w:lang w:val="en-GB"/>
        </w:rPr>
      </w:pPr>
    </w:p>
    <w:p w14:paraId="677C4B45" w14:textId="2A5DDDCA" w:rsidR="00831868" w:rsidRPr="004B063A" w:rsidRDefault="00831868" w:rsidP="00831868">
      <w:pPr>
        <w:pStyle w:val="Footnote"/>
        <w:rPr>
          <w:lang w:val="en-GB"/>
        </w:rPr>
      </w:pPr>
      <w:r w:rsidRPr="004B063A">
        <w:rPr>
          <w:lang w:val="en-GB"/>
        </w:rPr>
        <w:t xml:space="preserve">Source: </w:t>
      </w:r>
      <w:r w:rsidR="00814CB7">
        <w:rPr>
          <w:lang w:val="en-GB"/>
        </w:rPr>
        <w:t>“</w:t>
      </w:r>
      <w:r w:rsidR="00CF6494">
        <w:rPr>
          <w:lang w:val="en-GB"/>
        </w:rPr>
        <w:t xml:space="preserve">Financial Statements of </w:t>
      </w:r>
      <w:proofErr w:type="spellStart"/>
      <w:r w:rsidR="00CF6494">
        <w:rPr>
          <w:lang w:val="en-GB"/>
        </w:rPr>
        <w:t>Unicommerce</w:t>
      </w:r>
      <w:proofErr w:type="spellEnd"/>
      <w:r w:rsidR="00CF6494">
        <w:rPr>
          <w:lang w:val="en-GB"/>
        </w:rPr>
        <w:t xml:space="preserve"> Ltd</w:t>
      </w:r>
      <w:r w:rsidR="008C1062">
        <w:rPr>
          <w:lang w:val="en-GB"/>
        </w:rPr>
        <w:t>,</w:t>
      </w:r>
      <w:r w:rsidR="00814CB7">
        <w:rPr>
          <w:lang w:val="en-GB"/>
        </w:rPr>
        <w:t>”</w:t>
      </w:r>
      <w:r w:rsidR="00CF6494">
        <w:rPr>
          <w:lang w:val="en-GB"/>
        </w:rPr>
        <w:t xml:space="preserve"> </w:t>
      </w:r>
      <w:r w:rsidRPr="004B063A">
        <w:rPr>
          <w:lang w:val="en-GB"/>
        </w:rPr>
        <w:t>Ministry of Corporate Affairs, Government of India</w:t>
      </w:r>
      <w:r w:rsidR="008C1062">
        <w:rPr>
          <w:lang w:val="en-GB"/>
        </w:rPr>
        <w:t>,</w:t>
      </w:r>
      <w:r w:rsidR="00CF6494">
        <w:rPr>
          <w:lang w:val="en-GB"/>
        </w:rPr>
        <w:t xml:space="preserve"> </w:t>
      </w:r>
      <w:r w:rsidR="008C1062">
        <w:rPr>
          <w:lang w:val="en-GB"/>
        </w:rPr>
        <w:t>a</w:t>
      </w:r>
      <w:r w:rsidR="00CF6494">
        <w:rPr>
          <w:lang w:val="en-GB"/>
        </w:rPr>
        <w:t>ccessed May 31,</w:t>
      </w:r>
      <w:r w:rsidR="008C1062">
        <w:rPr>
          <w:lang w:val="en-GB"/>
        </w:rPr>
        <w:t xml:space="preserve"> </w:t>
      </w:r>
      <w:r w:rsidR="00CF6494">
        <w:rPr>
          <w:lang w:val="en-GB"/>
        </w:rPr>
        <w:t>2017</w:t>
      </w:r>
      <w:r w:rsidR="008C1062">
        <w:rPr>
          <w:lang w:val="en-GB"/>
        </w:rPr>
        <w:t>.</w:t>
      </w:r>
    </w:p>
    <w:sectPr w:rsidR="00831868" w:rsidRPr="004B063A"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B8CA3" w16cid:durableId="2068064C"/>
  <w16cid:commentId w16cid:paraId="0F7DC9DB" w16cid:durableId="20682330"/>
  <w16cid:commentId w16cid:paraId="246FAB9F" w16cid:durableId="2068075D"/>
  <w16cid:commentId w16cid:paraId="3903F780" w16cid:durableId="2066ED5B"/>
  <w16cid:commentId w16cid:paraId="0B4CBA0C" w16cid:durableId="2066EE3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C6620" w14:textId="77777777" w:rsidR="00A5762A" w:rsidRDefault="00A5762A" w:rsidP="00D75295">
      <w:r>
        <w:separator/>
      </w:r>
    </w:p>
  </w:endnote>
  <w:endnote w:type="continuationSeparator" w:id="0">
    <w:p w14:paraId="027C7704" w14:textId="77777777" w:rsidR="00A5762A" w:rsidRDefault="00A5762A"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FreeSans">
    <w:panose1 w:val="00000000000000000000"/>
    <w:charset w:val="00"/>
    <w:family w:val="roman"/>
    <w:notTrueType/>
    <w:pitch w:val="default"/>
  </w:font>
  <w:font w:name="Liberation Mono">
    <w:altName w:val="MS Gothic"/>
    <w:charset w:val="00"/>
    <w:family w:val="modern"/>
    <w:pitch w:val="fixed"/>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A6055" w14:textId="77777777" w:rsidR="00A5762A" w:rsidRDefault="00A5762A" w:rsidP="00D75295">
      <w:r>
        <w:separator/>
      </w:r>
    </w:p>
  </w:footnote>
  <w:footnote w:type="continuationSeparator" w:id="0">
    <w:p w14:paraId="2DB82497" w14:textId="77777777" w:rsidR="00A5762A" w:rsidRDefault="00A5762A" w:rsidP="00D75295">
      <w:r>
        <w:continuationSeparator/>
      </w:r>
    </w:p>
  </w:footnote>
  <w:footnote w:id="1">
    <w:p w14:paraId="7E52556E" w14:textId="2F44AE34" w:rsidR="00A5762A" w:rsidRPr="00E82624" w:rsidRDefault="00A5762A">
      <w:pPr>
        <w:pStyle w:val="FootnoteText"/>
        <w:rPr>
          <w:rFonts w:ascii="Arial" w:hAnsi="Arial" w:cs="Arial"/>
          <w:sz w:val="17"/>
          <w:szCs w:val="17"/>
          <w:lang w:val="en-CA"/>
        </w:rPr>
      </w:pPr>
      <w:r w:rsidRPr="00E82624">
        <w:rPr>
          <w:rStyle w:val="FootnoteReference"/>
          <w:rFonts w:ascii="Arial" w:hAnsi="Arial" w:cs="Arial"/>
          <w:sz w:val="17"/>
          <w:szCs w:val="17"/>
        </w:rPr>
        <w:footnoteRef/>
      </w:r>
      <w:r w:rsidRPr="00E82624">
        <w:rPr>
          <w:rFonts w:ascii="Arial" w:hAnsi="Arial" w:cs="Arial"/>
          <w:sz w:val="17"/>
          <w:szCs w:val="17"/>
        </w:rPr>
        <w:t xml:space="preserve"> </w:t>
      </w:r>
      <w:r w:rsidRPr="00E82624">
        <w:rPr>
          <w:rFonts w:ascii="Arial" w:hAnsi="Arial" w:cs="Arial"/>
          <w:sz w:val="17"/>
          <w:szCs w:val="17"/>
          <w:lang w:val="en-CA"/>
        </w:rPr>
        <w:t>All dollars amounts are in US dollars unless otherwise indicated.</w:t>
      </w:r>
    </w:p>
  </w:footnote>
  <w:footnote w:id="2">
    <w:p w14:paraId="6BACDAF0" w14:textId="4BB09C3A" w:rsidR="00A5762A" w:rsidRPr="00E82624" w:rsidRDefault="00A5762A" w:rsidP="00EC6FE0">
      <w:pPr>
        <w:pStyle w:val="Footnote"/>
        <w:rPr>
          <w:lang w:val="en-GB"/>
        </w:rPr>
      </w:pPr>
      <w:r w:rsidRPr="00E82624">
        <w:rPr>
          <w:rStyle w:val="FootnoteReference"/>
          <w:lang w:val="en-GB"/>
        </w:rPr>
        <w:footnoteRef/>
      </w:r>
      <w:r w:rsidRPr="00E82624">
        <w:rPr>
          <w:lang w:val="en-GB"/>
        </w:rPr>
        <w:t xml:space="preserve"> A burn rate refers to the rate at which a company spends its initial capital.</w:t>
      </w:r>
    </w:p>
  </w:footnote>
  <w:footnote w:id="3">
    <w:p w14:paraId="1CEC0893" w14:textId="4CA61254" w:rsidR="00A5762A" w:rsidRPr="00E82624" w:rsidRDefault="00A5762A" w:rsidP="00A5762A">
      <w:pPr>
        <w:pStyle w:val="Footnote"/>
      </w:pPr>
      <w:r w:rsidRPr="00E82624">
        <w:rPr>
          <w:rStyle w:val="FootnoteReference"/>
        </w:rPr>
        <w:footnoteRef/>
      </w:r>
      <w:r w:rsidRPr="00E82624">
        <w:t xml:space="preserve"> "Percentage of Population Using the Internet in India from 2000 to 2016.</w:t>
      </w:r>
      <w:proofErr w:type="gramStart"/>
      <w:r w:rsidRPr="00E82624">
        <w:t>",</w:t>
      </w:r>
      <w:proofErr w:type="gramEnd"/>
      <w:r w:rsidRPr="00E82624">
        <w:t xml:space="preserve"> </w:t>
      </w:r>
      <w:r w:rsidRPr="00E82624">
        <w:rPr>
          <w:i/>
        </w:rPr>
        <w:t>Statista</w:t>
      </w:r>
      <w:r w:rsidRPr="00E82624">
        <w:t>, accessed May 26, 2019, https://www.statista.com/statistics/255135/internet-penetration-in-india/.</w:t>
      </w:r>
    </w:p>
  </w:footnote>
  <w:footnote w:id="4">
    <w:p w14:paraId="78ADDA99" w14:textId="5D2C4B6B" w:rsidR="00A5762A" w:rsidRPr="00E82624" w:rsidRDefault="00A5762A" w:rsidP="00A5762A">
      <w:pPr>
        <w:pStyle w:val="Footnote"/>
        <w:rPr>
          <w:lang w:val="en-GB"/>
        </w:rPr>
      </w:pPr>
      <w:r w:rsidRPr="00E82624">
        <w:rPr>
          <w:vertAlign w:val="superscript"/>
          <w:lang w:val="en-GB"/>
        </w:rPr>
        <w:footnoteRef/>
      </w:r>
      <w:r w:rsidRPr="00E82624">
        <w:rPr>
          <w:lang w:val="en-GB"/>
        </w:rPr>
        <w:t xml:space="preserve"> “The Incredible Growth of the Internet since 2000,” </w:t>
      </w:r>
      <w:proofErr w:type="spellStart"/>
      <w:r w:rsidRPr="00E82624">
        <w:rPr>
          <w:i/>
          <w:iCs/>
          <w:lang w:val="en-GB"/>
        </w:rPr>
        <w:t>Pingdom</w:t>
      </w:r>
      <w:proofErr w:type="spellEnd"/>
      <w:r w:rsidRPr="00E82624">
        <w:rPr>
          <w:i/>
          <w:iCs/>
          <w:lang w:val="en-GB"/>
        </w:rPr>
        <w:t xml:space="preserve"> </w:t>
      </w:r>
      <w:r w:rsidRPr="00E82624">
        <w:rPr>
          <w:lang w:val="en-GB"/>
        </w:rPr>
        <w:t>(blog), October 22, 2010, accessed November 20, 2015, http://royal.pingdom.com/2010/10/22/incredible-growth-of-the-internet-since-2000/.</w:t>
      </w:r>
    </w:p>
  </w:footnote>
  <w:footnote w:id="5">
    <w:p w14:paraId="63163988" w14:textId="77777777" w:rsidR="00A5762A" w:rsidRPr="00E82624" w:rsidRDefault="00A5762A" w:rsidP="004A5005">
      <w:pPr>
        <w:pStyle w:val="Footnote"/>
        <w:rPr>
          <w:spacing w:val="-6"/>
          <w:lang w:val="en-GB"/>
        </w:rPr>
      </w:pPr>
      <w:r w:rsidRPr="00E82624">
        <w:rPr>
          <w:spacing w:val="-6"/>
          <w:vertAlign w:val="superscript"/>
          <w:lang w:val="en-GB"/>
        </w:rPr>
        <w:footnoteRef/>
      </w:r>
      <w:r w:rsidRPr="00E82624">
        <w:rPr>
          <w:spacing w:val="-6"/>
          <w:vertAlign w:val="superscript"/>
          <w:lang w:val="en-GB"/>
        </w:rPr>
        <w:t xml:space="preserve"> </w:t>
      </w:r>
      <w:r w:rsidRPr="00E82624">
        <w:rPr>
          <w:spacing w:val="-6"/>
          <w:lang w:val="en-GB"/>
        </w:rPr>
        <w:t xml:space="preserve">Deloitte </w:t>
      </w:r>
      <w:proofErr w:type="spellStart"/>
      <w:r w:rsidRPr="00E82624">
        <w:rPr>
          <w:spacing w:val="-6"/>
          <w:lang w:val="en-GB"/>
        </w:rPr>
        <w:t>Touche</w:t>
      </w:r>
      <w:proofErr w:type="spellEnd"/>
      <w:r w:rsidRPr="00E82624">
        <w:rPr>
          <w:spacing w:val="-6"/>
          <w:lang w:val="en-GB"/>
        </w:rPr>
        <w:t xml:space="preserve"> Tohmatsu India, </w:t>
      </w:r>
      <w:r w:rsidRPr="00E82624">
        <w:rPr>
          <w:i/>
          <w:spacing w:val="-6"/>
          <w:lang w:val="en-GB"/>
        </w:rPr>
        <w:t>Future of E-commerce: Uncovering Innovation</w:t>
      </w:r>
      <w:r w:rsidRPr="00E82624">
        <w:rPr>
          <w:spacing w:val="-6"/>
          <w:lang w:val="en-GB"/>
        </w:rPr>
        <w:t>, 2015, accessed November 20, 2016, www2.deloitte.com/content/dam/Deloitte/in/Documents/technology-media-telecommunications/in-tmt-future-of-e-commerce-noexp.pdf.</w:t>
      </w:r>
    </w:p>
  </w:footnote>
  <w:footnote w:id="6">
    <w:p w14:paraId="39661AD3" w14:textId="5BE02CA0" w:rsidR="00A5762A" w:rsidRPr="00E82624" w:rsidRDefault="00A5762A" w:rsidP="00CD62F2">
      <w:pPr>
        <w:pStyle w:val="Footnote"/>
      </w:pPr>
      <w:r w:rsidRPr="00E82624">
        <w:rPr>
          <w:rStyle w:val="FootnoteReference"/>
        </w:rPr>
        <w:footnoteRef/>
      </w:r>
      <w:r w:rsidRPr="00E82624">
        <w:t xml:space="preserve"> </w:t>
      </w:r>
      <w:r w:rsidRPr="00E82624">
        <w:rPr>
          <w:lang w:val="en-GB"/>
        </w:rPr>
        <w:t>Morgan Hartley and Chris Walker, “The Growing Pains of Indian E-commerce: What You Need to Know,”</w:t>
      </w:r>
      <w:r w:rsidRPr="00E82624" w:rsidDel="00DE7DCB">
        <w:rPr>
          <w:lang w:val="en-GB"/>
        </w:rPr>
        <w:t xml:space="preserve"> </w:t>
      </w:r>
      <w:r w:rsidRPr="00E82624">
        <w:rPr>
          <w:i/>
          <w:lang w:val="en-GB"/>
        </w:rPr>
        <w:t>Forbes</w:t>
      </w:r>
      <w:r w:rsidRPr="00E82624">
        <w:rPr>
          <w:lang w:val="en-GB"/>
        </w:rPr>
        <w:t xml:space="preserve">, January 24, 2013, accessed November 16, 2015, www.forbes.com/sites/morganhartley/2013/01/24/the-growing-pains-of-indian-e-commerce-what-you-need-to-know; </w:t>
      </w:r>
      <w:r w:rsidRPr="00E82624">
        <w:rPr>
          <w:color w:val="333333"/>
          <w:lang w:val="en-GB"/>
        </w:rPr>
        <w:t xml:space="preserve">Team YS, “$1.6 Billion Invested in Indian </w:t>
      </w:r>
      <w:proofErr w:type="spellStart"/>
      <w:r w:rsidRPr="00E82624">
        <w:rPr>
          <w:color w:val="333333"/>
          <w:lang w:val="en-GB"/>
        </w:rPr>
        <w:t>Startups</w:t>
      </w:r>
      <w:proofErr w:type="spellEnd"/>
      <w:r w:rsidRPr="00E82624">
        <w:rPr>
          <w:color w:val="333333"/>
          <w:lang w:val="en-GB"/>
        </w:rPr>
        <w:t xml:space="preserve"> in around 300 Deals in 2013,” YourStory.com, December 28, 2013, accessed March 20, 2016, </w:t>
      </w:r>
      <w:hyperlink r:id="rId1" w:history="1">
        <w:r w:rsidRPr="00E82624">
          <w:rPr>
            <w:color w:val="333333"/>
            <w:lang w:val="en-GB"/>
          </w:rPr>
          <w:t>http://yourstory.com/2013/12/1600mn-invested-in-indian-startups-in-2013/</w:t>
        </w:r>
      </w:hyperlink>
      <w:r w:rsidRPr="00E82624">
        <w:rPr>
          <w:color w:val="333333"/>
          <w:lang w:val="en-GB"/>
        </w:rPr>
        <w:t>.</w:t>
      </w:r>
    </w:p>
  </w:footnote>
  <w:footnote w:id="7">
    <w:p w14:paraId="1DBCF22D" w14:textId="5617F26B" w:rsidR="00A5762A" w:rsidRPr="00E82624" w:rsidRDefault="00A5762A" w:rsidP="00A5762A">
      <w:pPr>
        <w:pStyle w:val="Footnote"/>
      </w:pPr>
      <w:r w:rsidRPr="00E82624">
        <w:rPr>
          <w:rStyle w:val="FootnoteReference"/>
        </w:rPr>
        <w:footnoteRef/>
      </w:r>
      <w:r w:rsidRPr="00E82624">
        <w:t xml:space="preserve"> </w:t>
      </w:r>
      <w:r>
        <w:t>“</w:t>
      </w:r>
      <w:r w:rsidRPr="00E82624">
        <w:rPr>
          <w:shd w:val="clear" w:color="auto" w:fill="FFFFFF"/>
        </w:rPr>
        <w:t xml:space="preserve">The </w:t>
      </w:r>
      <w:r>
        <w:rPr>
          <w:shd w:val="clear" w:color="auto" w:fill="FFFFFF"/>
        </w:rPr>
        <w:t>R</w:t>
      </w:r>
      <w:r w:rsidRPr="00E82624">
        <w:rPr>
          <w:shd w:val="clear" w:color="auto" w:fill="FFFFFF"/>
        </w:rPr>
        <w:t xml:space="preserve">ise and </w:t>
      </w:r>
      <w:r>
        <w:rPr>
          <w:shd w:val="clear" w:color="auto" w:fill="FFFFFF"/>
        </w:rPr>
        <w:t>R</w:t>
      </w:r>
      <w:r w:rsidRPr="00E82624">
        <w:rPr>
          <w:shd w:val="clear" w:color="auto" w:fill="FFFFFF"/>
        </w:rPr>
        <w:t xml:space="preserve">ise of </w:t>
      </w:r>
      <w:r>
        <w:rPr>
          <w:shd w:val="clear" w:color="auto" w:fill="FFFFFF"/>
        </w:rPr>
        <w:t>E</w:t>
      </w:r>
      <w:r w:rsidRPr="00E82624">
        <w:rPr>
          <w:shd w:val="clear" w:color="auto" w:fill="FFFFFF"/>
        </w:rPr>
        <w:t>commerce in India</w:t>
      </w:r>
      <w:r>
        <w:rPr>
          <w:shd w:val="clear" w:color="auto" w:fill="FFFFFF"/>
        </w:rPr>
        <w:t>,”</w:t>
      </w:r>
      <w:r w:rsidRPr="00E82624">
        <w:rPr>
          <w:shd w:val="clear" w:color="auto" w:fill="FFFFFF"/>
        </w:rPr>
        <w:t xml:space="preserve"> </w:t>
      </w:r>
      <w:r w:rsidRPr="00E82624">
        <w:rPr>
          <w:i/>
          <w:shd w:val="clear" w:color="auto" w:fill="FFFFFF"/>
        </w:rPr>
        <w:t>IBEF</w:t>
      </w:r>
      <w:r w:rsidRPr="00E82624">
        <w:rPr>
          <w:shd w:val="clear" w:color="auto" w:fill="FFFFFF"/>
        </w:rPr>
        <w:t>, January 2013</w:t>
      </w:r>
      <w:r>
        <w:rPr>
          <w:shd w:val="clear" w:color="auto" w:fill="FFFFFF"/>
        </w:rPr>
        <w:t>,</w:t>
      </w:r>
      <w:r w:rsidRPr="00E82624">
        <w:rPr>
          <w:shd w:val="clear" w:color="auto" w:fill="FFFFFF"/>
        </w:rPr>
        <w:t xml:space="preserve"> </w:t>
      </w:r>
      <w:r>
        <w:rPr>
          <w:shd w:val="clear" w:color="auto" w:fill="FFFFFF"/>
        </w:rPr>
        <w:t>a</w:t>
      </w:r>
      <w:r w:rsidRPr="00E82624">
        <w:rPr>
          <w:shd w:val="clear" w:color="auto" w:fill="FFFFFF"/>
        </w:rPr>
        <w:t>ccessed May 27, 2019, www.ibef.org/download/The-Rise-and-Rise-of-E-commerce-in-India.pdf.</w:t>
      </w:r>
    </w:p>
  </w:footnote>
  <w:footnote w:id="8">
    <w:p w14:paraId="10649926" w14:textId="2BBF2862" w:rsidR="00A5762A" w:rsidRPr="00E82624" w:rsidRDefault="00A5762A" w:rsidP="00A5762A">
      <w:pPr>
        <w:pStyle w:val="Footnote"/>
      </w:pPr>
      <w:r w:rsidRPr="00E82624">
        <w:rPr>
          <w:rStyle w:val="FootnoteReference"/>
        </w:rPr>
        <w:footnoteRef/>
      </w:r>
      <w:r w:rsidRPr="00E82624">
        <w:t xml:space="preserve"> </w:t>
      </w:r>
      <w:r>
        <w:t>“</w:t>
      </w:r>
      <w:r w:rsidRPr="00E82624">
        <w:rPr>
          <w:shd w:val="clear" w:color="auto" w:fill="FFFFFF"/>
        </w:rPr>
        <w:t>E-commerce Share of Total Retail Sales in India from 2014 to 2019</w:t>
      </w:r>
      <w:r>
        <w:rPr>
          <w:shd w:val="clear" w:color="auto" w:fill="FFFFFF"/>
        </w:rPr>
        <w:t>,”</w:t>
      </w:r>
      <w:r w:rsidRPr="00E82624">
        <w:rPr>
          <w:shd w:val="clear" w:color="auto" w:fill="FFFFFF"/>
        </w:rPr>
        <w:t xml:space="preserve"> </w:t>
      </w:r>
      <w:r w:rsidRPr="00E82624">
        <w:rPr>
          <w:i/>
          <w:shd w:val="clear" w:color="auto" w:fill="FFFFFF"/>
        </w:rPr>
        <w:t>Statista</w:t>
      </w:r>
      <w:r w:rsidRPr="00E82624">
        <w:rPr>
          <w:shd w:val="clear" w:color="auto" w:fill="FFFFFF"/>
        </w:rPr>
        <w:t xml:space="preserve">, </w:t>
      </w:r>
      <w:r>
        <w:rPr>
          <w:shd w:val="clear" w:color="auto" w:fill="FFFFFF"/>
        </w:rPr>
        <w:t>a</w:t>
      </w:r>
      <w:r w:rsidRPr="00E82624">
        <w:rPr>
          <w:shd w:val="clear" w:color="auto" w:fill="FFFFFF"/>
        </w:rPr>
        <w:t>ccessed May 27, 2019, www.statista.com/statistics/379167/e-commerce-share-of-retail-sales-in-india/.</w:t>
      </w:r>
    </w:p>
  </w:footnote>
  <w:footnote w:id="9">
    <w:p w14:paraId="098CF200" w14:textId="5BA8D30F" w:rsidR="00A5762A" w:rsidRPr="00E82624" w:rsidRDefault="00A5762A">
      <w:pPr>
        <w:pStyle w:val="FootnoteText"/>
        <w:rPr>
          <w:rFonts w:ascii="Arial" w:hAnsi="Arial" w:cs="Arial"/>
          <w:sz w:val="17"/>
          <w:szCs w:val="17"/>
          <w:lang w:val="en-CA"/>
        </w:rPr>
      </w:pPr>
      <w:r w:rsidRPr="00E82624">
        <w:rPr>
          <w:rStyle w:val="FootnoteReference"/>
          <w:rFonts w:ascii="Arial" w:hAnsi="Arial" w:cs="Arial"/>
          <w:sz w:val="17"/>
          <w:szCs w:val="17"/>
        </w:rPr>
        <w:footnoteRef/>
      </w:r>
      <w:r w:rsidRPr="00E82624">
        <w:rPr>
          <w:rFonts w:ascii="Arial" w:hAnsi="Arial" w:cs="Arial"/>
          <w:sz w:val="17"/>
          <w:szCs w:val="17"/>
        </w:rPr>
        <w:t xml:space="preserve"> </w:t>
      </w:r>
      <w:r w:rsidRPr="00E82624">
        <w:rPr>
          <w:rFonts w:ascii="Arial" w:hAnsi="Arial" w:cs="Arial"/>
          <w:sz w:val="17"/>
          <w:szCs w:val="17"/>
          <w:lang w:val="en-CA"/>
        </w:rPr>
        <w:t>₹ = INR = Indian rupee; US$1 = ₹61.93 on December 1, 2014.</w:t>
      </w:r>
    </w:p>
  </w:footnote>
  <w:footnote w:id="10">
    <w:p w14:paraId="0FF566D5" w14:textId="300D7107" w:rsidR="00A5762A" w:rsidRPr="00E82624" w:rsidRDefault="00A5762A" w:rsidP="00066A98">
      <w:pPr>
        <w:pStyle w:val="Footnote"/>
        <w:rPr>
          <w:lang w:val="en-GB"/>
        </w:rPr>
      </w:pPr>
      <w:r w:rsidRPr="00E82624">
        <w:rPr>
          <w:vertAlign w:val="superscript"/>
          <w:lang w:val="en-GB"/>
        </w:rPr>
        <w:footnoteRef/>
      </w:r>
      <w:r w:rsidRPr="00E82624">
        <w:rPr>
          <w:vertAlign w:val="superscript"/>
          <w:lang w:val="en-GB"/>
        </w:rPr>
        <w:t xml:space="preserve"> </w:t>
      </w:r>
      <w:proofErr w:type="spellStart"/>
      <w:r w:rsidRPr="00E82624">
        <w:rPr>
          <w:lang w:val="en-GB"/>
        </w:rPr>
        <w:t>Shrutika</w:t>
      </w:r>
      <w:proofErr w:type="spellEnd"/>
      <w:r w:rsidRPr="00E82624">
        <w:rPr>
          <w:lang w:val="en-GB"/>
        </w:rPr>
        <w:t xml:space="preserve"> </w:t>
      </w:r>
      <w:proofErr w:type="spellStart"/>
      <w:r w:rsidRPr="00E82624">
        <w:rPr>
          <w:lang w:val="en-GB"/>
        </w:rPr>
        <w:t>Verma</w:t>
      </w:r>
      <w:proofErr w:type="spellEnd"/>
      <w:r w:rsidRPr="00E82624">
        <w:rPr>
          <w:lang w:val="en-GB"/>
        </w:rPr>
        <w:t xml:space="preserve"> and </w:t>
      </w:r>
      <w:proofErr w:type="spellStart"/>
      <w:r w:rsidRPr="00E82624">
        <w:rPr>
          <w:lang w:val="en-GB"/>
        </w:rPr>
        <w:t>Mihir</w:t>
      </w:r>
      <w:proofErr w:type="spellEnd"/>
      <w:r w:rsidRPr="00E82624">
        <w:rPr>
          <w:lang w:val="en-GB"/>
        </w:rPr>
        <w:t xml:space="preserve"> </w:t>
      </w:r>
      <w:proofErr w:type="spellStart"/>
      <w:r w:rsidRPr="00E82624">
        <w:rPr>
          <w:lang w:val="en-GB"/>
        </w:rPr>
        <w:t>Dalal</w:t>
      </w:r>
      <w:proofErr w:type="spellEnd"/>
      <w:r w:rsidRPr="00E82624">
        <w:rPr>
          <w:lang w:val="en-GB"/>
        </w:rPr>
        <w:t xml:space="preserve">, “No More Doubts about E-Commerce Survival,” </w:t>
      </w:r>
      <w:proofErr w:type="spellStart"/>
      <w:r w:rsidRPr="00E82624">
        <w:rPr>
          <w:i/>
          <w:lang w:val="en-GB"/>
        </w:rPr>
        <w:t>Livemint</w:t>
      </w:r>
      <w:proofErr w:type="spellEnd"/>
      <w:r w:rsidRPr="00E82624">
        <w:rPr>
          <w:lang w:val="en-GB"/>
        </w:rPr>
        <w:t>, December 29, 2014, accessed August 16, 2018, www.livemint.com/Industry/bsG98NCj3GVvbMAmufgQBI/No-more-doubts-about-ecommerce-survival.html.</w:t>
      </w:r>
    </w:p>
  </w:footnote>
  <w:footnote w:id="11">
    <w:p w14:paraId="7984C127" w14:textId="5C1CAB0D" w:rsidR="00A5762A" w:rsidRPr="00E82624" w:rsidRDefault="00A5762A" w:rsidP="005531E1">
      <w:pPr>
        <w:pStyle w:val="Footnote"/>
        <w:rPr>
          <w:rStyle w:val="FootnoteReference"/>
          <w:bCs/>
          <w:color w:val="333333"/>
          <w:lang w:val="en-GB"/>
        </w:rPr>
      </w:pPr>
      <w:r w:rsidRPr="00E82624">
        <w:rPr>
          <w:vertAlign w:val="superscript"/>
          <w:lang w:val="en-GB"/>
        </w:rPr>
        <w:footnoteRef/>
      </w:r>
      <w:r w:rsidRPr="00E82624">
        <w:rPr>
          <w:lang w:val="en-GB"/>
        </w:rPr>
        <w:t xml:space="preserve"> Dana Stanley, “An Interview with </w:t>
      </w:r>
      <w:proofErr w:type="spellStart"/>
      <w:r w:rsidRPr="00E82624">
        <w:rPr>
          <w:lang w:val="en-GB"/>
        </w:rPr>
        <w:t>Snapdeal</w:t>
      </w:r>
      <w:proofErr w:type="spellEnd"/>
      <w:r w:rsidRPr="00E82624">
        <w:rPr>
          <w:lang w:val="en-GB"/>
        </w:rPr>
        <w:t xml:space="preserve"> CEO </w:t>
      </w:r>
      <w:proofErr w:type="spellStart"/>
      <w:r w:rsidRPr="00E82624">
        <w:rPr>
          <w:lang w:val="en-GB"/>
        </w:rPr>
        <w:t>Kunal</w:t>
      </w:r>
      <w:proofErr w:type="spellEnd"/>
      <w:r w:rsidRPr="00E82624">
        <w:rPr>
          <w:lang w:val="en-GB"/>
        </w:rPr>
        <w:t xml:space="preserve"> </w:t>
      </w:r>
      <w:proofErr w:type="spellStart"/>
      <w:r w:rsidRPr="00E82624">
        <w:rPr>
          <w:lang w:val="en-GB"/>
        </w:rPr>
        <w:t>Bahl</w:t>
      </w:r>
      <w:proofErr w:type="spellEnd"/>
      <w:r w:rsidRPr="00E82624">
        <w:rPr>
          <w:lang w:val="en-GB"/>
        </w:rPr>
        <w:t>,” Research Access, March 15, 2012, accessed March 25, 2016, http://researchaccess.com/2012/03/an-interview-with-snapdeal-ceo-kunal-bahl/.</w:t>
      </w:r>
    </w:p>
  </w:footnote>
  <w:footnote w:id="12">
    <w:p w14:paraId="7341FB23" w14:textId="76D94EE5" w:rsidR="00A5762A" w:rsidRPr="00E82624" w:rsidRDefault="00A5762A" w:rsidP="00E62979">
      <w:pPr>
        <w:pStyle w:val="Footnote"/>
        <w:rPr>
          <w:lang w:val="en-GB"/>
        </w:rPr>
      </w:pPr>
      <w:r w:rsidRPr="00E82624">
        <w:rPr>
          <w:rStyle w:val="FootnoteReference"/>
          <w:lang w:val="en-GB"/>
        </w:rPr>
        <w:footnoteRef/>
      </w:r>
      <w:r w:rsidRPr="00E82624">
        <w:rPr>
          <w:lang w:val="en-GB"/>
        </w:rPr>
        <w:t xml:space="preserve"> The Government of India had allowed FDI in the wholesale business-to-business segment as well as single brand retail in 2006. However, multi-brand retail was closed for FDI. Once Indian e-commerce firms received venture capital funding from funds established abroad, this became equivalent to an FDI.</w:t>
      </w:r>
    </w:p>
  </w:footnote>
  <w:footnote w:id="13">
    <w:p w14:paraId="58CA8299" w14:textId="4F6F330F" w:rsidR="00A5762A" w:rsidRPr="00E82624" w:rsidRDefault="00A5762A" w:rsidP="00E62979">
      <w:pPr>
        <w:pStyle w:val="Footnote"/>
        <w:rPr>
          <w:bCs/>
          <w:color w:val="333333"/>
          <w:lang w:val="en-GB"/>
        </w:rPr>
      </w:pPr>
      <w:r w:rsidRPr="00E82624">
        <w:rPr>
          <w:rStyle w:val="FootnoteReference"/>
          <w:lang w:val="en-GB"/>
        </w:rPr>
        <w:footnoteRef/>
      </w:r>
      <w:r w:rsidRPr="00E82624">
        <w:rPr>
          <w:lang w:val="en-GB"/>
        </w:rPr>
        <w:t xml:space="preserve"> </w:t>
      </w:r>
      <w:proofErr w:type="spellStart"/>
      <w:r w:rsidRPr="00E82624">
        <w:rPr>
          <w:bCs/>
          <w:color w:val="333333"/>
          <w:lang w:val="en-GB"/>
        </w:rPr>
        <w:t>Mihir</w:t>
      </w:r>
      <w:proofErr w:type="spellEnd"/>
      <w:r w:rsidRPr="00E82624">
        <w:rPr>
          <w:bCs/>
          <w:color w:val="333333"/>
          <w:lang w:val="en-GB"/>
        </w:rPr>
        <w:t xml:space="preserve"> </w:t>
      </w:r>
      <w:proofErr w:type="spellStart"/>
      <w:r w:rsidRPr="00E82624">
        <w:rPr>
          <w:bCs/>
          <w:color w:val="333333"/>
          <w:lang w:val="en-GB"/>
        </w:rPr>
        <w:t>Dalal</w:t>
      </w:r>
      <w:proofErr w:type="spellEnd"/>
      <w:r w:rsidRPr="00E82624">
        <w:rPr>
          <w:lang w:val="en-GB"/>
        </w:rPr>
        <w:t xml:space="preserve">, </w:t>
      </w:r>
      <w:r w:rsidRPr="00E82624">
        <w:t>“</w:t>
      </w:r>
      <w:proofErr w:type="spellStart"/>
      <w:r w:rsidRPr="00E82624">
        <w:rPr>
          <w:bCs/>
          <w:color w:val="333333"/>
          <w:lang w:val="en-GB"/>
        </w:rPr>
        <w:t>Snapdeal</w:t>
      </w:r>
      <w:proofErr w:type="spellEnd"/>
      <w:r w:rsidRPr="00E82624">
        <w:rPr>
          <w:bCs/>
          <w:color w:val="333333"/>
          <w:lang w:val="en-GB"/>
        </w:rPr>
        <w:t xml:space="preserve"> CEO Says Inventory Model Is ‘Dead’, Looking for Deals,” </w:t>
      </w:r>
      <w:proofErr w:type="spellStart"/>
      <w:r w:rsidRPr="00E82624">
        <w:rPr>
          <w:i/>
          <w:lang w:val="en-GB"/>
        </w:rPr>
        <w:t>Livemint</w:t>
      </w:r>
      <w:proofErr w:type="spellEnd"/>
      <w:r w:rsidRPr="00E82624">
        <w:rPr>
          <w:bCs/>
          <w:color w:val="333333"/>
          <w:lang w:val="en-GB"/>
        </w:rPr>
        <w:t xml:space="preserve">, April 11, 2013, accessed November 16, 2015, </w:t>
      </w:r>
      <w:r w:rsidRPr="00E82624">
        <w:rPr>
          <w:bCs/>
          <w:lang w:val="en-GB"/>
        </w:rPr>
        <w:t>www.livemint.com/Industry/D2Xufph6zu7w9ZYg8Ze0dM/Snapdeal-CEO-defends-marketplace-model-looking-for-acquisit.html.</w:t>
      </w:r>
      <w:r w:rsidRPr="00E82624">
        <w:rPr>
          <w:bCs/>
          <w:color w:val="333333"/>
          <w:lang w:val="en-GB"/>
        </w:rPr>
        <w:t xml:space="preserve"> </w:t>
      </w:r>
    </w:p>
  </w:footnote>
  <w:footnote w:id="14">
    <w:p w14:paraId="1A34FBEA" w14:textId="004E8FCE" w:rsidR="00A5762A" w:rsidRPr="00E82624" w:rsidRDefault="00A5762A" w:rsidP="00E62979">
      <w:pPr>
        <w:pStyle w:val="Footnote"/>
        <w:rPr>
          <w:rStyle w:val="FootnoteReference"/>
          <w:bCs/>
          <w:color w:val="333333"/>
          <w:lang w:val="en-GB"/>
        </w:rPr>
      </w:pPr>
      <w:r w:rsidRPr="00E82624">
        <w:rPr>
          <w:vertAlign w:val="superscript"/>
          <w:lang w:val="en-GB"/>
        </w:rPr>
        <w:footnoteRef/>
      </w:r>
      <w:r w:rsidRPr="00E82624">
        <w:rPr>
          <w:vertAlign w:val="superscript"/>
          <w:lang w:val="en-GB"/>
        </w:rPr>
        <w:t xml:space="preserve"> </w:t>
      </w:r>
      <w:r w:rsidRPr="00E82624">
        <w:rPr>
          <w:bCs/>
          <w:color w:val="333333"/>
          <w:lang w:val="en-GB"/>
        </w:rPr>
        <w:t xml:space="preserve">Archana Rai, </w:t>
      </w:r>
      <w:r w:rsidRPr="00E82624">
        <w:t>“</w:t>
      </w:r>
      <w:r w:rsidRPr="00E82624">
        <w:rPr>
          <w:bCs/>
          <w:color w:val="333333"/>
          <w:lang w:val="en-GB"/>
        </w:rPr>
        <w:t xml:space="preserve">We’re Building Highways for E-commerce: Sachin Bansal, CEO, Flipkart,” </w:t>
      </w:r>
      <w:r w:rsidRPr="00E82624">
        <w:rPr>
          <w:bCs/>
          <w:i/>
          <w:iCs/>
          <w:color w:val="333333"/>
          <w:lang w:val="en-GB"/>
        </w:rPr>
        <w:t>Economic Times</w:t>
      </w:r>
      <w:r w:rsidRPr="00E82624">
        <w:rPr>
          <w:bCs/>
          <w:color w:val="333333"/>
          <w:lang w:val="en-GB"/>
        </w:rPr>
        <w:t>, October 10, 2013, accessed November 16, 2015, https://economictimes.indiatimes.com/opinion/interviews/were-building-highways-for-e-commerce-sachin-bansal-ceo-flipkart/articleshow/23841837.cms.</w:t>
      </w:r>
    </w:p>
  </w:footnote>
  <w:footnote w:id="15">
    <w:p w14:paraId="088AECF2" w14:textId="5863E52E" w:rsidR="00A5762A" w:rsidRPr="00E82624" w:rsidRDefault="00A5762A" w:rsidP="00E55448">
      <w:pPr>
        <w:pStyle w:val="FootnoteText"/>
        <w:jc w:val="both"/>
        <w:rPr>
          <w:rFonts w:ascii="Arial" w:hAnsi="Arial" w:cs="Arial"/>
          <w:sz w:val="17"/>
          <w:szCs w:val="17"/>
          <w:lang w:val="en-GB"/>
        </w:rPr>
      </w:pPr>
      <w:r w:rsidRPr="00E82624">
        <w:rPr>
          <w:rFonts w:ascii="Arial" w:hAnsi="Arial" w:cs="Arial"/>
          <w:sz w:val="17"/>
          <w:szCs w:val="17"/>
          <w:vertAlign w:val="superscript"/>
          <w:lang w:val="en-GB"/>
        </w:rPr>
        <w:footnoteRef/>
      </w:r>
      <w:r w:rsidRPr="00E82624">
        <w:rPr>
          <w:rFonts w:ascii="Arial" w:hAnsi="Arial" w:cs="Arial"/>
          <w:sz w:val="17"/>
          <w:szCs w:val="17"/>
          <w:lang w:val="en-GB"/>
        </w:rPr>
        <w:t xml:space="preserve"> </w:t>
      </w:r>
      <w:bookmarkStart w:id="1" w:name="OLE_LINK16"/>
      <w:r w:rsidRPr="00E82624">
        <w:rPr>
          <w:rFonts w:ascii="Arial" w:hAnsi="Arial" w:cs="Arial"/>
          <w:sz w:val="17"/>
          <w:szCs w:val="17"/>
          <w:lang w:val="en-GB"/>
        </w:rPr>
        <w:t>According to Indian government notification D/o IPP File No. 5/12//2010-FC-I, dated September 20, 2012, retail trading, in any form, by means of e-commerce, would not be permissible for companies with FDI, engaged in the activity of multi-brand retail trading.</w:t>
      </w:r>
      <w:bookmarkEnd w:id="1"/>
    </w:p>
  </w:footnote>
  <w:footnote w:id="16">
    <w:p w14:paraId="60AE9807" w14:textId="2F48B4AB" w:rsidR="00A5762A" w:rsidRPr="00E82624" w:rsidRDefault="00A5762A" w:rsidP="00A5762A">
      <w:pPr>
        <w:pStyle w:val="Footnote"/>
        <w:rPr>
          <w:lang w:val="en-GB"/>
        </w:rPr>
      </w:pPr>
      <w:r w:rsidRPr="00E82624">
        <w:rPr>
          <w:vertAlign w:val="superscript"/>
          <w:lang w:val="en-GB"/>
        </w:rPr>
        <w:footnoteRef/>
      </w:r>
      <w:r w:rsidRPr="00E82624">
        <w:rPr>
          <w:vertAlign w:val="superscript"/>
          <w:lang w:val="en-GB"/>
        </w:rPr>
        <w:t xml:space="preserve"> </w:t>
      </w:r>
      <w:r w:rsidRPr="00E82624">
        <w:rPr>
          <w:lang w:val="en-GB"/>
        </w:rPr>
        <w:t xml:space="preserve">Reuters, “Amazon to Invest $2 Billion More in India as E-commerce Race Heats Up,” </w:t>
      </w:r>
      <w:r w:rsidRPr="00E82624">
        <w:rPr>
          <w:iCs/>
          <w:lang w:val="en-GB"/>
        </w:rPr>
        <w:t>Business Insider</w:t>
      </w:r>
      <w:r w:rsidRPr="00E82624">
        <w:rPr>
          <w:lang w:val="en-GB"/>
        </w:rPr>
        <w:t>, July 30, 2014, accessed May 17, 2016, www.businessinsider.com/r-amazon-to-invest-2-billion-more-in-india-as-e-commerce-race-heats-up-2014-30?IR=T.</w:t>
      </w:r>
    </w:p>
  </w:footnote>
  <w:footnote w:id="17">
    <w:p w14:paraId="65FABB16" w14:textId="5D7DB2F9" w:rsidR="00A5762A" w:rsidRPr="00E82624" w:rsidRDefault="00A5762A" w:rsidP="00A5762A">
      <w:pPr>
        <w:pStyle w:val="Footnote"/>
      </w:pPr>
      <w:r w:rsidRPr="00E82624">
        <w:rPr>
          <w:rStyle w:val="FootnoteReference"/>
        </w:rPr>
        <w:footnoteRef/>
      </w:r>
      <w:r w:rsidRPr="00E82624">
        <w:t xml:space="preserve"> "</w:t>
      </w:r>
      <w:proofErr w:type="spellStart"/>
      <w:r w:rsidRPr="00E82624">
        <w:t>SoftBank</w:t>
      </w:r>
      <w:proofErr w:type="spellEnd"/>
      <w:r w:rsidRPr="00E82624">
        <w:t xml:space="preserve"> to Invest $627 Million in </w:t>
      </w:r>
      <w:proofErr w:type="spellStart"/>
      <w:r w:rsidRPr="00E82624">
        <w:t>Snapdeal</w:t>
      </w:r>
      <w:proofErr w:type="spellEnd"/>
      <w:r>
        <w:t>,”</w:t>
      </w:r>
      <w:r w:rsidRPr="00E82624">
        <w:t xml:space="preserve"> </w:t>
      </w:r>
      <w:r w:rsidRPr="00E82624">
        <w:rPr>
          <w:i/>
        </w:rPr>
        <w:t>Deccan Herald</w:t>
      </w:r>
      <w:r w:rsidRPr="00E82624">
        <w:t xml:space="preserve">, October 28, 2014, </w:t>
      </w:r>
      <w:r>
        <w:t>a</w:t>
      </w:r>
      <w:r w:rsidRPr="00E82624">
        <w:t>ccessed May 26, 2019, www.deccanherald.com/content/438356/softbank-invest-627-million-snapdeal.html.</w:t>
      </w:r>
    </w:p>
  </w:footnote>
  <w:footnote w:id="18">
    <w:p w14:paraId="7E256CC4" w14:textId="56610DBD" w:rsidR="00A5762A" w:rsidRPr="00E82624" w:rsidRDefault="00A5762A" w:rsidP="00A5762A">
      <w:pPr>
        <w:pStyle w:val="Footnote"/>
      </w:pPr>
      <w:r w:rsidRPr="00E82624">
        <w:rPr>
          <w:rStyle w:val="FootnoteReference"/>
        </w:rPr>
        <w:footnoteRef/>
      </w:r>
      <w:r w:rsidRPr="00E82624">
        <w:t xml:space="preserve"> Feinberg, Ashley</w:t>
      </w:r>
      <w:r>
        <w:t>,</w:t>
      </w:r>
      <w:r w:rsidRPr="00E82624">
        <w:t xml:space="preserve"> "Life in an Amazon Warehouse: Fear and Efficiency at 35 Orders Per Second.</w:t>
      </w:r>
      <w:proofErr w:type="gramStart"/>
      <w:r w:rsidRPr="00E82624">
        <w:t>"</w:t>
      </w:r>
      <w:r>
        <w:t>,</w:t>
      </w:r>
      <w:proofErr w:type="gramEnd"/>
      <w:r w:rsidRPr="00E82624">
        <w:t xml:space="preserve"> </w:t>
      </w:r>
      <w:r w:rsidRPr="00E82624">
        <w:rPr>
          <w:i/>
        </w:rPr>
        <w:t>Gizmodo</w:t>
      </w:r>
      <w:r>
        <w:t>,</w:t>
      </w:r>
      <w:r w:rsidRPr="00E82624">
        <w:t xml:space="preserve"> June 17, 2013</w:t>
      </w:r>
      <w:r>
        <w:t>,</w:t>
      </w:r>
      <w:r w:rsidRPr="00E82624">
        <w:t xml:space="preserve"> </w:t>
      </w:r>
      <w:r>
        <w:t>a</w:t>
      </w:r>
      <w:r w:rsidRPr="00E82624">
        <w:t>ccessed May 26, 2019. https://gizmodo.com/life-in-an-amazon-warehouse-fear-and-efficiency-at-35-5982811.</w:t>
      </w:r>
    </w:p>
  </w:footnote>
  <w:footnote w:id="19">
    <w:p w14:paraId="3B4A78B3" w14:textId="77777777" w:rsidR="00A5762A" w:rsidRPr="00E82624" w:rsidRDefault="00A5762A" w:rsidP="00A5762A">
      <w:pPr>
        <w:pStyle w:val="Footnote"/>
      </w:pPr>
      <w:r w:rsidRPr="00E82624">
        <w:rPr>
          <w:rStyle w:val="FootnoteReference"/>
        </w:rPr>
        <w:footnoteRef/>
      </w:r>
      <w:r w:rsidRPr="00E82624">
        <w:t xml:space="preserve"> "Alibaba In Numbers – Statistics And Trends [Infographic].</w:t>
      </w:r>
      <w:proofErr w:type="gramStart"/>
      <w:r w:rsidRPr="00E82624">
        <w:t xml:space="preserve">" </w:t>
      </w:r>
      <w:r>
        <w:t>,</w:t>
      </w:r>
      <w:proofErr w:type="gramEnd"/>
      <w:r w:rsidRPr="00E82624">
        <w:rPr>
          <w:i/>
        </w:rPr>
        <w:t>GO</w:t>
      </w:r>
      <w:r>
        <w:t>,</w:t>
      </w:r>
      <w:r w:rsidRPr="00E82624">
        <w:t xml:space="preserve"> </w:t>
      </w:r>
      <w:r>
        <w:t>a</w:t>
      </w:r>
      <w:r w:rsidRPr="00E82624">
        <w:t>ccessed May 26, 2019</w:t>
      </w:r>
      <w:r>
        <w:t>,</w:t>
      </w:r>
      <w:r w:rsidRPr="00E82624">
        <w:t xml:space="preserve"> https://www.go-globe.com/blog/alibaba-statistics-trends/.</w:t>
      </w:r>
    </w:p>
  </w:footnote>
  <w:footnote w:id="20">
    <w:p w14:paraId="59AA003D" w14:textId="39A6D0B9" w:rsidR="00A5762A" w:rsidRPr="00E82624" w:rsidRDefault="00A5762A" w:rsidP="00066A98">
      <w:pPr>
        <w:pStyle w:val="Footnote"/>
        <w:rPr>
          <w:lang w:val="en-GB"/>
        </w:rPr>
      </w:pPr>
      <w:r w:rsidRPr="00E82624">
        <w:rPr>
          <w:rStyle w:val="FootnoteReference"/>
          <w:lang w:val="en-GB"/>
        </w:rPr>
        <w:footnoteRef/>
      </w:r>
      <w:r w:rsidRPr="00E82624">
        <w:rPr>
          <w:lang w:val="en-GB"/>
        </w:rPr>
        <w:t xml:space="preserve"> Pankaj Mishra, “The Curse of Lee </w:t>
      </w:r>
      <w:proofErr w:type="spellStart"/>
      <w:r w:rsidRPr="00E82624">
        <w:rPr>
          <w:lang w:val="en-GB"/>
        </w:rPr>
        <w:t>Fixel</w:t>
      </w:r>
      <w:proofErr w:type="spellEnd"/>
      <w:r w:rsidRPr="00E82624">
        <w:rPr>
          <w:lang w:val="en-GB"/>
        </w:rPr>
        <w:t xml:space="preserve">,” </w:t>
      </w:r>
      <w:proofErr w:type="spellStart"/>
      <w:r w:rsidRPr="00E82624">
        <w:rPr>
          <w:lang w:val="en-GB"/>
        </w:rPr>
        <w:t>FactorDaily</w:t>
      </w:r>
      <w:proofErr w:type="spellEnd"/>
      <w:r w:rsidRPr="00E82624">
        <w:rPr>
          <w:lang w:val="en-GB"/>
        </w:rPr>
        <w:t>, September 16, 2016, accessed January 26, 2017, https://factordaily.com/lee-fixel-tiger-global-india/.</w:t>
      </w:r>
    </w:p>
  </w:footnote>
  <w:footnote w:id="21">
    <w:p w14:paraId="69D81048" w14:textId="0B5BF001" w:rsidR="00A5762A" w:rsidRPr="00E82624" w:rsidRDefault="00A5762A" w:rsidP="00066A98">
      <w:pPr>
        <w:pStyle w:val="Footnote"/>
        <w:rPr>
          <w:lang w:val="en-GB"/>
        </w:rPr>
      </w:pPr>
      <w:r w:rsidRPr="00E82624">
        <w:rPr>
          <w:vertAlign w:val="superscript"/>
          <w:lang w:val="en-GB"/>
        </w:rPr>
        <w:footnoteRef/>
      </w:r>
      <w:r w:rsidRPr="00E82624">
        <w:rPr>
          <w:vertAlign w:val="superscript"/>
          <w:lang w:val="en-GB"/>
        </w:rPr>
        <w:t xml:space="preserve"> </w:t>
      </w:r>
      <w:r w:rsidRPr="00E82624">
        <w:rPr>
          <w:lang w:val="en-GB"/>
        </w:rPr>
        <w:t xml:space="preserve">Sunny Sen, “Supercharged: How </w:t>
      </w:r>
      <w:proofErr w:type="spellStart"/>
      <w:r w:rsidRPr="00E82624">
        <w:rPr>
          <w:lang w:val="en-GB"/>
        </w:rPr>
        <w:t>Kunal</w:t>
      </w:r>
      <w:proofErr w:type="spellEnd"/>
      <w:r w:rsidRPr="00E82624">
        <w:rPr>
          <w:lang w:val="en-GB"/>
        </w:rPr>
        <w:t xml:space="preserve"> </w:t>
      </w:r>
      <w:proofErr w:type="spellStart"/>
      <w:r w:rsidRPr="00E82624">
        <w:rPr>
          <w:lang w:val="en-GB"/>
        </w:rPr>
        <w:t>Bahl</w:t>
      </w:r>
      <w:proofErr w:type="spellEnd"/>
      <w:r w:rsidRPr="00E82624">
        <w:rPr>
          <w:lang w:val="en-GB"/>
        </w:rPr>
        <w:t xml:space="preserve"> and </w:t>
      </w:r>
      <w:proofErr w:type="spellStart"/>
      <w:r w:rsidRPr="00E82624">
        <w:rPr>
          <w:lang w:val="en-GB"/>
        </w:rPr>
        <w:t>Rohit</w:t>
      </w:r>
      <w:proofErr w:type="spellEnd"/>
      <w:r w:rsidRPr="00E82624">
        <w:rPr>
          <w:lang w:val="en-GB"/>
        </w:rPr>
        <w:t xml:space="preserve"> Bansal Created the Country’s Biggest Online Marketplace,” Business Today, August 17, 2014, accessed April 19, 2016, www.businesstoday.in/magazine/features/snapdeal-flipkart-alibabacom-kunal-bahl-rohit-bansal/story/208582.html.</w:t>
      </w:r>
    </w:p>
  </w:footnote>
  <w:footnote w:id="22">
    <w:p w14:paraId="20F5781E" w14:textId="3B980C85" w:rsidR="00A5762A" w:rsidRPr="00E82624" w:rsidRDefault="00A5762A" w:rsidP="00E55448">
      <w:pPr>
        <w:pStyle w:val="FootnoteText"/>
        <w:rPr>
          <w:rFonts w:ascii="Arial" w:hAnsi="Arial" w:cs="Arial"/>
          <w:sz w:val="17"/>
          <w:szCs w:val="17"/>
          <w:lang w:val="en-GB"/>
        </w:rPr>
      </w:pPr>
      <w:r w:rsidRPr="00E82624">
        <w:rPr>
          <w:rStyle w:val="FootnoteReference"/>
          <w:rFonts w:ascii="Arial" w:hAnsi="Arial" w:cs="Arial"/>
          <w:sz w:val="17"/>
          <w:szCs w:val="17"/>
          <w:lang w:val="en-GB"/>
        </w:rPr>
        <w:footnoteRef/>
      </w:r>
      <w:r w:rsidRPr="00E82624">
        <w:rPr>
          <w:rFonts w:ascii="Arial" w:hAnsi="Arial" w:cs="Arial"/>
          <w:sz w:val="17"/>
          <w:szCs w:val="17"/>
          <w:lang w:val="en-GB"/>
        </w:rPr>
        <w:t xml:space="preserve"> “</w:t>
      </w:r>
      <w:proofErr w:type="spellStart"/>
      <w:r w:rsidRPr="00E82624">
        <w:rPr>
          <w:rFonts w:ascii="Arial" w:hAnsi="Arial" w:cs="Arial"/>
          <w:sz w:val="17"/>
          <w:szCs w:val="17"/>
          <w:lang w:val="en-GB"/>
        </w:rPr>
        <w:t>Snapdeal</w:t>
      </w:r>
      <w:proofErr w:type="spellEnd"/>
      <w:r w:rsidRPr="00E82624">
        <w:rPr>
          <w:rFonts w:ascii="Arial" w:hAnsi="Arial" w:cs="Arial"/>
          <w:sz w:val="17"/>
          <w:szCs w:val="17"/>
          <w:lang w:val="en-GB"/>
        </w:rPr>
        <w:t xml:space="preserve">: Connecting the Dots between Demand and Supply in India,” </w:t>
      </w:r>
      <w:proofErr w:type="spellStart"/>
      <w:r w:rsidRPr="00E82624">
        <w:rPr>
          <w:rFonts w:ascii="Arial" w:hAnsi="Arial" w:cs="Arial"/>
          <w:i/>
          <w:sz w:val="17"/>
          <w:szCs w:val="17"/>
          <w:lang w:val="en-GB"/>
        </w:rPr>
        <w:t>Livemint</w:t>
      </w:r>
      <w:proofErr w:type="spellEnd"/>
      <w:r w:rsidRPr="00E82624">
        <w:rPr>
          <w:rFonts w:ascii="Arial" w:hAnsi="Arial" w:cs="Arial"/>
          <w:sz w:val="17"/>
          <w:szCs w:val="17"/>
          <w:lang w:val="en-GB"/>
        </w:rPr>
        <w:t>, November 26, 2014, accessed April 13, 2017, www.livemint.com/Companies/VH36sYyY6Y3x520yQ23VdI/Snapdeal-Connecting-the-dots-between-demand-and-supply-in-I.html.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ACA31AE" w:rsidR="00A5762A" w:rsidRPr="00C92CC4" w:rsidRDefault="00A5762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D125E">
      <w:rPr>
        <w:rFonts w:ascii="Arial" w:hAnsi="Arial"/>
        <w:b/>
        <w:noProof/>
      </w:rPr>
      <w:t>14</w:t>
    </w:r>
    <w:r>
      <w:rPr>
        <w:rFonts w:ascii="Arial" w:hAnsi="Arial"/>
        <w:b/>
      </w:rPr>
      <w:fldChar w:fldCharType="end"/>
    </w:r>
    <w:r>
      <w:rPr>
        <w:rFonts w:ascii="Arial" w:hAnsi="Arial"/>
        <w:b/>
      </w:rPr>
      <w:tab/>
      <w:t>9B19M039</w:t>
    </w:r>
  </w:p>
  <w:p w14:paraId="2B53C0A0" w14:textId="77777777" w:rsidR="00A5762A" w:rsidRDefault="00A5762A" w:rsidP="00D13667">
    <w:pPr>
      <w:pStyle w:val="Header"/>
      <w:tabs>
        <w:tab w:val="clear" w:pos="4680"/>
      </w:tabs>
      <w:rPr>
        <w:sz w:val="18"/>
        <w:szCs w:val="18"/>
      </w:rPr>
    </w:pPr>
  </w:p>
  <w:p w14:paraId="47119730" w14:textId="77777777" w:rsidR="00A5762A" w:rsidRPr="00C92CC4" w:rsidRDefault="00A5762A"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4BA730C-D2B7-48E0-8FD1-17844C9898F2}"/>
    <w:docVar w:name="dgnword-eventsink" w:val="1837251771200"/>
  </w:docVars>
  <w:rsids>
    <w:rsidRoot w:val="008A4DC4"/>
    <w:rsid w:val="0000085A"/>
    <w:rsid w:val="00001F85"/>
    <w:rsid w:val="0000584C"/>
    <w:rsid w:val="00006046"/>
    <w:rsid w:val="00010595"/>
    <w:rsid w:val="00011583"/>
    <w:rsid w:val="00013360"/>
    <w:rsid w:val="00016189"/>
    <w:rsid w:val="00016759"/>
    <w:rsid w:val="000216CE"/>
    <w:rsid w:val="00024ED4"/>
    <w:rsid w:val="00025662"/>
    <w:rsid w:val="00025DC7"/>
    <w:rsid w:val="000266B2"/>
    <w:rsid w:val="00031105"/>
    <w:rsid w:val="0003176C"/>
    <w:rsid w:val="00033A08"/>
    <w:rsid w:val="00035F09"/>
    <w:rsid w:val="00037600"/>
    <w:rsid w:val="00037B97"/>
    <w:rsid w:val="00043D16"/>
    <w:rsid w:val="00044ECC"/>
    <w:rsid w:val="00051543"/>
    <w:rsid w:val="000531D3"/>
    <w:rsid w:val="00053A42"/>
    <w:rsid w:val="0005646B"/>
    <w:rsid w:val="00065A22"/>
    <w:rsid w:val="00066A98"/>
    <w:rsid w:val="00077173"/>
    <w:rsid w:val="0008102D"/>
    <w:rsid w:val="00086B26"/>
    <w:rsid w:val="00094C0E"/>
    <w:rsid w:val="00095D79"/>
    <w:rsid w:val="000A146D"/>
    <w:rsid w:val="000A5A8B"/>
    <w:rsid w:val="000B4427"/>
    <w:rsid w:val="000C0D2F"/>
    <w:rsid w:val="000C483D"/>
    <w:rsid w:val="000C785B"/>
    <w:rsid w:val="000D0015"/>
    <w:rsid w:val="000D2A2F"/>
    <w:rsid w:val="000D7091"/>
    <w:rsid w:val="000D759E"/>
    <w:rsid w:val="000E1586"/>
    <w:rsid w:val="000F0C22"/>
    <w:rsid w:val="000F5575"/>
    <w:rsid w:val="000F6815"/>
    <w:rsid w:val="000F6B09"/>
    <w:rsid w:val="000F6FDC"/>
    <w:rsid w:val="00104567"/>
    <w:rsid w:val="001046A0"/>
    <w:rsid w:val="00104916"/>
    <w:rsid w:val="00104AA7"/>
    <w:rsid w:val="00111E55"/>
    <w:rsid w:val="00114901"/>
    <w:rsid w:val="00121125"/>
    <w:rsid w:val="00121551"/>
    <w:rsid w:val="0012541F"/>
    <w:rsid w:val="0012732D"/>
    <w:rsid w:val="00142B34"/>
    <w:rsid w:val="00143F0A"/>
    <w:rsid w:val="00143F25"/>
    <w:rsid w:val="001440A9"/>
    <w:rsid w:val="00145840"/>
    <w:rsid w:val="001461A4"/>
    <w:rsid w:val="00152682"/>
    <w:rsid w:val="00154FC9"/>
    <w:rsid w:val="00155624"/>
    <w:rsid w:val="00161659"/>
    <w:rsid w:val="001618BA"/>
    <w:rsid w:val="00165A06"/>
    <w:rsid w:val="00166339"/>
    <w:rsid w:val="001716F2"/>
    <w:rsid w:val="00174C14"/>
    <w:rsid w:val="001775A0"/>
    <w:rsid w:val="0018071A"/>
    <w:rsid w:val="00183C18"/>
    <w:rsid w:val="00186193"/>
    <w:rsid w:val="001917FC"/>
    <w:rsid w:val="0019241A"/>
    <w:rsid w:val="001928DC"/>
    <w:rsid w:val="00192A18"/>
    <w:rsid w:val="00194D35"/>
    <w:rsid w:val="001967C9"/>
    <w:rsid w:val="001A22D1"/>
    <w:rsid w:val="001A3CAB"/>
    <w:rsid w:val="001A67A5"/>
    <w:rsid w:val="001A752D"/>
    <w:rsid w:val="001A757E"/>
    <w:rsid w:val="001B3691"/>
    <w:rsid w:val="001B5032"/>
    <w:rsid w:val="001C238B"/>
    <w:rsid w:val="001C2AC3"/>
    <w:rsid w:val="001C30F7"/>
    <w:rsid w:val="001C53AC"/>
    <w:rsid w:val="001C7777"/>
    <w:rsid w:val="001D344B"/>
    <w:rsid w:val="001E1CF0"/>
    <w:rsid w:val="001E364F"/>
    <w:rsid w:val="001E6666"/>
    <w:rsid w:val="001E7A90"/>
    <w:rsid w:val="001F1375"/>
    <w:rsid w:val="001F4222"/>
    <w:rsid w:val="001F51BA"/>
    <w:rsid w:val="00202A94"/>
    <w:rsid w:val="00203AA1"/>
    <w:rsid w:val="00210838"/>
    <w:rsid w:val="00213E98"/>
    <w:rsid w:val="002174B0"/>
    <w:rsid w:val="002174FE"/>
    <w:rsid w:val="002233BB"/>
    <w:rsid w:val="002255C8"/>
    <w:rsid w:val="00225A13"/>
    <w:rsid w:val="00227351"/>
    <w:rsid w:val="00227435"/>
    <w:rsid w:val="00230150"/>
    <w:rsid w:val="0023081A"/>
    <w:rsid w:val="002309ED"/>
    <w:rsid w:val="00233111"/>
    <w:rsid w:val="00237705"/>
    <w:rsid w:val="00241F5E"/>
    <w:rsid w:val="00243226"/>
    <w:rsid w:val="0024493F"/>
    <w:rsid w:val="00244EB4"/>
    <w:rsid w:val="00245089"/>
    <w:rsid w:val="00255377"/>
    <w:rsid w:val="00257DCA"/>
    <w:rsid w:val="00262783"/>
    <w:rsid w:val="0026298B"/>
    <w:rsid w:val="002633CC"/>
    <w:rsid w:val="002637F2"/>
    <w:rsid w:val="00263EC6"/>
    <w:rsid w:val="00265502"/>
    <w:rsid w:val="00265FA8"/>
    <w:rsid w:val="00266FA4"/>
    <w:rsid w:val="00267922"/>
    <w:rsid w:val="00270F3C"/>
    <w:rsid w:val="0027607E"/>
    <w:rsid w:val="00287E7A"/>
    <w:rsid w:val="00294652"/>
    <w:rsid w:val="002A22BB"/>
    <w:rsid w:val="002B022F"/>
    <w:rsid w:val="002B38A1"/>
    <w:rsid w:val="002B529A"/>
    <w:rsid w:val="002B584C"/>
    <w:rsid w:val="002C299B"/>
    <w:rsid w:val="002C4E29"/>
    <w:rsid w:val="002D0331"/>
    <w:rsid w:val="002D4A4E"/>
    <w:rsid w:val="002D513A"/>
    <w:rsid w:val="002F460C"/>
    <w:rsid w:val="002F48D6"/>
    <w:rsid w:val="002F7DE0"/>
    <w:rsid w:val="00301D47"/>
    <w:rsid w:val="003106D6"/>
    <w:rsid w:val="0031343D"/>
    <w:rsid w:val="003166D6"/>
    <w:rsid w:val="00317391"/>
    <w:rsid w:val="00320463"/>
    <w:rsid w:val="0032273C"/>
    <w:rsid w:val="00326216"/>
    <w:rsid w:val="0033085D"/>
    <w:rsid w:val="00330A2A"/>
    <w:rsid w:val="00332045"/>
    <w:rsid w:val="00335B7E"/>
    <w:rsid w:val="00336580"/>
    <w:rsid w:val="0033755E"/>
    <w:rsid w:val="00343973"/>
    <w:rsid w:val="00345C2D"/>
    <w:rsid w:val="00350ECD"/>
    <w:rsid w:val="00354899"/>
    <w:rsid w:val="00355FD6"/>
    <w:rsid w:val="0036274C"/>
    <w:rsid w:val="0036447C"/>
    <w:rsid w:val="00364A5C"/>
    <w:rsid w:val="00365658"/>
    <w:rsid w:val="00366AA9"/>
    <w:rsid w:val="003674CC"/>
    <w:rsid w:val="00373ABE"/>
    <w:rsid w:val="00373FB1"/>
    <w:rsid w:val="00374C10"/>
    <w:rsid w:val="00375FA7"/>
    <w:rsid w:val="00376306"/>
    <w:rsid w:val="00394782"/>
    <w:rsid w:val="00394A73"/>
    <w:rsid w:val="0039623D"/>
    <w:rsid w:val="00396C76"/>
    <w:rsid w:val="003A3006"/>
    <w:rsid w:val="003A3D98"/>
    <w:rsid w:val="003A681C"/>
    <w:rsid w:val="003A6ED5"/>
    <w:rsid w:val="003B277E"/>
    <w:rsid w:val="003B30D8"/>
    <w:rsid w:val="003B4D5E"/>
    <w:rsid w:val="003B5919"/>
    <w:rsid w:val="003B5E02"/>
    <w:rsid w:val="003B7EF2"/>
    <w:rsid w:val="003C3FA4"/>
    <w:rsid w:val="003C45E1"/>
    <w:rsid w:val="003D0BA1"/>
    <w:rsid w:val="003E10B2"/>
    <w:rsid w:val="003E4BF9"/>
    <w:rsid w:val="003E7501"/>
    <w:rsid w:val="003F24A2"/>
    <w:rsid w:val="003F2B0C"/>
    <w:rsid w:val="003F5FF5"/>
    <w:rsid w:val="004005AF"/>
    <w:rsid w:val="00400C40"/>
    <w:rsid w:val="00403DC9"/>
    <w:rsid w:val="0040411C"/>
    <w:rsid w:val="00406C55"/>
    <w:rsid w:val="004105B2"/>
    <w:rsid w:val="0041145A"/>
    <w:rsid w:val="0041169A"/>
    <w:rsid w:val="00412900"/>
    <w:rsid w:val="00414865"/>
    <w:rsid w:val="0042213F"/>
    <w:rsid w:val="004221E4"/>
    <w:rsid w:val="004273F8"/>
    <w:rsid w:val="0043306A"/>
    <w:rsid w:val="004355A3"/>
    <w:rsid w:val="00446546"/>
    <w:rsid w:val="00447C90"/>
    <w:rsid w:val="0045210D"/>
    <w:rsid w:val="00452769"/>
    <w:rsid w:val="00452BBD"/>
    <w:rsid w:val="00454FA7"/>
    <w:rsid w:val="0046054A"/>
    <w:rsid w:val="00465348"/>
    <w:rsid w:val="00476545"/>
    <w:rsid w:val="00476624"/>
    <w:rsid w:val="0048122B"/>
    <w:rsid w:val="004814D1"/>
    <w:rsid w:val="00483400"/>
    <w:rsid w:val="00483753"/>
    <w:rsid w:val="00485A69"/>
    <w:rsid w:val="00486AAD"/>
    <w:rsid w:val="004872EB"/>
    <w:rsid w:val="004906D7"/>
    <w:rsid w:val="00491286"/>
    <w:rsid w:val="004912C8"/>
    <w:rsid w:val="00491C54"/>
    <w:rsid w:val="004944B6"/>
    <w:rsid w:val="004979A5"/>
    <w:rsid w:val="004A09E6"/>
    <w:rsid w:val="004A25E0"/>
    <w:rsid w:val="004A5005"/>
    <w:rsid w:val="004A541C"/>
    <w:rsid w:val="004B063A"/>
    <w:rsid w:val="004B1CCB"/>
    <w:rsid w:val="004B33C1"/>
    <w:rsid w:val="004B4CF5"/>
    <w:rsid w:val="004B632F"/>
    <w:rsid w:val="004B67F1"/>
    <w:rsid w:val="004C22F0"/>
    <w:rsid w:val="004C794D"/>
    <w:rsid w:val="004D3FB1"/>
    <w:rsid w:val="004D6792"/>
    <w:rsid w:val="004D6F21"/>
    <w:rsid w:val="004D73A5"/>
    <w:rsid w:val="004D77EB"/>
    <w:rsid w:val="004D7B8B"/>
    <w:rsid w:val="004E1CC5"/>
    <w:rsid w:val="004E20FC"/>
    <w:rsid w:val="004E3D49"/>
    <w:rsid w:val="004F14EE"/>
    <w:rsid w:val="004F393C"/>
    <w:rsid w:val="00500F8A"/>
    <w:rsid w:val="00503ABF"/>
    <w:rsid w:val="00503C7B"/>
    <w:rsid w:val="005100DD"/>
    <w:rsid w:val="00511E6D"/>
    <w:rsid w:val="00514D1F"/>
    <w:rsid w:val="005160F1"/>
    <w:rsid w:val="00517A8A"/>
    <w:rsid w:val="00521472"/>
    <w:rsid w:val="0052321C"/>
    <w:rsid w:val="00524F2F"/>
    <w:rsid w:val="00527616"/>
    <w:rsid w:val="00527E5C"/>
    <w:rsid w:val="00532CF5"/>
    <w:rsid w:val="00533C52"/>
    <w:rsid w:val="00534270"/>
    <w:rsid w:val="0053496D"/>
    <w:rsid w:val="005445CF"/>
    <w:rsid w:val="00544E88"/>
    <w:rsid w:val="0054739D"/>
    <w:rsid w:val="00550B0F"/>
    <w:rsid w:val="005528CB"/>
    <w:rsid w:val="00552BC7"/>
    <w:rsid w:val="005531E1"/>
    <w:rsid w:val="0055337C"/>
    <w:rsid w:val="00554066"/>
    <w:rsid w:val="005567A2"/>
    <w:rsid w:val="00560645"/>
    <w:rsid w:val="00561319"/>
    <w:rsid w:val="00561442"/>
    <w:rsid w:val="00561CEF"/>
    <w:rsid w:val="00566771"/>
    <w:rsid w:val="00570450"/>
    <w:rsid w:val="00570BF2"/>
    <w:rsid w:val="00573DB2"/>
    <w:rsid w:val="005747B3"/>
    <w:rsid w:val="00575887"/>
    <w:rsid w:val="00580EB1"/>
    <w:rsid w:val="0058182B"/>
    <w:rsid w:val="00581E2E"/>
    <w:rsid w:val="00583CE7"/>
    <w:rsid w:val="00584F15"/>
    <w:rsid w:val="00586CB9"/>
    <w:rsid w:val="005947E8"/>
    <w:rsid w:val="0059514B"/>
    <w:rsid w:val="00596C88"/>
    <w:rsid w:val="005971D7"/>
    <w:rsid w:val="00597754"/>
    <w:rsid w:val="005A1B0F"/>
    <w:rsid w:val="005A5916"/>
    <w:rsid w:val="005A698A"/>
    <w:rsid w:val="005A7544"/>
    <w:rsid w:val="005B26DF"/>
    <w:rsid w:val="005B5EFE"/>
    <w:rsid w:val="005B72B5"/>
    <w:rsid w:val="005C5AA6"/>
    <w:rsid w:val="005C6184"/>
    <w:rsid w:val="005D125E"/>
    <w:rsid w:val="005E24B5"/>
    <w:rsid w:val="005E33C5"/>
    <w:rsid w:val="005E34C0"/>
    <w:rsid w:val="005E3F8C"/>
    <w:rsid w:val="005E4CCC"/>
    <w:rsid w:val="005F043D"/>
    <w:rsid w:val="005F1E00"/>
    <w:rsid w:val="005F2815"/>
    <w:rsid w:val="005F3673"/>
    <w:rsid w:val="005F77F9"/>
    <w:rsid w:val="00603A6F"/>
    <w:rsid w:val="00606904"/>
    <w:rsid w:val="00606B6F"/>
    <w:rsid w:val="0061421B"/>
    <w:rsid w:val="006163F7"/>
    <w:rsid w:val="00626D16"/>
    <w:rsid w:val="006274A6"/>
    <w:rsid w:val="00627C63"/>
    <w:rsid w:val="00630320"/>
    <w:rsid w:val="0063350B"/>
    <w:rsid w:val="00637C5C"/>
    <w:rsid w:val="00637D5E"/>
    <w:rsid w:val="00647C2E"/>
    <w:rsid w:val="00651BE4"/>
    <w:rsid w:val="00651DAC"/>
    <w:rsid w:val="00652606"/>
    <w:rsid w:val="006534A5"/>
    <w:rsid w:val="00666503"/>
    <w:rsid w:val="006709F3"/>
    <w:rsid w:val="00671A40"/>
    <w:rsid w:val="006767AB"/>
    <w:rsid w:val="00682D79"/>
    <w:rsid w:val="00683B4B"/>
    <w:rsid w:val="00683C53"/>
    <w:rsid w:val="00687074"/>
    <w:rsid w:val="00692654"/>
    <w:rsid w:val="006946EE"/>
    <w:rsid w:val="00697927"/>
    <w:rsid w:val="006A238A"/>
    <w:rsid w:val="006A58A9"/>
    <w:rsid w:val="006A606D"/>
    <w:rsid w:val="006A7FAB"/>
    <w:rsid w:val="006B081A"/>
    <w:rsid w:val="006B356C"/>
    <w:rsid w:val="006B3F51"/>
    <w:rsid w:val="006B5B38"/>
    <w:rsid w:val="006B7F5F"/>
    <w:rsid w:val="006C0371"/>
    <w:rsid w:val="006C08B6"/>
    <w:rsid w:val="006C0B1A"/>
    <w:rsid w:val="006C26E3"/>
    <w:rsid w:val="006C6065"/>
    <w:rsid w:val="006C7F9F"/>
    <w:rsid w:val="006D3775"/>
    <w:rsid w:val="006D5BB2"/>
    <w:rsid w:val="006D738D"/>
    <w:rsid w:val="006E01F7"/>
    <w:rsid w:val="006E066D"/>
    <w:rsid w:val="006E186B"/>
    <w:rsid w:val="006E2F6D"/>
    <w:rsid w:val="006E58F6"/>
    <w:rsid w:val="006E759A"/>
    <w:rsid w:val="006E77E1"/>
    <w:rsid w:val="006F131D"/>
    <w:rsid w:val="006F3FAD"/>
    <w:rsid w:val="00703D67"/>
    <w:rsid w:val="007046E8"/>
    <w:rsid w:val="00711642"/>
    <w:rsid w:val="00711BD3"/>
    <w:rsid w:val="00713A8C"/>
    <w:rsid w:val="007142E8"/>
    <w:rsid w:val="00721887"/>
    <w:rsid w:val="00724C2A"/>
    <w:rsid w:val="007258DA"/>
    <w:rsid w:val="00725B30"/>
    <w:rsid w:val="0073058B"/>
    <w:rsid w:val="00730B7F"/>
    <w:rsid w:val="0073143C"/>
    <w:rsid w:val="007325BB"/>
    <w:rsid w:val="00740252"/>
    <w:rsid w:val="007507C6"/>
    <w:rsid w:val="00751E0B"/>
    <w:rsid w:val="00752542"/>
    <w:rsid w:val="00752A09"/>
    <w:rsid w:val="00752BCD"/>
    <w:rsid w:val="00761F5E"/>
    <w:rsid w:val="0076332A"/>
    <w:rsid w:val="00763952"/>
    <w:rsid w:val="00766844"/>
    <w:rsid w:val="00766DA1"/>
    <w:rsid w:val="00767E33"/>
    <w:rsid w:val="00777B47"/>
    <w:rsid w:val="00780D94"/>
    <w:rsid w:val="00782098"/>
    <w:rsid w:val="00782ECC"/>
    <w:rsid w:val="00783E61"/>
    <w:rsid w:val="007866A6"/>
    <w:rsid w:val="007870DD"/>
    <w:rsid w:val="007875A1"/>
    <w:rsid w:val="00790CC4"/>
    <w:rsid w:val="00792707"/>
    <w:rsid w:val="007953BC"/>
    <w:rsid w:val="007961CE"/>
    <w:rsid w:val="00796906"/>
    <w:rsid w:val="00797F9D"/>
    <w:rsid w:val="007A130D"/>
    <w:rsid w:val="007A1B00"/>
    <w:rsid w:val="007A6A2D"/>
    <w:rsid w:val="007B2D67"/>
    <w:rsid w:val="007B32AC"/>
    <w:rsid w:val="007B57A5"/>
    <w:rsid w:val="007C7D8A"/>
    <w:rsid w:val="007D1A2D"/>
    <w:rsid w:val="007D3D70"/>
    <w:rsid w:val="007D4102"/>
    <w:rsid w:val="007D6D2D"/>
    <w:rsid w:val="007D72AA"/>
    <w:rsid w:val="007E3AB5"/>
    <w:rsid w:val="007E54A7"/>
    <w:rsid w:val="007F2F9C"/>
    <w:rsid w:val="007F43B7"/>
    <w:rsid w:val="007F6417"/>
    <w:rsid w:val="00806B93"/>
    <w:rsid w:val="008073B7"/>
    <w:rsid w:val="00807EB6"/>
    <w:rsid w:val="008118B4"/>
    <w:rsid w:val="00814CB7"/>
    <w:rsid w:val="00821FFC"/>
    <w:rsid w:val="00822F10"/>
    <w:rsid w:val="008244CE"/>
    <w:rsid w:val="008271CA"/>
    <w:rsid w:val="00831868"/>
    <w:rsid w:val="00833EDC"/>
    <w:rsid w:val="008370E5"/>
    <w:rsid w:val="008467D5"/>
    <w:rsid w:val="008568A6"/>
    <w:rsid w:val="0086239E"/>
    <w:rsid w:val="00865D0A"/>
    <w:rsid w:val="008677F4"/>
    <w:rsid w:val="008810C1"/>
    <w:rsid w:val="00881C8E"/>
    <w:rsid w:val="00883ED8"/>
    <w:rsid w:val="00884778"/>
    <w:rsid w:val="00893D64"/>
    <w:rsid w:val="008948BB"/>
    <w:rsid w:val="008A1568"/>
    <w:rsid w:val="008A4DC4"/>
    <w:rsid w:val="008B438C"/>
    <w:rsid w:val="008B49D2"/>
    <w:rsid w:val="008B6440"/>
    <w:rsid w:val="008B6695"/>
    <w:rsid w:val="008C03E1"/>
    <w:rsid w:val="008C1062"/>
    <w:rsid w:val="008C214A"/>
    <w:rsid w:val="008C3747"/>
    <w:rsid w:val="008C48D3"/>
    <w:rsid w:val="008C6021"/>
    <w:rsid w:val="008C6B2E"/>
    <w:rsid w:val="008C756B"/>
    <w:rsid w:val="008D06CA"/>
    <w:rsid w:val="008D0DE8"/>
    <w:rsid w:val="008D3A46"/>
    <w:rsid w:val="008E1185"/>
    <w:rsid w:val="008E53F1"/>
    <w:rsid w:val="008E5C5A"/>
    <w:rsid w:val="008F2385"/>
    <w:rsid w:val="008F64F0"/>
    <w:rsid w:val="008F704B"/>
    <w:rsid w:val="009001E9"/>
    <w:rsid w:val="009046F3"/>
    <w:rsid w:val="00904BDC"/>
    <w:rsid w:val="009059C5"/>
    <w:rsid w:val="009067A4"/>
    <w:rsid w:val="00911F2D"/>
    <w:rsid w:val="009138CC"/>
    <w:rsid w:val="009171C9"/>
    <w:rsid w:val="009216DD"/>
    <w:rsid w:val="00924E99"/>
    <w:rsid w:val="00926ECE"/>
    <w:rsid w:val="009272C2"/>
    <w:rsid w:val="009301A9"/>
    <w:rsid w:val="0093059E"/>
    <w:rsid w:val="00930885"/>
    <w:rsid w:val="00933D68"/>
    <w:rsid w:val="00934052"/>
    <w:rsid w:val="009340DB"/>
    <w:rsid w:val="00934354"/>
    <w:rsid w:val="00934498"/>
    <w:rsid w:val="009359D9"/>
    <w:rsid w:val="0094512A"/>
    <w:rsid w:val="0094563E"/>
    <w:rsid w:val="0094618C"/>
    <w:rsid w:val="00952E38"/>
    <w:rsid w:val="00953BC4"/>
    <w:rsid w:val="009566FF"/>
    <w:rsid w:val="0095684B"/>
    <w:rsid w:val="0095685F"/>
    <w:rsid w:val="0095773A"/>
    <w:rsid w:val="00960F42"/>
    <w:rsid w:val="00966A65"/>
    <w:rsid w:val="00971A5C"/>
    <w:rsid w:val="00972498"/>
    <w:rsid w:val="00973021"/>
    <w:rsid w:val="0097481F"/>
    <w:rsid w:val="00974C0C"/>
    <w:rsid w:val="00974CC6"/>
    <w:rsid w:val="009751D0"/>
    <w:rsid w:val="00975433"/>
    <w:rsid w:val="00976AD4"/>
    <w:rsid w:val="00976AE1"/>
    <w:rsid w:val="00976F77"/>
    <w:rsid w:val="00987E28"/>
    <w:rsid w:val="0099298E"/>
    <w:rsid w:val="00995503"/>
    <w:rsid w:val="00995547"/>
    <w:rsid w:val="009A2251"/>
    <w:rsid w:val="009A312F"/>
    <w:rsid w:val="009A3CC6"/>
    <w:rsid w:val="009A40CA"/>
    <w:rsid w:val="009A5348"/>
    <w:rsid w:val="009A740B"/>
    <w:rsid w:val="009A7F63"/>
    <w:rsid w:val="009B0AB7"/>
    <w:rsid w:val="009C046B"/>
    <w:rsid w:val="009C76D5"/>
    <w:rsid w:val="009D03B5"/>
    <w:rsid w:val="009D15FD"/>
    <w:rsid w:val="009D3705"/>
    <w:rsid w:val="009D534A"/>
    <w:rsid w:val="009D7B9B"/>
    <w:rsid w:val="009E0040"/>
    <w:rsid w:val="009E1234"/>
    <w:rsid w:val="009E1444"/>
    <w:rsid w:val="009E14F4"/>
    <w:rsid w:val="009E3AFD"/>
    <w:rsid w:val="009E5B12"/>
    <w:rsid w:val="009E68B7"/>
    <w:rsid w:val="009F4810"/>
    <w:rsid w:val="009F6E31"/>
    <w:rsid w:val="009F7AA4"/>
    <w:rsid w:val="00A101AE"/>
    <w:rsid w:val="00A10AD7"/>
    <w:rsid w:val="00A14A58"/>
    <w:rsid w:val="00A15E33"/>
    <w:rsid w:val="00A21675"/>
    <w:rsid w:val="00A270DA"/>
    <w:rsid w:val="00A3223E"/>
    <w:rsid w:val="00A36B1A"/>
    <w:rsid w:val="00A4580F"/>
    <w:rsid w:val="00A51E56"/>
    <w:rsid w:val="00A5463D"/>
    <w:rsid w:val="00A559DB"/>
    <w:rsid w:val="00A569EA"/>
    <w:rsid w:val="00A5762A"/>
    <w:rsid w:val="00A61F94"/>
    <w:rsid w:val="00A676A0"/>
    <w:rsid w:val="00A74289"/>
    <w:rsid w:val="00A80BEB"/>
    <w:rsid w:val="00A846E7"/>
    <w:rsid w:val="00A9128E"/>
    <w:rsid w:val="00A917AF"/>
    <w:rsid w:val="00A92604"/>
    <w:rsid w:val="00A97EDF"/>
    <w:rsid w:val="00AA4865"/>
    <w:rsid w:val="00AB07C7"/>
    <w:rsid w:val="00AB3439"/>
    <w:rsid w:val="00AB78F8"/>
    <w:rsid w:val="00AC1A64"/>
    <w:rsid w:val="00AD1388"/>
    <w:rsid w:val="00AD422E"/>
    <w:rsid w:val="00AD6E4F"/>
    <w:rsid w:val="00AF22AA"/>
    <w:rsid w:val="00AF2F39"/>
    <w:rsid w:val="00AF35FC"/>
    <w:rsid w:val="00AF5556"/>
    <w:rsid w:val="00AF5833"/>
    <w:rsid w:val="00AF7DCC"/>
    <w:rsid w:val="00B01BF9"/>
    <w:rsid w:val="00B03639"/>
    <w:rsid w:val="00B04732"/>
    <w:rsid w:val="00B0652A"/>
    <w:rsid w:val="00B07C7A"/>
    <w:rsid w:val="00B127A3"/>
    <w:rsid w:val="00B1285E"/>
    <w:rsid w:val="00B258ED"/>
    <w:rsid w:val="00B25E52"/>
    <w:rsid w:val="00B33D6A"/>
    <w:rsid w:val="00B35D9A"/>
    <w:rsid w:val="00B40937"/>
    <w:rsid w:val="00B41EFD"/>
    <w:rsid w:val="00B423EF"/>
    <w:rsid w:val="00B448C0"/>
    <w:rsid w:val="00B453DE"/>
    <w:rsid w:val="00B45745"/>
    <w:rsid w:val="00B56031"/>
    <w:rsid w:val="00B62497"/>
    <w:rsid w:val="00B6482E"/>
    <w:rsid w:val="00B72597"/>
    <w:rsid w:val="00B7566C"/>
    <w:rsid w:val="00B75D00"/>
    <w:rsid w:val="00B76949"/>
    <w:rsid w:val="00B773EE"/>
    <w:rsid w:val="00B80C58"/>
    <w:rsid w:val="00B815E1"/>
    <w:rsid w:val="00B87DC0"/>
    <w:rsid w:val="00B901F9"/>
    <w:rsid w:val="00B90507"/>
    <w:rsid w:val="00B90DE9"/>
    <w:rsid w:val="00B9457E"/>
    <w:rsid w:val="00B94ED8"/>
    <w:rsid w:val="00B95ABD"/>
    <w:rsid w:val="00BA11F4"/>
    <w:rsid w:val="00BA6D0D"/>
    <w:rsid w:val="00BA7D35"/>
    <w:rsid w:val="00BB2F3A"/>
    <w:rsid w:val="00BB3D02"/>
    <w:rsid w:val="00BC368F"/>
    <w:rsid w:val="00BC3C4B"/>
    <w:rsid w:val="00BC4226"/>
    <w:rsid w:val="00BC4D98"/>
    <w:rsid w:val="00BD5DB4"/>
    <w:rsid w:val="00BD6EFB"/>
    <w:rsid w:val="00BD734E"/>
    <w:rsid w:val="00BD7665"/>
    <w:rsid w:val="00BE0D1C"/>
    <w:rsid w:val="00BE3427"/>
    <w:rsid w:val="00BE3DF5"/>
    <w:rsid w:val="00BE6614"/>
    <w:rsid w:val="00BF4DE2"/>
    <w:rsid w:val="00BF5EAB"/>
    <w:rsid w:val="00C02410"/>
    <w:rsid w:val="00C02C13"/>
    <w:rsid w:val="00C02F91"/>
    <w:rsid w:val="00C048A2"/>
    <w:rsid w:val="00C15172"/>
    <w:rsid w:val="00C1584D"/>
    <w:rsid w:val="00C15BE2"/>
    <w:rsid w:val="00C20804"/>
    <w:rsid w:val="00C20CE8"/>
    <w:rsid w:val="00C21354"/>
    <w:rsid w:val="00C22EAE"/>
    <w:rsid w:val="00C3006A"/>
    <w:rsid w:val="00C32C59"/>
    <w:rsid w:val="00C3447F"/>
    <w:rsid w:val="00C34E68"/>
    <w:rsid w:val="00C44714"/>
    <w:rsid w:val="00C4549F"/>
    <w:rsid w:val="00C47280"/>
    <w:rsid w:val="00C47A79"/>
    <w:rsid w:val="00C50A0D"/>
    <w:rsid w:val="00C50BD4"/>
    <w:rsid w:val="00C50DA0"/>
    <w:rsid w:val="00C51C37"/>
    <w:rsid w:val="00C57E83"/>
    <w:rsid w:val="00C61A24"/>
    <w:rsid w:val="00C62018"/>
    <w:rsid w:val="00C630A7"/>
    <w:rsid w:val="00C64FEA"/>
    <w:rsid w:val="00C67102"/>
    <w:rsid w:val="00C6736E"/>
    <w:rsid w:val="00C676C7"/>
    <w:rsid w:val="00C711BC"/>
    <w:rsid w:val="00C736F8"/>
    <w:rsid w:val="00C81491"/>
    <w:rsid w:val="00C81676"/>
    <w:rsid w:val="00C83170"/>
    <w:rsid w:val="00C83774"/>
    <w:rsid w:val="00C85C5D"/>
    <w:rsid w:val="00C85F02"/>
    <w:rsid w:val="00C920D1"/>
    <w:rsid w:val="00C92CC4"/>
    <w:rsid w:val="00C9345E"/>
    <w:rsid w:val="00C93AED"/>
    <w:rsid w:val="00CA0AFB"/>
    <w:rsid w:val="00CA17A7"/>
    <w:rsid w:val="00CA2CE1"/>
    <w:rsid w:val="00CA3976"/>
    <w:rsid w:val="00CA50E3"/>
    <w:rsid w:val="00CA5F5A"/>
    <w:rsid w:val="00CA74A8"/>
    <w:rsid w:val="00CA757B"/>
    <w:rsid w:val="00CB2A1A"/>
    <w:rsid w:val="00CB7CC7"/>
    <w:rsid w:val="00CC1787"/>
    <w:rsid w:val="00CC182C"/>
    <w:rsid w:val="00CC32AC"/>
    <w:rsid w:val="00CC6512"/>
    <w:rsid w:val="00CD0824"/>
    <w:rsid w:val="00CD2908"/>
    <w:rsid w:val="00CD4356"/>
    <w:rsid w:val="00CD62F2"/>
    <w:rsid w:val="00CF6494"/>
    <w:rsid w:val="00CF6A87"/>
    <w:rsid w:val="00CF7E17"/>
    <w:rsid w:val="00D03A82"/>
    <w:rsid w:val="00D13667"/>
    <w:rsid w:val="00D1380C"/>
    <w:rsid w:val="00D152A9"/>
    <w:rsid w:val="00D15344"/>
    <w:rsid w:val="00D209CA"/>
    <w:rsid w:val="00D2171C"/>
    <w:rsid w:val="00D21F50"/>
    <w:rsid w:val="00D2396E"/>
    <w:rsid w:val="00D23F57"/>
    <w:rsid w:val="00D31BEC"/>
    <w:rsid w:val="00D34EA5"/>
    <w:rsid w:val="00D36075"/>
    <w:rsid w:val="00D436F1"/>
    <w:rsid w:val="00D44794"/>
    <w:rsid w:val="00D46118"/>
    <w:rsid w:val="00D536D8"/>
    <w:rsid w:val="00D611E0"/>
    <w:rsid w:val="00D629D4"/>
    <w:rsid w:val="00D63150"/>
    <w:rsid w:val="00D636BA"/>
    <w:rsid w:val="00D637ED"/>
    <w:rsid w:val="00D64A32"/>
    <w:rsid w:val="00D64EFC"/>
    <w:rsid w:val="00D679C3"/>
    <w:rsid w:val="00D73BFC"/>
    <w:rsid w:val="00D75295"/>
    <w:rsid w:val="00D76CE9"/>
    <w:rsid w:val="00D81E36"/>
    <w:rsid w:val="00D930AA"/>
    <w:rsid w:val="00D9316C"/>
    <w:rsid w:val="00D939D1"/>
    <w:rsid w:val="00D97F12"/>
    <w:rsid w:val="00DA0780"/>
    <w:rsid w:val="00DA08A3"/>
    <w:rsid w:val="00DA27F9"/>
    <w:rsid w:val="00DA6095"/>
    <w:rsid w:val="00DB3AEB"/>
    <w:rsid w:val="00DB42E7"/>
    <w:rsid w:val="00DB4840"/>
    <w:rsid w:val="00DB764B"/>
    <w:rsid w:val="00DC09D8"/>
    <w:rsid w:val="00DC3CB8"/>
    <w:rsid w:val="00DD2B25"/>
    <w:rsid w:val="00DE01A6"/>
    <w:rsid w:val="00DE2AAB"/>
    <w:rsid w:val="00DE3FDF"/>
    <w:rsid w:val="00DE7321"/>
    <w:rsid w:val="00DE77D2"/>
    <w:rsid w:val="00DE7A98"/>
    <w:rsid w:val="00DE7DCB"/>
    <w:rsid w:val="00DF1A04"/>
    <w:rsid w:val="00DF32C2"/>
    <w:rsid w:val="00E0210B"/>
    <w:rsid w:val="00E04627"/>
    <w:rsid w:val="00E11BC9"/>
    <w:rsid w:val="00E12A01"/>
    <w:rsid w:val="00E133F6"/>
    <w:rsid w:val="00E23C16"/>
    <w:rsid w:val="00E24654"/>
    <w:rsid w:val="00E279E9"/>
    <w:rsid w:val="00E31104"/>
    <w:rsid w:val="00E3165C"/>
    <w:rsid w:val="00E333D5"/>
    <w:rsid w:val="00E3345B"/>
    <w:rsid w:val="00E33E29"/>
    <w:rsid w:val="00E43FB6"/>
    <w:rsid w:val="00E471A7"/>
    <w:rsid w:val="00E508D1"/>
    <w:rsid w:val="00E511A8"/>
    <w:rsid w:val="00E54F97"/>
    <w:rsid w:val="00E55448"/>
    <w:rsid w:val="00E62979"/>
    <w:rsid w:val="00E635CF"/>
    <w:rsid w:val="00E72EAD"/>
    <w:rsid w:val="00E73DC2"/>
    <w:rsid w:val="00E7654B"/>
    <w:rsid w:val="00E76B23"/>
    <w:rsid w:val="00E80DD1"/>
    <w:rsid w:val="00E81C94"/>
    <w:rsid w:val="00E82624"/>
    <w:rsid w:val="00E902F8"/>
    <w:rsid w:val="00E9147C"/>
    <w:rsid w:val="00EA154E"/>
    <w:rsid w:val="00EA16F9"/>
    <w:rsid w:val="00EA2B2F"/>
    <w:rsid w:val="00EB1396"/>
    <w:rsid w:val="00EB1B56"/>
    <w:rsid w:val="00EB1E3B"/>
    <w:rsid w:val="00EB388D"/>
    <w:rsid w:val="00EB650C"/>
    <w:rsid w:val="00EC0C7A"/>
    <w:rsid w:val="00EC5CE0"/>
    <w:rsid w:val="00EC5F62"/>
    <w:rsid w:val="00EC6E0A"/>
    <w:rsid w:val="00EC6FE0"/>
    <w:rsid w:val="00EC7D70"/>
    <w:rsid w:val="00ED33D4"/>
    <w:rsid w:val="00ED4231"/>
    <w:rsid w:val="00ED4E18"/>
    <w:rsid w:val="00ED7922"/>
    <w:rsid w:val="00EE02C4"/>
    <w:rsid w:val="00EE18DD"/>
    <w:rsid w:val="00EE1F37"/>
    <w:rsid w:val="00EE27A2"/>
    <w:rsid w:val="00EE56F7"/>
    <w:rsid w:val="00EE6885"/>
    <w:rsid w:val="00EF21A5"/>
    <w:rsid w:val="00EF225A"/>
    <w:rsid w:val="00EF6B4D"/>
    <w:rsid w:val="00EF755B"/>
    <w:rsid w:val="00EF7EB5"/>
    <w:rsid w:val="00F0159C"/>
    <w:rsid w:val="00F017C3"/>
    <w:rsid w:val="00F0401C"/>
    <w:rsid w:val="00F06B9B"/>
    <w:rsid w:val="00F105B7"/>
    <w:rsid w:val="00F13220"/>
    <w:rsid w:val="00F13CBE"/>
    <w:rsid w:val="00F17A21"/>
    <w:rsid w:val="00F22EC3"/>
    <w:rsid w:val="00F25E0B"/>
    <w:rsid w:val="00F25FCF"/>
    <w:rsid w:val="00F326C0"/>
    <w:rsid w:val="00F32CB3"/>
    <w:rsid w:val="00F337CD"/>
    <w:rsid w:val="00F33BEF"/>
    <w:rsid w:val="00F37B27"/>
    <w:rsid w:val="00F421FE"/>
    <w:rsid w:val="00F42583"/>
    <w:rsid w:val="00F434F1"/>
    <w:rsid w:val="00F46556"/>
    <w:rsid w:val="00F46A29"/>
    <w:rsid w:val="00F50E91"/>
    <w:rsid w:val="00F53B18"/>
    <w:rsid w:val="00F53F0C"/>
    <w:rsid w:val="00F57D29"/>
    <w:rsid w:val="00F60786"/>
    <w:rsid w:val="00F611C5"/>
    <w:rsid w:val="00F61C71"/>
    <w:rsid w:val="00F72931"/>
    <w:rsid w:val="00F741AD"/>
    <w:rsid w:val="00F836DB"/>
    <w:rsid w:val="00F85B44"/>
    <w:rsid w:val="00F863EC"/>
    <w:rsid w:val="00F8730F"/>
    <w:rsid w:val="00F901B6"/>
    <w:rsid w:val="00F91BC7"/>
    <w:rsid w:val="00F96201"/>
    <w:rsid w:val="00F96A93"/>
    <w:rsid w:val="00F97909"/>
    <w:rsid w:val="00FA0E56"/>
    <w:rsid w:val="00FA1BBC"/>
    <w:rsid w:val="00FA2098"/>
    <w:rsid w:val="00FB253C"/>
    <w:rsid w:val="00FC1505"/>
    <w:rsid w:val="00FC191E"/>
    <w:rsid w:val="00FC564C"/>
    <w:rsid w:val="00FC5F8E"/>
    <w:rsid w:val="00FD0B18"/>
    <w:rsid w:val="00FD2FAD"/>
    <w:rsid w:val="00FD339B"/>
    <w:rsid w:val="00FD3964"/>
    <w:rsid w:val="00FD42FF"/>
    <w:rsid w:val="00FD45D5"/>
    <w:rsid w:val="00FE65AD"/>
    <w:rsid w:val="00FE6CDA"/>
    <w:rsid w:val="00FE714F"/>
    <w:rsid w:val="00FF5FE3"/>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FootnoteAnchor">
    <w:name w:val="Footnote Anchor"/>
    <w:rsid w:val="00E55448"/>
    <w:rPr>
      <w:vertAlign w:val="superscript"/>
    </w:rPr>
  </w:style>
  <w:style w:type="table" w:styleId="GridTable6Colorful">
    <w:name w:val="Grid Table 6 Colorful"/>
    <w:basedOn w:val="TableNormal"/>
    <w:uiPriority w:val="51"/>
    <w:rsid w:val="001917FC"/>
    <w:pPr>
      <w:spacing w:after="0" w:line="240" w:lineRule="auto"/>
    </w:pPr>
    <w:rPr>
      <w:rFonts w:ascii="Calibri" w:eastAsia="Droid Sans Fallback" w:hAnsi="Calibri" w:cs="Times New Roman"/>
      <w:color w:val="000000" w:themeColor="text1"/>
      <w:lang w:val="e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xtbody">
    <w:name w:val="Text body"/>
    <w:basedOn w:val="Normal"/>
    <w:rsid w:val="006E759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IN" w:eastAsia="zh-CN" w:bidi="hi-IN"/>
    </w:rPr>
  </w:style>
  <w:style w:type="paragraph" w:customStyle="1" w:styleId="PreformattedText">
    <w:name w:val="Preformatted Text"/>
    <w:basedOn w:val="Normal"/>
    <w:rsid w:val="006E759A"/>
    <w:pPr>
      <w:widowControl w:val="0"/>
      <w:suppressAutoHyphens/>
      <w:autoSpaceDN w:val="0"/>
      <w:textAlignment w:val="baseline"/>
    </w:pPr>
    <w:rPr>
      <w:rFonts w:ascii="Liberation Mono" w:eastAsia="Droid Sans Fallback" w:hAnsi="Liberation Mono" w:cs="Liberation Mono"/>
      <w:kern w:val="3"/>
      <w:lang w:val="en-IN" w:eastAsia="zh-CN" w:bidi="hi-IN"/>
    </w:rPr>
  </w:style>
  <w:style w:type="table" w:styleId="GridTable4-Accent1">
    <w:name w:val="Grid Table 4 Accent 1"/>
    <w:basedOn w:val="TableNormal"/>
    <w:uiPriority w:val="49"/>
    <w:rsid w:val="006E759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9E3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iddenspellerror">
    <w:name w:val="hiddenspellerror"/>
    <w:basedOn w:val="DefaultParagraphFont"/>
    <w:rsid w:val="00DD2B25"/>
  </w:style>
  <w:style w:type="character" w:customStyle="1" w:styleId="hiddengrammarerror">
    <w:name w:val="hiddengrammarerror"/>
    <w:basedOn w:val="DefaultParagraphFont"/>
    <w:rsid w:val="00DD2B25"/>
  </w:style>
  <w:style w:type="character" w:customStyle="1" w:styleId="hiddensuggestion">
    <w:name w:val="hiddensuggestion"/>
    <w:basedOn w:val="DefaultParagraphFont"/>
    <w:rsid w:val="00DD2B25"/>
  </w:style>
  <w:style w:type="character" w:customStyle="1" w:styleId="UnresolvedMention1">
    <w:name w:val="Unresolved Mention1"/>
    <w:basedOn w:val="DefaultParagraphFont"/>
    <w:uiPriority w:val="99"/>
    <w:semiHidden/>
    <w:unhideWhenUsed/>
    <w:rsid w:val="002174B0"/>
    <w:rPr>
      <w:color w:val="808080"/>
      <w:shd w:val="clear" w:color="auto" w:fill="E6E6E6"/>
    </w:rPr>
  </w:style>
  <w:style w:type="character" w:styleId="PlaceholderText">
    <w:name w:val="Placeholder Text"/>
    <w:basedOn w:val="DefaultParagraphFont"/>
    <w:uiPriority w:val="99"/>
    <w:semiHidden/>
    <w:rsid w:val="00F25E0B"/>
    <w:rPr>
      <w:color w:val="808080"/>
    </w:rPr>
  </w:style>
  <w:style w:type="table" w:customStyle="1" w:styleId="TableGrid2">
    <w:name w:val="Table Grid2"/>
    <w:basedOn w:val="TableNormal"/>
    <w:next w:val="TableGrid"/>
    <w:uiPriority w:val="59"/>
    <w:rsid w:val="005D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8978">
      <w:bodyDiv w:val="1"/>
      <w:marLeft w:val="0"/>
      <w:marRight w:val="0"/>
      <w:marTop w:val="0"/>
      <w:marBottom w:val="0"/>
      <w:divBdr>
        <w:top w:val="none" w:sz="0" w:space="0" w:color="auto"/>
        <w:left w:val="none" w:sz="0" w:space="0" w:color="auto"/>
        <w:bottom w:val="none" w:sz="0" w:space="0" w:color="auto"/>
        <w:right w:val="none" w:sz="0" w:space="0" w:color="auto"/>
      </w:divBdr>
      <w:divsChild>
        <w:div w:id="1327396859">
          <w:marLeft w:val="0"/>
          <w:marRight w:val="0"/>
          <w:marTop w:val="0"/>
          <w:marBottom w:val="0"/>
          <w:divBdr>
            <w:top w:val="none" w:sz="0" w:space="0" w:color="auto"/>
            <w:left w:val="none" w:sz="0" w:space="0" w:color="auto"/>
            <w:bottom w:val="none" w:sz="0" w:space="0" w:color="auto"/>
            <w:right w:val="none" w:sz="0" w:space="0" w:color="auto"/>
          </w:divBdr>
          <w:divsChild>
            <w:div w:id="9562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5744">
      <w:bodyDiv w:val="1"/>
      <w:marLeft w:val="0"/>
      <w:marRight w:val="0"/>
      <w:marTop w:val="0"/>
      <w:marBottom w:val="0"/>
      <w:divBdr>
        <w:top w:val="none" w:sz="0" w:space="0" w:color="auto"/>
        <w:left w:val="none" w:sz="0" w:space="0" w:color="auto"/>
        <w:bottom w:val="none" w:sz="0" w:space="0" w:color="auto"/>
        <w:right w:val="none" w:sz="0" w:space="0" w:color="auto"/>
      </w:divBdr>
    </w:div>
    <w:div w:id="1066998567">
      <w:bodyDiv w:val="1"/>
      <w:marLeft w:val="0"/>
      <w:marRight w:val="0"/>
      <w:marTop w:val="0"/>
      <w:marBottom w:val="0"/>
      <w:divBdr>
        <w:top w:val="none" w:sz="0" w:space="0" w:color="auto"/>
        <w:left w:val="none" w:sz="0" w:space="0" w:color="auto"/>
        <w:bottom w:val="none" w:sz="0" w:space="0" w:color="auto"/>
        <w:right w:val="none" w:sz="0" w:space="0" w:color="auto"/>
      </w:divBdr>
      <w:divsChild>
        <w:div w:id="1715812010">
          <w:marLeft w:val="0"/>
          <w:marRight w:val="0"/>
          <w:marTop w:val="0"/>
          <w:marBottom w:val="0"/>
          <w:divBdr>
            <w:top w:val="none" w:sz="0" w:space="0" w:color="auto"/>
            <w:left w:val="none" w:sz="0" w:space="0" w:color="auto"/>
            <w:bottom w:val="none" w:sz="0" w:space="0" w:color="auto"/>
            <w:right w:val="none" w:sz="0" w:space="0" w:color="auto"/>
          </w:divBdr>
          <w:divsChild>
            <w:div w:id="5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8176">
      <w:bodyDiv w:val="1"/>
      <w:marLeft w:val="0"/>
      <w:marRight w:val="0"/>
      <w:marTop w:val="0"/>
      <w:marBottom w:val="0"/>
      <w:divBdr>
        <w:top w:val="none" w:sz="0" w:space="0" w:color="auto"/>
        <w:left w:val="none" w:sz="0" w:space="0" w:color="auto"/>
        <w:bottom w:val="none" w:sz="0" w:space="0" w:color="auto"/>
        <w:right w:val="none" w:sz="0" w:space="0" w:color="auto"/>
      </w:divBdr>
    </w:div>
    <w:div w:id="1573352565">
      <w:bodyDiv w:val="1"/>
      <w:marLeft w:val="0"/>
      <w:marRight w:val="0"/>
      <w:marTop w:val="0"/>
      <w:marBottom w:val="0"/>
      <w:divBdr>
        <w:top w:val="none" w:sz="0" w:space="0" w:color="auto"/>
        <w:left w:val="none" w:sz="0" w:space="0" w:color="auto"/>
        <w:bottom w:val="none" w:sz="0" w:space="0" w:color="auto"/>
        <w:right w:val="none" w:sz="0" w:space="0" w:color="auto"/>
      </w:divBdr>
      <w:divsChild>
        <w:div w:id="1806845796">
          <w:marLeft w:val="0"/>
          <w:marRight w:val="0"/>
          <w:marTop w:val="0"/>
          <w:marBottom w:val="0"/>
          <w:divBdr>
            <w:top w:val="none" w:sz="0" w:space="0" w:color="auto"/>
            <w:left w:val="none" w:sz="0" w:space="0" w:color="auto"/>
            <w:bottom w:val="none" w:sz="0" w:space="0" w:color="auto"/>
            <w:right w:val="none" w:sz="0" w:space="0" w:color="auto"/>
          </w:divBdr>
          <w:divsChild>
            <w:div w:id="453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73376776">
      <w:bodyDiv w:val="1"/>
      <w:marLeft w:val="0"/>
      <w:marRight w:val="0"/>
      <w:marTop w:val="0"/>
      <w:marBottom w:val="0"/>
      <w:divBdr>
        <w:top w:val="none" w:sz="0" w:space="0" w:color="auto"/>
        <w:left w:val="none" w:sz="0" w:space="0" w:color="auto"/>
        <w:bottom w:val="none" w:sz="0" w:space="0" w:color="auto"/>
        <w:right w:val="none" w:sz="0" w:space="0" w:color="auto"/>
      </w:divBdr>
      <w:divsChild>
        <w:div w:id="776749907">
          <w:marLeft w:val="0"/>
          <w:marRight w:val="0"/>
          <w:marTop w:val="0"/>
          <w:marBottom w:val="0"/>
          <w:divBdr>
            <w:top w:val="none" w:sz="0" w:space="0" w:color="auto"/>
            <w:left w:val="none" w:sz="0" w:space="0" w:color="auto"/>
            <w:bottom w:val="none" w:sz="0" w:space="0" w:color="auto"/>
            <w:right w:val="none" w:sz="0" w:space="0" w:color="auto"/>
          </w:divBdr>
          <w:divsChild>
            <w:div w:id="1427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yourstory.com/2013/12/1600mn-invested-in-indian-startups-in-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91E89-FF38-44B3-BFFF-765B65A6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6794</Words>
  <Characters>38729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2018-08-20T12:58:00Z</cp:lastPrinted>
  <dcterms:created xsi:type="dcterms:W3CDTF">2019-05-27T21:17:00Z</dcterms:created>
  <dcterms:modified xsi:type="dcterms:W3CDTF">2019-05-28T14:58:00Z</dcterms:modified>
</cp:coreProperties>
</file>