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90"/>
      </w:tblGrid>
      <w:tr w:rsidR="002A3713" w14:paraId="0B5CB409" w14:textId="77777777" w:rsidTr="005F50DB">
        <w:tc>
          <w:tcPr>
            <w:tcW w:w="4680" w:type="dxa"/>
          </w:tcPr>
          <w:p w14:paraId="532D5186" w14:textId="77777777" w:rsidR="002A3713" w:rsidRDefault="002A3713" w:rsidP="005F50DB">
            <w:pPr>
              <w:tabs>
                <w:tab w:val="left" w:pos="-1440"/>
                <w:tab w:val="left" w:pos="-720"/>
                <w:tab w:val="left" w:pos="1"/>
              </w:tabs>
              <w:jc w:val="both"/>
              <w:rPr>
                <w:rFonts w:ascii="Arial" w:hAnsi="Arial"/>
                <w:b/>
                <w:sz w:val="24"/>
              </w:rPr>
            </w:pPr>
            <w:r>
              <w:rPr>
                <w:rFonts w:ascii="Arial" w:hAnsi="Arial"/>
                <w:b/>
                <w:noProof/>
                <w:sz w:val="24"/>
                <w:lang w:val="en-CA" w:eastAsia="en-CA"/>
              </w:rPr>
              <w:drawing>
                <wp:inline distT="0" distB="0" distL="0" distR="0" wp14:anchorId="7E73778F" wp14:editId="2EBEB54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0C9D589A" w14:textId="77777777" w:rsidR="002A3713" w:rsidRDefault="002A3713" w:rsidP="005F50DB">
            <w:pPr>
              <w:tabs>
                <w:tab w:val="left" w:pos="-1440"/>
                <w:tab w:val="left" w:pos="-720"/>
                <w:tab w:val="left" w:pos="1"/>
              </w:tabs>
              <w:jc w:val="right"/>
              <w:rPr>
                <w:rFonts w:ascii="Arial" w:hAnsi="Arial"/>
                <w:b/>
                <w:sz w:val="24"/>
              </w:rPr>
            </w:pPr>
            <w:r>
              <w:rPr>
                <w:noProof/>
                <w:lang w:val="en-CA" w:eastAsia="en-CA"/>
              </w:rPr>
              <w:drawing>
                <wp:inline distT="0" distB="0" distL="0" distR="0" wp14:anchorId="653DB9F6" wp14:editId="0C1409A8">
                  <wp:extent cx="525011" cy="640080"/>
                  <wp:effectExtent l="0" t="0" r="8890" b="7620"/>
                  <wp:docPr id="9" name="Picture 9" descr="VLERI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ERICK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011" cy="640080"/>
                          </a:xfrm>
                          <a:prstGeom prst="rect">
                            <a:avLst/>
                          </a:prstGeom>
                          <a:noFill/>
                          <a:ln>
                            <a:noFill/>
                          </a:ln>
                        </pic:spPr>
                      </pic:pic>
                    </a:graphicData>
                  </a:graphic>
                </wp:inline>
              </w:drawing>
            </w:r>
          </w:p>
        </w:tc>
      </w:tr>
    </w:tbl>
    <w:p w14:paraId="3755A1C4" w14:textId="77777777" w:rsidR="005316C3" w:rsidRPr="0077490E" w:rsidRDefault="005316C3" w:rsidP="00F11C91">
      <w:pPr>
        <w:pBdr>
          <w:bottom w:val="single" w:sz="18" w:space="1" w:color="auto"/>
        </w:pBdr>
        <w:tabs>
          <w:tab w:val="left" w:pos="-1440"/>
          <w:tab w:val="left" w:pos="-720"/>
          <w:tab w:val="left" w:pos="1"/>
        </w:tabs>
        <w:jc w:val="both"/>
        <w:rPr>
          <w:rFonts w:ascii="Arial" w:hAnsi="Arial"/>
          <w:b/>
          <w:sz w:val="24"/>
          <w:lang w:val="en-GB"/>
        </w:rPr>
      </w:pPr>
    </w:p>
    <w:p w14:paraId="0B00D485" w14:textId="44B5FB74" w:rsidR="00F11C91" w:rsidRPr="0077490E" w:rsidRDefault="002A3713" w:rsidP="00F11C91">
      <w:pPr>
        <w:pStyle w:val="ProductNumber"/>
        <w:rPr>
          <w:lang w:val="en-GB"/>
        </w:rPr>
      </w:pPr>
      <w:r>
        <w:rPr>
          <w:lang w:val="en-GB"/>
        </w:rPr>
        <w:t>9b19m046</w:t>
      </w:r>
    </w:p>
    <w:p w14:paraId="39E5AFD5" w14:textId="77777777" w:rsidR="00F11C91" w:rsidRPr="0077490E" w:rsidRDefault="00F11C91" w:rsidP="00F11C91">
      <w:pPr>
        <w:jc w:val="right"/>
        <w:rPr>
          <w:rFonts w:ascii="Arial" w:hAnsi="Arial"/>
          <w:b/>
          <w:lang w:val="en-GB"/>
        </w:rPr>
      </w:pPr>
    </w:p>
    <w:p w14:paraId="3B975D17" w14:textId="77777777" w:rsidR="00F11C91" w:rsidRPr="0077490E" w:rsidRDefault="00F11C91" w:rsidP="00F11C91">
      <w:pPr>
        <w:jc w:val="right"/>
        <w:rPr>
          <w:rFonts w:ascii="Arial" w:hAnsi="Arial"/>
          <w:b/>
          <w:lang w:val="en-GB"/>
        </w:rPr>
      </w:pPr>
    </w:p>
    <w:p w14:paraId="38DB059C" w14:textId="77777777" w:rsidR="00F11C91" w:rsidRPr="0077490E" w:rsidRDefault="00F11C91" w:rsidP="00F11C91">
      <w:pPr>
        <w:pStyle w:val="CaseTitle"/>
        <w:spacing w:after="0" w:line="240" w:lineRule="auto"/>
        <w:rPr>
          <w:sz w:val="20"/>
          <w:szCs w:val="20"/>
          <w:lang w:val="en-GB"/>
        </w:rPr>
      </w:pPr>
      <w:r w:rsidRPr="0077490E">
        <w:rPr>
          <w:lang w:val="en-GB"/>
        </w:rPr>
        <w:t>KPN: HOW TO NAVIGATE THE DIGITAL TIDES</w:t>
      </w:r>
    </w:p>
    <w:p w14:paraId="45730BBC" w14:textId="77777777" w:rsidR="00F11C91" w:rsidRPr="0077490E" w:rsidRDefault="00F11C91" w:rsidP="00F11C91">
      <w:pPr>
        <w:pStyle w:val="CaseTitle"/>
        <w:spacing w:after="0" w:line="240" w:lineRule="auto"/>
        <w:rPr>
          <w:sz w:val="20"/>
          <w:szCs w:val="20"/>
          <w:lang w:val="en-GB"/>
        </w:rPr>
      </w:pPr>
    </w:p>
    <w:p w14:paraId="699611DF" w14:textId="77777777" w:rsidR="00F11C91" w:rsidRPr="0077490E" w:rsidRDefault="00F11C91" w:rsidP="00F11C91">
      <w:pPr>
        <w:pStyle w:val="CaseTitle"/>
        <w:spacing w:after="0" w:line="240" w:lineRule="auto"/>
        <w:rPr>
          <w:sz w:val="20"/>
          <w:szCs w:val="20"/>
          <w:lang w:val="en-GB"/>
        </w:rPr>
      </w:pPr>
    </w:p>
    <w:p w14:paraId="3D388B67" w14:textId="77777777" w:rsidR="00F11C91" w:rsidRPr="0077490E" w:rsidRDefault="00F11C91" w:rsidP="00F11C91">
      <w:pPr>
        <w:pStyle w:val="StyleCopyrightStatementAfter0ptBottomSinglesolidline1"/>
        <w:rPr>
          <w:lang w:val="en-GB"/>
        </w:rPr>
      </w:pPr>
      <w:r w:rsidRPr="0077490E">
        <w:rPr>
          <w:lang w:val="en-GB"/>
        </w:rPr>
        <w:t>Stijn Viaene</w:t>
      </w:r>
      <w:r w:rsidRPr="0077490E">
        <w:rPr>
          <w:rFonts w:cs="Arial"/>
          <w:szCs w:val="16"/>
          <w:lang w:val="en-GB"/>
        </w:rPr>
        <w:t xml:space="preserve"> </w:t>
      </w:r>
      <w:r w:rsidRPr="0077490E">
        <w:rPr>
          <w:lang w:val="en-GB"/>
        </w:rPr>
        <w:t>wrote this case solely to provide material for class discussion. The author does not intend to illustrate either effective or ineffective handling of a managerial situation. The author may have disguised certain names and other identifying information to protect confidentiality.</w:t>
      </w:r>
    </w:p>
    <w:p w14:paraId="3D48BDC4" w14:textId="77777777" w:rsidR="00F11C91" w:rsidRPr="0077490E" w:rsidRDefault="00F11C91" w:rsidP="00F11C91">
      <w:pPr>
        <w:pStyle w:val="StyleStyleCopyrightStatementAfter0ptBottomSinglesolid"/>
        <w:rPr>
          <w:rFonts w:cs="Arial"/>
          <w:szCs w:val="16"/>
          <w:lang w:val="en-GB"/>
        </w:rPr>
      </w:pPr>
    </w:p>
    <w:p w14:paraId="37D97B1B" w14:textId="77777777" w:rsidR="002A3713" w:rsidRDefault="002A3713" w:rsidP="002A3713">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62E7D7E" w14:textId="77777777" w:rsidR="005316C3" w:rsidRPr="0077490E" w:rsidRDefault="005316C3" w:rsidP="00F11C91">
      <w:pPr>
        <w:pStyle w:val="StyleStyleCopyrightStatementAfter0ptBottomSinglesolid"/>
        <w:rPr>
          <w:rFonts w:cs="Arial"/>
          <w:szCs w:val="16"/>
          <w:lang w:val="en-GB"/>
        </w:rPr>
      </w:pPr>
    </w:p>
    <w:p w14:paraId="7D226795" w14:textId="31596272" w:rsidR="00F11C91" w:rsidRPr="0077490E" w:rsidRDefault="0007462B" w:rsidP="00F11C91">
      <w:pPr>
        <w:pStyle w:val="StyleStyleCopyrightStatementAfter0ptBottomSinglesolid"/>
        <w:rPr>
          <w:rFonts w:cs="Arial"/>
          <w:szCs w:val="16"/>
          <w:lang w:val="en-GB"/>
        </w:rPr>
      </w:pPr>
      <w:r>
        <w:t xml:space="preserve">Copyright © 2019, </w:t>
      </w:r>
      <w:proofErr w:type="spellStart"/>
      <w:r>
        <w:t>Vlerick</w:t>
      </w:r>
      <w:proofErr w:type="spellEnd"/>
      <w:r>
        <w:t xml:space="preserve"> Business School</w:t>
      </w:r>
      <w:r w:rsidR="00F11C91" w:rsidRPr="0077490E">
        <w:rPr>
          <w:rFonts w:cs="Arial"/>
          <w:iCs w:val="0"/>
          <w:color w:val="auto"/>
          <w:szCs w:val="16"/>
          <w:lang w:val="en-GB"/>
        </w:rPr>
        <w:tab/>
        <w:t>Version: 2019-</w:t>
      </w:r>
      <w:r w:rsidR="00AA52D6">
        <w:rPr>
          <w:rFonts w:cs="Arial"/>
          <w:iCs w:val="0"/>
          <w:color w:val="auto"/>
          <w:szCs w:val="16"/>
          <w:lang w:val="en-GB"/>
        </w:rPr>
        <w:t>05-</w:t>
      </w:r>
      <w:r w:rsidR="00F57796">
        <w:rPr>
          <w:rFonts w:cs="Arial"/>
          <w:iCs w:val="0"/>
          <w:color w:val="auto"/>
          <w:szCs w:val="16"/>
          <w:lang w:val="en-GB"/>
        </w:rPr>
        <w:t>3</w:t>
      </w:r>
      <w:r w:rsidR="00BC429C">
        <w:rPr>
          <w:rFonts w:cs="Arial"/>
          <w:iCs w:val="0"/>
          <w:color w:val="auto"/>
          <w:szCs w:val="16"/>
          <w:lang w:val="en-GB"/>
        </w:rPr>
        <w:t>1</w:t>
      </w:r>
    </w:p>
    <w:p w14:paraId="2BECBA3D" w14:textId="77777777" w:rsidR="00F11C91" w:rsidRPr="0077490E" w:rsidRDefault="00F11C91" w:rsidP="00F11C91">
      <w:pPr>
        <w:pStyle w:val="StyleCopyrightStatementAfter0ptBottomSinglesolidline1"/>
        <w:rPr>
          <w:rFonts w:ascii="Times New Roman" w:hAnsi="Times New Roman"/>
          <w:sz w:val="20"/>
          <w:lang w:val="en-GB"/>
        </w:rPr>
      </w:pPr>
    </w:p>
    <w:p w14:paraId="33B17A6C" w14:textId="77777777" w:rsidR="00F11C91" w:rsidRPr="0077490E" w:rsidRDefault="00F11C91" w:rsidP="00F11C91">
      <w:pPr>
        <w:pStyle w:val="BodyTextMain"/>
        <w:rPr>
          <w:i/>
          <w:sz w:val="20"/>
          <w:szCs w:val="20"/>
          <w:lang w:val="en-GB"/>
        </w:rPr>
      </w:pPr>
    </w:p>
    <w:p w14:paraId="6046B9CB" w14:textId="57966677" w:rsidR="00F57796" w:rsidRPr="0077490E" w:rsidRDefault="00F57796" w:rsidP="00047664">
      <w:pPr>
        <w:pStyle w:val="BodyTextMain"/>
        <w:rPr>
          <w:lang w:val="en-GB"/>
        </w:rPr>
      </w:pPr>
      <w:r w:rsidRPr="0077490E">
        <w:rPr>
          <w:lang w:val="en-GB"/>
        </w:rPr>
        <w:t xml:space="preserve">In June 2018, </w:t>
      </w:r>
      <w:proofErr w:type="spellStart"/>
      <w:r w:rsidRPr="0077490E">
        <w:rPr>
          <w:lang w:val="en-GB"/>
        </w:rPr>
        <w:t>Bouke</w:t>
      </w:r>
      <w:proofErr w:type="spellEnd"/>
      <w:r w:rsidRPr="0077490E">
        <w:rPr>
          <w:lang w:val="en-GB"/>
        </w:rPr>
        <w:t xml:space="preserve"> </w:t>
      </w:r>
      <w:proofErr w:type="spellStart"/>
      <w:r w:rsidRPr="0077490E">
        <w:rPr>
          <w:lang w:val="en-GB"/>
        </w:rPr>
        <w:t>Hoving</w:t>
      </w:r>
      <w:proofErr w:type="spellEnd"/>
      <w:r w:rsidRPr="0077490E">
        <w:rPr>
          <w:lang w:val="en-GB"/>
        </w:rPr>
        <w:t xml:space="preserve">, executive vice-president (EVP) of Networks and Information Technology (IT) at KPN BV (KPN), the leading telecommunications company (telco) in the Netherlands, was anticipating the arrival of a new chief executive officer (CEO) the next April and evaluating the company’s transformation. </w:t>
      </w:r>
      <w:proofErr w:type="spellStart"/>
      <w:r w:rsidRPr="0077490E">
        <w:rPr>
          <w:lang w:val="en-GB"/>
        </w:rPr>
        <w:t>Hoving</w:t>
      </w:r>
      <w:proofErr w:type="spellEnd"/>
      <w:r w:rsidRPr="0077490E">
        <w:rPr>
          <w:lang w:val="en-GB"/>
        </w:rPr>
        <w:t xml:space="preserve"> had been an initiator of a turnaround that had started at KPN in 2014, after a financially and operationally hectic year</w:t>
      </w:r>
      <w:r w:rsidR="00047664">
        <w:rPr>
          <w:lang w:val="en-GB"/>
        </w:rPr>
        <w:t xml:space="preserve"> in 2013</w:t>
      </w:r>
      <w:r w:rsidRPr="0077490E">
        <w:rPr>
          <w:lang w:val="en-GB"/>
        </w:rPr>
        <w:t>.</w:t>
      </w:r>
      <w:r>
        <w:rPr>
          <w:lang w:val="en-GB"/>
        </w:rPr>
        <w:t xml:space="preserve"> </w:t>
      </w:r>
      <w:r w:rsidRPr="0077490E">
        <w:rPr>
          <w:lang w:val="en-GB"/>
        </w:rPr>
        <w:t xml:space="preserve">The </w:t>
      </w:r>
      <w:r>
        <w:rPr>
          <w:lang w:val="en-GB"/>
        </w:rPr>
        <w:t xml:space="preserve">invasion </w:t>
      </w:r>
      <w:r w:rsidRPr="0077490E">
        <w:rPr>
          <w:lang w:val="en-GB"/>
        </w:rPr>
        <w:t xml:space="preserve">into the market </w:t>
      </w:r>
      <w:r>
        <w:rPr>
          <w:lang w:val="en-GB"/>
        </w:rPr>
        <w:t>by</w:t>
      </w:r>
      <w:r w:rsidRPr="0077490E">
        <w:rPr>
          <w:lang w:val="en-GB"/>
        </w:rPr>
        <w:t xml:space="preserve"> over-the-top (OTT) digital services, had forced KPN to act swiftly, fundamentally revisiting its strategy. </w:t>
      </w:r>
      <w:r>
        <w:rPr>
          <w:lang w:val="en-GB"/>
        </w:rPr>
        <w:t xml:space="preserve">OTT digital services </w:t>
      </w:r>
      <w:r w:rsidRPr="0077490E">
        <w:rPr>
          <w:lang w:val="en-GB"/>
        </w:rPr>
        <w:t xml:space="preserve">used the Internet to bypass platforms the traditional </w:t>
      </w:r>
      <w:proofErr w:type="spellStart"/>
      <w:r w:rsidRPr="0077490E">
        <w:rPr>
          <w:lang w:val="en-GB"/>
        </w:rPr>
        <w:t>telcos</w:t>
      </w:r>
      <w:proofErr w:type="spellEnd"/>
      <w:r w:rsidRPr="0077490E">
        <w:rPr>
          <w:lang w:val="en-GB"/>
        </w:rPr>
        <w:t xml:space="preserve"> had once used to </w:t>
      </w:r>
      <w:r>
        <w:rPr>
          <w:lang w:val="en-GB"/>
        </w:rPr>
        <w:t xml:space="preserve">control access to customers. </w:t>
      </w:r>
      <w:proofErr w:type="spellStart"/>
      <w:r w:rsidRPr="0077490E">
        <w:rPr>
          <w:lang w:val="en-GB"/>
        </w:rPr>
        <w:t>Hoving</w:t>
      </w:r>
      <w:proofErr w:type="spellEnd"/>
      <w:r w:rsidRPr="0077490E">
        <w:rPr>
          <w:lang w:val="en-GB"/>
        </w:rPr>
        <w:t xml:space="preserve"> had steered KPN to tackle this challenge with a digital transformation that aimed to make KPN the best service provider in the Netherlands. </w:t>
      </w:r>
      <w:bookmarkStart w:id="0" w:name="_Hlk532383939"/>
      <w:r w:rsidRPr="0077490E">
        <w:rPr>
          <w:lang w:val="en-GB"/>
        </w:rPr>
        <w:t>A new operating model that radically rethought customer service and operational excellence was at the heart of the transformation.</w:t>
      </w:r>
      <w:bookmarkEnd w:id="0"/>
    </w:p>
    <w:p w14:paraId="64577C5C" w14:textId="77777777" w:rsidR="00F11C91" w:rsidRPr="0077490E" w:rsidRDefault="00F11C91" w:rsidP="00F11C91">
      <w:pPr>
        <w:pStyle w:val="BodyTextMain"/>
        <w:rPr>
          <w:lang w:val="en-GB"/>
        </w:rPr>
      </w:pPr>
    </w:p>
    <w:p w14:paraId="0B4AD135" w14:textId="2C3CDCC7" w:rsidR="00F11C91" w:rsidRPr="0077490E" w:rsidRDefault="00F11C91" w:rsidP="00F11C91">
      <w:pPr>
        <w:pStyle w:val="BodyTextMain"/>
        <w:rPr>
          <w:lang w:val="en-GB"/>
        </w:rPr>
      </w:pPr>
      <w:r w:rsidRPr="0077490E">
        <w:rPr>
          <w:lang w:val="en-GB"/>
        </w:rPr>
        <w:t xml:space="preserve">KPN was in much better shape than it had been in 2014. By working in agile ways, </w:t>
      </w:r>
      <w:r w:rsidR="008847A0" w:rsidRPr="0077490E">
        <w:rPr>
          <w:lang w:val="en-GB"/>
        </w:rPr>
        <w:t xml:space="preserve">the company </w:t>
      </w:r>
      <w:r w:rsidRPr="0077490E">
        <w:rPr>
          <w:lang w:val="en-GB"/>
        </w:rPr>
        <w:t xml:space="preserve">had been able to respond more quickly to market and technological developments. Nevertheless, </w:t>
      </w:r>
      <w:proofErr w:type="spellStart"/>
      <w:r w:rsidRPr="0077490E">
        <w:rPr>
          <w:lang w:val="en-GB"/>
        </w:rPr>
        <w:t>Hoving</w:t>
      </w:r>
      <w:proofErr w:type="spellEnd"/>
      <w:r w:rsidRPr="0077490E">
        <w:rPr>
          <w:lang w:val="en-GB"/>
        </w:rPr>
        <w:t xml:space="preserve"> could not help wondering if </w:t>
      </w:r>
      <w:r w:rsidR="00787B5F">
        <w:rPr>
          <w:lang w:val="en-GB"/>
        </w:rPr>
        <w:t>KPN</w:t>
      </w:r>
      <w:r w:rsidRPr="0077490E">
        <w:rPr>
          <w:lang w:val="en-GB"/>
        </w:rPr>
        <w:t xml:space="preserve"> had done enough. Was the company ambitious enough? Was it transforming fast enough? Was it getting enough out of its new operating model? The answer</w:t>
      </w:r>
      <w:r w:rsidR="008847A0" w:rsidRPr="0077490E">
        <w:rPr>
          <w:lang w:val="en-GB"/>
        </w:rPr>
        <w:t>s</w:t>
      </w:r>
      <w:r w:rsidRPr="0077490E">
        <w:rPr>
          <w:lang w:val="en-GB"/>
        </w:rPr>
        <w:t xml:space="preserve"> to these questions would define the next stage of KPN’s digital transformation.</w:t>
      </w:r>
    </w:p>
    <w:p w14:paraId="5048946D" w14:textId="77777777" w:rsidR="00F11C91" w:rsidRPr="0077490E" w:rsidRDefault="00F11C91" w:rsidP="00F11C91">
      <w:pPr>
        <w:pStyle w:val="BodyTextMain"/>
        <w:rPr>
          <w:lang w:val="en-GB"/>
        </w:rPr>
      </w:pPr>
    </w:p>
    <w:p w14:paraId="59D1A4B7" w14:textId="77777777" w:rsidR="006151D0" w:rsidRPr="0077490E" w:rsidRDefault="006151D0" w:rsidP="00F11C91">
      <w:pPr>
        <w:pStyle w:val="BodyTextMain"/>
        <w:rPr>
          <w:lang w:val="en-GB"/>
        </w:rPr>
      </w:pPr>
    </w:p>
    <w:p w14:paraId="0B72FFF4" w14:textId="77777777" w:rsidR="00F11C91" w:rsidRPr="0077490E" w:rsidRDefault="00F11C91" w:rsidP="00F11C91">
      <w:pPr>
        <w:pStyle w:val="Casehead1"/>
        <w:rPr>
          <w:lang w:val="en-GB"/>
        </w:rPr>
      </w:pPr>
      <w:r w:rsidRPr="0077490E">
        <w:rPr>
          <w:lang w:val="en-GB"/>
        </w:rPr>
        <w:t>BACKGROUND</w:t>
      </w:r>
    </w:p>
    <w:p w14:paraId="55D1EBC3" w14:textId="77777777" w:rsidR="00F11C91" w:rsidRPr="0077490E" w:rsidRDefault="00F11C91" w:rsidP="00F11C91">
      <w:pPr>
        <w:pStyle w:val="BodyTextMain"/>
        <w:rPr>
          <w:lang w:val="en-GB"/>
        </w:rPr>
      </w:pPr>
    </w:p>
    <w:p w14:paraId="714E738D" w14:textId="36E76640" w:rsidR="00F11C91" w:rsidRPr="0077490E" w:rsidRDefault="00F11C91" w:rsidP="00F11C91">
      <w:pPr>
        <w:pStyle w:val="BodyTextMain"/>
        <w:rPr>
          <w:lang w:val="en-GB"/>
        </w:rPr>
      </w:pPr>
      <w:r w:rsidRPr="0077490E">
        <w:rPr>
          <w:lang w:val="en-GB"/>
        </w:rPr>
        <w:t xml:space="preserve">KPN </w:t>
      </w:r>
      <w:proofErr w:type="gramStart"/>
      <w:r w:rsidRPr="0077490E">
        <w:rPr>
          <w:lang w:val="en-GB"/>
        </w:rPr>
        <w:t>was founded</w:t>
      </w:r>
      <w:proofErr w:type="gramEnd"/>
      <w:r w:rsidRPr="0077490E">
        <w:rPr>
          <w:lang w:val="en-GB"/>
        </w:rPr>
        <w:t xml:space="preserve"> in the 19th century as Royal Post, Telegraphy and Telephony (PTT), the Netherlands’ publicly owned</w:t>
      </w:r>
      <w:r w:rsidR="008847A0" w:rsidRPr="0077490E">
        <w:rPr>
          <w:lang w:val="en-GB"/>
        </w:rPr>
        <w:t>,</w:t>
      </w:r>
      <w:r w:rsidRPr="0077490E">
        <w:rPr>
          <w:lang w:val="en-GB"/>
        </w:rPr>
        <w:t xml:space="preserve"> fixed-line operator. From 1994 on, the company </w:t>
      </w:r>
      <w:proofErr w:type="gramStart"/>
      <w:r w:rsidRPr="0077490E">
        <w:rPr>
          <w:lang w:val="en-GB"/>
        </w:rPr>
        <w:t>was gradually privatized</w:t>
      </w:r>
      <w:proofErr w:type="gramEnd"/>
      <w:r w:rsidRPr="0077490E">
        <w:rPr>
          <w:lang w:val="en-GB"/>
        </w:rPr>
        <w:t xml:space="preserve">. PTT’s postal and </w:t>
      </w:r>
      <w:r w:rsidR="008847A0" w:rsidRPr="0077490E">
        <w:rPr>
          <w:lang w:val="en-GB"/>
        </w:rPr>
        <w:t>telecommunications (</w:t>
      </w:r>
      <w:r w:rsidRPr="0077490E">
        <w:rPr>
          <w:lang w:val="en-GB"/>
        </w:rPr>
        <w:t>telecom</w:t>
      </w:r>
      <w:r w:rsidR="008847A0" w:rsidRPr="0077490E">
        <w:rPr>
          <w:lang w:val="en-GB"/>
        </w:rPr>
        <w:t>)</w:t>
      </w:r>
      <w:r w:rsidRPr="0077490E">
        <w:rPr>
          <w:lang w:val="en-GB"/>
        </w:rPr>
        <w:t xml:space="preserve"> services went their separate ways in 1998</w:t>
      </w:r>
      <w:r w:rsidR="008847A0" w:rsidRPr="0077490E">
        <w:rPr>
          <w:lang w:val="en-GB"/>
        </w:rPr>
        <w:t>,</w:t>
      </w:r>
      <w:r w:rsidRPr="0077490E">
        <w:rPr>
          <w:lang w:val="en-GB"/>
        </w:rPr>
        <w:t xml:space="preserve"> and the telecom arm was renamed KPN. In 2006, the government gave up </w:t>
      </w:r>
      <w:r w:rsidR="008847A0" w:rsidRPr="0077490E">
        <w:rPr>
          <w:lang w:val="en-GB"/>
        </w:rPr>
        <w:t xml:space="preserve">its </w:t>
      </w:r>
      <w:hyperlink r:id="rId12" w:tooltip="Golden share" w:history="1">
        <w:r w:rsidR="008847A0" w:rsidRPr="0077490E">
          <w:rPr>
            <w:lang w:val="en-GB"/>
          </w:rPr>
          <w:t>golden share</w:t>
        </w:r>
      </w:hyperlink>
      <w:r w:rsidR="008847A0" w:rsidRPr="0077490E">
        <w:rPr>
          <w:lang w:val="en-GB"/>
        </w:rPr>
        <w:t xml:space="preserve"> </w:t>
      </w:r>
      <w:r w:rsidRPr="0077490E">
        <w:rPr>
          <w:lang w:val="en-GB"/>
        </w:rPr>
        <w:t>veto rights</w:t>
      </w:r>
      <w:r w:rsidR="008847A0" w:rsidRPr="0077490E">
        <w:rPr>
          <w:lang w:val="en-GB"/>
        </w:rPr>
        <w:t xml:space="preserve">, and </w:t>
      </w:r>
      <w:r w:rsidRPr="0077490E">
        <w:rPr>
          <w:lang w:val="en-GB"/>
        </w:rPr>
        <w:t>KPN remained the largest telco in the Netherlands. By 2017, the company had more than 13,000 employees supporting operations in the Netherlands</w:t>
      </w:r>
      <w:r w:rsidR="00520B63" w:rsidRPr="0077490E">
        <w:rPr>
          <w:lang w:val="en-GB"/>
        </w:rPr>
        <w:t>;</w:t>
      </w:r>
      <w:r w:rsidRPr="0077490E">
        <w:rPr>
          <w:lang w:val="en-GB"/>
        </w:rPr>
        <w:t xml:space="preserve"> revenues of €5,741 million</w:t>
      </w:r>
      <w:r w:rsidR="00520B63" w:rsidRPr="0077490E">
        <w:rPr>
          <w:lang w:val="en-GB"/>
        </w:rPr>
        <w:t>;</w:t>
      </w:r>
      <w:r w:rsidR="008847A0" w:rsidRPr="0077490E">
        <w:rPr>
          <w:rStyle w:val="FootnoteReference"/>
          <w:lang w:val="en-GB"/>
        </w:rPr>
        <w:footnoteReference w:id="1"/>
      </w:r>
      <w:r w:rsidRPr="0077490E">
        <w:rPr>
          <w:lang w:val="en-GB"/>
        </w:rPr>
        <w:t xml:space="preserve"> </w:t>
      </w:r>
      <w:r w:rsidR="008847A0" w:rsidRPr="0077490E">
        <w:rPr>
          <w:lang w:val="en-GB"/>
        </w:rPr>
        <w:t>earnings before interest, taxes, depreciation, and amortization (</w:t>
      </w:r>
      <w:r w:rsidRPr="0077490E">
        <w:rPr>
          <w:lang w:val="en-GB"/>
        </w:rPr>
        <w:t>EBITDA</w:t>
      </w:r>
      <w:r w:rsidR="008847A0" w:rsidRPr="0077490E">
        <w:rPr>
          <w:lang w:val="en-GB"/>
        </w:rPr>
        <w:t>)</w:t>
      </w:r>
      <w:r w:rsidRPr="0077490E">
        <w:rPr>
          <w:lang w:val="en-GB"/>
        </w:rPr>
        <w:t xml:space="preserve"> of €2,187 million (see Exhibit 1)</w:t>
      </w:r>
      <w:r w:rsidR="00520B63" w:rsidRPr="0077490E">
        <w:rPr>
          <w:lang w:val="en-GB"/>
        </w:rPr>
        <w:t>;</w:t>
      </w:r>
      <w:r w:rsidRPr="0077490E">
        <w:rPr>
          <w:lang w:val="en-GB"/>
        </w:rPr>
        <w:t xml:space="preserve"> and </w:t>
      </w:r>
      <w:r w:rsidR="00520B63" w:rsidRPr="0077490E">
        <w:rPr>
          <w:lang w:val="en-GB"/>
        </w:rPr>
        <w:t xml:space="preserve">retail and business </w:t>
      </w:r>
      <w:r w:rsidRPr="0077490E">
        <w:rPr>
          <w:lang w:val="en-GB"/>
        </w:rPr>
        <w:t>market shares in excess of 40 per cent.</w:t>
      </w:r>
    </w:p>
    <w:p w14:paraId="69B3CEA6" w14:textId="77777777" w:rsidR="00F11C91" w:rsidRPr="0077490E" w:rsidRDefault="00F11C91" w:rsidP="00F11C91">
      <w:pPr>
        <w:pStyle w:val="BodyTextMain"/>
        <w:rPr>
          <w:lang w:val="en-GB"/>
        </w:rPr>
      </w:pPr>
    </w:p>
    <w:p w14:paraId="320B9BD5" w14:textId="28B0A236" w:rsidR="00F11C91" w:rsidRPr="0077490E" w:rsidRDefault="00520B63" w:rsidP="00F11C91">
      <w:pPr>
        <w:pStyle w:val="BodyTextMain"/>
        <w:rPr>
          <w:lang w:val="en-GB"/>
        </w:rPr>
      </w:pPr>
      <w:proofErr w:type="gramStart"/>
      <w:r w:rsidRPr="0077490E">
        <w:rPr>
          <w:lang w:val="en-GB"/>
        </w:rPr>
        <w:lastRenderedPageBreak/>
        <w:t xml:space="preserve">KPN pursued its </w:t>
      </w:r>
      <w:r w:rsidR="00F11C91" w:rsidRPr="0077490E">
        <w:rPr>
          <w:lang w:val="en-GB"/>
        </w:rPr>
        <w:t>purpose</w:t>
      </w:r>
      <w:r w:rsidR="00E851D1" w:rsidRPr="0077490E">
        <w:rPr>
          <w:lang w:val="en-GB"/>
        </w:rPr>
        <w:t>—</w:t>
      </w:r>
      <w:r w:rsidR="00E851D1">
        <w:rPr>
          <w:lang w:val="en-GB"/>
        </w:rPr>
        <w:t xml:space="preserve">which it indicated in its annual reports was, </w:t>
      </w:r>
      <w:r w:rsidR="00F11C91" w:rsidRPr="0077490E">
        <w:rPr>
          <w:lang w:val="en-GB"/>
        </w:rPr>
        <w:t>“to make life more free, fun</w:t>
      </w:r>
      <w:r w:rsidR="00920CC0">
        <w:rPr>
          <w:lang w:val="en-GB"/>
        </w:rPr>
        <w:t>,</w:t>
      </w:r>
      <w:r w:rsidR="00F11C91" w:rsidRPr="0077490E">
        <w:rPr>
          <w:lang w:val="en-GB"/>
        </w:rPr>
        <w:t xml:space="preserve"> and easy by connecting people”</w:t>
      </w:r>
      <w:r w:rsidRPr="0077490E">
        <w:rPr>
          <w:lang w:val="en-GB"/>
        </w:rPr>
        <w:t>—</w:t>
      </w:r>
      <w:r w:rsidR="00F11C91" w:rsidRPr="0077490E">
        <w:rPr>
          <w:lang w:val="en-GB"/>
        </w:rPr>
        <w:t xml:space="preserve">through three core activities: </w:t>
      </w:r>
      <w:r w:rsidRPr="0077490E">
        <w:rPr>
          <w:lang w:val="en-GB"/>
        </w:rPr>
        <w:t>(</w:t>
      </w:r>
      <w:r w:rsidR="00F11C91" w:rsidRPr="0077490E">
        <w:rPr>
          <w:lang w:val="en-GB"/>
        </w:rPr>
        <w:t>1) building and maintaining network infrastructure, which accounted for its main investments and expenses</w:t>
      </w:r>
      <w:r w:rsidRPr="0077490E">
        <w:rPr>
          <w:lang w:val="en-GB"/>
        </w:rPr>
        <w:t>;</w:t>
      </w:r>
      <w:r w:rsidR="00F11C91" w:rsidRPr="0077490E">
        <w:rPr>
          <w:lang w:val="en-GB"/>
        </w:rPr>
        <w:t xml:space="preserve"> </w:t>
      </w:r>
      <w:r w:rsidRPr="0077490E">
        <w:rPr>
          <w:lang w:val="en-GB"/>
        </w:rPr>
        <w:t>(</w:t>
      </w:r>
      <w:r w:rsidR="00F11C91" w:rsidRPr="0077490E">
        <w:rPr>
          <w:lang w:val="en-GB"/>
        </w:rPr>
        <w:t xml:space="preserve">2) delivering connectivity services to </w:t>
      </w:r>
      <w:r w:rsidRPr="0077490E">
        <w:rPr>
          <w:lang w:val="en-GB"/>
        </w:rPr>
        <w:t>voice, data, and video</w:t>
      </w:r>
      <w:r w:rsidRPr="0077490E" w:rsidDel="00520B63">
        <w:rPr>
          <w:lang w:val="en-GB"/>
        </w:rPr>
        <w:t xml:space="preserve"> </w:t>
      </w:r>
      <w:r w:rsidRPr="0077490E">
        <w:rPr>
          <w:lang w:val="en-GB"/>
        </w:rPr>
        <w:t>end-</w:t>
      </w:r>
      <w:r w:rsidR="00F11C91" w:rsidRPr="0077490E">
        <w:rPr>
          <w:lang w:val="en-GB"/>
        </w:rPr>
        <w:t>users</w:t>
      </w:r>
      <w:r w:rsidRPr="0077490E">
        <w:rPr>
          <w:lang w:val="en-GB"/>
        </w:rPr>
        <w:t>;</w:t>
      </w:r>
      <w:r w:rsidR="00F11C91" w:rsidRPr="0077490E">
        <w:rPr>
          <w:lang w:val="en-GB"/>
        </w:rPr>
        <w:t xml:space="preserve"> and </w:t>
      </w:r>
      <w:r w:rsidRPr="0077490E">
        <w:rPr>
          <w:lang w:val="en-GB"/>
        </w:rPr>
        <w:t>(</w:t>
      </w:r>
      <w:r w:rsidR="00F11C91" w:rsidRPr="0077490E">
        <w:rPr>
          <w:lang w:val="en-GB"/>
        </w:rPr>
        <w:t>3) serving customers</w:t>
      </w:r>
      <w:r w:rsidRPr="0077490E">
        <w:rPr>
          <w:lang w:val="en-GB"/>
        </w:rPr>
        <w:t xml:space="preserve"> through</w:t>
      </w:r>
      <w:r w:rsidR="00F11C91" w:rsidRPr="0077490E">
        <w:rPr>
          <w:lang w:val="en-GB"/>
        </w:rPr>
        <w:t xml:space="preserve"> all commercial service and service delivery interactions during the customer journey.</w:t>
      </w:r>
      <w:proofErr w:type="gramEnd"/>
      <w:r w:rsidR="00F11C91" w:rsidRPr="0077490E">
        <w:rPr>
          <w:lang w:val="en-GB"/>
        </w:rPr>
        <w:t xml:space="preserve"> KPN offered its retail customers a broad range of communication, information</w:t>
      </w:r>
      <w:r w:rsidRPr="0077490E">
        <w:rPr>
          <w:lang w:val="en-GB"/>
        </w:rPr>
        <w:t>,</w:t>
      </w:r>
      <w:r w:rsidR="00F11C91" w:rsidRPr="0077490E">
        <w:rPr>
          <w:lang w:val="en-GB"/>
        </w:rPr>
        <w:t xml:space="preserve"> and entertainment services. These </w:t>
      </w:r>
      <w:proofErr w:type="gramStart"/>
      <w:r w:rsidR="00F11C91" w:rsidRPr="0077490E">
        <w:rPr>
          <w:lang w:val="en-GB"/>
        </w:rPr>
        <w:t>were marketed</w:t>
      </w:r>
      <w:proofErr w:type="gramEnd"/>
      <w:r w:rsidR="00F11C91" w:rsidRPr="0077490E">
        <w:rPr>
          <w:lang w:val="en-GB"/>
        </w:rPr>
        <w:t xml:space="preserve"> </w:t>
      </w:r>
      <w:r w:rsidRPr="0077490E">
        <w:rPr>
          <w:lang w:val="en-GB"/>
        </w:rPr>
        <w:t xml:space="preserve">individually and in bundles </w:t>
      </w:r>
      <w:r w:rsidR="00F11C91" w:rsidRPr="0077490E">
        <w:rPr>
          <w:lang w:val="en-GB"/>
        </w:rPr>
        <w:t xml:space="preserve">across different brands for fixed and mobile </w:t>
      </w:r>
      <w:r w:rsidRPr="0077490E">
        <w:rPr>
          <w:lang w:val="en-GB"/>
        </w:rPr>
        <w:t>Internet</w:t>
      </w:r>
      <w:r w:rsidR="00F11C91" w:rsidRPr="0077490E">
        <w:rPr>
          <w:lang w:val="en-GB"/>
        </w:rPr>
        <w:t>, TV</w:t>
      </w:r>
      <w:r w:rsidRPr="0077490E">
        <w:rPr>
          <w:lang w:val="en-GB"/>
        </w:rPr>
        <w:t>,</w:t>
      </w:r>
      <w:r w:rsidR="00F11C91" w:rsidRPr="0077490E">
        <w:rPr>
          <w:lang w:val="en-GB"/>
        </w:rPr>
        <w:t xml:space="preserve"> and telephony. KPN’s portfolio of brands for small</w:t>
      </w:r>
      <w:r w:rsidRPr="0077490E">
        <w:rPr>
          <w:lang w:val="en-GB"/>
        </w:rPr>
        <w:t>-</w:t>
      </w:r>
      <w:r w:rsidR="00F11C91" w:rsidRPr="0077490E">
        <w:rPr>
          <w:lang w:val="en-GB"/>
        </w:rPr>
        <w:t xml:space="preserve"> to medium-sized </w:t>
      </w:r>
      <w:r w:rsidRPr="0077490E">
        <w:rPr>
          <w:lang w:val="en-GB"/>
        </w:rPr>
        <w:t>enterprise</w:t>
      </w:r>
      <w:r w:rsidR="00920CC0">
        <w:rPr>
          <w:lang w:val="en-GB"/>
        </w:rPr>
        <w:t>s</w:t>
      </w:r>
      <w:r w:rsidRPr="0077490E">
        <w:rPr>
          <w:lang w:val="en-GB"/>
        </w:rPr>
        <w:t xml:space="preserve"> </w:t>
      </w:r>
      <w:r w:rsidR="00F11C91" w:rsidRPr="0077490E">
        <w:rPr>
          <w:lang w:val="en-GB"/>
        </w:rPr>
        <w:t>(SME) and large business customers spanned a complete range of connectivity services</w:t>
      </w:r>
      <w:r w:rsidRPr="0077490E">
        <w:rPr>
          <w:lang w:val="en-GB"/>
        </w:rPr>
        <w:t xml:space="preserve"> </w:t>
      </w:r>
      <w:r w:rsidR="00F11C91" w:rsidRPr="0077490E">
        <w:rPr>
          <w:lang w:val="en-GB"/>
        </w:rPr>
        <w:t xml:space="preserve">from fixed and mobile </w:t>
      </w:r>
      <w:r w:rsidRPr="0077490E">
        <w:rPr>
          <w:lang w:val="en-GB"/>
        </w:rPr>
        <w:t xml:space="preserve">Internet </w:t>
      </w:r>
      <w:r w:rsidR="00F11C91" w:rsidRPr="0077490E">
        <w:rPr>
          <w:lang w:val="en-GB"/>
        </w:rPr>
        <w:t>and telephony to end-to-end solutions in infrastructure, workspace management, cloud computing, security, data network</w:t>
      </w:r>
      <w:r w:rsidRPr="0077490E">
        <w:rPr>
          <w:lang w:val="en-GB"/>
        </w:rPr>
        <w:t>s,</w:t>
      </w:r>
      <w:r w:rsidR="00F11C91" w:rsidRPr="0077490E">
        <w:rPr>
          <w:lang w:val="en-GB"/>
        </w:rPr>
        <w:t xml:space="preserve"> and data centre services.</w:t>
      </w:r>
    </w:p>
    <w:p w14:paraId="026618F1" w14:textId="77777777" w:rsidR="00F11C91" w:rsidRPr="0077490E" w:rsidRDefault="00F11C91" w:rsidP="00F11C91">
      <w:pPr>
        <w:pStyle w:val="BodyTextMain"/>
        <w:rPr>
          <w:lang w:val="en-GB"/>
        </w:rPr>
      </w:pPr>
    </w:p>
    <w:p w14:paraId="21D791DF" w14:textId="0C86137A" w:rsidR="00F11C91" w:rsidRPr="0077490E" w:rsidRDefault="00F11C91" w:rsidP="00F11C91">
      <w:pPr>
        <w:pStyle w:val="BodyTextMain"/>
        <w:rPr>
          <w:lang w:val="en-GB"/>
        </w:rPr>
      </w:pPr>
      <w:r w:rsidRPr="0077490E">
        <w:rPr>
          <w:lang w:val="en-GB"/>
        </w:rPr>
        <w:t xml:space="preserve">KPN had been facing intensifying competition on different battlegrounds. OTT players such as Skype and WhatsApp had </w:t>
      </w:r>
      <w:r w:rsidR="0077497D" w:rsidRPr="0077490E">
        <w:rPr>
          <w:lang w:val="en-GB"/>
        </w:rPr>
        <w:t xml:space="preserve">entered </w:t>
      </w:r>
      <w:r w:rsidRPr="0077490E">
        <w:rPr>
          <w:lang w:val="en-GB"/>
        </w:rPr>
        <w:t xml:space="preserve">the </w:t>
      </w:r>
      <w:r w:rsidR="001E2B18" w:rsidRPr="0077490E">
        <w:rPr>
          <w:lang w:val="en-GB"/>
        </w:rPr>
        <w:t xml:space="preserve">voice and messaging </w:t>
      </w:r>
      <w:r w:rsidRPr="0077490E">
        <w:rPr>
          <w:lang w:val="en-GB"/>
        </w:rPr>
        <w:t xml:space="preserve">market with innovative, </w:t>
      </w:r>
      <w:proofErr w:type="gramStart"/>
      <w:r w:rsidRPr="0077490E">
        <w:rPr>
          <w:lang w:val="en-GB"/>
        </w:rPr>
        <w:t>convenient</w:t>
      </w:r>
      <w:r w:rsidR="001E2B18" w:rsidRPr="0077490E">
        <w:rPr>
          <w:lang w:val="en-GB"/>
        </w:rPr>
        <w:t>,</w:t>
      </w:r>
      <w:proofErr w:type="gramEnd"/>
      <w:r w:rsidRPr="0077490E">
        <w:rPr>
          <w:lang w:val="en-GB"/>
        </w:rPr>
        <w:t xml:space="preserve"> and often more attractive, low-cost alternatives. The media space, an exciting new battleground and the hardest</w:t>
      </w:r>
      <w:r w:rsidR="001E2B18" w:rsidRPr="0077490E">
        <w:rPr>
          <w:lang w:val="en-GB"/>
        </w:rPr>
        <w:t xml:space="preserve"> </w:t>
      </w:r>
      <w:r w:rsidRPr="0077490E">
        <w:rPr>
          <w:lang w:val="en-GB"/>
        </w:rPr>
        <w:t xml:space="preserve">fought, was also increasingly becoming the domain of OTT services such as Netflix and YouTube. While KPN’s infrastructure business benefited from the </w:t>
      </w:r>
      <w:r w:rsidR="001E2B18" w:rsidRPr="0077490E">
        <w:rPr>
          <w:lang w:val="en-GB"/>
        </w:rPr>
        <w:t xml:space="preserve">explosion in </w:t>
      </w:r>
      <w:r w:rsidRPr="0077490E">
        <w:rPr>
          <w:lang w:val="en-GB"/>
        </w:rPr>
        <w:t xml:space="preserve">digital data traffic, it </w:t>
      </w:r>
      <w:r w:rsidR="001E2B18" w:rsidRPr="0077490E">
        <w:rPr>
          <w:lang w:val="en-GB"/>
        </w:rPr>
        <w:t xml:space="preserve">also </w:t>
      </w:r>
      <w:r w:rsidRPr="0077490E">
        <w:rPr>
          <w:lang w:val="en-GB"/>
        </w:rPr>
        <w:t xml:space="preserve">risked being completely disintermediated from its customers. The situation in the consumer space seemed like an uphill battle, but there were opportunities for KPN in the business market. Here, the job was to leverage </w:t>
      </w:r>
      <w:r w:rsidR="001E2B18" w:rsidRPr="0077490E">
        <w:rPr>
          <w:lang w:val="en-GB"/>
        </w:rPr>
        <w:t xml:space="preserve">the company’s </w:t>
      </w:r>
      <w:r w:rsidRPr="0077490E">
        <w:rPr>
          <w:lang w:val="en-GB"/>
        </w:rPr>
        <w:t xml:space="preserve">customer relationships and asset capabilities to position </w:t>
      </w:r>
      <w:r w:rsidR="001E2B18" w:rsidRPr="0077490E">
        <w:rPr>
          <w:lang w:val="en-GB"/>
        </w:rPr>
        <w:t xml:space="preserve">KPN </w:t>
      </w:r>
      <w:r w:rsidRPr="0077490E">
        <w:rPr>
          <w:lang w:val="en-GB"/>
        </w:rPr>
        <w:t xml:space="preserve">as a service and platform solution in fast-growing digital business ecosystems such as </w:t>
      </w:r>
      <w:r w:rsidR="001E2B18" w:rsidRPr="0077490E">
        <w:rPr>
          <w:lang w:val="en-GB"/>
        </w:rPr>
        <w:t xml:space="preserve">those involved in </w:t>
      </w:r>
      <w:r w:rsidRPr="0077490E">
        <w:rPr>
          <w:lang w:val="en-GB"/>
        </w:rPr>
        <w:t xml:space="preserve">smart cities, digital health, </w:t>
      </w:r>
      <w:r w:rsidR="001E2B18" w:rsidRPr="0077490E">
        <w:rPr>
          <w:lang w:val="en-GB"/>
        </w:rPr>
        <w:t xml:space="preserve">the </w:t>
      </w:r>
      <w:r w:rsidRPr="0077490E">
        <w:rPr>
          <w:lang w:val="en-GB"/>
        </w:rPr>
        <w:t>Internet of Things (</w:t>
      </w:r>
      <w:proofErr w:type="spellStart"/>
      <w:r w:rsidRPr="0077490E">
        <w:rPr>
          <w:lang w:val="en-GB"/>
        </w:rPr>
        <w:t>IoT</w:t>
      </w:r>
      <w:proofErr w:type="spellEnd"/>
      <w:r w:rsidRPr="0077490E">
        <w:rPr>
          <w:lang w:val="en-GB"/>
        </w:rPr>
        <w:t>)</w:t>
      </w:r>
      <w:r w:rsidR="001E2B18" w:rsidRPr="0077490E">
        <w:rPr>
          <w:lang w:val="en-GB"/>
        </w:rPr>
        <w:t>,</w:t>
      </w:r>
      <w:r w:rsidRPr="0077490E">
        <w:rPr>
          <w:lang w:val="en-GB"/>
        </w:rPr>
        <w:t xml:space="preserve"> and </w:t>
      </w:r>
      <w:r w:rsidR="00C74BB5">
        <w:t>Industry 4.0</w:t>
      </w:r>
      <w:r w:rsidR="000A1720">
        <w:t>.</w:t>
      </w:r>
      <w:r w:rsidR="001C4402">
        <w:rPr>
          <w:rStyle w:val="FootnoteReference"/>
        </w:rPr>
        <w:footnoteReference w:id="2"/>
      </w:r>
      <w:r w:rsidR="00C74BB5">
        <w:t xml:space="preserve"> </w:t>
      </w:r>
    </w:p>
    <w:p w14:paraId="6603D3F4" w14:textId="77777777" w:rsidR="00F11C91" w:rsidRPr="0077490E" w:rsidRDefault="00F11C91" w:rsidP="00F11C91">
      <w:pPr>
        <w:pStyle w:val="BodyTextMain"/>
        <w:rPr>
          <w:lang w:val="en-GB"/>
        </w:rPr>
      </w:pPr>
    </w:p>
    <w:p w14:paraId="3BE73479" w14:textId="7B728498" w:rsidR="00F11C91" w:rsidRPr="0077490E" w:rsidRDefault="00F11C91" w:rsidP="00F11C91">
      <w:pPr>
        <w:pStyle w:val="BodyTextMain"/>
        <w:rPr>
          <w:lang w:val="en-GB"/>
        </w:rPr>
      </w:pPr>
      <w:r w:rsidRPr="0077490E">
        <w:rPr>
          <w:lang w:val="en-GB"/>
        </w:rPr>
        <w:t xml:space="preserve">Technology and </w:t>
      </w:r>
      <w:r w:rsidR="001E2B18" w:rsidRPr="0077490E">
        <w:rPr>
          <w:lang w:val="en-GB"/>
        </w:rPr>
        <w:t xml:space="preserve">Internet </w:t>
      </w:r>
      <w:r w:rsidRPr="0077490E">
        <w:rPr>
          <w:lang w:val="en-GB"/>
        </w:rPr>
        <w:t xml:space="preserve">firms were also becoming increasingly active in the field of connectivity services. For example, Google Fi and Apple </w:t>
      </w:r>
      <w:proofErr w:type="spellStart"/>
      <w:r w:rsidRPr="0077490E">
        <w:rPr>
          <w:lang w:val="en-GB"/>
        </w:rPr>
        <w:t>eSIM</w:t>
      </w:r>
      <w:proofErr w:type="spellEnd"/>
      <w:r w:rsidRPr="0077490E">
        <w:rPr>
          <w:lang w:val="en-GB"/>
        </w:rPr>
        <w:t xml:space="preserve"> services already </w:t>
      </w:r>
      <w:r w:rsidR="001E2B18" w:rsidRPr="0077490E">
        <w:rPr>
          <w:lang w:val="en-GB"/>
        </w:rPr>
        <w:t xml:space="preserve">allowed customers to switch </w:t>
      </w:r>
      <w:r w:rsidRPr="0077490E">
        <w:rPr>
          <w:lang w:val="en-GB"/>
        </w:rPr>
        <w:t>seamless</w:t>
      </w:r>
      <w:r w:rsidR="001E2B18" w:rsidRPr="0077490E">
        <w:rPr>
          <w:lang w:val="en-GB"/>
        </w:rPr>
        <w:t>ly</w:t>
      </w:r>
      <w:r w:rsidRPr="0077490E">
        <w:rPr>
          <w:lang w:val="en-GB"/>
        </w:rPr>
        <w:t xml:space="preserve"> between mobile plans and operators, eliminating much of the pain of changing providers while travelling or relocating.</w:t>
      </w:r>
      <w:r w:rsidR="003F725D">
        <w:rPr>
          <w:rStyle w:val="FootnoteReference"/>
          <w:lang w:val="en-GB"/>
        </w:rPr>
        <w:footnoteReference w:id="3"/>
      </w:r>
      <w:r w:rsidRPr="0077490E">
        <w:rPr>
          <w:lang w:val="en-GB"/>
        </w:rPr>
        <w:t xml:space="preserve"> And even though the nascent </w:t>
      </w:r>
      <w:proofErr w:type="spellStart"/>
      <w:r w:rsidRPr="0077490E">
        <w:rPr>
          <w:lang w:val="en-GB"/>
        </w:rPr>
        <w:t>IoT</w:t>
      </w:r>
      <w:proofErr w:type="spellEnd"/>
      <w:r w:rsidRPr="0077490E">
        <w:rPr>
          <w:lang w:val="en-GB"/>
        </w:rPr>
        <w:t xml:space="preserve"> space was seen as a key growth opportunity for </w:t>
      </w:r>
      <w:proofErr w:type="spellStart"/>
      <w:r w:rsidRPr="0077490E">
        <w:rPr>
          <w:lang w:val="en-GB"/>
        </w:rPr>
        <w:t>telcos</w:t>
      </w:r>
      <w:proofErr w:type="spellEnd"/>
      <w:r w:rsidRPr="0077490E">
        <w:rPr>
          <w:lang w:val="en-GB"/>
        </w:rPr>
        <w:t xml:space="preserve">, more and more </w:t>
      </w:r>
      <w:proofErr w:type="spellStart"/>
      <w:r w:rsidRPr="0077490E">
        <w:rPr>
          <w:lang w:val="en-GB"/>
        </w:rPr>
        <w:t>IoT</w:t>
      </w:r>
      <w:proofErr w:type="spellEnd"/>
      <w:r w:rsidRPr="0077490E">
        <w:rPr>
          <w:lang w:val="en-GB"/>
        </w:rPr>
        <w:t xml:space="preserve"> devices</w:t>
      </w:r>
      <w:r w:rsidR="004C7AA1" w:rsidRPr="0077490E">
        <w:rPr>
          <w:lang w:val="en-GB"/>
        </w:rPr>
        <w:t>,</w:t>
      </w:r>
      <w:r w:rsidRPr="0077490E">
        <w:rPr>
          <w:lang w:val="en-GB"/>
        </w:rPr>
        <w:t xml:space="preserve"> such as connected cars and smart home or health devices</w:t>
      </w:r>
      <w:r w:rsidR="004C7AA1" w:rsidRPr="0077490E">
        <w:rPr>
          <w:lang w:val="en-GB"/>
        </w:rPr>
        <w:t>,</w:t>
      </w:r>
      <w:r w:rsidRPr="0077490E">
        <w:rPr>
          <w:lang w:val="en-GB"/>
        </w:rPr>
        <w:t xml:space="preserve"> were being sold with embedded connectivity as a free service. Technology giants such as </w:t>
      </w:r>
      <w:r w:rsidR="004C7AA1" w:rsidRPr="0077490E">
        <w:rPr>
          <w:lang w:val="en-GB"/>
        </w:rPr>
        <w:t>Amazon.com Inc. (</w:t>
      </w:r>
      <w:r w:rsidRPr="0077490E">
        <w:rPr>
          <w:lang w:val="en-GB"/>
        </w:rPr>
        <w:t>Amazon</w:t>
      </w:r>
      <w:r w:rsidR="004C7AA1" w:rsidRPr="0077490E">
        <w:rPr>
          <w:lang w:val="en-GB"/>
        </w:rPr>
        <w:t>)</w:t>
      </w:r>
      <w:r w:rsidRPr="0077490E">
        <w:rPr>
          <w:lang w:val="en-GB"/>
        </w:rPr>
        <w:t xml:space="preserve">, </w:t>
      </w:r>
      <w:r w:rsidR="004C7AA1" w:rsidRPr="0077490E">
        <w:rPr>
          <w:lang w:val="en-GB"/>
        </w:rPr>
        <w:t>Microsoft Corporation (</w:t>
      </w:r>
      <w:r w:rsidRPr="0077490E">
        <w:rPr>
          <w:lang w:val="en-GB"/>
        </w:rPr>
        <w:t>Microsoft</w:t>
      </w:r>
      <w:r w:rsidR="004C7AA1" w:rsidRPr="0077490E">
        <w:rPr>
          <w:lang w:val="en-GB"/>
        </w:rPr>
        <w:t>),</w:t>
      </w:r>
      <w:r w:rsidRPr="0077490E">
        <w:rPr>
          <w:lang w:val="en-GB"/>
        </w:rPr>
        <w:t xml:space="preserve"> and </w:t>
      </w:r>
      <w:r w:rsidR="004C7AA1" w:rsidRPr="0077490E">
        <w:rPr>
          <w:lang w:val="en-GB"/>
        </w:rPr>
        <w:t>International Business Machines Corporation (</w:t>
      </w:r>
      <w:r w:rsidRPr="0077490E">
        <w:rPr>
          <w:lang w:val="en-GB"/>
        </w:rPr>
        <w:t>IBM</w:t>
      </w:r>
      <w:r w:rsidR="004C7AA1" w:rsidRPr="0077490E">
        <w:rPr>
          <w:lang w:val="en-GB"/>
        </w:rPr>
        <w:t>)</w:t>
      </w:r>
      <w:r w:rsidRPr="0077490E">
        <w:rPr>
          <w:lang w:val="en-GB"/>
        </w:rPr>
        <w:t xml:space="preserve"> were increasingly competing for customers and revenues in growth areas </w:t>
      </w:r>
      <w:proofErr w:type="gramStart"/>
      <w:r w:rsidRPr="0077490E">
        <w:rPr>
          <w:lang w:val="en-GB"/>
        </w:rPr>
        <w:t>such as cloud</w:t>
      </w:r>
      <w:r w:rsidR="004C7AA1" w:rsidRPr="0077490E">
        <w:rPr>
          <w:lang w:val="en-GB"/>
        </w:rPr>
        <w:t xml:space="preserve"> computing</w:t>
      </w:r>
      <w:r w:rsidRPr="0077490E">
        <w:rPr>
          <w:lang w:val="en-GB"/>
        </w:rPr>
        <w:t>, security, last-mile networks</w:t>
      </w:r>
      <w:r w:rsidR="004C7AA1" w:rsidRPr="0077490E">
        <w:rPr>
          <w:lang w:val="en-GB"/>
        </w:rPr>
        <w:t>,</w:t>
      </w:r>
      <w:r w:rsidRPr="0077490E">
        <w:rPr>
          <w:lang w:val="en-GB"/>
        </w:rPr>
        <w:t xml:space="preserve"> and </w:t>
      </w:r>
      <w:proofErr w:type="spellStart"/>
      <w:r w:rsidRPr="0077490E">
        <w:rPr>
          <w:lang w:val="en-GB"/>
        </w:rPr>
        <w:t>IoT</w:t>
      </w:r>
      <w:proofErr w:type="spellEnd"/>
      <w:r w:rsidR="004C7AA1" w:rsidRPr="0077490E">
        <w:rPr>
          <w:lang w:val="en-GB"/>
        </w:rPr>
        <w:t>—and</w:t>
      </w:r>
      <w:r w:rsidRPr="0077490E">
        <w:rPr>
          <w:lang w:val="en-GB"/>
        </w:rPr>
        <w:t xml:space="preserve"> were tying customers to their own ecosystems</w:t>
      </w:r>
      <w:r w:rsidR="004C7AA1" w:rsidRPr="0077490E">
        <w:rPr>
          <w:lang w:val="en-GB"/>
        </w:rPr>
        <w:t xml:space="preserve"> in the process</w:t>
      </w:r>
      <w:proofErr w:type="gramEnd"/>
      <w:r w:rsidRPr="0077490E">
        <w:rPr>
          <w:lang w:val="en-GB"/>
        </w:rPr>
        <w:t>.</w:t>
      </w:r>
      <w:r w:rsidR="00BC429C">
        <w:rPr>
          <w:rStyle w:val="FootnoteReference"/>
          <w:lang w:val="en-GB"/>
        </w:rPr>
        <w:footnoteReference w:id="4"/>
      </w:r>
      <w:r w:rsidRPr="0077490E">
        <w:rPr>
          <w:lang w:val="en-GB"/>
        </w:rPr>
        <w:t xml:space="preserve"> </w:t>
      </w:r>
    </w:p>
    <w:p w14:paraId="2FD4D0F6" w14:textId="77777777" w:rsidR="00F11C91" w:rsidRPr="0077490E" w:rsidRDefault="00F11C91" w:rsidP="00F11C91">
      <w:pPr>
        <w:pStyle w:val="BodyTextMain"/>
        <w:rPr>
          <w:lang w:val="en-GB"/>
        </w:rPr>
      </w:pPr>
    </w:p>
    <w:p w14:paraId="12614064" w14:textId="77777777" w:rsidR="00F11C91" w:rsidRPr="0077490E" w:rsidRDefault="00F11C91" w:rsidP="00F11C91">
      <w:pPr>
        <w:pStyle w:val="BodyTextMain"/>
        <w:rPr>
          <w:lang w:val="en-GB"/>
        </w:rPr>
      </w:pPr>
    </w:p>
    <w:p w14:paraId="37EFF9B2" w14:textId="06C792E3" w:rsidR="00F11C91" w:rsidRPr="0077490E" w:rsidRDefault="00F11C91" w:rsidP="00F11C91">
      <w:pPr>
        <w:pStyle w:val="Casehead1"/>
        <w:rPr>
          <w:lang w:val="en-GB"/>
        </w:rPr>
      </w:pPr>
      <w:r w:rsidRPr="0077490E">
        <w:rPr>
          <w:lang w:val="en-GB"/>
        </w:rPr>
        <w:t>customer satisfaction and cost</w:t>
      </w:r>
      <w:r w:rsidR="00787B5F">
        <w:rPr>
          <w:lang w:val="en-GB"/>
        </w:rPr>
        <w:t xml:space="preserve"> </w:t>
      </w:r>
      <w:r w:rsidRPr="0077490E">
        <w:rPr>
          <w:lang w:val="en-GB"/>
        </w:rPr>
        <w:t>cutting</w:t>
      </w:r>
    </w:p>
    <w:p w14:paraId="0C4AF271" w14:textId="77777777" w:rsidR="00F11C91" w:rsidRPr="0077490E" w:rsidRDefault="00F11C91" w:rsidP="00F11C91">
      <w:pPr>
        <w:pStyle w:val="BodyTextMain"/>
        <w:rPr>
          <w:lang w:val="en-GB"/>
        </w:rPr>
      </w:pPr>
    </w:p>
    <w:p w14:paraId="3243852F" w14:textId="1820E3FD" w:rsidR="00F11C91" w:rsidRPr="0077490E" w:rsidRDefault="00F11C91" w:rsidP="00F11C91">
      <w:pPr>
        <w:pStyle w:val="BodyTextMain"/>
        <w:rPr>
          <w:lang w:val="en-GB"/>
        </w:rPr>
      </w:pPr>
      <w:r w:rsidRPr="0077490E">
        <w:rPr>
          <w:lang w:val="en-GB"/>
        </w:rPr>
        <w:t xml:space="preserve">KPN started its digital transformation in 2014. </w:t>
      </w:r>
      <w:r w:rsidR="004C7AA1" w:rsidRPr="0077490E">
        <w:rPr>
          <w:lang w:val="en-GB"/>
        </w:rPr>
        <w:t xml:space="preserve">A </w:t>
      </w:r>
      <w:r w:rsidRPr="0077490E">
        <w:rPr>
          <w:lang w:val="en-GB"/>
        </w:rPr>
        <w:t xml:space="preserve">weak macro-economic climate and </w:t>
      </w:r>
      <w:r w:rsidR="004C7AA1" w:rsidRPr="0077490E">
        <w:rPr>
          <w:lang w:val="en-GB"/>
        </w:rPr>
        <w:t xml:space="preserve">a </w:t>
      </w:r>
      <w:r w:rsidRPr="0077490E">
        <w:rPr>
          <w:lang w:val="en-GB"/>
        </w:rPr>
        <w:t>high level of investment in fibre, copper</w:t>
      </w:r>
      <w:r w:rsidR="004C7AA1" w:rsidRPr="0077490E">
        <w:rPr>
          <w:lang w:val="en-GB"/>
        </w:rPr>
        <w:t>,</w:t>
      </w:r>
      <w:r w:rsidRPr="0077490E">
        <w:rPr>
          <w:lang w:val="en-GB"/>
        </w:rPr>
        <w:t xml:space="preserve"> and mobile infrastructure had </w:t>
      </w:r>
      <w:proofErr w:type="gramStart"/>
      <w:r w:rsidRPr="0077490E">
        <w:rPr>
          <w:lang w:val="en-GB"/>
        </w:rPr>
        <w:t>impacted</w:t>
      </w:r>
      <w:proofErr w:type="gramEnd"/>
      <w:r w:rsidRPr="0077490E">
        <w:rPr>
          <w:lang w:val="en-GB"/>
        </w:rPr>
        <w:t xml:space="preserve"> KPN’s financial results. More importantly, OTT competitors were driving KPN’s operations to their limits and weighing on its financials. The European </w:t>
      </w:r>
      <w:r w:rsidR="004C7AA1" w:rsidRPr="0077490E">
        <w:rPr>
          <w:lang w:val="en-GB"/>
        </w:rPr>
        <w:t>Commission’s regulatory framework for creating a</w:t>
      </w:r>
      <w:r w:rsidRPr="0077490E">
        <w:rPr>
          <w:lang w:val="en-GB"/>
        </w:rPr>
        <w:t xml:space="preserve"> single market for electronic telecommunications services </w:t>
      </w:r>
      <w:r w:rsidR="004C7AA1" w:rsidRPr="0077490E">
        <w:rPr>
          <w:lang w:val="en-GB"/>
        </w:rPr>
        <w:t xml:space="preserve">in the European Union (EU) </w:t>
      </w:r>
      <w:r w:rsidRPr="0077490E">
        <w:rPr>
          <w:lang w:val="en-GB"/>
        </w:rPr>
        <w:t xml:space="preserve">threatened </w:t>
      </w:r>
      <w:proofErr w:type="gramStart"/>
      <w:r w:rsidRPr="0077490E">
        <w:rPr>
          <w:lang w:val="en-GB"/>
        </w:rPr>
        <w:t>to further erode</w:t>
      </w:r>
      <w:proofErr w:type="gramEnd"/>
      <w:r w:rsidRPr="0077490E">
        <w:rPr>
          <w:lang w:val="en-GB"/>
        </w:rPr>
        <w:t xml:space="preserve"> revenues. </w:t>
      </w:r>
      <w:r w:rsidR="004C7AA1" w:rsidRPr="0077490E">
        <w:rPr>
          <w:lang w:val="en-GB"/>
        </w:rPr>
        <w:t xml:space="preserve">In 2013, </w:t>
      </w:r>
      <w:r w:rsidR="00183568" w:rsidRPr="0077490E">
        <w:rPr>
          <w:lang w:val="en-GB"/>
        </w:rPr>
        <w:t xml:space="preserve">a </w:t>
      </w:r>
      <w:r w:rsidRPr="0077490E">
        <w:rPr>
          <w:lang w:val="en-GB"/>
        </w:rPr>
        <w:t xml:space="preserve">takeover bid by KPN’s biggest shareholder, </w:t>
      </w:r>
      <w:r w:rsidR="004C7AA1" w:rsidRPr="0077490E">
        <w:rPr>
          <w:lang w:val="en-GB"/>
        </w:rPr>
        <w:t xml:space="preserve">Mexican telecom giant </w:t>
      </w:r>
      <w:proofErr w:type="spellStart"/>
      <w:r w:rsidRPr="0077490E">
        <w:rPr>
          <w:lang w:val="en-GB"/>
        </w:rPr>
        <w:t>Am</w:t>
      </w:r>
      <w:r w:rsidR="00183568" w:rsidRPr="0077490E">
        <w:rPr>
          <w:lang w:val="en-GB"/>
        </w:rPr>
        <w:t>é</w:t>
      </w:r>
      <w:r w:rsidRPr="0077490E">
        <w:rPr>
          <w:lang w:val="en-GB"/>
        </w:rPr>
        <w:t>rica</w:t>
      </w:r>
      <w:proofErr w:type="spellEnd"/>
      <w:r w:rsidRPr="0077490E">
        <w:rPr>
          <w:lang w:val="en-GB"/>
        </w:rPr>
        <w:t xml:space="preserve"> </w:t>
      </w:r>
      <w:proofErr w:type="spellStart"/>
      <w:r w:rsidRPr="0077490E">
        <w:rPr>
          <w:lang w:val="en-GB"/>
        </w:rPr>
        <w:t>M</w:t>
      </w:r>
      <w:r w:rsidR="00183568" w:rsidRPr="0077490E">
        <w:rPr>
          <w:lang w:val="en-GB"/>
        </w:rPr>
        <w:t>ó</w:t>
      </w:r>
      <w:r w:rsidRPr="0077490E">
        <w:rPr>
          <w:lang w:val="en-GB"/>
        </w:rPr>
        <w:t>vil</w:t>
      </w:r>
      <w:proofErr w:type="spellEnd"/>
      <w:r w:rsidRPr="0077490E">
        <w:rPr>
          <w:lang w:val="en-GB"/>
        </w:rPr>
        <w:t xml:space="preserve">, </w:t>
      </w:r>
      <w:r w:rsidR="00183568" w:rsidRPr="0077490E">
        <w:rPr>
          <w:lang w:val="en-GB"/>
        </w:rPr>
        <w:t xml:space="preserve">was </w:t>
      </w:r>
      <w:r w:rsidRPr="0077490E">
        <w:rPr>
          <w:lang w:val="en-GB"/>
        </w:rPr>
        <w:t xml:space="preserve">announced in August but withdrawn in October. </w:t>
      </w:r>
    </w:p>
    <w:p w14:paraId="70620495" w14:textId="0028A095" w:rsidR="00F11C91" w:rsidRPr="0077490E" w:rsidRDefault="00183568" w:rsidP="00F11C91">
      <w:pPr>
        <w:pStyle w:val="BodyTextMain"/>
        <w:rPr>
          <w:lang w:val="en-GB"/>
        </w:rPr>
      </w:pPr>
      <w:r w:rsidRPr="0077490E">
        <w:rPr>
          <w:lang w:val="en-GB"/>
        </w:rPr>
        <w:lastRenderedPageBreak/>
        <w:t xml:space="preserve">KPN had enjoyed several decades of new demand generation thanks </w:t>
      </w:r>
      <w:r w:rsidR="00F11C91" w:rsidRPr="0077490E">
        <w:rPr>
          <w:lang w:val="en-GB"/>
        </w:rPr>
        <w:t xml:space="preserve">to the rapid introduction of new technologies </w:t>
      </w:r>
      <w:r w:rsidRPr="0077490E">
        <w:rPr>
          <w:lang w:val="en-GB"/>
        </w:rPr>
        <w:t>such as</w:t>
      </w:r>
      <w:r w:rsidR="00F11C91" w:rsidRPr="0077490E">
        <w:rPr>
          <w:lang w:val="en-GB"/>
        </w:rPr>
        <w:t xml:space="preserve"> </w:t>
      </w:r>
      <w:r w:rsidRPr="0077490E">
        <w:rPr>
          <w:lang w:val="en-GB"/>
        </w:rPr>
        <w:t>integrated services digital networks (</w:t>
      </w:r>
      <w:r w:rsidR="00F11C91" w:rsidRPr="0077490E">
        <w:rPr>
          <w:lang w:val="en-GB"/>
        </w:rPr>
        <w:t>ISDN</w:t>
      </w:r>
      <w:r w:rsidRPr="0077490E">
        <w:rPr>
          <w:lang w:val="en-GB"/>
        </w:rPr>
        <w:t>)</w:t>
      </w:r>
      <w:r w:rsidR="00F11C91" w:rsidRPr="0077490E">
        <w:rPr>
          <w:lang w:val="en-GB"/>
        </w:rPr>
        <w:t xml:space="preserve">, </w:t>
      </w:r>
      <w:r w:rsidRPr="0077490E">
        <w:rPr>
          <w:lang w:val="en-GB"/>
        </w:rPr>
        <w:t>digital subscriber lines (</w:t>
      </w:r>
      <w:r w:rsidR="00F11C91" w:rsidRPr="0077490E">
        <w:rPr>
          <w:lang w:val="en-GB"/>
        </w:rPr>
        <w:t>DSL</w:t>
      </w:r>
      <w:r w:rsidRPr="0077490E">
        <w:rPr>
          <w:lang w:val="en-GB"/>
        </w:rPr>
        <w:t>)</w:t>
      </w:r>
      <w:r w:rsidR="00F11C91" w:rsidRPr="0077490E">
        <w:rPr>
          <w:lang w:val="en-GB"/>
        </w:rPr>
        <w:t>, Internet, fibre, TV</w:t>
      </w:r>
      <w:r w:rsidRPr="0077490E">
        <w:rPr>
          <w:lang w:val="en-GB"/>
        </w:rPr>
        <w:t>,</w:t>
      </w:r>
      <w:r w:rsidR="00F11C91" w:rsidRPr="0077490E">
        <w:rPr>
          <w:lang w:val="en-GB"/>
        </w:rPr>
        <w:t xml:space="preserve"> and mobile. However, in bringing new products to the market quickly, </w:t>
      </w:r>
      <w:r w:rsidRPr="0077490E">
        <w:rPr>
          <w:lang w:val="en-GB"/>
        </w:rPr>
        <w:t>the company had not had</w:t>
      </w:r>
      <w:r w:rsidR="00F11C91" w:rsidRPr="0077490E">
        <w:rPr>
          <w:lang w:val="en-GB"/>
        </w:rPr>
        <w:t xml:space="preserve"> time to rework </w:t>
      </w:r>
      <w:r w:rsidRPr="0077490E">
        <w:rPr>
          <w:lang w:val="en-GB"/>
        </w:rPr>
        <w:t xml:space="preserve">its </w:t>
      </w:r>
      <w:r w:rsidR="00F11C91" w:rsidRPr="0077490E">
        <w:rPr>
          <w:lang w:val="en-GB"/>
        </w:rPr>
        <w:t xml:space="preserve">legacy systems. With each new product, </w:t>
      </w:r>
      <w:r w:rsidRPr="0077490E">
        <w:rPr>
          <w:lang w:val="en-GB"/>
        </w:rPr>
        <w:t xml:space="preserve">it added </w:t>
      </w:r>
      <w:r w:rsidR="00F11C91" w:rsidRPr="0077490E">
        <w:rPr>
          <w:lang w:val="en-GB"/>
        </w:rPr>
        <w:t xml:space="preserve">a new product silo </w:t>
      </w:r>
      <w:r w:rsidRPr="0077490E">
        <w:rPr>
          <w:lang w:val="en-GB"/>
        </w:rPr>
        <w:t>that used</w:t>
      </w:r>
      <w:r w:rsidR="00F11C91" w:rsidRPr="0077490E">
        <w:rPr>
          <w:lang w:val="en-GB"/>
        </w:rPr>
        <w:t xml:space="preserve"> separate processes and IT systems (see Exhibit 2</w:t>
      </w:r>
      <w:r w:rsidRPr="0077490E">
        <w:rPr>
          <w:lang w:val="en-GB"/>
        </w:rPr>
        <w:t>), and t</w:t>
      </w:r>
      <w:r w:rsidR="00F11C91" w:rsidRPr="0077490E">
        <w:rPr>
          <w:lang w:val="en-GB"/>
        </w:rPr>
        <w:t>his complexity was hurting KPN’s customer engagement. This was also the case for KPN’s consumer flagship</w:t>
      </w:r>
      <w:r w:rsidRPr="0077490E">
        <w:rPr>
          <w:lang w:val="en-GB"/>
        </w:rPr>
        <w:t>,</w:t>
      </w:r>
      <w:r w:rsidR="00F11C91" w:rsidRPr="0077490E">
        <w:rPr>
          <w:lang w:val="en-GB"/>
        </w:rPr>
        <w:t xml:space="preserve"> </w:t>
      </w:r>
      <w:proofErr w:type="spellStart"/>
      <w:r w:rsidR="00F11C91" w:rsidRPr="0077490E">
        <w:rPr>
          <w:lang w:val="en-GB"/>
        </w:rPr>
        <w:t>Compleet</w:t>
      </w:r>
      <w:proofErr w:type="spellEnd"/>
      <w:r w:rsidR="00F11C91" w:rsidRPr="0077490E">
        <w:rPr>
          <w:lang w:val="en-GB"/>
        </w:rPr>
        <w:t xml:space="preserve">, an attractive quad-play bundle </w:t>
      </w:r>
      <w:r w:rsidRPr="0077490E">
        <w:rPr>
          <w:lang w:val="en-GB"/>
        </w:rPr>
        <w:t xml:space="preserve">that combined </w:t>
      </w:r>
      <w:r w:rsidR="00F11C91" w:rsidRPr="0077490E">
        <w:rPr>
          <w:lang w:val="en-GB"/>
        </w:rPr>
        <w:t xml:space="preserve">TV, Internet, </w:t>
      </w:r>
      <w:proofErr w:type="gramStart"/>
      <w:r w:rsidR="00F11C91" w:rsidRPr="0077490E">
        <w:rPr>
          <w:lang w:val="en-GB"/>
        </w:rPr>
        <w:t>mobile</w:t>
      </w:r>
      <w:r w:rsidRPr="0077490E">
        <w:rPr>
          <w:lang w:val="en-GB"/>
        </w:rPr>
        <w:t>,</w:t>
      </w:r>
      <w:proofErr w:type="gramEnd"/>
      <w:r w:rsidR="00F11C91" w:rsidRPr="0077490E">
        <w:rPr>
          <w:lang w:val="en-GB"/>
        </w:rPr>
        <w:t xml:space="preserve"> and fixed telephony</w:t>
      </w:r>
      <w:r w:rsidRPr="0077490E">
        <w:rPr>
          <w:lang w:val="en-GB"/>
        </w:rPr>
        <w:t xml:space="preserve"> services</w:t>
      </w:r>
      <w:r w:rsidR="00F11C91" w:rsidRPr="0077490E">
        <w:rPr>
          <w:lang w:val="en-GB"/>
        </w:rPr>
        <w:t xml:space="preserve">. Customer service agents in KPN shops and call centres were complaining that it took about </w:t>
      </w:r>
      <w:r w:rsidRPr="0077490E">
        <w:rPr>
          <w:lang w:val="en-GB"/>
        </w:rPr>
        <w:t xml:space="preserve">30 </w:t>
      </w:r>
      <w:r w:rsidR="00F11C91" w:rsidRPr="0077490E">
        <w:rPr>
          <w:lang w:val="en-GB"/>
        </w:rPr>
        <w:t xml:space="preserve">minutes to process </w:t>
      </w:r>
      <w:r w:rsidRPr="0077490E">
        <w:rPr>
          <w:lang w:val="en-GB"/>
        </w:rPr>
        <w:t xml:space="preserve">each </w:t>
      </w:r>
      <w:r w:rsidR="00F11C91" w:rsidRPr="0077490E">
        <w:rPr>
          <w:lang w:val="en-GB"/>
        </w:rPr>
        <w:t xml:space="preserve">new order because of the need to enter separate orders for multiple products. More importantly, customers struggled to navigate the many product options and websites with separate log-ins and customer care applications. Due to a lack of consistency and integration, customers experienced a great deal of friction moving from one channel to another. </w:t>
      </w:r>
    </w:p>
    <w:p w14:paraId="7B56BE5D" w14:textId="77777777" w:rsidR="00F11C91" w:rsidRPr="0077490E" w:rsidRDefault="00F11C91" w:rsidP="00F11C91">
      <w:pPr>
        <w:pStyle w:val="BodyTextMain"/>
        <w:rPr>
          <w:lang w:val="en-GB"/>
        </w:rPr>
      </w:pPr>
    </w:p>
    <w:p w14:paraId="49D1E7E7" w14:textId="39F54667" w:rsidR="00F11C91" w:rsidRPr="0077490E" w:rsidRDefault="00F11C91" w:rsidP="00F11C91">
      <w:pPr>
        <w:pStyle w:val="BodyTextMain"/>
        <w:rPr>
          <w:spacing w:val="-4"/>
          <w:lang w:val="en-GB"/>
        </w:rPr>
      </w:pPr>
      <w:r w:rsidRPr="0077490E">
        <w:rPr>
          <w:spacing w:val="-4"/>
          <w:lang w:val="en-GB"/>
        </w:rPr>
        <w:t xml:space="preserve">In October 2013, </w:t>
      </w:r>
      <w:r w:rsidR="00183568" w:rsidRPr="0077490E">
        <w:rPr>
          <w:spacing w:val="-4"/>
          <w:lang w:val="en-GB"/>
        </w:rPr>
        <w:t xml:space="preserve">the company’s </w:t>
      </w:r>
      <w:r w:rsidRPr="0077490E">
        <w:rPr>
          <w:spacing w:val="-4"/>
          <w:lang w:val="en-GB"/>
        </w:rPr>
        <w:t>CEO</w:t>
      </w:r>
      <w:r w:rsidR="00183568" w:rsidRPr="0077490E">
        <w:rPr>
          <w:spacing w:val="-4"/>
          <w:lang w:val="en-GB"/>
        </w:rPr>
        <w:t>,</w:t>
      </w:r>
      <w:r w:rsidRPr="0077490E">
        <w:rPr>
          <w:spacing w:val="-4"/>
          <w:lang w:val="en-GB"/>
        </w:rPr>
        <w:t xml:space="preserve"> </w:t>
      </w:r>
      <w:proofErr w:type="spellStart"/>
      <w:r w:rsidRPr="0077490E">
        <w:rPr>
          <w:spacing w:val="-4"/>
          <w:lang w:val="en-GB"/>
        </w:rPr>
        <w:t>Eelco</w:t>
      </w:r>
      <w:proofErr w:type="spellEnd"/>
      <w:r w:rsidRPr="0077490E">
        <w:rPr>
          <w:spacing w:val="-4"/>
          <w:lang w:val="en-GB"/>
        </w:rPr>
        <w:t xml:space="preserve"> Blok</w:t>
      </w:r>
      <w:r w:rsidR="00183568" w:rsidRPr="0077490E">
        <w:rPr>
          <w:spacing w:val="-4"/>
          <w:lang w:val="en-GB"/>
        </w:rPr>
        <w:t>,</w:t>
      </w:r>
      <w:r w:rsidRPr="0077490E">
        <w:rPr>
          <w:spacing w:val="-4"/>
          <w:lang w:val="en-GB"/>
        </w:rPr>
        <w:t xml:space="preserve"> and </w:t>
      </w:r>
      <w:r w:rsidR="00787B5F">
        <w:rPr>
          <w:spacing w:val="-4"/>
          <w:lang w:val="en-GB"/>
        </w:rPr>
        <w:t xml:space="preserve">the </w:t>
      </w:r>
      <w:r w:rsidR="00183568" w:rsidRPr="0077490E">
        <w:rPr>
          <w:spacing w:val="-4"/>
          <w:lang w:val="en-GB"/>
        </w:rPr>
        <w:t xml:space="preserve">managing director for the Netherlands, </w:t>
      </w:r>
      <w:proofErr w:type="spellStart"/>
      <w:r w:rsidRPr="0077490E">
        <w:rPr>
          <w:spacing w:val="-4"/>
          <w:lang w:val="en-GB"/>
        </w:rPr>
        <w:t>Joost</w:t>
      </w:r>
      <w:proofErr w:type="spellEnd"/>
      <w:r w:rsidRPr="0077490E">
        <w:rPr>
          <w:spacing w:val="-4"/>
          <w:lang w:val="en-GB"/>
        </w:rPr>
        <w:t xml:space="preserve"> </w:t>
      </w:r>
      <w:proofErr w:type="spellStart"/>
      <w:r w:rsidRPr="0077490E">
        <w:rPr>
          <w:spacing w:val="-4"/>
          <w:lang w:val="en-GB"/>
        </w:rPr>
        <w:t>Farwerck</w:t>
      </w:r>
      <w:proofErr w:type="spellEnd"/>
      <w:r w:rsidRPr="0077490E">
        <w:rPr>
          <w:spacing w:val="-4"/>
          <w:lang w:val="en-GB"/>
        </w:rPr>
        <w:t xml:space="preserve">, called upon </w:t>
      </w:r>
      <w:proofErr w:type="spellStart"/>
      <w:r w:rsidRPr="0077490E">
        <w:rPr>
          <w:spacing w:val="-4"/>
          <w:lang w:val="en-GB"/>
        </w:rPr>
        <w:t>Hoving</w:t>
      </w:r>
      <w:proofErr w:type="spellEnd"/>
      <w:r w:rsidRPr="0077490E">
        <w:rPr>
          <w:spacing w:val="-4"/>
          <w:lang w:val="en-GB"/>
        </w:rPr>
        <w:t xml:space="preserve"> to play a leading role in addressing the problems: </w:t>
      </w:r>
    </w:p>
    <w:p w14:paraId="14BA54F9" w14:textId="77777777" w:rsidR="00F11C91" w:rsidRPr="0077490E" w:rsidRDefault="00F11C91" w:rsidP="00F11C91">
      <w:pPr>
        <w:pStyle w:val="BodyTextMain"/>
        <w:rPr>
          <w:spacing w:val="-4"/>
          <w:lang w:val="en-GB"/>
        </w:rPr>
      </w:pPr>
    </w:p>
    <w:p w14:paraId="4B5A95F2" w14:textId="77777777" w:rsidR="00F11C91" w:rsidRPr="0077490E" w:rsidRDefault="00F11C91" w:rsidP="00F11C91">
      <w:pPr>
        <w:pStyle w:val="BodyTextMain"/>
        <w:ind w:left="720"/>
        <w:rPr>
          <w:spacing w:val="-4"/>
          <w:lang w:val="en-GB"/>
        </w:rPr>
      </w:pPr>
      <w:r w:rsidRPr="00920CC0">
        <w:rPr>
          <w:lang w:val="en-GB"/>
        </w:rPr>
        <w:t xml:space="preserve">They asked me to take charge of the IT, squeeze money out, and fast. I had a nice job as Business Market Vice-President Products at the time, and central IT programs had a history of failure at KPN. So why would I take this job? There was an appetite for transformation in the company, but corporate IT </w:t>
      </w:r>
      <w:proofErr w:type="gramStart"/>
      <w:r w:rsidRPr="00920CC0">
        <w:rPr>
          <w:lang w:val="en-GB"/>
        </w:rPr>
        <w:t>was perceived</w:t>
      </w:r>
      <w:proofErr w:type="gramEnd"/>
      <w:r w:rsidRPr="00920CC0">
        <w:rPr>
          <w:lang w:val="en-GB"/>
        </w:rPr>
        <w:t xml:space="preserve"> as the collective enemy of the business. What I had in mind would require breaking down the power of the business units, which </w:t>
      </w:r>
      <w:proofErr w:type="gramStart"/>
      <w:r w:rsidRPr="00920CC0">
        <w:rPr>
          <w:lang w:val="en-GB"/>
        </w:rPr>
        <w:t>wouldn’t</w:t>
      </w:r>
      <w:proofErr w:type="gramEnd"/>
      <w:r w:rsidRPr="00920CC0">
        <w:rPr>
          <w:lang w:val="en-GB"/>
        </w:rPr>
        <w:t xml:space="preserve"> be easy. I was willing to help, but on one condition: I wanted to set things up for success, even though we were in a hurry</w:t>
      </w:r>
      <w:r w:rsidRPr="0077490E">
        <w:rPr>
          <w:spacing w:val="-4"/>
          <w:lang w:val="en-GB"/>
        </w:rPr>
        <w:t>.</w:t>
      </w:r>
    </w:p>
    <w:p w14:paraId="6D37354F" w14:textId="77777777" w:rsidR="00F11C91" w:rsidRPr="0077490E" w:rsidRDefault="00F11C91" w:rsidP="00F11C91">
      <w:pPr>
        <w:pStyle w:val="BodyTextMain"/>
        <w:rPr>
          <w:caps/>
          <w:spacing w:val="-4"/>
          <w:lang w:val="en-GB"/>
        </w:rPr>
      </w:pPr>
    </w:p>
    <w:p w14:paraId="7A051414" w14:textId="107E8B7B" w:rsidR="00F11C91" w:rsidRPr="00920CC0" w:rsidRDefault="00F11C91" w:rsidP="00F11C91">
      <w:pPr>
        <w:pStyle w:val="BodyTextMain"/>
        <w:rPr>
          <w:b/>
          <w:caps/>
          <w:spacing w:val="-2"/>
          <w:lang w:val="en-GB"/>
        </w:rPr>
      </w:pPr>
      <w:r w:rsidRPr="00920CC0">
        <w:rPr>
          <w:spacing w:val="-2"/>
          <w:lang w:val="en-GB"/>
        </w:rPr>
        <w:t xml:space="preserve">Blok, </w:t>
      </w:r>
      <w:proofErr w:type="spellStart"/>
      <w:r w:rsidRPr="00920CC0">
        <w:rPr>
          <w:spacing w:val="-2"/>
          <w:lang w:val="en-GB"/>
        </w:rPr>
        <w:t>Farwerck</w:t>
      </w:r>
      <w:proofErr w:type="spellEnd"/>
      <w:r w:rsidR="00183568" w:rsidRPr="00920CC0">
        <w:rPr>
          <w:spacing w:val="-2"/>
          <w:lang w:val="en-GB"/>
        </w:rPr>
        <w:t>,</w:t>
      </w:r>
      <w:r w:rsidRPr="00920CC0">
        <w:rPr>
          <w:spacing w:val="-2"/>
          <w:lang w:val="en-GB"/>
        </w:rPr>
        <w:t xml:space="preserve"> and </w:t>
      </w:r>
      <w:proofErr w:type="spellStart"/>
      <w:r w:rsidRPr="00920CC0">
        <w:rPr>
          <w:spacing w:val="-2"/>
          <w:lang w:val="en-GB"/>
        </w:rPr>
        <w:t>Hoving</w:t>
      </w:r>
      <w:proofErr w:type="spellEnd"/>
      <w:r w:rsidRPr="00920CC0">
        <w:rPr>
          <w:spacing w:val="-2"/>
          <w:lang w:val="en-GB"/>
        </w:rPr>
        <w:t xml:space="preserve"> agreed to give themselves three years to find several hundred million euros of cost reductions, inject new energy into the company</w:t>
      </w:r>
      <w:r w:rsidR="00183568" w:rsidRPr="00920CC0">
        <w:rPr>
          <w:spacing w:val="-2"/>
          <w:lang w:val="en-GB"/>
        </w:rPr>
        <w:t>,</w:t>
      </w:r>
      <w:r w:rsidRPr="00920CC0">
        <w:rPr>
          <w:spacing w:val="-2"/>
          <w:lang w:val="en-GB"/>
        </w:rPr>
        <w:t xml:space="preserve"> and look for new growth potential. </w:t>
      </w:r>
      <w:r w:rsidR="00183568" w:rsidRPr="00920CC0">
        <w:rPr>
          <w:spacing w:val="-2"/>
          <w:lang w:val="en-GB"/>
        </w:rPr>
        <w:t>They organized v</w:t>
      </w:r>
      <w:r w:rsidRPr="00920CC0">
        <w:rPr>
          <w:spacing w:val="-2"/>
          <w:lang w:val="en-GB"/>
        </w:rPr>
        <w:t xml:space="preserve">isits to other </w:t>
      </w:r>
      <w:proofErr w:type="spellStart"/>
      <w:r w:rsidRPr="00920CC0">
        <w:rPr>
          <w:spacing w:val="-2"/>
          <w:lang w:val="en-GB"/>
        </w:rPr>
        <w:t>telcos</w:t>
      </w:r>
      <w:proofErr w:type="spellEnd"/>
      <w:r w:rsidRPr="00920CC0">
        <w:rPr>
          <w:spacing w:val="-2"/>
          <w:lang w:val="en-GB"/>
        </w:rPr>
        <w:t xml:space="preserve"> in Europe to see what </w:t>
      </w:r>
      <w:r w:rsidR="00183568" w:rsidRPr="00920CC0">
        <w:rPr>
          <w:spacing w:val="-2"/>
          <w:lang w:val="en-GB"/>
        </w:rPr>
        <w:t xml:space="preserve">their </w:t>
      </w:r>
      <w:r w:rsidRPr="00920CC0">
        <w:rPr>
          <w:spacing w:val="-2"/>
          <w:lang w:val="en-GB"/>
        </w:rPr>
        <w:t xml:space="preserve">peers were doing. By the end of the year, </w:t>
      </w:r>
      <w:r w:rsidR="00183568" w:rsidRPr="00920CC0">
        <w:rPr>
          <w:spacing w:val="-2"/>
          <w:lang w:val="en-GB"/>
        </w:rPr>
        <w:t>KPN’s b</w:t>
      </w:r>
      <w:r w:rsidRPr="00920CC0">
        <w:rPr>
          <w:spacing w:val="-2"/>
          <w:lang w:val="en-GB"/>
        </w:rPr>
        <w:t xml:space="preserve">oard </w:t>
      </w:r>
      <w:r w:rsidR="007A223A" w:rsidRPr="00920CC0">
        <w:rPr>
          <w:spacing w:val="-2"/>
          <w:lang w:val="en-GB"/>
        </w:rPr>
        <w:t xml:space="preserve"> of management and exec</w:t>
      </w:r>
      <w:r w:rsidR="000A1720" w:rsidRPr="00920CC0">
        <w:rPr>
          <w:spacing w:val="-2"/>
          <w:lang w:val="en-GB"/>
        </w:rPr>
        <w:t>u</w:t>
      </w:r>
      <w:r w:rsidR="007A223A" w:rsidRPr="00920CC0">
        <w:rPr>
          <w:spacing w:val="-2"/>
          <w:lang w:val="en-GB"/>
        </w:rPr>
        <w:t xml:space="preserve">tive committee </w:t>
      </w:r>
      <w:r w:rsidRPr="00920CC0">
        <w:rPr>
          <w:spacing w:val="-2"/>
          <w:lang w:val="en-GB"/>
        </w:rPr>
        <w:t xml:space="preserve">had signed off on </w:t>
      </w:r>
      <w:r w:rsidR="00183568" w:rsidRPr="00920CC0">
        <w:rPr>
          <w:spacing w:val="-2"/>
          <w:lang w:val="en-GB"/>
        </w:rPr>
        <w:t xml:space="preserve">an aggressive digital transformation program, </w:t>
      </w:r>
      <w:r w:rsidRPr="00920CC0">
        <w:rPr>
          <w:spacing w:val="-2"/>
          <w:lang w:val="en-GB"/>
        </w:rPr>
        <w:t xml:space="preserve">Simplification and Innovation (S&amp;I), </w:t>
      </w:r>
      <w:r w:rsidR="00D23FD3" w:rsidRPr="00920CC0">
        <w:rPr>
          <w:spacing w:val="-2"/>
          <w:lang w:val="en-GB"/>
        </w:rPr>
        <w:t>which</w:t>
      </w:r>
      <w:r w:rsidRPr="00920CC0">
        <w:rPr>
          <w:spacing w:val="-2"/>
          <w:lang w:val="en-GB"/>
        </w:rPr>
        <w:t xml:space="preserve"> would drastically reduce and simplify the </w:t>
      </w:r>
      <w:r w:rsidR="00183568" w:rsidRPr="00920CC0">
        <w:rPr>
          <w:spacing w:val="-2"/>
          <w:lang w:val="en-GB"/>
        </w:rPr>
        <w:t xml:space="preserve">company’s </w:t>
      </w:r>
      <w:r w:rsidRPr="00920CC0">
        <w:rPr>
          <w:spacing w:val="-2"/>
          <w:lang w:val="en-GB"/>
        </w:rPr>
        <w:t xml:space="preserve">product portfolio, fundamentally rationalize and standardize </w:t>
      </w:r>
      <w:r w:rsidR="00183568" w:rsidRPr="00920CC0">
        <w:rPr>
          <w:spacing w:val="-2"/>
          <w:lang w:val="en-GB"/>
        </w:rPr>
        <w:t xml:space="preserve">its </w:t>
      </w:r>
      <w:r w:rsidRPr="00920CC0">
        <w:rPr>
          <w:spacing w:val="-2"/>
          <w:lang w:val="en-GB"/>
        </w:rPr>
        <w:t xml:space="preserve">business processes and IT systems, and </w:t>
      </w:r>
      <w:r w:rsidR="00183568" w:rsidRPr="00920CC0">
        <w:rPr>
          <w:spacing w:val="-2"/>
          <w:lang w:val="en-GB"/>
        </w:rPr>
        <w:t xml:space="preserve">introduce a </w:t>
      </w:r>
      <w:r w:rsidRPr="00920CC0">
        <w:rPr>
          <w:spacing w:val="-2"/>
          <w:lang w:val="en-GB"/>
        </w:rPr>
        <w:t xml:space="preserve">radical focus on customer value creation. All other change programs inside the company </w:t>
      </w:r>
      <w:proofErr w:type="gramStart"/>
      <w:r w:rsidRPr="00920CC0">
        <w:rPr>
          <w:spacing w:val="-2"/>
          <w:lang w:val="en-GB"/>
        </w:rPr>
        <w:t>were centralized</w:t>
      </w:r>
      <w:proofErr w:type="gramEnd"/>
      <w:r w:rsidRPr="00920CC0">
        <w:rPr>
          <w:spacing w:val="-2"/>
          <w:lang w:val="en-GB"/>
        </w:rPr>
        <w:t xml:space="preserve"> to ensure </w:t>
      </w:r>
      <w:r w:rsidR="00183568" w:rsidRPr="00920CC0">
        <w:rPr>
          <w:spacing w:val="-2"/>
          <w:lang w:val="en-GB"/>
        </w:rPr>
        <w:t xml:space="preserve">that </w:t>
      </w:r>
      <w:r w:rsidRPr="00920CC0">
        <w:rPr>
          <w:spacing w:val="-2"/>
          <w:lang w:val="en-GB"/>
        </w:rPr>
        <w:t xml:space="preserve">they were well aligned and focused on the primary transformational objectives. </w:t>
      </w:r>
    </w:p>
    <w:p w14:paraId="2FE03130" w14:textId="77777777" w:rsidR="00F11C91" w:rsidRPr="0077490E" w:rsidRDefault="00F11C91" w:rsidP="00F11C91">
      <w:pPr>
        <w:pStyle w:val="BodyTextMain"/>
        <w:rPr>
          <w:caps/>
          <w:spacing w:val="-4"/>
          <w:lang w:val="en-GB"/>
        </w:rPr>
      </w:pPr>
    </w:p>
    <w:p w14:paraId="46CBC3E5" w14:textId="77777777" w:rsidR="00F11C91" w:rsidRPr="0077490E" w:rsidRDefault="00F11C91" w:rsidP="00F11C91">
      <w:pPr>
        <w:pStyle w:val="BodyTextMain"/>
        <w:rPr>
          <w:caps/>
          <w:lang w:val="en-GB"/>
        </w:rPr>
      </w:pPr>
    </w:p>
    <w:p w14:paraId="122710A5" w14:textId="77777777" w:rsidR="00F11C91" w:rsidRPr="00920CC0" w:rsidRDefault="00F11C91" w:rsidP="00F11C91">
      <w:pPr>
        <w:pStyle w:val="BodyTextMain"/>
        <w:rPr>
          <w:rFonts w:ascii="Arial" w:hAnsi="Arial" w:cs="Arial"/>
          <w:b/>
          <w:caps/>
          <w:sz w:val="20"/>
          <w:szCs w:val="20"/>
          <w:lang w:val="en-GB"/>
        </w:rPr>
      </w:pPr>
      <w:r w:rsidRPr="00920CC0">
        <w:rPr>
          <w:rFonts w:ascii="Arial" w:hAnsi="Arial" w:cs="Arial"/>
          <w:b/>
          <w:caps/>
          <w:sz w:val="20"/>
          <w:szCs w:val="20"/>
          <w:lang w:val="en-GB"/>
        </w:rPr>
        <w:t xml:space="preserve">a </w:t>
      </w:r>
      <w:r w:rsidRPr="00920CC0">
        <w:rPr>
          <w:rStyle w:val="Casehead1Char"/>
          <w:lang w:val="en-GB"/>
        </w:rPr>
        <w:t>simplified operating model</w:t>
      </w:r>
    </w:p>
    <w:p w14:paraId="7FB6455B" w14:textId="77777777" w:rsidR="00F11C91" w:rsidRPr="00920CC0" w:rsidRDefault="00F11C91" w:rsidP="00F11C91">
      <w:pPr>
        <w:pStyle w:val="BodyTextMain"/>
        <w:rPr>
          <w:lang w:val="en-GB"/>
        </w:rPr>
      </w:pPr>
    </w:p>
    <w:p w14:paraId="0E8FB5D6" w14:textId="574F9028" w:rsidR="00F11C91" w:rsidRPr="00920CC0" w:rsidRDefault="00D23FD3" w:rsidP="00F11C91">
      <w:pPr>
        <w:pStyle w:val="BodyTextMain"/>
        <w:rPr>
          <w:b/>
          <w:caps/>
          <w:lang w:val="en-GB"/>
        </w:rPr>
      </w:pPr>
      <w:r w:rsidRPr="00920CC0">
        <w:rPr>
          <w:lang w:val="en-GB"/>
        </w:rPr>
        <w:t xml:space="preserve">KPN communicated the </w:t>
      </w:r>
      <w:r w:rsidR="00F11C91" w:rsidRPr="00920CC0">
        <w:rPr>
          <w:lang w:val="en-GB"/>
        </w:rPr>
        <w:t xml:space="preserve">ambition of the transformation to all stakeholders to become the best service provider in the Netherlands, with </w:t>
      </w:r>
      <w:proofErr w:type="gramStart"/>
      <w:r w:rsidR="00F11C91" w:rsidRPr="00920CC0">
        <w:rPr>
          <w:lang w:val="en-GB"/>
        </w:rPr>
        <w:t>an</w:t>
      </w:r>
      <w:proofErr w:type="gramEnd"/>
      <w:r w:rsidR="00F11C91" w:rsidRPr="00920CC0">
        <w:rPr>
          <w:lang w:val="en-GB"/>
        </w:rPr>
        <w:t xml:space="preserve"> un-telco-like high net promoter score (NPS</w:t>
      </w:r>
      <w:r w:rsidRPr="00920CC0">
        <w:rPr>
          <w:lang w:val="en-GB"/>
        </w:rPr>
        <w:t>).</w:t>
      </w:r>
      <w:r w:rsidR="00F11C91" w:rsidRPr="00920CC0">
        <w:rPr>
          <w:rStyle w:val="FootnoteReference"/>
          <w:lang w:val="en-GB"/>
        </w:rPr>
        <w:footnoteReference w:id="5"/>
      </w:r>
      <w:r w:rsidR="00F11C91" w:rsidRPr="00920CC0">
        <w:rPr>
          <w:lang w:val="en-GB"/>
        </w:rPr>
        <w:t xml:space="preserve"> </w:t>
      </w:r>
      <w:r w:rsidRPr="00920CC0">
        <w:rPr>
          <w:lang w:val="en-GB"/>
        </w:rPr>
        <w:t>T</w:t>
      </w:r>
      <w:r w:rsidR="00F11C91" w:rsidRPr="00920CC0">
        <w:rPr>
          <w:lang w:val="en-GB"/>
        </w:rPr>
        <w:t>he pillars of the transformation strategy</w:t>
      </w:r>
      <w:r w:rsidR="00C74BB5" w:rsidRPr="00920CC0">
        <w:rPr>
          <w:lang w:val="en-GB"/>
        </w:rPr>
        <w:t xml:space="preserve"> were</w:t>
      </w:r>
      <w:r w:rsidR="002212CC" w:rsidRPr="00920CC0">
        <w:rPr>
          <w:lang w:val="en-GB"/>
        </w:rPr>
        <w:t xml:space="preserve"> </w:t>
      </w:r>
      <w:r w:rsidR="00C74BB5" w:rsidRPr="00920CC0">
        <w:rPr>
          <w:lang w:val="en-GB"/>
        </w:rPr>
        <w:t>(1) to strengthen customer relationships, network, and IT, (2) to simplify products, processes, and systems, and (3) to grow customer loyalty.</w:t>
      </w:r>
      <w:r w:rsidR="00F11C91" w:rsidRPr="00920CC0">
        <w:rPr>
          <w:lang w:val="en-GB"/>
        </w:rPr>
        <w:t xml:space="preserve"> In February 2014, KPN announced a target of at least €300 million in run-rate </w:t>
      </w:r>
      <w:r w:rsidR="002212CC" w:rsidRPr="00920CC0">
        <w:rPr>
          <w:lang w:val="en-GB"/>
        </w:rPr>
        <w:t>operating expenditure (</w:t>
      </w:r>
      <w:proofErr w:type="spellStart"/>
      <w:r w:rsidR="00F11C91" w:rsidRPr="00920CC0">
        <w:rPr>
          <w:lang w:val="en-GB"/>
        </w:rPr>
        <w:t>opex</w:t>
      </w:r>
      <w:proofErr w:type="spellEnd"/>
      <w:r w:rsidR="002212CC" w:rsidRPr="00920CC0">
        <w:rPr>
          <w:lang w:val="en-GB"/>
        </w:rPr>
        <w:t>)</w:t>
      </w:r>
      <w:r w:rsidR="00F11C91" w:rsidRPr="00920CC0">
        <w:rPr>
          <w:lang w:val="en-GB"/>
        </w:rPr>
        <w:t xml:space="preserve"> and </w:t>
      </w:r>
      <w:r w:rsidR="002212CC" w:rsidRPr="00920CC0">
        <w:rPr>
          <w:lang w:val="en-GB"/>
        </w:rPr>
        <w:t>capital expenditure (</w:t>
      </w:r>
      <w:r w:rsidR="00F11C91" w:rsidRPr="00920CC0">
        <w:rPr>
          <w:lang w:val="en-GB"/>
        </w:rPr>
        <w:t>capex</w:t>
      </w:r>
      <w:r w:rsidR="002212CC" w:rsidRPr="00920CC0">
        <w:rPr>
          <w:lang w:val="en-GB"/>
        </w:rPr>
        <w:t>)</w:t>
      </w:r>
      <w:r w:rsidR="00F11C91" w:rsidRPr="00920CC0">
        <w:rPr>
          <w:lang w:val="en-GB"/>
        </w:rPr>
        <w:t xml:space="preserve"> savings within three years. The combined NPS for KPN brands in the Netherlands</w:t>
      </w:r>
      <w:r w:rsidR="002212CC" w:rsidRPr="00920CC0">
        <w:rPr>
          <w:lang w:val="en-GB"/>
        </w:rPr>
        <w:t xml:space="preserve">, which had been −6 in consumer, −18 in business, and −10 overall in 2013 (see Exhibit 3), </w:t>
      </w:r>
      <w:r w:rsidR="00F11C91" w:rsidRPr="00920CC0">
        <w:rPr>
          <w:lang w:val="en-GB"/>
        </w:rPr>
        <w:t xml:space="preserve">was expected to turn positive by the end of 2015. The </w:t>
      </w:r>
      <w:r w:rsidR="002212CC" w:rsidRPr="00920CC0">
        <w:rPr>
          <w:lang w:val="en-GB"/>
        </w:rPr>
        <w:t xml:space="preserve">transformation </w:t>
      </w:r>
      <w:r w:rsidR="00F11C91" w:rsidRPr="00920CC0">
        <w:rPr>
          <w:lang w:val="en-GB"/>
        </w:rPr>
        <w:t xml:space="preserve">roadmap </w:t>
      </w:r>
      <w:proofErr w:type="gramStart"/>
      <w:r w:rsidR="00F11C91" w:rsidRPr="00920CC0">
        <w:rPr>
          <w:lang w:val="en-GB"/>
        </w:rPr>
        <w:t>would be based</w:t>
      </w:r>
      <w:proofErr w:type="gramEnd"/>
      <w:r w:rsidR="00F11C91" w:rsidRPr="00920CC0">
        <w:rPr>
          <w:lang w:val="en-GB"/>
        </w:rPr>
        <w:t xml:space="preserve"> on quarterly results</w:t>
      </w:r>
      <w:r w:rsidR="002212CC" w:rsidRPr="00920CC0">
        <w:rPr>
          <w:lang w:val="en-GB"/>
        </w:rPr>
        <w:t>; this meant that,</w:t>
      </w:r>
      <w:r w:rsidR="00F11C91" w:rsidRPr="00920CC0">
        <w:rPr>
          <w:lang w:val="en-GB"/>
        </w:rPr>
        <w:t xml:space="preserve"> from the start</w:t>
      </w:r>
      <w:r w:rsidR="002212CC" w:rsidRPr="00920CC0">
        <w:rPr>
          <w:lang w:val="en-GB"/>
        </w:rPr>
        <w:t>,</w:t>
      </w:r>
      <w:r w:rsidR="00F11C91" w:rsidRPr="00920CC0">
        <w:rPr>
          <w:lang w:val="en-GB"/>
        </w:rPr>
        <w:t xml:space="preserve"> the transformation team </w:t>
      </w:r>
      <w:r w:rsidR="002212CC" w:rsidRPr="00920CC0">
        <w:rPr>
          <w:lang w:val="en-GB"/>
        </w:rPr>
        <w:t xml:space="preserve">would be able to </w:t>
      </w:r>
      <w:r w:rsidR="00F11C91" w:rsidRPr="00920CC0">
        <w:rPr>
          <w:lang w:val="en-GB"/>
        </w:rPr>
        <w:t xml:space="preserve">prove to customers and the organization that </w:t>
      </w:r>
      <w:r w:rsidR="002212CC" w:rsidRPr="00920CC0">
        <w:rPr>
          <w:lang w:val="en-GB"/>
        </w:rPr>
        <w:t>it was</w:t>
      </w:r>
      <w:r w:rsidR="00F11C91" w:rsidRPr="00920CC0">
        <w:rPr>
          <w:lang w:val="en-GB"/>
        </w:rPr>
        <w:t xml:space="preserve"> on track. </w:t>
      </w:r>
    </w:p>
    <w:p w14:paraId="3A3F9D4C" w14:textId="77777777" w:rsidR="00F11C91" w:rsidRPr="00920CC0" w:rsidRDefault="00F11C91" w:rsidP="00F11C91">
      <w:pPr>
        <w:pStyle w:val="BodyTextMain"/>
        <w:rPr>
          <w:lang w:val="en-GB"/>
        </w:rPr>
      </w:pPr>
    </w:p>
    <w:p w14:paraId="35823C2F" w14:textId="6E6C9C95" w:rsidR="00F11C91" w:rsidRPr="00FD44EB" w:rsidRDefault="00F11C91" w:rsidP="00F11C91">
      <w:pPr>
        <w:pStyle w:val="BodyTextMain"/>
        <w:rPr>
          <w:b/>
          <w:caps/>
          <w:spacing w:val="-2"/>
          <w:lang w:val="en-GB"/>
        </w:rPr>
      </w:pPr>
      <w:r w:rsidRPr="00920CC0">
        <w:rPr>
          <w:lang w:val="en-GB"/>
        </w:rPr>
        <w:lastRenderedPageBreak/>
        <w:t xml:space="preserve">Over the </w:t>
      </w:r>
      <w:r w:rsidR="002212CC" w:rsidRPr="00920CC0">
        <w:rPr>
          <w:lang w:val="en-GB"/>
        </w:rPr>
        <w:t xml:space="preserve">coming </w:t>
      </w:r>
      <w:r w:rsidRPr="00920CC0">
        <w:rPr>
          <w:lang w:val="en-GB"/>
        </w:rPr>
        <w:t xml:space="preserve">years, KPN transformed </w:t>
      </w:r>
      <w:r w:rsidR="002212CC" w:rsidRPr="00920CC0">
        <w:rPr>
          <w:lang w:val="en-GB"/>
        </w:rPr>
        <w:t xml:space="preserve">itself </w:t>
      </w:r>
      <w:r w:rsidRPr="00920CC0">
        <w:rPr>
          <w:lang w:val="en-GB"/>
        </w:rPr>
        <w:t xml:space="preserve">from a product-oriented </w:t>
      </w:r>
      <w:r w:rsidR="002212CC" w:rsidRPr="00920CC0">
        <w:rPr>
          <w:lang w:val="en-GB"/>
        </w:rPr>
        <w:t>company in</w:t>
      </w:r>
      <w:r w:rsidRPr="00920CC0">
        <w:rPr>
          <w:lang w:val="en-GB"/>
        </w:rPr>
        <w:t xml:space="preserve">to a customer-centric, digital organization. The vision of the desired results </w:t>
      </w:r>
      <w:proofErr w:type="gramStart"/>
      <w:r w:rsidRPr="00920CC0">
        <w:rPr>
          <w:lang w:val="en-GB"/>
        </w:rPr>
        <w:t>was captured</w:t>
      </w:r>
      <w:proofErr w:type="gramEnd"/>
      <w:r w:rsidRPr="00920CC0">
        <w:rPr>
          <w:lang w:val="en-GB"/>
        </w:rPr>
        <w:t xml:space="preserve"> in a new, </w:t>
      </w:r>
      <w:r w:rsidR="002212CC" w:rsidRPr="00920CC0">
        <w:rPr>
          <w:lang w:val="en-GB"/>
        </w:rPr>
        <w:t>simplified-</w:t>
      </w:r>
      <w:r w:rsidRPr="00920CC0">
        <w:rPr>
          <w:lang w:val="en-GB"/>
        </w:rPr>
        <w:t>target operating model, a big-picture description of key relationships between customer engagements, business and operating processes</w:t>
      </w:r>
      <w:r w:rsidR="002212CC" w:rsidRPr="00920CC0">
        <w:rPr>
          <w:lang w:val="en-GB"/>
        </w:rPr>
        <w:t>,</w:t>
      </w:r>
      <w:r w:rsidRPr="00920CC0">
        <w:rPr>
          <w:lang w:val="en-GB"/>
        </w:rPr>
        <w:t xml:space="preserve"> and systems that were required for KPN to fulfil its ambition (see Exhibit 4). Most notably, a virtual</w:t>
      </w:r>
      <w:r w:rsidRPr="00920CC0">
        <w:rPr>
          <w:spacing w:val="-2"/>
          <w:lang w:val="en-GB"/>
        </w:rPr>
        <w:t xml:space="preserve"> access layer of</w:t>
      </w:r>
      <w:r w:rsidRPr="0077490E">
        <w:rPr>
          <w:spacing w:val="-4"/>
          <w:lang w:val="en-GB"/>
        </w:rPr>
        <w:t xml:space="preserve"> </w:t>
      </w:r>
      <w:r w:rsidRPr="00FD44EB">
        <w:rPr>
          <w:spacing w:val="-2"/>
          <w:lang w:val="en-GB"/>
        </w:rPr>
        <w:t>application programming interfaces</w:t>
      </w:r>
      <w:r w:rsidR="002212CC" w:rsidRPr="00FD44EB">
        <w:rPr>
          <w:spacing w:val="-2"/>
          <w:lang w:val="en-GB"/>
        </w:rPr>
        <w:t xml:space="preserve"> (APIs)</w:t>
      </w:r>
      <w:r w:rsidRPr="00FD44EB">
        <w:rPr>
          <w:rStyle w:val="FootnoteReference"/>
          <w:spacing w:val="-2"/>
          <w:lang w:val="en-GB"/>
        </w:rPr>
        <w:footnoteReference w:id="6"/>
      </w:r>
      <w:r w:rsidRPr="00FD44EB">
        <w:rPr>
          <w:spacing w:val="-2"/>
          <w:lang w:val="en-GB"/>
        </w:rPr>
        <w:t xml:space="preserve"> </w:t>
      </w:r>
      <w:proofErr w:type="gramStart"/>
      <w:r w:rsidR="002212CC" w:rsidRPr="00FD44EB">
        <w:rPr>
          <w:spacing w:val="-2"/>
          <w:lang w:val="en-GB"/>
        </w:rPr>
        <w:t>was introduc</w:t>
      </w:r>
      <w:r w:rsidR="00784729" w:rsidRPr="00FD44EB">
        <w:rPr>
          <w:spacing w:val="-2"/>
          <w:lang w:val="en-GB"/>
        </w:rPr>
        <w:t>ed</w:t>
      </w:r>
      <w:proofErr w:type="gramEnd"/>
      <w:r w:rsidR="00784729" w:rsidRPr="00FD44EB">
        <w:rPr>
          <w:spacing w:val="-2"/>
          <w:lang w:val="en-GB"/>
        </w:rPr>
        <w:t>; this</w:t>
      </w:r>
      <w:r w:rsidRPr="00FD44EB">
        <w:rPr>
          <w:spacing w:val="-2"/>
          <w:lang w:val="en-GB"/>
        </w:rPr>
        <w:t xml:space="preserve"> would enable KPN to decouple the transformation of its back-end processes from the transformation of </w:t>
      </w:r>
      <w:r w:rsidR="00784729" w:rsidRPr="00FD44EB">
        <w:rPr>
          <w:spacing w:val="-2"/>
          <w:lang w:val="en-GB"/>
        </w:rPr>
        <w:t xml:space="preserve">its </w:t>
      </w:r>
      <w:r w:rsidRPr="00FD44EB">
        <w:rPr>
          <w:spacing w:val="-2"/>
          <w:lang w:val="en-GB"/>
        </w:rPr>
        <w:t xml:space="preserve">front-end customer engagement. This software layer allowed KPN to tackle both transformations in parallel but at different speeds. </w:t>
      </w:r>
      <w:proofErr w:type="spellStart"/>
      <w:r w:rsidRPr="00FD44EB">
        <w:rPr>
          <w:spacing w:val="-2"/>
          <w:lang w:val="en-GB"/>
        </w:rPr>
        <w:t>Hoving</w:t>
      </w:r>
      <w:proofErr w:type="spellEnd"/>
      <w:r w:rsidRPr="00FD44EB">
        <w:rPr>
          <w:spacing w:val="-2"/>
          <w:lang w:val="en-GB"/>
        </w:rPr>
        <w:t xml:space="preserve"> emphasized the importance of the new operating model for the transformation: </w:t>
      </w:r>
    </w:p>
    <w:p w14:paraId="604BAD2A" w14:textId="77777777" w:rsidR="00F11C91" w:rsidRPr="00FD44EB" w:rsidRDefault="00F11C91" w:rsidP="00F11C91">
      <w:pPr>
        <w:pStyle w:val="BodyTextMain"/>
        <w:rPr>
          <w:spacing w:val="-2"/>
          <w:lang w:val="en-GB"/>
        </w:rPr>
      </w:pPr>
    </w:p>
    <w:p w14:paraId="523F1925" w14:textId="1AE0A028" w:rsidR="00F11C91" w:rsidRPr="00FD44EB" w:rsidRDefault="00F11C91" w:rsidP="00F11C91">
      <w:pPr>
        <w:pStyle w:val="BodyTextMain"/>
        <w:ind w:left="720"/>
        <w:rPr>
          <w:b/>
          <w:caps/>
          <w:spacing w:val="-2"/>
          <w:lang w:val="en-GB"/>
        </w:rPr>
      </w:pPr>
      <w:r w:rsidRPr="00FD44EB">
        <w:rPr>
          <w:spacing w:val="-2"/>
          <w:lang w:val="en-GB"/>
        </w:rPr>
        <w:t xml:space="preserve">This simple picture represented our vision to become future-proof. By agreeing to that picture top-down, the </w:t>
      </w:r>
      <w:r w:rsidR="00784729" w:rsidRPr="00FD44EB">
        <w:rPr>
          <w:spacing w:val="-2"/>
          <w:lang w:val="en-GB"/>
        </w:rPr>
        <w:t>b</w:t>
      </w:r>
      <w:r w:rsidRPr="00FD44EB">
        <w:rPr>
          <w:spacing w:val="-2"/>
          <w:lang w:val="en-GB"/>
        </w:rPr>
        <w:t xml:space="preserve">oard gave us a full mandate to execute a fast, “no-compromise” transformation. It was a very bold choice. We needed to proceed quickly and did not have an all-encompassing plan for change, but we had this clear view of where we were heading. We always had great architects at KPN, but in the </w:t>
      </w:r>
      <w:r w:rsidR="00784729" w:rsidRPr="00FD44EB">
        <w:rPr>
          <w:spacing w:val="-2"/>
          <w:lang w:val="en-GB"/>
        </w:rPr>
        <w:t xml:space="preserve">past, </w:t>
      </w:r>
      <w:r w:rsidRPr="00FD44EB">
        <w:rPr>
          <w:spacing w:val="-2"/>
          <w:lang w:val="en-GB"/>
        </w:rPr>
        <w:t xml:space="preserve">we had not listened very carefully. By giving back the mental mandate, we created </w:t>
      </w:r>
      <w:proofErr w:type="gramStart"/>
      <w:r w:rsidRPr="00FD44EB">
        <w:rPr>
          <w:spacing w:val="-2"/>
          <w:lang w:val="en-GB"/>
        </w:rPr>
        <w:t>totally</w:t>
      </w:r>
      <w:proofErr w:type="gramEnd"/>
      <w:r w:rsidRPr="00FD44EB">
        <w:rPr>
          <w:spacing w:val="-2"/>
          <w:lang w:val="en-GB"/>
        </w:rPr>
        <w:t xml:space="preserve"> different conversations.</w:t>
      </w:r>
    </w:p>
    <w:p w14:paraId="7DA36D2B" w14:textId="77777777" w:rsidR="007A223A" w:rsidRPr="00FD44EB" w:rsidRDefault="007A223A" w:rsidP="00D82098">
      <w:pPr>
        <w:pStyle w:val="BodyTextMain"/>
        <w:rPr>
          <w:spacing w:val="-2"/>
          <w:lang w:val="en-GB"/>
        </w:rPr>
      </w:pPr>
    </w:p>
    <w:p w14:paraId="7B647B95" w14:textId="77777777" w:rsidR="007A223A" w:rsidRPr="00FD44EB" w:rsidRDefault="007A223A" w:rsidP="00D82098">
      <w:pPr>
        <w:pStyle w:val="BodyTextMain"/>
        <w:rPr>
          <w:spacing w:val="-2"/>
          <w:lang w:val="en-GB"/>
        </w:rPr>
      </w:pPr>
    </w:p>
    <w:p w14:paraId="6923D349" w14:textId="1A4F9DC6" w:rsidR="00F11C91" w:rsidRPr="00FD44EB" w:rsidRDefault="00F11C91" w:rsidP="00F11C91">
      <w:pPr>
        <w:pStyle w:val="Casehead1"/>
        <w:rPr>
          <w:spacing w:val="-2"/>
          <w:lang w:val="en-GB"/>
        </w:rPr>
      </w:pPr>
      <w:r w:rsidRPr="00FD44EB">
        <w:rPr>
          <w:spacing w:val="-2"/>
          <w:lang w:val="en-GB"/>
        </w:rPr>
        <w:t xml:space="preserve">s&amp;I DIGITAL </w:t>
      </w:r>
    </w:p>
    <w:p w14:paraId="1E6D8465" w14:textId="77777777" w:rsidR="00F11C91" w:rsidRPr="00FD44EB" w:rsidRDefault="00F11C91" w:rsidP="00F11C91">
      <w:pPr>
        <w:pStyle w:val="BodyTextMain"/>
        <w:rPr>
          <w:spacing w:val="-2"/>
          <w:lang w:val="en-GB"/>
        </w:rPr>
      </w:pPr>
    </w:p>
    <w:p w14:paraId="6A7CC73E" w14:textId="2C7D5DB3" w:rsidR="00F11C91" w:rsidRPr="00FD44EB" w:rsidRDefault="00F11C91" w:rsidP="00F11C91">
      <w:pPr>
        <w:pStyle w:val="BodyTextMain"/>
        <w:rPr>
          <w:spacing w:val="-2"/>
          <w:lang w:val="en-GB"/>
        </w:rPr>
      </w:pPr>
      <w:r w:rsidRPr="00FD44EB">
        <w:rPr>
          <w:spacing w:val="-2"/>
          <w:lang w:val="en-GB"/>
        </w:rPr>
        <w:t xml:space="preserve">In the past, KPN had outsourced all its digital capabilities. To become a digital telco, </w:t>
      </w:r>
      <w:r w:rsidR="00784729" w:rsidRPr="00FD44EB">
        <w:rPr>
          <w:spacing w:val="-2"/>
          <w:lang w:val="en-GB"/>
        </w:rPr>
        <w:t xml:space="preserve">it had to bring </w:t>
      </w:r>
      <w:r w:rsidRPr="00FD44EB">
        <w:rPr>
          <w:spacing w:val="-2"/>
          <w:lang w:val="en-GB"/>
        </w:rPr>
        <w:t xml:space="preserve">these core capabilities </w:t>
      </w:r>
      <w:r w:rsidR="00784729" w:rsidRPr="00FD44EB">
        <w:rPr>
          <w:spacing w:val="-2"/>
          <w:lang w:val="en-GB"/>
        </w:rPr>
        <w:t>in house</w:t>
      </w:r>
      <w:r w:rsidRPr="00FD44EB">
        <w:rPr>
          <w:spacing w:val="-2"/>
          <w:lang w:val="en-GB"/>
        </w:rPr>
        <w:t xml:space="preserve">, whether </w:t>
      </w:r>
      <w:r w:rsidR="00784729" w:rsidRPr="00FD44EB">
        <w:rPr>
          <w:spacing w:val="-2"/>
          <w:lang w:val="en-GB"/>
        </w:rPr>
        <w:t>they were</w:t>
      </w:r>
      <w:r w:rsidRPr="00FD44EB">
        <w:rPr>
          <w:spacing w:val="-2"/>
          <w:lang w:val="en-GB"/>
        </w:rPr>
        <w:t xml:space="preserve"> IT development, IT architecture, digital sales</w:t>
      </w:r>
      <w:r w:rsidR="00784729" w:rsidRPr="00FD44EB">
        <w:rPr>
          <w:spacing w:val="-2"/>
          <w:lang w:val="en-GB"/>
        </w:rPr>
        <w:t>,</w:t>
      </w:r>
      <w:r w:rsidRPr="00FD44EB">
        <w:rPr>
          <w:spacing w:val="-2"/>
          <w:lang w:val="en-GB"/>
        </w:rPr>
        <w:t xml:space="preserve"> or digital marketing. KPN also needed to place a premium on attracting and developing new digital talent. </w:t>
      </w:r>
      <w:r w:rsidR="00784729" w:rsidRPr="00FD44EB">
        <w:rPr>
          <w:spacing w:val="-2"/>
          <w:lang w:val="en-GB"/>
        </w:rPr>
        <w:t xml:space="preserve">It hired external </w:t>
      </w:r>
      <w:r w:rsidRPr="00FD44EB">
        <w:rPr>
          <w:spacing w:val="-2"/>
          <w:lang w:val="en-GB"/>
        </w:rPr>
        <w:t>specialist recruiters to find the best innovative software experts in the marke</w:t>
      </w:r>
      <w:r w:rsidR="00784729" w:rsidRPr="00FD44EB">
        <w:rPr>
          <w:spacing w:val="-2"/>
          <w:lang w:val="en-GB"/>
        </w:rPr>
        <w:t xml:space="preserve">t and identified </w:t>
      </w:r>
      <w:proofErr w:type="gramStart"/>
      <w:r w:rsidR="00784729" w:rsidRPr="00FD44EB">
        <w:rPr>
          <w:spacing w:val="-2"/>
          <w:lang w:val="en-GB"/>
        </w:rPr>
        <w:t>these</w:t>
      </w:r>
      <w:proofErr w:type="gramEnd"/>
      <w:r w:rsidR="00784729" w:rsidRPr="00FD44EB">
        <w:rPr>
          <w:spacing w:val="-2"/>
          <w:lang w:val="en-GB"/>
        </w:rPr>
        <w:t xml:space="preserve"> people as </w:t>
      </w:r>
      <w:r w:rsidRPr="00FD44EB">
        <w:rPr>
          <w:spacing w:val="-2"/>
          <w:lang w:val="en-GB"/>
        </w:rPr>
        <w:t>“magnets</w:t>
      </w:r>
      <w:r w:rsidR="00784729" w:rsidRPr="00FD44EB">
        <w:rPr>
          <w:spacing w:val="-2"/>
          <w:lang w:val="en-GB"/>
        </w:rPr>
        <w:t>” who could</w:t>
      </w:r>
      <w:r w:rsidRPr="00FD44EB">
        <w:rPr>
          <w:spacing w:val="-2"/>
          <w:lang w:val="en-GB"/>
        </w:rPr>
        <w:t xml:space="preserve"> convince others to join. KPN grouped the new recruits in a unit called S&amp;I Digital. Leon </w:t>
      </w:r>
      <w:proofErr w:type="spellStart"/>
      <w:r w:rsidRPr="00FD44EB">
        <w:rPr>
          <w:spacing w:val="-2"/>
          <w:lang w:val="en-GB"/>
        </w:rPr>
        <w:t>Bedaux</w:t>
      </w:r>
      <w:proofErr w:type="spellEnd"/>
      <w:r w:rsidRPr="00FD44EB">
        <w:rPr>
          <w:spacing w:val="-2"/>
          <w:lang w:val="en-GB"/>
        </w:rPr>
        <w:t xml:space="preserve">, </w:t>
      </w:r>
      <w:r w:rsidR="00784729" w:rsidRPr="00FD44EB">
        <w:rPr>
          <w:spacing w:val="-2"/>
          <w:lang w:val="en-GB"/>
        </w:rPr>
        <w:t xml:space="preserve">the </w:t>
      </w:r>
      <w:r w:rsidRPr="00FD44EB">
        <w:rPr>
          <w:spacing w:val="-2"/>
          <w:lang w:val="en-GB"/>
        </w:rPr>
        <w:t>VP</w:t>
      </w:r>
      <w:r w:rsidR="00784729" w:rsidRPr="00FD44EB">
        <w:rPr>
          <w:spacing w:val="-2"/>
          <w:lang w:val="en-GB"/>
        </w:rPr>
        <w:t xml:space="preserve"> for</w:t>
      </w:r>
      <w:r w:rsidRPr="00FD44EB">
        <w:rPr>
          <w:spacing w:val="-2"/>
          <w:lang w:val="en-GB"/>
        </w:rPr>
        <w:t xml:space="preserve"> S&amp;I Digital, </w:t>
      </w:r>
      <w:proofErr w:type="gramStart"/>
      <w:r w:rsidRPr="00FD44EB">
        <w:rPr>
          <w:spacing w:val="-2"/>
          <w:lang w:val="en-GB"/>
        </w:rPr>
        <w:t>was given</w:t>
      </w:r>
      <w:proofErr w:type="gramEnd"/>
      <w:r w:rsidRPr="00FD44EB">
        <w:rPr>
          <w:spacing w:val="-2"/>
          <w:lang w:val="en-GB"/>
        </w:rPr>
        <w:t xml:space="preserve"> free rein “to set up Digital as a start-up.” </w:t>
      </w:r>
      <w:proofErr w:type="spellStart"/>
      <w:r w:rsidRPr="00FD44EB">
        <w:rPr>
          <w:spacing w:val="-2"/>
          <w:lang w:val="en-GB"/>
        </w:rPr>
        <w:t>Bedaux</w:t>
      </w:r>
      <w:proofErr w:type="spellEnd"/>
      <w:r w:rsidRPr="00FD44EB">
        <w:rPr>
          <w:spacing w:val="-2"/>
          <w:lang w:val="en-GB"/>
        </w:rPr>
        <w:t xml:space="preserve"> commented:</w:t>
      </w:r>
    </w:p>
    <w:p w14:paraId="4FF48A56" w14:textId="77777777" w:rsidR="00F11C91" w:rsidRPr="00FD44EB" w:rsidRDefault="00F11C91" w:rsidP="00F11C91">
      <w:pPr>
        <w:pStyle w:val="BodyTextMain"/>
        <w:rPr>
          <w:spacing w:val="-2"/>
          <w:lang w:val="en-GB"/>
        </w:rPr>
      </w:pPr>
    </w:p>
    <w:p w14:paraId="736BE5E6" w14:textId="77777777" w:rsidR="00F11C91" w:rsidRPr="00FD44EB" w:rsidRDefault="00F11C91" w:rsidP="00F11C91">
      <w:pPr>
        <w:pStyle w:val="BodyTextMain"/>
        <w:ind w:left="720"/>
        <w:rPr>
          <w:spacing w:val="-2"/>
          <w:lang w:val="en-GB"/>
        </w:rPr>
      </w:pPr>
      <w:r w:rsidRPr="00FD44EB">
        <w:rPr>
          <w:spacing w:val="-2"/>
          <w:lang w:val="en-GB"/>
        </w:rPr>
        <w:t xml:space="preserve">After the first couple of interviews, it was clear that the </w:t>
      </w:r>
      <w:proofErr w:type="gramStart"/>
      <w:r w:rsidRPr="00FD44EB">
        <w:rPr>
          <w:spacing w:val="-2"/>
          <w:lang w:val="en-GB"/>
        </w:rPr>
        <w:t>craftsmen</w:t>
      </w:r>
      <w:proofErr w:type="gramEnd"/>
      <w:r w:rsidRPr="00FD44EB">
        <w:rPr>
          <w:spacing w:val="-2"/>
          <w:lang w:val="en-GB"/>
        </w:rPr>
        <w:t xml:space="preserve"> we were after weren’t interested in working at KPN. What motivated them was flexibility, room for experimentation, freedom to make their own choices of programming languages and software development environments. They wanted to develop in open-source cloud technology. We had none of that. </w:t>
      </w:r>
      <w:proofErr w:type="gramStart"/>
      <w:r w:rsidRPr="00FD44EB">
        <w:rPr>
          <w:spacing w:val="-2"/>
          <w:lang w:val="en-GB"/>
        </w:rPr>
        <w:t>So</w:t>
      </w:r>
      <w:proofErr w:type="gramEnd"/>
      <w:r w:rsidRPr="00FD44EB">
        <w:rPr>
          <w:spacing w:val="-2"/>
          <w:lang w:val="en-GB"/>
        </w:rPr>
        <w:t xml:space="preserve"> we asked them what they expected, and then offered just that: an environment where they could feel at home and develop themselves.</w:t>
      </w:r>
    </w:p>
    <w:p w14:paraId="0D5F8E89" w14:textId="77777777" w:rsidR="00F11C91" w:rsidRPr="00FD44EB" w:rsidRDefault="00F11C91" w:rsidP="00F11C91">
      <w:pPr>
        <w:pStyle w:val="BodyTextMain"/>
        <w:rPr>
          <w:spacing w:val="-2"/>
          <w:lang w:val="en-GB"/>
        </w:rPr>
      </w:pPr>
    </w:p>
    <w:p w14:paraId="25EBD97D" w14:textId="71EC7CF9" w:rsidR="00F11C91" w:rsidRPr="00FD44EB" w:rsidRDefault="00F11C91" w:rsidP="00F11C91">
      <w:pPr>
        <w:pStyle w:val="BodyTextMain"/>
        <w:rPr>
          <w:spacing w:val="-2"/>
          <w:lang w:val="en-GB"/>
        </w:rPr>
      </w:pPr>
      <w:r w:rsidRPr="00FD44EB">
        <w:rPr>
          <w:spacing w:val="-2"/>
          <w:lang w:val="en-GB"/>
        </w:rPr>
        <w:t xml:space="preserve">The new unit </w:t>
      </w:r>
      <w:proofErr w:type="gramStart"/>
      <w:r w:rsidR="00D133D2" w:rsidRPr="00FD44EB">
        <w:rPr>
          <w:spacing w:val="-2"/>
          <w:lang w:val="en-GB"/>
        </w:rPr>
        <w:t xml:space="preserve">was </w:t>
      </w:r>
      <w:r w:rsidR="00592871" w:rsidRPr="00FD44EB">
        <w:rPr>
          <w:spacing w:val="-2"/>
          <w:lang w:val="en-GB"/>
        </w:rPr>
        <w:t>allowed</w:t>
      </w:r>
      <w:proofErr w:type="gramEnd"/>
      <w:r w:rsidR="00D133D2" w:rsidRPr="00FD44EB">
        <w:rPr>
          <w:spacing w:val="-2"/>
          <w:lang w:val="en-GB"/>
        </w:rPr>
        <w:t xml:space="preserve"> </w:t>
      </w:r>
      <w:r w:rsidRPr="00FD44EB">
        <w:rPr>
          <w:spacing w:val="-2"/>
          <w:lang w:val="en-GB"/>
        </w:rPr>
        <w:t xml:space="preserve">to redesign customer engagement from scratch, </w:t>
      </w:r>
      <w:r w:rsidR="00D133D2" w:rsidRPr="00FD44EB">
        <w:rPr>
          <w:spacing w:val="-2"/>
          <w:lang w:val="en-GB"/>
        </w:rPr>
        <w:t>beginning by identifying</w:t>
      </w:r>
      <w:r w:rsidRPr="00FD44EB">
        <w:rPr>
          <w:spacing w:val="-2"/>
          <w:lang w:val="en-GB"/>
        </w:rPr>
        <w:t xml:space="preserve"> customer </w:t>
      </w:r>
      <w:r w:rsidR="00D133D2" w:rsidRPr="00FD44EB">
        <w:rPr>
          <w:spacing w:val="-2"/>
          <w:lang w:val="en-GB"/>
        </w:rPr>
        <w:t xml:space="preserve">needs and expectations </w:t>
      </w:r>
      <w:r w:rsidR="009207C7" w:rsidRPr="00FD44EB">
        <w:rPr>
          <w:spacing w:val="-2"/>
          <w:lang w:val="en-GB"/>
        </w:rPr>
        <w:t xml:space="preserve">(customer </w:t>
      </w:r>
      <w:r w:rsidRPr="00FD44EB">
        <w:rPr>
          <w:spacing w:val="-2"/>
          <w:lang w:val="en-GB"/>
        </w:rPr>
        <w:t>jobs-to-be-done</w:t>
      </w:r>
      <w:r w:rsidR="009207C7" w:rsidRPr="00FD44EB">
        <w:rPr>
          <w:spacing w:val="-2"/>
          <w:lang w:val="en-GB"/>
        </w:rPr>
        <w:t>)</w:t>
      </w:r>
      <w:r w:rsidRPr="00FD44EB">
        <w:rPr>
          <w:spacing w:val="-2"/>
          <w:lang w:val="en-GB"/>
        </w:rPr>
        <w:t xml:space="preserve"> and </w:t>
      </w:r>
      <w:r w:rsidR="00D133D2" w:rsidRPr="00FD44EB">
        <w:rPr>
          <w:spacing w:val="-2"/>
          <w:lang w:val="en-GB"/>
        </w:rPr>
        <w:t xml:space="preserve">outlining stages in the </w:t>
      </w:r>
      <w:proofErr w:type="spellStart"/>
      <w:r w:rsidR="00D133D2" w:rsidRPr="00FD44EB">
        <w:rPr>
          <w:spacing w:val="-2"/>
          <w:lang w:val="en-GB"/>
        </w:rPr>
        <w:t>omni</w:t>
      </w:r>
      <w:proofErr w:type="spellEnd"/>
      <w:r w:rsidR="00D133D2" w:rsidRPr="00FD44EB">
        <w:rPr>
          <w:spacing w:val="-2"/>
          <w:lang w:val="en-GB"/>
        </w:rPr>
        <w:t xml:space="preserve">-channel </w:t>
      </w:r>
      <w:r w:rsidRPr="00FD44EB">
        <w:rPr>
          <w:spacing w:val="-2"/>
          <w:lang w:val="en-GB"/>
        </w:rPr>
        <w:t xml:space="preserve">journey (see Exhibit 5). </w:t>
      </w:r>
      <w:r w:rsidR="00D133D2" w:rsidRPr="00FD44EB">
        <w:rPr>
          <w:spacing w:val="-2"/>
          <w:lang w:val="en-GB"/>
        </w:rPr>
        <w:t xml:space="preserve">The unit </w:t>
      </w:r>
      <w:r w:rsidRPr="00FD44EB">
        <w:rPr>
          <w:spacing w:val="-2"/>
          <w:lang w:val="en-GB"/>
        </w:rPr>
        <w:t xml:space="preserve">needed to create a uniform digital, mobile-first customer experience across all channels and customer touchpoints </w:t>
      </w:r>
      <w:r w:rsidR="00D133D2" w:rsidRPr="00FD44EB">
        <w:rPr>
          <w:spacing w:val="-2"/>
          <w:lang w:val="en-GB"/>
        </w:rPr>
        <w:t xml:space="preserve">that would be </w:t>
      </w:r>
      <w:r w:rsidRPr="00FD44EB">
        <w:rPr>
          <w:spacing w:val="-2"/>
          <w:lang w:val="en-GB"/>
        </w:rPr>
        <w:t xml:space="preserve">able to compete with OTT players. </w:t>
      </w:r>
      <w:r w:rsidR="00D133D2" w:rsidRPr="00FD44EB">
        <w:rPr>
          <w:spacing w:val="-2"/>
          <w:lang w:val="en-GB"/>
        </w:rPr>
        <w:t>To</w:t>
      </w:r>
      <w:r w:rsidRPr="00FD44EB">
        <w:rPr>
          <w:spacing w:val="-2"/>
          <w:lang w:val="en-GB"/>
        </w:rPr>
        <w:t xml:space="preserve"> </w:t>
      </w:r>
      <w:r w:rsidR="00D133D2" w:rsidRPr="00FD44EB">
        <w:rPr>
          <w:spacing w:val="-2"/>
          <w:lang w:val="en-GB"/>
        </w:rPr>
        <w:t>emphasize</w:t>
      </w:r>
      <w:r w:rsidRPr="00FD44EB">
        <w:rPr>
          <w:spacing w:val="-2"/>
          <w:lang w:val="en-GB"/>
        </w:rPr>
        <w:t xml:space="preserve"> KPN’s new </w:t>
      </w:r>
      <w:r w:rsidR="00D133D2" w:rsidRPr="00FD44EB">
        <w:rPr>
          <w:spacing w:val="-2"/>
          <w:lang w:val="en-GB"/>
        </w:rPr>
        <w:t>customer-</w:t>
      </w:r>
      <w:r w:rsidRPr="00FD44EB">
        <w:rPr>
          <w:spacing w:val="-2"/>
          <w:lang w:val="en-GB"/>
        </w:rPr>
        <w:t xml:space="preserve">centricity and to attract international talent, the unit relocated from the KPN head office in The Hague to Amsterdam. </w:t>
      </w:r>
      <w:r w:rsidR="00D133D2" w:rsidRPr="00FD44EB">
        <w:rPr>
          <w:spacing w:val="-2"/>
          <w:lang w:val="en-GB"/>
        </w:rPr>
        <w:t xml:space="preserve">This </w:t>
      </w:r>
      <w:r w:rsidRPr="00FD44EB">
        <w:rPr>
          <w:spacing w:val="-2"/>
          <w:lang w:val="en-GB"/>
        </w:rPr>
        <w:t xml:space="preserve">move also brought </w:t>
      </w:r>
      <w:proofErr w:type="gramStart"/>
      <w:r w:rsidRPr="00FD44EB">
        <w:rPr>
          <w:spacing w:val="-2"/>
          <w:lang w:val="en-GB"/>
        </w:rPr>
        <w:t>customer-facing</w:t>
      </w:r>
      <w:proofErr w:type="gramEnd"/>
      <w:r w:rsidRPr="00FD44EB">
        <w:rPr>
          <w:spacing w:val="-2"/>
          <w:lang w:val="en-GB"/>
        </w:rPr>
        <w:t xml:space="preserve"> IT and commercial people under one roof. </w:t>
      </w:r>
    </w:p>
    <w:p w14:paraId="64036155" w14:textId="77777777" w:rsidR="00F11C91" w:rsidRPr="00FD44EB" w:rsidRDefault="00F11C91" w:rsidP="00F11C91">
      <w:pPr>
        <w:pStyle w:val="BodyTextMain"/>
        <w:rPr>
          <w:spacing w:val="-2"/>
          <w:lang w:val="en-GB"/>
        </w:rPr>
      </w:pPr>
    </w:p>
    <w:p w14:paraId="70B9DA4F" w14:textId="7EFA5660" w:rsidR="00F11C91" w:rsidRPr="00FD44EB" w:rsidRDefault="00F11C91" w:rsidP="00F11C91">
      <w:pPr>
        <w:pStyle w:val="BodyTextMain"/>
        <w:rPr>
          <w:spacing w:val="-4"/>
          <w:lang w:val="en-GB"/>
        </w:rPr>
      </w:pPr>
      <w:r w:rsidRPr="00FD44EB">
        <w:rPr>
          <w:spacing w:val="-2"/>
          <w:lang w:val="en-GB"/>
        </w:rPr>
        <w:t xml:space="preserve">S&amp;I Digital </w:t>
      </w:r>
      <w:r w:rsidR="00D133D2" w:rsidRPr="00FD44EB">
        <w:rPr>
          <w:spacing w:val="-2"/>
          <w:lang w:val="en-GB"/>
        </w:rPr>
        <w:t xml:space="preserve">employed </w:t>
      </w:r>
      <w:r w:rsidRPr="00FD44EB">
        <w:rPr>
          <w:spacing w:val="-2"/>
          <w:lang w:val="en-GB"/>
        </w:rPr>
        <w:t>an agile-scrum</w:t>
      </w:r>
      <w:r w:rsidRPr="00FD44EB">
        <w:rPr>
          <w:rStyle w:val="FootnoteReference"/>
          <w:spacing w:val="-2"/>
          <w:lang w:val="en-GB"/>
        </w:rPr>
        <w:footnoteReference w:id="7"/>
      </w:r>
      <w:r w:rsidRPr="00FD44EB">
        <w:rPr>
          <w:spacing w:val="-2"/>
          <w:lang w:val="en-GB"/>
        </w:rPr>
        <w:t xml:space="preserve"> philosophy</w:t>
      </w:r>
      <w:r w:rsidR="00D133D2" w:rsidRPr="00FD44EB">
        <w:rPr>
          <w:spacing w:val="-2"/>
          <w:lang w:val="en-GB"/>
        </w:rPr>
        <w:t xml:space="preserve">: </w:t>
      </w:r>
      <w:r w:rsidRPr="00FD44EB">
        <w:rPr>
          <w:spacing w:val="-2"/>
          <w:lang w:val="en-GB"/>
        </w:rPr>
        <w:t xml:space="preserve">people </w:t>
      </w:r>
      <w:r w:rsidR="00D133D2" w:rsidRPr="00FD44EB">
        <w:rPr>
          <w:spacing w:val="-2"/>
          <w:lang w:val="en-GB"/>
        </w:rPr>
        <w:t xml:space="preserve">in the unit </w:t>
      </w:r>
      <w:r w:rsidRPr="00FD44EB">
        <w:rPr>
          <w:spacing w:val="-2"/>
          <w:lang w:val="en-GB"/>
        </w:rPr>
        <w:t>organized themselves into small multidisciplinary teams</w:t>
      </w:r>
      <w:r w:rsidR="00D133D2" w:rsidRPr="00FD44EB">
        <w:rPr>
          <w:spacing w:val="-2"/>
          <w:lang w:val="en-GB"/>
        </w:rPr>
        <w:t xml:space="preserve"> that delivered</w:t>
      </w:r>
      <w:r w:rsidRPr="00FD44EB">
        <w:rPr>
          <w:spacing w:val="-2"/>
          <w:lang w:val="en-GB"/>
        </w:rPr>
        <w:t xml:space="preserve"> sub-projects in short cycles. </w:t>
      </w:r>
      <w:r w:rsidR="000A7D48" w:rsidRPr="00FD44EB">
        <w:rPr>
          <w:spacing w:val="-2"/>
          <w:lang w:val="en-GB"/>
        </w:rPr>
        <w:t>This new method of working emphasized c</w:t>
      </w:r>
      <w:r w:rsidRPr="00FD44EB">
        <w:rPr>
          <w:spacing w:val="-2"/>
          <w:lang w:val="en-GB"/>
        </w:rPr>
        <w:t>ustomer focus, journey thinking, speed</w:t>
      </w:r>
      <w:r w:rsidR="000A7D48" w:rsidRPr="00FD44EB">
        <w:rPr>
          <w:spacing w:val="-2"/>
          <w:lang w:val="en-GB"/>
        </w:rPr>
        <w:t>, and</w:t>
      </w:r>
      <w:r w:rsidRPr="00FD44EB">
        <w:rPr>
          <w:spacing w:val="-2"/>
          <w:lang w:val="en-GB"/>
        </w:rPr>
        <w:t xml:space="preserve"> flexibility, and </w:t>
      </w:r>
      <w:r w:rsidR="000A7D48" w:rsidRPr="00FD44EB">
        <w:rPr>
          <w:spacing w:val="-2"/>
          <w:lang w:val="en-GB"/>
        </w:rPr>
        <w:t xml:space="preserve">it allocated </w:t>
      </w:r>
      <w:r w:rsidRPr="00FD44EB">
        <w:rPr>
          <w:spacing w:val="-2"/>
          <w:lang w:val="en-GB"/>
        </w:rPr>
        <w:t>final responsibility for the results to the teams. Product owners,</w:t>
      </w:r>
      <w:r w:rsidR="000A7D48" w:rsidRPr="00FD44EB">
        <w:rPr>
          <w:spacing w:val="-2"/>
          <w:lang w:val="en-GB"/>
        </w:rPr>
        <w:t xml:space="preserve"> who</w:t>
      </w:r>
      <w:r w:rsidRPr="00FD44EB">
        <w:rPr>
          <w:spacing w:val="-2"/>
          <w:lang w:val="en-GB"/>
        </w:rPr>
        <w:t xml:space="preserve"> representing the customer</w:t>
      </w:r>
      <w:r w:rsidR="000A7D48" w:rsidRPr="00FD44EB">
        <w:rPr>
          <w:spacing w:val="-2"/>
          <w:lang w:val="en-GB"/>
        </w:rPr>
        <w:t>s</w:t>
      </w:r>
      <w:r w:rsidRPr="00FD44EB">
        <w:rPr>
          <w:spacing w:val="-2"/>
          <w:lang w:val="en-GB"/>
        </w:rPr>
        <w:t>, helped teams prioritize solution</w:t>
      </w:r>
      <w:r w:rsidR="000A7D48" w:rsidRPr="00FD44EB">
        <w:rPr>
          <w:spacing w:val="-2"/>
          <w:lang w:val="en-GB"/>
        </w:rPr>
        <w:t>s for</w:t>
      </w:r>
      <w:r w:rsidRPr="00FD44EB">
        <w:rPr>
          <w:spacing w:val="-2"/>
          <w:lang w:val="en-GB"/>
        </w:rPr>
        <w:t xml:space="preserve"> feature </w:t>
      </w:r>
      <w:r w:rsidRPr="00FD44EB">
        <w:rPr>
          <w:spacing w:val="-2"/>
          <w:lang w:val="en-GB"/>
        </w:rPr>
        <w:lastRenderedPageBreak/>
        <w:t xml:space="preserve">releases. A new </w:t>
      </w:r>
      <w:r w:rsidR="000A7D48" w:rsidRPr="00FD44EB">
        <w:rPr>
          <w:spacing w:val="-2"/>
          <w:lang w:val="en-GB"/>
        </w:rPr>
        <w:t>development and operations (</w:t>
      </w:r>
      <w:r w:rsidRPr="00FD44EB">
        <w:rPr>
          <w:spacing w:val="-2"/>
          <w:lang w:val="en-GB"/>
        </w:rPr>
        <w:t>dev-ops</w:t>
      </w:r>
      <w:r w:rsidR="000A7D48" w:rsidRPr="00FD44EB">
        <w:rPr>
          <w:spacing w:val="-2"/>
          <w:lang w:val="en-GB"/>
        </w:rPr>
        <w:t>)</w:t>
      </w:r>
      <w:r w:rsidRPr="00FD44EB">
        <w:rPr>
          <w:spacing w:val="-2"/>
          <w:lang w:val="en-GB"/>
        </w:rPr>
        <w:t xml:space="preserve"> role facilitated communication and collaboration between teams and IT operations. The agile setup </w:t>
      </w:r>
      <w:r w:rsidR="000A7D48" w:rsidRPr="00FD44EB">
        <w:rPr>
          <w:spacing w:val="-2"/>
          <w:lang w:val="en-GB"/>
        </w:rPr>
        <w:t xml:space="preserve">did </w:t>
      </w:r>
      <w:r w:rsidRPr="00FD44EB">
        <w:rPr>
          <w:spacing w:val="-2"/>
          <w:lang w:val="en-GB"/>
        </w:rPr>
        <w:t xml:space="preserve">not </w:t>
      </w:r>
      <w:r w:rsidR="000A7D48" w:rsidRPr="00FD44EB">
        <w:rPr>
          <w:spacing w:val="-2"/>
          <w:lang w:val="en-GB"/>
        </w:rPr>
        <w:t xml:space="preserve">fit </w:t>
      </w:r>
      <w:r w:rsidRPr="00FD44EB">
        <w:rPr>
          <w:spacing w:val="-2"/>
          <w:lang w:val="en-GB"/>
        </w:rPr>
        <w:t>eas</w:t>
      </w:r>
      <w:r w:rsidR="000A7D48" w:rsidRPr="00FD44EB">
        <w:rPr>
          <w:spacing w:val="-2"/>
          <w:lang w:val="en-GB"/>
        </w:rPr>
        <w:t>il</w:t>
      </w:r>
      <w:r w:rsidRPr="00FD44EB">
        <w:rPr>
          <w:spacing w:val="-2"/>
          <w:lang w:val="en-GB"/>
        </w:rPr>
        <w:t xml:space="preserve">y </w:t>
      </w:r>
      <w:r w:rsidR="000A7D48" w:rsidRPr="00FD44EB">
        <w:rPr>
          <w:spacing w:val="-2"/>
          <w:lang w:val="en-GB"/>
        </w:rPr>
        <w:t>into</w:t>
      </w:r>
      <w:r w:rsidRPr="00FD44EB">
        <w:rPr>
          <w:spacing w:val="-2"/>
          <w:lang w:val="en-GB"/>
        </w:rPr>
        <w:t xml:space="preserve"> KPN’s corporate </w:t>
      </w:r>
      <w:r w:rsidRPr="00FD44EB">
        <w:rPr>
          <w:spacing w:val="-4"/>
          <w:lang w:val="en-GB"/>
        </w:rPr>
        <w:t>environment, where control mechanisms and predictability remained important</w:t>
      </w:r>
      <w:r w:rsidR="000A7D48" w:rsidRPr="00FD44EB">
        <w:rPr>
          <w:spacing w:val="-4"/>
          <w:lang w:val="en-GB"/>
        </w:rPr>
        <w:t>, so the unit addressed t</w:t>
      </w:r>
      <w:r w:rsidRPr="00FD44EB">
        <w:rPr>
          <w:spacing w:val="-4"/>
          <w:lang w:val="en-GB"/>
        </w:rPr>
        <w:t xml:space="preserve">his challenge pragmatically by introducing proxies, </w:t>
      </w:r>
      <w:r w:rsidR="000A7D48" w:rsidRPr="00FD44EB">
        <w:rPr>
          <w:spacing w:val="-4"/>
          <w:lang w:val="en-GB"/>
        </w:rPr>
        <w:t>who</w:t>
      </w:r>
      <w:r w:rsidRPr="00FD44EB">
        <w:rPr>
          <w:spacing w:val="-4"/>
          <w:lang w:val="en-GB"/>
        </w:rPr>
        <w:t xml:space="preserve"> </w:t>
      </w:r>
      <w:r w:rsidR="000A7D48" w:rsidRPr="00FD44EB">
        <w:rPr>
          <w:spacing w:val="-4"/>
          <w:lang w:val="en-GB"/>
        </w:rPr>
        <w:t xml:space="preserve">acted as liaisons between </w:t>
      </w:r>
      <w:r w:rsidRPr="00FD44EB">
        <w:rPr>
          <w:spacing w:val="-4"/>
          <w:lang w:val="en-GB"/>
        </w:rPr>
        <w:t xml:space="preserve">S&amp;I Digital </w:t>
      </w:r>
      <w:r w:rsidR="00CD4C66" w:rsidRPr="00FD44EB">
        <w:rPr>
          <w:spacing w:val="-4"/>
          <w:lang w:val="en-GB"/>
        </w:rPr>
        <w:t>and</w:t>
      </w:r>
      <w:r w:rsidRPr="00FD44EB">
        <w:rPr>
          <w:spacing w:val="-4"/>
          <w:lang w:val="en-GB"/>
        </w:rPr>
        <w:t xml:space="preserve"> </w:t>
      </w:r>
      <w:r w:rsidR="00CD4C66" w:rsidRPr="00FD44EB">
        <w:rPr>
          <w:spacing w:val="-4"/>
          <w:lang w:val="en-GB"/>
        </w:rPr>
        <w:t xml:space="preserve">KPN’s </w:t>
      </w:r>
      <w:r w:rsidRPr="00FD44EB">
        <w:rPr>
          <w:spacing w:val="-4"/>
          <w:lang w:val="en-GB"/>
        </w:rPr>
        <w:t>corporate reporting</w:t>
      </w:r>
      <w:r w:rsidR="00CD4C66" w:rsidRPr="00FD44EB">
        <w:rPr>
          <w:spacing w:val="-4"/>
          <w:lang w:val="en-GB"/>
        </w:rPr>
        <w:t xml:space="preserve"> bodies</w:t>
      </w:r>
      <w:r w:rsidRPr="00FD44EB">
        <w:rPr>
          <w:spacing w:val="-4"/>
          <w:lang w:val="en-GB"/>
        </w:rPr>
        <w:t xml:space="preserve">. </w:t>
      </w:r>
    </w:p>
    <w:p w14:paraId="7F8706DE" w14:textId="242F8125" w:rsidR="00F11C91" w:rsidRPr="00FD44EB" w:rsidRDefault="00F11C91" w:rsidP="00F11C91">
      <w:pPr>
        <w:pStyle w:val="BodyTextMain"/>
        <w:rPr>
          <w:spacing w:val="-2"/>
          <w:lang w:val="en-GB"/>
        </w:rPr>
      </w:pPr>
      <w:r w:rsidRPr="00FD44EB">
        <w:rPr>
          <w:spacing w:val="-2"/>
          <w:lang w:val="en-GB"/>
        </w:rPr>
        <w:t xml:space="preserve">By the end of 2016, </w:t>
      </w:r>
      <w:proofErr w:type="spellStart"/>
      <w:r w:rsidRPr="00FD44EB">
        <w:rPr>
          <w:spacing w:val="-2"/>
          <w:lang w:val="en-GB"/>
        </w:rPr>
        <w:t>Bedaux</w:t>
      </w:r>
      <w:proofErr w:type="spellEnd"/>
      <w:r w:rsidRPr="00FD44EB">
        <w:rPr>
          <w:spacing w:val="-2"/>
          <w:lang w:val="en-GB"/>
        </w:rPr>
        <w:t xml:space="preserve">, who worked very closely with </w:t>
      </w:r>
      <w:proofErr w:type="spellStart"/>
      <w:r w:rsidRPr="00FD44EB">
        <w:rPr>
          <w:spacing w:val="-2"/>
          <w:lang w:val="en-GB"/>
        </w:rPr>
        <w:t>Hoving</w:t>
      </w:r>
      <w:proofErr w:type="spellEnd"/>
      <w:r w:rsidRPr="00FD44EB">
        <w:rPr>
          <w:spacing w:val="-2"/>
          <w:lang w:val="en-GB"/>
        </w:rPr>
        <w:t xml:space="preserve">, was overseeing some </w:t>
      </w:r>
      <w:proofErr w:type="gramStart"/>
      <w:r w:rsidRPr="00FD44EB">
        <w:rPr>
          <w:spacing w:val="-2"/>
          <w:lang w:val="en-GB"/>
        </w:rPr>
        <w:t>30 scrum</w:t>
      </w:r>
      <w:proofErr w:type="gramEnd"/>
      <w:r w:rsidRPr="00FD44EB">
        <w:rPr>
          <w:spacing w:val="-2"/>
          <w:lang w:val="en-GB"/>
        </w:rPr>
        <w:t xml:space="preserve"> teams of digital experts without any formal hierarchy. S&amp;I Digital had its own </w:t>
      </w:r>
      <w:r w:rsidR="00CD4C66" w:rsidRPr="00FD44EB">
        <w:rPr>
          <w:spacing w:val="-2"/>
          <w:lang w:val="en-GB"/>
        </w:rPr>
        <w:t>human resources</w:t>
      </w:r>
      <w:r w:rsidR="0005001D" w:rsidRPr="00FD44EB">
        <w:rPr>
          <w:spacing w:val="-2"/>
          <w:lang w:val="en-GB"/>
        </w:rPr>
        <w:t xml:space="preserve"> (HR)</w:t>
      </w:r>
      <w:r w:rsidR="00CD4C66" w:rsidRPr="00FD44EB">
        <w:rPr>
          <w:spacing w:val="-2"/>
          <w:lang w:val="en-GB"/>
        </w:rPr>
        <w:t xml:space="preserve"> </w:t>
      </w:r>
      <w:r w:rsidRPr="00FD44EB">
        <w:rPr>
          <w:spacing w:val="-2"/>
          <w:lang w:val="en-GB"/>
        </w:rPr>
        <w:t>head, four development coaches, a finance manager</w:t>
      </w:r>
      <w:r w:rsidR="00CD4C66" w:rsidRPr="00FD44EB">
        <w:rPr>
          <w:spacing w:val="-2"/>
          <w:lang w:val="en-GB"/>
        </w:rPr>
        <w:t>,</w:t>
      </w:r>
      <w:r w:rsidRPr="00FD44EB">
        <w:rPr>
          <w:spacing w:val="-2"/>
          <w:lang w:val="en-GB"/>
        </w:rPr>
        <w:t xml:space="preserve"> and a tech lead. </w:t>
      </w:r>
    </w:p>
    <w:p w14:paraId="7A1F6FC7" w14:textId="77777777" w:rsidR="00F11C91" w:rsidRPr="00BC41B1" w:rsidRDefault="00F11C91" w:rsidP="00F11C91">
      <w:pPr>
        <w:pStyle w:val="BodyTextMain"/>
        <w:rPr>
          <w:spacing w:val="-2"/>
          <w:lang w:val="en-GB"/>
        </w:rPr>
      </w:pPr>
    </w:p>
    <w:p w14:paraId="23100C52" w14:textId="77777777" w:rsidR="00F11C91" w:rsidRPr="00BC41B1" w:rsidRDefault="00F11C91" w:rsidP="00F11C91">
      <w:pPr>
        <w:pStyle w:val="BodyTextMain"/>
        <w:rPr>
          <w:spacing w:val="-2"/>
          <w:lang w:val="en-GB"/>
        </w:rPr>
      </w:pPr>
    </w:p>
    <w:p w14:paraId="39B57656" w14:textId="77777777" w:rsidR="00F11C91" w:rsidRPr="00FD44EB" w:rsidRDefault="00F11C91" w:rsidP="00F11C91">
      <w:pPr>
        <w:pStyle w:val="Casehead1"/>
        <w:rPr>
          <w:spacing w:val="-2"/>
          <w:lang w:val="en-GB"/>
        </w:rPr>
      </w:pPr>
      <w:r w:rsidRPr="00FD44EB">
        <w:rPr>
          <w:spacing w:val="-2"/>
          <w:lang w:val="en-GB"/>
        </w:rPr>
        <w:t>back-end process transformation</w:t>
      </w:r>
    </w:p>
    <w:p w14:paraId="0189A533" w14:textId="77777777" w:rsidR="00F11C91" w:rsidRPr="00BC41B1" w:rsidRDefault="00F11C91" w:rsidP="00F11C91">
      <w:pPr>
        <w:pStyle w:val="BodyTextMain"/>
        <w:rPr>
          <w:spacing w:val="-2"/>
          <w:lang w:val="en-GB"/>
        </w:rPr>
      </w:pPr>
    </w:p>
    <w:p w14:paraId="189354D8" w14:textId="17470640" w:rsidR="00F11C91" w:rsidRPr="00FD44EB" w:rsidRDefault="00F11C91" w:rsidP="00F11C91">
      <w:pPr>
        <w:pStyle w:val="BodyTextMain"/>
        <w:rPr>
          <w:spacing w:val="-2"/>
          <w:lang w:val="en-GB"/>
        </w:rPr>
      </w:pPr>
      <w:r w:rsidRPr="00FD44EB">
        <w:rPr>
          <w:spacing w:val="-2"/>
          <w:lang w:val="en-GB"/>
        </w:rPr>
        <w:t xml:space="preserve">While </w:t>
      </w:r>
      <w:proofErr w:type="spellStart"/>
      <w:r w:rsidRPr="00FD44EB">
        <w:rPr>
          <w:spacing w:val="-2"/>
          <w:lang w:val="en-GB"/>
        </w:rPr>
        <w:t>Bedaux</w:t>
      </w:r>
      <w:proofErr w:type="spellEnd"/>
      <w:r w:rsidRPr="00FD44EB">
        <w:rPr>
          <w:spacing w:val="-2"/>
          <w:lang w:val="en-GB"/>
        </w:rPr>
        <w:t xml:space="preserve"> was setting up </w:t>
      </w:r>
      <w:r w:rsidR="00CD4C66" w:rsidRPr="00FD44EB">
        <w:rPr>
          <w:spacing w:val="-2"/>
          <w:lang w:val="en-GB"/>
        </w:rPr>
        <w:t xml:space="preserve">teams </w:t>
      </w:r>
      <w:r w:rsidRPr="00FD44EB">
        <w:rPr>
          <w:spacing w:val="-2"/>
          <w:lang w:val="en-GB"/>
        </w:rPr>
        <w:t xml:space="preserve">to reimagine the customer journey, </w:t>
      </w:r>
      <w:proofErr w:type="spellStart"/>
      <w:r w:rsidRPr="00FD44EB">
        <w:rPr>
          <w:spacing w:val="-2"/>
          <w:lang w:val="en-GB"/>
        </w:rPr>
        <w:t>Hoving</w:t>
      </w:r>
      <w:proofErr w:type="spellEnd"/>
      <w:r w:rsidRPr="00FD44EB">
        <w:rPr>
          <w:spacing w:val="-2"/>
          <w:lang w:val="en-GB"/>
        </w:rPr>
        <w:t xml:space="preserve"> was preparing to overhaul the back-end processes and systems. As a first step, </w:t>
      </w:r>
      <w:r w:rsidR="00BB026C" w:rsidRPr="00FD44EB">
        <w:rPr>
          <w:spacing w:val="-2"/>
          <w:lang w:val="en-GB"/>
        </w:rPr>
        <w:t xml:space="preserve">the </w:t>
      </w:r>
      <w:r w:rsidRPr="00FD44EB">
        <w:rPr>
          <w:spacing w:val="-2"/>
          <w:lang w:val="en-GB"/>
        </w:rPr>
        <w:t>S&amp;I</w:t>
      </w:r>
      <w:r w:rsidR="00BB026C" w:rsidRPr="00FD44EB">
        <w:rPr>
          <w:spacing w:val="-2"/>
          <w:lang w:val="en-GB"/>
        </w:rPr>
        <w:t xml:space="preserve"> program</w:t>
      </w:r>
      <w:r w:rsidRPr="00FD44EB">
        <w:rPr>
          <w:spacing w:val="-2"/>
          <w:lang w:val="en-GB"/>
        </w:rPr>
        <w:t xml:space="preserve"> simplified KPN’s portfolio in 2014, reducing the number of propositions by 65 per cent in </w:t>
      </w:r>
      <w:r w:rsidR="00CD4C66" w:rsidRPr="00FD44EB">
        <w:rPr>
          <w:spacing w:val="-2"/>
          <w:lang w:val="en-GB"/>
        </w:rPr>
        <w:t xml:space="preserve">the </w:t>
      </w:r>
      <w:r w:rsidRPr="00FD44EB">
        <w:rPr>
          <w:spacing w:val="-2"/>
          <w:lang w:val="en-GB"/>
        </w:rPr>
        <w:t>consumer mobile</w:t>
      </w:r>
      <w:r w:rsidR="00CD4C66" w:rsidRPr="00FD44EB">
        <w:rPr>
          <w:spacing w:val="-2"/>
          <w:lang w:val="en-GB"/>
        </w:rPr>
        <w:t xml:space="preserve"> segment</w:t>
      </w:r>
      <w:r w:rsidRPr="00FD44EB">
        <w:rPr>
          <w:spacing w:val="-2"/>
          <w:lang w:val="en-GB"/>
        </w:rPr>
        <w:t xml:space="preserve"> and by 20 per cent in the business segment. This laid a solid foundation </w:t>
      </w:r>
      <w:r w:rsidR="00CD4C66" w:rsidRPr="00FD44EB">
        <w:rPr>
          <w:spacing w:val="-2"/>
          <w:lang w:val="en-GB"/>
        </w:rPr>
        <w:t xml:space="preserve">that allowed </w:t>
      </w:r>
      <w:proofErr w:type="gramStart"/>
      <w:r w:rsidR="00CD4C66" w:rsidRPr="00FD44EB">
        <w:rPr>
          <w:spacing w:val="-2"/>
          <w:lang w:val="en-GB"/>
        </w:rPr>
        <w:t>S&amp;I</w:t>
      </w:r>
      <w:proofErr w:type="gramEnd"/>
      <w:r w:rsidR="00CD4C66" w:rsidRPr="00FD44EB">
        <w:rPr>
          <w:spacing w:val="-2"/>
          <w:lang w:val="en-GB"/>
        </w:rPr>
        <w:t xml:space="preserve"> to </w:t>
      </w:r>
      <w:r w:rsidRPr="00FD44EB">
        <w:rPr>
          <w:spacing w:val="-2"/>
          <w:lang w:val="en-GB"/>
        </w:rPr>
        <w:t>rapidly</w:t>
      </w:r>
      <w:r w:rsidR="0077497D" w:rsidRPr="00FD44EB">
        <w:rPr>
          <w:spacing w:val="-2"/>
          <w:lang w:val="en-GB"/>
        </w:rPr>
        <w:t xml:space="preserve"> </w:t>
      </w:r>
      <w:r w:rsidR="00CD4C66" w:rsidRPr="00FD44EB">
        <w:rPr>
          <w:spacing w:val="-2"/>
          <w:lang w:val="en-GB"/>
        </w:rPr>
        <w:t xml:space="preserve">rationalize the company’s </w:t>
      </w:r>
      <w:r w:rsidRPr="00FD44EB">
        <w:rPr>
          <w:spacing w:val="-2"/>
          <w:lang w:val="en-GB"/>
        </w:rPr>
        <w:t>back-end processes and systems</w:t>
      </w:r>
      <w:r w:rsidR="00CD4C66" w:rsidRPr="00FD44EB">
        <w:rPr>
          <w:spacing w:val="-2"/>
          <w:lang w:val="en-GB"/>
        </w:rPr>
        <w:t>. T</w:t>
      </w:r>
      <w:r w:rsidRPr="00FD44EB">
        <w:rPr>
          <w:spacing w:val="-2"/>
          <w:lang w:val="en-GB"/>
        </w:rPr>
        <w:t>h</w:t>
      </w:r>
      <w:r w:rsidR="00CD4C66" w:rsidRPr="00FD44EB">
        <w:rPr>
          <w:spacing w:val="-2"/>
          <w:lang w:val="en-GB"/>
        </w:rPr>
        <w:t>is</w:t>
      </w:r>
      <w:r w:rsidRPr="00FD44EB">
        <w:rPr>
          <w:spacing w:val="-2"/>
          <w:lang w:val="en-GB"/>
        </w:rPr>
        <w:t xml:space="preserve"> also played </w:t>
      </w:r>
      <w:r w:rsidR="00CD4C66" w:rsidRPr="00FD44EB">
        <w:rPr>
          <w:spacing w:val="-2"/>
          <w:lang w:val="en-GB"/>
        </w:rPr>
        <w:t xml:space="preserve">a </w:t>
      </w:r>
      <w:r w:rsidRPr="00FD44EB">
        <w:rPr>
          <w:spacing w:val="-2"/>
          <w:lang w:val="en-GB"/>
        </w:rPr>
        <w:t xml:space="preserve">part in establishing S&amp;I Digital, as </w:t>
      </w:r>
      <w:proofErr w:type="spellStart"/>
      <w:r w:rsidRPr="00FD44EB">
        <w:rPr>
          <w:spacing w:val="-2"/>
          <w:lang w:val="en-GB"/>
        </w:rPr>
        <w:t>Hoving</w:t>
      </w:r>
      <w:proofErr w:type="spellEnd"/>
      <w:r w:rsidRPr="00FD44EB">
        <w:rPr>
          <w:spacing w:val="-2"/>
          <w:lang w:val="en-GB"/>
        </w:rPr>
        <w:t xml:space="preserve"> explained: </w:t>
      </w:r>
    </w:p>
    <w:p w14:paraId="672AA89A" w14:textId="77777777" w:rsidR="00F11C91" w:rsidRPr="00BC41B1" w:rsidRDefault="00F11C91" w:rsidP="00F11C91">
      <w:pPr>
        <w:pStyle w:val="BodyTextMain"/>
        <w:rPr>
          <w:spacing w:val="-2"/>
          <w:lang w:val="en-GB"/>
        </w:rPr>
      </w:pPr>
    </w:p>
    <w:p w14:paraId="6A9301E2" w14:textId="73A21B71" w:rsidR="00F11C91" w:rsidRPr="00FD44EB" w:rsidRDefault="00F11C91" w:rsidP="00F11C91">
      <w:pPr>
        <w:pStyle w:val="BodyTextMain"/>
        <w:ind w:left="720"/>
        <w:rPr>
          <w:spacing w:val="-2"/>
          <w:lang w:val="en-GB"/>
        </w:rPr>
      </w:pPr>
      <w:r w:rsidRPr="00FD44EB">
        <w:rPr>
          <w:spacing w:val="-2"/>
          <w:lang w:val="en-GB"/>
        </w:rPr>
        <w:t xml:space="preserve">That first year, the digital benefits were zero. I had to rationalize €100 million out of the IT budget. It was a painful exercise. IT </w:t>
      </w:r>
      <w:proofErr w:type="gramStart"/>
      <w:r w:rsidRPr="00FD44EB">
        <w:rPr>
          <w:spacing w:val="-2"/>
          <w:lang w:val="en-GB"/>
        </w:rPr>
        <w:t>didn’t</w:t>
      </w:r>
      <w:proofErr w:type="gramEnd"/>
      <w:r w:rsidRPr="00FD44EB">
        <w:rPr>
          <w:spacing w:val="-2"/>
          <w:lang w:val="en-GB"/>
        </w:rPr>
        <w:t xml:space="preserve"> have the best track record, and this certainly did not make us more popular with the business. Nevertheless, I decided to make another €20 million in savings. We used this to start up S&amp;I Digital. I </w:t>
      </w:r>
      <w:proofErr w:type="gramStart"/>
      <w:r w:rsidRPr="00FD44EB">
        <w:rPr>
          <w:spacing w:val="-2"/>
          <w:lang w:val="en-GB"/>
        </w:rPr>
        <w:t>didn’t</w:t>
      </w:r>
      <w:proofErr w:type="gramEnd"/>
      <w:r w:rsidRPr="00FD44EB">
        <w:rPr>
          <w:spacing w:val="-2"/>
          <w:lang w:val="en-GB"/>
        </w:rPr>
        <w:t xml:space="preserve"> explicitly ask for permission from the </w:t>
      </w:r>
      <w:r w:rsidR="00CD4C66" w:rsidRPr="00FD44EB">
        <w:rPr>
          <w:spacing w:val="-2"/>
          <w:lang w:val="en-GB"/>
        </w:rPr>
        <w:t>b</w:t>
      </w:r>
      <w:r w:rsidRPr="00FD44EB">
        <w:rPr>
          <w:spacing w:val="-2"/>
          <w:lang w:val="en-GB"/>
        </w:rPr>
        <w:t xml:space="preserve">oard, and they might not even have agreed. I simply felt that we had no choice, as we had promised our new digital talents autonomy. </w:t>
      </w:r>
    </w:p>
    <w:p w14:paraId="24BC2CD8" w14:textId="77777777" w:rsidR="00F11C91" w:rsidRPr="00BC41B1" w:rsidRDefault="00F11C91" w:rsidP="00F11C91">
      <w:pPr>
        <w:pStyle w:val="BodyTextMain"/>
        <w:rPr>
          <w:spacing w:val="-2"/>
          <w:lang w:val="en-GB"/>
        </w:rPr>
      </w:pPr>
    </w:p>
    <w:p w14:paraId="621129F7" w14:textId="428138E2" w:rsidR="00F11C91" w:rsidRPr="00FD44EB" w:rsidRDefault="00F11C91" w:rsidP="00F11C91">
      <w:pPr>
        <w:pStyle w:val="BodyTextMain"/>
        <w:rPr>
          <w:spacing w:val="-2"/>
          <w:lang w:val="en-GB"/>
        </w:rPr>
      </w:pPr>
      <w:r w:rsidRPr="00FD44EB">
        <w:rPr>
          <w:spacing w:val="-2"/>
          <w:lang w:val="en-GB"/>
        </w:rPr>
        <w:t xml:space="preserve">By 2015, every S&amp;I Digital developer had access to a virtual access layer of more than 300 APIs </w:t>
      </w:r>
      <w:r w:rsidR="00CD4C66" w:rsidRPr="00FD44EB">
        <w:rPr>
          <w:spacing w:val="-2"/>
          <w:lang w:val="en-GB"/>
        </w:rPr>
        <w:t xml:space="preserve">that exposed </w:t>
      </w:r>
      <w:r w:rsidRPr="00FD44EB">
        <w:rPr>
          <w:spacing w:val="-2"/>
          <w:lang w:val="en-GB"/>
        </w:rPr>
        <w:t xml:space="preserve">traditional KPN back-end services such as billing and customer analytics </w:t>
      </w:r>
      <w:r w:rsidR="0085035B" w:rsidRPr="00FD44EB">
        <w:rPr>
          <w:spacing w:val="-2"/>
          <w:lang w:val="en-GB"/>
        </w:rPr>
        <w:t>independent of</w:t>
      </w:r>
      <w:r w:rsidRPr="00FD44EB">
        <w:rPr>
          <w:spacing w:val="-2"/>
          <w:lang w:val="en-GB"/>
        </w:rPr>
        <w:t xml:space="preserve"> channel</w:t>
      </w:r>
      <w:r w:rsidR="0085035B" w:rsidRPr="00FD44EB">
        <w:rPr>
          <w:spacing w:val="-2"/>
          <w:lang w:val="en-GB"/>
        </w:rPr>
        <w:t xml:space="preserve">s </w:t>
      </w:r>
      <w:r w:rsidRPr="00FD44EB">
        <w:rPr>
          <w:spacing w:val="-2"/>
          <w:lang w:val="en-GB"/>
        </w:rPr>
        <w:t>and product</w:t>
      </w:r>
      <w:r w:rsidR="0085035B" w:rsidRPr="00FD44EB">
        <w:rPr>
          <w:spacing w:val="-2"/>
          <w:lang w:val="en-GB"/>
        </w:rPr>
        <w:t>s</w:t>
      </w:r>
      <w:r w:rsidRPr="00FD44EB">
        <w:rPr>
          <w:spacing w:val="-2"/>
          <w:lang w:val="en-GB"/>
        </w:rPr>
        <w:t xml:space="preserve">. This uniform software interface between the new world of digital channels and applications and the old </w:t>
      </w:r>
      <w:r w:rsidR="0085035B" w:rsidRPr="00FD44EB">
        <w:rPr>
          <w:spacing w:val="-2"/>
          <w:lang w:val="en-GB"/>
        </w:rPr>
        <w:t xml:space="preserve">world of </w:t>
      </w:r>
      <w:r w:rsidRPr="00FD44EB">
        <w:rPr>
          <w:spacing w:val="-2"/>
          <w:lang w:val="en-GB"/>
        </w:rPr>
        <w:t xml:space="preserve">telco </w:t>
      </w:r>
      <w:proofErr w:type="gramStart"/>
      <w:r w:rsidRPr="00FD44EB">
        <w:rPr>
          <w:spacing w:val="-2"/>
          <w:lang w:val="en-GB"/>
        </w:rPr>
        <w:t>services and processes effectively hid back-end complexity for S&amp;I Digital developers</w:t>
      </w:r>
      <w:proofErr w:type="gramEnd"/>
      <w:r w:rsidR="0085035B" w:rsidRPr="00FD44EB">
        <w:rPr>
          <w:spacing w:val="-2"/>
          <w:lang w:val="en-GB"/>
        </w:rPr>
        <w:t xml:space="preserve"> and</w:t>
      </w:r>
      <w:r w:rsidRPr="00FD44EB">
        <w:rPr>
          <w:spacing w:val="-2"/>
          <w:lang w:val="en-GB"/>
        </w:rPr>
        <w:t xml:space="preserve"> gave them the freedom to create a new </w:t>
      </w:r>
      <w:proofErr w:type="spellStart"/>
      <w:r w:rsidRPr="00FD44EB">
        <w:rPr>
          <w:spacing w:val="-2"/>
          <w:lang w:val="en-GB"/>
        </w:rPr>
        <w:t>omni</w:t>
      </w:r>
      <w:proofErr w:type="spellEnd"/>
      <w:r w:rsidRPr="00FD44EB">
        <w:rPr>
          <w:spacing w:val="-2"/>
          <w:lang w:val="en-GB"/>
        </w:rPr>
        <w:t>-channel experience</w:t>
      </w:r>
      <w:r w:rsidR="0085035B" w:rsidRPr="00FD44EB">
        <w:rPr>
          <w:spacing w:val="-2"/>
          <w:lang w:val="en-GB"/>
        </w:rPr>
        <w:t>, ONE KPN</w:t>
      </w:r>
      <w:r w:rsidRPr="00FD44EB">
        <w:rPr>
          <w:spacing w:val="-2"/>
          <w:lang w:val="en-GB"/>
        </w:rPr>
        <w:t xml:space="preserve">. </w:t>
      </w:r>
    </w:p>
    <w:p w14:paraId="4783DE38" w14:textId="77777777" w:rsidR="00F11C91" w:rsidRPr="00BC41B1" w:rsidRDefault="00F11C91" w:rsidP="00F11C91">
      <w:pPr>
        <w:pStyle w:val="BodyTextMain"/>
        <w:rPr>
          <w:spacing w:val="-2"/>
          <w:lang w:val="en-GB"/>
        </w:rPr>
      </w:pPr>
    </w:p>
    <w:p w14:paraId="28F0DCFE" w14:textId="0912D9CD" w:rsidR="00F11C91" w:rsidRPr="00FD44EB" w:rsidRDefault="00F11C91" w:rsidP="00F11C91">
      <w:pPr>
        <w:pStyle w:val="BodyTextMain"/>
        <w:rPr>
          <w:spacing w:val="-2"/>
          <w:lang w:val="en-GB"/>
        </w:rPr>
      </w:pPr>
      <w:r w:rsidRPr="00FD44EB">
        <w:rPr>
          <w:spacing w:val="-2"/>
          <w:lang w:val="en-GB"/>
        </w:rPr>
        <w:t xml:space="preserve">With </w:t>
      </w:r>
      <w:r w:rsidR="0085035B" w:rsidRPr="00FD44EB">
        <w:rPr>
          <w:spacing w:val="-2"/>
          <w:lang w:val="en-GB"/>
        </w:rPr>
        <w:t xml:space="preserve">this </w:t>
      </w:r>
      <w:r w:rsidRPr="00FD44EB">
        <w:rPr>
          <w:spacing w:val="-2"/>
          <w:lang w:val="en-GB"/>
        </w:rPr>
        <w:t xml:space="preserve">access layer in place, </w:t>
      </w:r>
      <w:proofErr w:type="spellStart"/>
      <w:r w:rsidRPr="00FD44EB">
        <w:rPr>
          <w:spacing w:val="-2"/>
          <w:lang w:val="en-GB"/>
        </w:rPr>
        <w:t>Hoving</w:t>
      </w:r>
      <w:proofErr w:type="spellEnd"/>
      <w:r w:rsidRPr="00FD44EB">
        <w:rPr>
          <w:spacing w:val="-2"/>
          <w:lang w:val="en-GB"/>
        </w:rPr>
        <w:t xml:space="preserve"> started a green-field transformation of the IT back</w:t>
      </w:r>
      <w:r w:rsidR="00D81685">
        <w:rPr>
          <w:spacing w:val="-2"/>
          <w:lang w:val="en-GB"/>
        </w:rPr>
        <w:t>-</w:t>
      </w:r>
      <w:r w:rsidRPr="00FD44EB">
        <w:rPr>
          <w:spacing w:val="-2"/>
          <w:lang w:val="en-GB"/>
        </w:rPr>
        <w:t xml:space="preserve">end. </w:t>
      </w:r>
      <w:r w:rsidR="0085035B" w:rsidRPr="00FD44EB">
        <w:rPr>
          <w:spacing w:val="-2"/>
          <w:lang w:val="en-GB"/>
        </w:rPr>
        <w:t xml:space="preserve">To simplify and standardize </w:t>
      </w:r>
      <w:r w:rsidRPr="00FD44EB">
        <w:rPr>
          <w:spacing w:val="-2"/>
          <w:lang w:val="en-GB"/>
        </w:rPr>
        <w:t>process</w:t>
      </w:r>
      <w:r w:rsidR="0085035B" w:rsidRPr="00FD44EB">
        <w:rPr>
          <w:spacing w:val="-2"/>
          <w:lang w:val="en-GB"/>
        </w:rPr>
        <w:t>es</w:t>
      </w:r>
      <w:r w:rsidRPr="00FD44EB">
        <w:rPr>
          <w:spacing w:val="-2"/>
          <w:lang w:val="en-GB"/>
        </w:rPr>
        <w:t xml:space="preserve">, they used </w:t>
      </w:r>
      <w:r w:rsidR="0085035B" w:rsidRPr="00FD44EB">
        <w:rPr>
          <w:spacing w:val="-2"/>
          <w:lang w:val="en-GB"/>
        </w:rPr>
        <w:t>an e</w:t>
      </w:r>
      <w:r w:rsidRPr="00FD44EB">
        <w:rPr>
          <w:spacing w:val="-2"/>
          <w:lang w:val="en-GB"/>
        </w:rPr>
        <w:t xml:space="preserve">nhanced </w:t>
      </w:r>
      <w:r w:rsidR="0085035B" w:rsidRPr="00FD44EB">
        <w:rPr>
          <w:spacing w:val="-2"/>
          <w:lang w:val="en-GB"/>
        </w:rPr>
        <w:t>t</w:t>
      </w:r>
      <w:r w:rsidRPr="00FD44EB">
        <w:rPr>
          <w:spacing w:val="-2"/>
          <w:lang w:val="en-GB"/>
        </w:rPr>
        <w:t xml:space="preserve">elecom </w:t>
      </w:r>
      <w:r w:rsidR="0085035B" w:rsidRPr="00FD44EB">
        <w:rPr>
          <w:spacing w:val="-2"/>
          <w:lang w:val="en-GB"/>
        </w:rPr>
        <w:t>o</w:t>
      </w:r>
      <w:r w:rsidRPr="00FD44EB">
        <w:rPr>
          <w:spacing w:val="-2"/>
          <w:lang w:val="en-GB"/>
        </w:rPr>
        <w:t xml:space="preserve">perations </w:t>
      </w:r>
      <w:r w:rsidR="0085035B" w:rsidRPr="00FD44EB">
        <w:rPr>
          <w:spacing w:val="-2"/>
          <w:lang w:val="en-GB"/>
        </w:rPr>
        <w:t>m</w:t>
      </w:r>
      <w:r w:rsidRPr="00FD44EB">
        <w:rPr>
          <w:spacing w:val="-2"/>
          <w:lang w:val="en-GB"/>
        </w:rPr>
        <w:t>ap (</w:t>
      </w:r>
      <w:proofErr w:type="spellStart"/>
      <w:r w:rsidRPr="00FD44EB">
        <w:rPr>
          <w:spacing w:val="-2"/>
          <w:lang w:val="en-GB"/>
        </w:rPr>
        <w:t>eTOM</w:t>
      </w:r>
      <w:proofErr w:type="spellEnd"/>
      <w:r w:rsidRPr="00FD44EB">
        <w:rPr>
          <w:spacing w:val="-2"/>
          <w:lang w:val="en-GB"/>
        </w:rPr>
        <w:t>) framework</w:t>
      </w:r>
      <w:r w:rsidR="0085035B" w:rsidRPr="00FD44EB">
        <w:rPr>
          <w:spacing w:val="-2"/>
          <w:lang w:val="en-GB"/>
        </w:rPr>
        <w:t xml:space="preserve"> from TM Forum,</w:t>
      </w:r>
      <w:r w:rsidR="0085035B" w:rsidRPr="00FD44EB">
        <w:rPr>
          <w:rStyle w:val="FootnoteReference"/>
          <w:spacing w:val="-2"/>
          <w:lang w:val="en-GB"/>
        </w:rPr>
        <w:footnoteReference w:id="8"/>
      </w:r>
      <w:r w:rsidRPr="00FD44EB">
        <w:rPr>
          <w:spacing w:val="-2"/>
          <w:lang w:val="en-GB"/>
        </w:rPr>
        <w:t xml:space="preserve"> </w:t>
      </w:r>
      <w:r w:rsidR="0085035B" w:rsidRPr="00FD44EB">
        <w:rPr>
          <w:spacing w:val="-2"/>
          <w:lang w:val="en-GB"/>
        </w:rPr>
        <w:t xml:space="preserve">combining this </w:t>
      </w:r>
      <w:r w:rsidRPr="00FD44EB">
        <w:rPr>
          <w:spacing w:val="-2"/>
          <w:lang w:val="en-GB"/>
        </w:rPr>
        <w:t>comprehensive, industry-agreed business process and service blueprint</w:t>
      </w:r>
      <w:r w:rsidR="0085035B" w:rsidRPr="00FD44EB">
        <w:rPr>
          <w:spacing w:val="-2"/>
          <w:lang w:val="en-GB"/>
        </w:rPr>
        <w:t xml:space="preserve"> with their</w:t>
      </w:r>
      <w:r w:rsidRPr="00FD44EB">
        <w:rPr>
          <w:spacing w:val="-2"/>
          <w:lang w:val="en-GB"/>
        </w:rPr>
        <w:t xml:space="preserve"> own customer journey designs. This </w:t>
      </w:r>
      <w:r w:rsidR="0085035B" w:rsidRPr="00FD44EB">
        <w:rPr>
          <w:spacing w:val="-2"/>
          <w:lang w:val="en-GB"/>
        </w:rPr>
        <w:t>gave</w:t>
      </w:r>
      <w:r w:rsidRPr="00FD44EB">
        <w:rPr>
          <w:spacing w:val="-2"/>
          <w:lang w:val="en-GB"/>
        </w:rPr>
        <w:t xml:space="preserve"> rise to </w:t>
      </w:r>
      <w:r w:rsidR="0085035B" w:rsidRPr="00FD44EB">
        <w:rPr>
          <w:spacing w:val="-2"/>
          <w:lang w:val="en-GB"/>
        </w:rPr>
        <w:t xml:space="preserve">a unique </w:t>
      </w:r>
      <w:r w:rsidRPr="00FD44EB">
        <w:rPr>
          <w:spacing w:val="-2"/>
          <w:lang w:val="en-GB"/>
        </w:rPr>
        <w:t xml:space="preserve">KPN process framework. KPN chose its implementation partners according to their expertise, </w:t>
      </w:r>
      <w:proofErr w:type="gramStart"/>
      <w:r w:rsidRPr="00FD44EB">
        <w:rPr>
          <w:spacing w:val="-2"/>
          <w:lang w:val="en-GB"/>
        </w:rPr>
        <w:t>track record</w:t>
      </w:r>
      <w:r w:rsidR="0085035B" w:rsidRPr="00FD44EB">
        <w:rPr>
          <w:spacing w:val="-2"/>
          <w:lang w:val="en-GB"/>
        </w:rPr>
        <w:t>s</w:t>
      </w:r>
      <w:proofErr w:type="gramEnd"/>
      <w:r w:rsidRPr="00FD44EB">
        <w:rPr>
          <w:spacing w:val="-2"/>
          <w:lang w:val="en-GB"/>
        </w:rPr>
        <w:t>, co-creation ability</w:t>
      </w:r>
      <w:r w:rsidR="00671194" w:rsidRPr="00FD44EB">
        <w:rPr>
          <w:spacing w:val="-2"/>
          <w:lang w:val="en-GB"/>
        </w:rPr>
        <w:t xml:space="preserve">, and </w:t>
      </w:r>
      <w:r w:rsidR="00BB026C" w:rsidRPr="00FD44EB">
        <w:rPr>
          <w:spacing w:val="-2"/>
          <w:lang w:val="en-GB"/>
        </w:rPr>
        <w:t>likelihood</w:t>
      </w:r>
      <w:r w:rsidR="00671194" w:rsidRPr="00FD44EB">
        <w:rPr>
          <w:spacing w:val="-2"/>
          <w:lang w:val="en-GB"/>
        </w:rPr>
        <w:t xml:space="preserve"> to </w:t>
      </w:r>
      <w:r w:rsidRPr="00FD44EB">
        <w:rPr>
          <w:spacing w:val="-2"/>
          <w:lang w:val="en-GB"/>
        </w:rPr>
        <w:t>accelerat</w:t>
      </w:r>
      <w:r w:rsidR="00671194" w:rsidRPr="00FD44EB">
        <w:rPr>
          <w:spacing w:val="-2"/>
          <w:lang w:val="en-GB"/>
        </w:rPr>
        <w:t xml:space="preserve">e </w:t>
      </w:r>
      <w:r w:rsidR="00BB026C" w:rsidRPr="00FD44EB">
        <w:rPr>
          <w:spacing w:val="-2"/>
          <w:lang w:val="en-GB"/>
        </w:rPr>
        <w:t xml:space="preserve">KPN’s </w:t>
      </w:r>
      <w:r w:rsidRPr="00FD44EB">
        <w:rPr>
          <w:spacing w:val="-2"/>
          <w:lang w:val="en-GB"/>
        </w:rPr>
        <w:t>learning curve</w:t>
      </w:r>
      <w:r w:rsidR="00671194" w:rsidRPr="00FD44EB">
        <w:rPr>
          <w:spacing w:val="-2"/>
          <w:lang w:val="en-GB"/>
        </w:rPr>
        <w:t>s</w:t>
      </w:r>
      <w:r w:rsidRPr="00FD44EB">
        <w:rPr>
          <w:spacing w:val="-2"/>
          <w:lang w:val="en-GB"/>
        </w:rPr>
        <w:t xml:space="preserve">. </w:t>
      </w:r>
      <w:proofErr w:type="spellStart"/>
      <w:r w:rsidR="00671194" w:rsidRPr="00FD44EB">
        <w:rPr>
          <w:spacing w:val="-2"/>
          <w:lang w:val="en-GB"/>
        </w:rPr>
        <w:t>Hoving’s</w:t>
      </w:r>
      <w:proofErr w:type="spellEnd"/>
      <w:r w:rsidR="00671194" w:rsidRPr="00FD44EB">
        <w:rPr>
          <w:spacing w:val="-2"/>
          <w:lang w:val="en-GB"/>
        </w:rPr>
        <w:t xml:space="preserve"> team</w:t>
      </w:r>
      <w:r w:rsidRPr="00FD44EB">
        <w:rPr>
          <w:spacing w:val="-2"/>
          <w:lang w:val="en-GB"/>
        </w:rPr>
        <w:t xml:space="preserve"> agreed with S&amp;I Digital that the APIs </w:t>
      </w:r>
      <w:proofErr w:type="gramStart"/>
      <w:r w:rsidRPr="00FD44EB">
        <w:rPr>
          <w:spacing w:val="-2"/>
          <w:lang w:val="en-GB"/>
        </w:rPr>
        <w:t>would be frozen</w:t>
      </w:r>
      <w:proofErr w:type="gramEnd"/>
      <w:r w:rsidRPr="00FD44EB">
        <w:rPr>
          <w:spacing w:val="-2"/>
          <w:lang w:val="en-GB"/>
        </w:rPr>
        <w:t xml:space="preserve"> for one year, after which they could be further optimized based on the progress made in the IT back</w:t>
      </w:r>
      <w:r w:rsidR="00671194" w:rsidRPr="00FD44EB">
        <w:rPr>
          <w:spacing w:val="-2"/>
          <w:lang w:val="en-GB"/>
        </w:rPr>
        <w:t xml:space="preserve"> </w:t>
      </w:r>
      <w:r w:rsidRPr="00FD44EB">
        <w:rPr>
          <w:spacing w:val="-2"/>
          <w:lang w:val="en-GB"/>
        </w:rPr>
        <w:t xml:space="preserve">end. In contrast to the agile, continuous development model S&amp;I Digital </w:t>
      </w:r>
      <w:r w:rsidR="00671194" w:rsidRPr="00FD44EB">
        <w:rPr>
          <w:spacing w:val="-2"/>
          <w:lang w:val="en-GB"/>
        </w:rPr>
        <w:t xml:space="preserve">adopted </w:t>
      </w:r>
      <w:r w:rsidRPr="00FD44EB">
        <w:rPr>
          <w:spacing w:val="-2"/>
          <w:lang w:val="en-GB"/>
        </w:rPr>
        <w:t xml:space="preserve">for releasing new software features, the back-end transformation followed a more traditional, waterfall approach. </w:t>
      </w:r>
    </w:p>
    <w:p w14:paraId="3B5ABD29" w14:textId="77777777" w:rsidR="00F11C91" w:rsidRPr="00BC41B1" w:rsidRDefault="00F11C91" w:rsidP="00F11C91">
      <w:pPr>
        <w:pStyle w:val="BodyTextMain"/>
        <w:rPr>
          <w:spacing w:val="-2"/>
          <w:lang w:val="en-GB"/>
        </w:rPr>
      </w:pPr>
    </w:p>
    <w:p w14:paraId="2317B346" w14:textId="163EBE89" w:rsidR="00F11C91" w:rsidRPr="00FD44EB" w:rsidRDefault="00F11C91" w:rsidP="00F11C91">
      <w:pPr>
        <w:pStyle w:val="BodyTextMain"/>
        <w:rPr>
          <w:spacing w:val="-2"/>
          <w:lang w:val="en-GB"/>
        </w:rPr>
      </w:pPr>
      <w:r w:rsidRPr="00FD44EB">
        <w:rPr>
          <w:spacing w:val="-2"/>
          <w:lang w:val="en-GB"/>
        </w:rPr>
        <w:t xml:space="preserve">KPN </w:t>
      </w:r>
      <w:r w:rsidR="00671194" w:rsidRPr="00FD44EB">
        <w:rPr>
          <w:spacing w:val="-2"/>
          <w:lang w:val="en-GB"/>
        </w:rPr>
        <w:t>inst</w:t>
      </w:r>
      <w:r w:rsidR="00787B5F" w:rsidRPr="00FD44EB">
        <w:rPr>
          <w:spacing w:val="-2"/>
          <w:lang w:val="en-GB"/>
        </w:rPr>
        <w:t>itu</w:t>
      </w:r>
      <w:r w:rsidR="00671194" w:rsidRPr="00FD44EB">
        <w:rPr>
          <w:spacing w:val="-2"/>
          <w:lang w:val="en-GB"/>
        </w:rPr>
        <w:t xml:space="preserve">ted </w:t>
      </w:r>
      <w:r w:rsidRPr="00FD44EB">
        <w:rPr>
          <w:spacing w:val="-2"/>
          <w:lang w:val="en-GB"/>
        </w:rPr>
        <w:t xml:space="preserve">a three-year </w:t>
      </w:r>
      <w:r w:rsidR="00671194" w:rsidRPr="00FD44EB">
        <w:rPr>
          <w:spacing w:val="-2"/>
          <w:lang w:val="en-GB"/>
        </w:rPr>
        <w:t xml:space="preserve">freeze </w:t>
      </w:r>
      <w:r w:rsidRPr="00FD44EB">
        <w:rPr>
          <w:spacing w:val="-2"/>
          <w:lang w:val="en-GB"/>
        </w:rPr>
        <w:t>on new product launches</w:t>
      </w:r>
      <w:r w:rsidR="00671194" w:rsidRPr="00FD44EB">
        <w:rPr>
          <w:spacing w:val="-2"/>
          <w:lang w:val="en-GB"/>
        </w:rPr>
        <w:t>—</w:t>
      </w:r>
      <w:r w:rsidRPr="00FD44EB">
        <w:rPr>
          <w:spacing w:val="-2"/>
          <w:lang w:val="en-GB"/>
        </w:rPr>
        <w:t>until the end of 2016</w:t>
      </w:r>
      <w:r w:rsidR="00671194" w:rsidRPr="00FD44EB">
        <w:rPr>
          <w:spacing w:val="-2"/>
          <w:lang w:val="en-GB"/>
        </w:rPr>
        <w:t>—</w:t>
      </w:r>
      <w:r w:rsidRPr="00FD44EB">
        <w:rPr>
          <w:spacing w:val="-2"/>
          <w:lang w:val="en-GB"/>
        </w:rPr>
        <w:t xml:space="preserve">while </w:t>
      </w:r>
      <w:r w:rsidR="00BB026C" w:rsidRPr="00FD44EB">
        <w:rPr>
          <w:spacing w:val="-2"/>
          <w:lang w:val="en-GB"/>
        </w:rPr>
        <w:t xml:space="preserve">the </w:t>
      </w:r>
      <w:r w:rsidRPr="00FD44EB">
        <w:rPr>
          <w:spacing w:val="-2"/>
          <w:lang w:val="en-GB"/>
        </w:rPr>
        <w:t>S&amp;I</w:t>
      </w:r>
      <w:r w:rsidR="00BB026C" w:rsidRPr="00FD44EB">
        <w:rPr>
          <w:spacing w:val="-2"/>
          <w:lang w:val="en-GB"/>
        </w:rPr>
        <w:t xml:space="preserve"> program</w:t>
      </w:r>
      <w:r w:rsidRPr="00FD44EB">
        <w:rPr>
          <w:spacing w:val="-2"/>
          <w:lang w:val="en-GB"/>
        </w:rPr>
        <w:t xml:space="preserve"> radically simplified products, processes</w:t>
      </w:r>
      <w:r w:rsidR="00671194" w:rsidRPr="00FD44EB">
        <w:rPr>
          <w:spacing w:val="-2"/>
          <w:lang w:val="en-GB"/>
        </w:rPr>
        <w:t>,</w:t>
      </w:r>
      <w:r w:rsidRPr="00FD44EB">
        <w:rPr>
          <w:spacing w:val="-2"/>
          <w:lang w:val="en-GB"/>
        </w:rPr>
        <w:t xml:space="preserve"> and systems. </w:t>
      </w:r>
      <w:proofErr w:type="spellStart"/>
      <w:r w:rsidRPr="00FD44EB">
        <w:rPr>
          <w:spacing w:val="-2"/>
          <w:lang w:val="en-GB"/>
        </w:rPr>
        <w:t>Hoving</w:t>
      </w:r>
      <w:proofErr w:type="spellEnd"/>
      <w:r w:rsidRPr="00FD44EB">
        <w:rPr>
          <w:spacing w:val="-2"/>
          <w:lang w:val="en-GB"/>
        </w:rPr>
        <w:t xml:space="preserve"> admitted </w:t>
      </w:r>
      <w:r w:rsidR="00671194" w:rsidRPr="00FD44EB">
        <w:rPr>
          <w:spacing w:val="-2"/>
          <w:lang w:val="en-GB"/>
        </w:rPr>
        <w:t xml:space="preserve">this </w:t>
      </w:r>
      <w:r w:rsidRPr="00FD44EB">
        <w:rPr>
          <w:spacing w:val="-2"/>
          <w:lang w:val="en-GB"/>
        </w:rPr>
        <w:t xml:space="preserve">was a risky decision for a traditional product-oriented telco: </w:t>
      </w:r>
    </w:p>
    <w:p w14:paraId="5F45550D" w14:textId="2EDF3558" w:rsidR="00F11C91" w:rsidRDefault="00F11C91" w:rsidP="00F11C91">
      <w:pPr>
        <w:pStyle w:val="BodyTextMain"/>
        <w:rPr>
          <w:spacing w:val="-2"/>
          <w:lang w:val="en-GB"/>
        </w:rPr>
      </w:pPr>
    </w:p>
    <w:p w14:paraId="440E43D8" w14:textId="77777777" w:rsidR="00BC41B1" w:rsidRPr="00BC41B1" w:rsidRDefault="00BC41B1" w:rsidP="00F11C91">
      <w:pPr>
        <w:pStyle w:val="BodyTextMain"/>
        <w:rPr>
          <w:spacing w:val="-2"/>
          <w:lang w:val="en-GB"/>
        </w:rPr>
      </w:pPr>
    </w:p>
    <w:p w14:paraId="01DCBEA6" w14:textId="52108970" w:rsidR="00F11C91" w:rsidRPr="00BC41B1" w:rsidRDefault="00F11C91" w:rsidP="00F11C91">
      <w:pPr>
        <w:pStyle w:val="BodyTextMain"/>
        <w:ind w:left="720"/>
        <w:rPr>
          <w:lang w:val="en-GB"/>
        </w:rPr>
      </w:pPr>
      <w:r w:rsidRPr="00BC41B1">
        <w:rPr>
          <w:lang w:val="en-GB"/>
        </w:rPr>
        <w:lastRenderedPageBreak/>
        <w:t xml:space="preserve">Portfolio simplification risked dramatically affecting product lines and revenues. However, we spent a lot of </w:t>
      </w:r>
      <w:proofErr w:type="gramStart"/>
      <w:r w:rsidRPr="00BC41B1">
        <w:rPr>
          <w:lang w:val="en-GB"/>
        </w:rPr>
        <w:t>time sharing</w:t>
      </w:r>
      <w:proofErr w:type="gramEnd"/>
      <w:r w:rsidRPr="00BC41B1">
        <w:rPr>
          <w:lang w:val="en-GB"/>
        </w:rPr>
        <w:t xml:space="preserve"> details with the business units about the program and the commercial possibilities. For example, simplifying the portfolio could help us to gain market share because it facilitated sales. Simplifying processes would allow us to cut quad-play order handling from half an hour to minutes in our retail stores. In fact, we saw the NPS very quickly go up and we reversed the negative trend for retail market shares.</w:t>
      </w:r>
    </w:p>
    <w:p w14:paraId="5F757E27" w14:textId="1A0ED463" w:rsidR="00BC41B1" w:rsidRPr="00BC41B1" w:rsidRDefault="00BC41B1" w:rsidP="00BC41B1">
      <w:pPr>
        <w:pStyle w:val="BodyTextMain"/>
      </w:pPr>
    </w:p>
    <w:p w14:paraId="45F69A07" w14:textId="77777777" w:rsidR="00BC41B1" w:rsidRPr="00BC41B1" w:rsidRDefault="00BC41B1" w:rsidP="00BC41B1">
      <w:pPr>
        <w:pStyle w:val="BodyTextMain"/>
      </w:pPr>
    </w:p>
    <w:p w14:paraId="04BCA4A4" w14:textId="47073D80" w:rsidR="00F11C91" w:rsidRPr="0077490E" w:rsidRDefault="00F11C91" w:rsidP="00FD44EB">
      <w:pPr>
        <w:pStyle w:val="Casehead1"/>
        <w:keepNext/>
        <w:rPr>
          <w:spacing w:val="-4"/>
          <w:lang w:val="en-GB"/>
        </w:rPr>
      </w:pPr>
      <w:r w:rsidRPr="0077490E">
        <w:rPr>
          <w:spacing w:val="-4"/>
          <w:lang w:val="en-GB"/>
        </w:rPr>
        <w:t>a new organization</w:t>
      </w:r>
    </w:p>
    <w:p w14:paraId="5404DDAD" w14:textId="77777777" w:rsidR="00F11C91" w:rsidRPr="0077490E" w:rsidRDefault="00F11C91" w:rsidP="00FD44EB">
      <w:pPr>
        <w:pStyle w:val="BodyTextMain"/>
        <w:keepNext/>
        <w:rPr>
          <w:spacing w:val="-4"/>
          <w:lang w:val="en-GB"/>
        </w:rPr>
      </w:pPr>
    </w:p>
    <w:p w14:paraId="59B9153B" w14:textId="5C2AF184" w:rsidR="00F11C91" w:rsidRPr="0077490E" w:rsidRDefault="00F11C91" w:rsidP="00FD44EB">
      <w:pPr>
        <w:pStyle w:val="BodyTextMain"/>
        <w:keepNext/>
        <w:rPr>
          <w:spacing w:val="-4"/>
          <w:lang w:val="en-GB"/>
        </w:rPr>
      </w:pPr>
      <w:r w:rsidRPr="0077490E">
        <w:rPr>
          <w:spacing w:val="-4"/>
          <w:lang w:val="en-GB"/>
        </w:rPr>
        <w:t xml:space="preserve">To implement its strategy faster, KPN launched a new functional organization (see Exhibit 6) at the start of 2016. This simpler and flatter structure was the result of several months of extensive reviews and discussions. Blok explained to KPN employees </w:t>
      </w:r>
      <w:r w:rsidR="00671194" w:rsidRPr="0077490E">
        <w:rPr>
          <w:spacing w:val="-4"/>
          <w:lang w:val="en-GB"/>
        </w:rPr>
        <w:t xml:space="preserve">that </w:t>
      </w:r>
      <w:r w:rsidRPr="0077490E">
        <w:rPr>
          <w:spacing w:val="-4"/>
          <w:lang w:val="en-GB"/>
        </w:rPr>
        <w:t>the new organization was integral to KPN’s vision for 2020 (see Exhibit 7</w:t>
      </w:r>
      <w:r w:rsidR="00671194" w:rsidRPr="0077490E">
        <w:rPr>
          <w:spacing w:val="-4"/>
          <w:lang w:val="en-GB"/>
        </w:rPr>
        <w:t>) for the following reasons</w:t>
      </w:r>
      <w:r w:rsidRPr="0077490E">
        <w:rPr>
          <w:spacing w:val="-4"/>
          <w:lang w:val="en-GB"/>
        </w:rPr>
        <w:t>:</w:t>
      </w:r>
    </w:p>
    <w:p w14:paraId="2C705B0A" w14:textId="77777777" w:rsidR="00F11C91" w:rsidRPr="0077490E" w:rsidRDefault="00F11C91" w:rsidP="00F11C91">
      <w:pPr>
        <w:pStyle w:val="BodyTextMain"/>
        <w:rPr>
          <w:spacing w:val="-4"/>
          <w:lang w:val="en-GB"/>
        </w:rPr>
      </w:pPr>
    </w:p>
    <w:p w14:paraId="6D6169F8" w14:textId="2CD41E50" w:rsidR="00F11C91" w:rsidRPr="0077490E" w:rsidRDefault="00F11C91" w:rsidP="00F11C91">
      <w:pPr>
        <w:pStyle w:val="BodyTextMain"/>
        <w:ind w:left="720"/>
        <w:rPr>
          <w:spacing w:val="-4"/>
          <w:lang w:val="en-GB"/>
        </w:rPr>
      </w:pPr>
      <w:r w:rsidRPr="0077490E">
        <w:rPr>
          <w:spacing w:val="-4"/>
          <w:lang w:val="en-GB"/>
        </w:rPr>
        <w:t>We need breakthroughs in NPS and cost levels now. This will not happen if we continue to optimize locally. We need a fundamental business transformation, aligning customer, organization, employee</w:t>
      </w:r>
      <w:r w:rsidR="00671194" w:rsidRPr="0077490E">
        <w:rPr>
          <w:spacing w:val="-4"/>
          <w:lang w:val="en-GB"/>
        </w:rPr>
        <w:t>,</w:t>
      </w:r>
      <w:r w:rsidRPr="0077490E">
        <w:rPr>
          <w:spacing w:val="-4"/>
          <w:lang w:val="en-GB"/>
        </w:rPr>
        <w:t xml:space="preserve"> and financial perspectives. </w:t>
      </w:r>
      <w:proofErr w:type="gramStart"/>
      <w:r w:rsidRPr="0077490E">
        <w:rPr>
          <w:spacing w:val="-4"/>
          <w:lang w:val="en-GB"/>
        </w:rPr>
        <w:t>That is why we are moving to a simpler, process-driven organization</w:t>
      </w:r>
      <w:r w:rsidR="00D81685">
        <w:rPr>
          <w:spacing w:val="-4"/>
          <w:lang w:val="en-GB"/>
        </w:rPr>
        <w:t>;</w:t>
      </w:r>
      <w:r w:rsidRPr="0077490E">
        <w:rPr>
          <w:spacing w:val="-4"/>
          <w:lang w:val="en-GB"/>
        </w:rPr>
        <w:t xml:space="preserve"> one that uses customer requirements as the only reason for differentiation.</w:t>
      </w:r>
      <w:proofErr w:type="gramEnd"/>
      <w:r w:rsidRPr="0077490E">
        <w:rPr>
          <w:spacing w:val="-4"/>
          <w:lang w:val="en-GB"/>
        </w:rPr>
        <w:t xml:space="preserve"> The customer journey and our KPN process framework will be paramount</w:t>
      </w:r>
      <w:r w:rsidR="00671194" w:rsidRPr="0077490E">
        <w:rPr>
          <w:spacing w:val="-4"/>
          <w:lang w:val="en-GB"/>
        </w:rPr>
        <w:t>,</w:t>
      </w:r>
      <w:r w:rsidRPr="0077490E">
        <w:rPr>
          <w:spacing w:val="-4"/>
          <w:lang w:val="en-GB"/>
        </w:rPr>
        <w:t xml:space="preserve"> and collaboration will be essential across departments and throughout the value chains.</w:t>
      </w:r>
    </w:p>
    <w:p w14:paraId="5611F75A" w14:textId="77777777" w:rsidR="00671194" w:rsidRPr="003F725D" w:rsidRDefault="00671194" w:rsidP="003F725D">
      <w:pPr>
        <w:pStyle w:val="BodyTextMain"/>
      </w:pPr>
    </w:p>
    <w:p w14:paraId="0E382ED8" w14:textId="1A6D502E" w:rsidR="00F11C91" w:rsidRPr="0077490E" w:rsidRDefault="00F11C91" w:rsidP="00F11C91">
      <w:pPr>
        <w:pStyle w:val="BodyTextMain"/>
        <w:rPr>
          <w:lang w:val="en-GB"/>
        </w:rPr>
      </w:pPr>
      <w:r w:rsidRPr="0077490E">
        <w:rPr>
          <w:lang w:val="en-GB"/>
        </w:rPr>
        <w:t xml:space="preserve">All departments performing similar work that used to be separated by, for example, brand or </w:t>
      </w:r>
      <w:proofErr w:type="gramStart"/>
      <w:r w:rsidRPr="0077490E">
        <w:rPr>
          <w:lang w:val="en-GB"/>
        </w:rPr>
        <w:t>market</w:t>
      </w:r>
      <w:r w:rsidR="00671194" w:rsidRPr="0077490E">
        <w:rPr>
          <w:lang w:val="en-GB"/>
        </w:rPr>
        <w:t>,</w:t>
      </w:r>
      <w:proofErr w:type="gramEnd"/>
      <w:r w:rsidRPr="0077490E">
        <w:rPr>
          <w:lang w:val="en-GB"/>
        </w:rPr>
        <w:t xml:space="preserve"> were grouped, and several management layers representing “unnecessary complexity” </w:t>
      </w:r>
      <w:r w:rsidR="00671194" w:rsidRPr="0077490E">
        <w:rPr>
          <w:lang w:val="en-GB"/>
        </w:rPr>
        <w:t xml:space="preserve">were </w:t>
      </w:r>
      <w:r w:rsidRPr="0077490E">
        <w:rPr>
          <w:lang w:val="en-GB"/>
        </w:rPr>
        <w:t xml:space="preserve">eliminated. </w:t>
      </w:r>
      <w:bookmarkStart w:id="2" w:name="_Hlk535476360"/>
      <w:r w:rsidRPr="0077490E">
        <w:rPr>
          <w:lang w:val="en-GB"/>
        </w:rPr>
        <w:t xml:space="preserve">Three new central departments </w:t>
      </w:r>
      <w:proofErr w:type="gramStart"/>
      <w:r w:rsidRPr="0077490E">
        <w:rPr>
          <w:lang w:val="en-GB"/>
        </w:rPr>
        <w:t>were created</w:t>
      </w:r>
      <w:proofErr w:type="gramEnd"/>
      <w:r w:rsidRPr="0077490E">
        <w:rPr>
          <w:lang w:val="en-GB"/>
        </w:rPr>
        <w:t xml:space="preserve"> under the </w:t>
      </w:r>
      <w:r w:rsidR="00671194" w:rsidRPr="0077490E">
        <w:rPr>
          <w:lang w:val="en-GB"/>
        </w:rPr>
        <w:t xml:space="preserve">chief commercial officer </w:t>
      </w:r>
      <w:r w:rsidRPr="0077490E">
        <w:rPr>
          <w:lang w:val="en-GB"/>
        </w:rPr>
        <w:t>(CCO), who reported directly to the CEO</w:t>
      </w:r>
      <w:r w:rsidR="00671194" w:rsidRPr="0077490E">
        <w:rPr>
          <w:lang w:val="en-GB"/>
        </w:rPr>
        <w:t xml:space="preserve">. These units, which operated as competence centres, were </w:t>
      </w:r>
      <w:r w:rsidRPr="0077490E">
        <w:rPr>
          <w:lang w:val="en-GB"/>
        </w:rPr>
        <w:t xml:space="preserve">Customer Experience, Data </w:t>
      </w:r>
      <w:r w:rsidR="00671194" w:rsidRPr="0077490E">
        <w:rPr>
          <w:lang w:val="en-GB"/>
        </w:rPr>
        <w:t xml:space="preserve">and </w:t>
      </w:r>
      <w:r w:rsidRPr="0077490E">
        <w:rPr>
          <w:lang w:val="en-GB"/>
        </w:rPr>
        <w:t xml:space="preserve">Analytics, and New Business. </w:t>
      </w:r>
      <w:r w:rsidR="00671194" w:rsidRPr="0077490E">
        <w:rPr>
          <w:lang w:val="en-GB"/>
        </w:rPr>
        <w:t>T</w:t>
      </w:r>
      <w:r w:rsidRPr="0077490E">
        <w:rPr>
          <w:lang w:val="en-GB"/>
        </w:rPr>
        <w:t xml:space="preserve">hey </w:t>
      </w:r>
      <w:proofErr w:type="gramStart"/>
      <w:r w:rsidRPr="0077490E">
        <w:rPr>
          <w:lang w:val="en-GB"/>
        </w:rPr>
        <w:t>were expected</w:t>
      </w:r>
      <w:proofErr w:type="gramEnd"/>
      <w:r w:rsidRPr="0077490E">
        <w:rPr>
          <w:lang w:val="en-GB"/>
        </w:rPr>
        <w:t xml:space="preserve"> to make expertise and tools </w:t>
      </w:r>
      <w:r w:rsidR="009207C7" w:rsidRPr="0077490E">
        <w:rPr>
          <w:lang w:val="en-GB"/>
        </w:rPr>
        <w:t xml:space="preserve">(e.g., design thinking and advanced analytics) </w:t>
      </w:r>
      <w:r w:rsidRPr="0077490E">
        <w:rPr>
          <w:lang w:val="en-GB"/>
        </w:rPr>
        <w:t xml:space="preserve">available to all employees, to orchestrate initiatives </w:t>
      </w:r>
      <w:r w:rsidR="009207C7" w:rsidRPr="0077490E">
        <w:rPr>
          <w:lang w:val="en-GB"/>
        </w:rPr>
        <w:t xml:space="preserve">across </w:t>
      </w:r>
      <w:r w:rsidRPr="0077490E">
        <w:rPr>
          <w:lang w:val="en-GB"/>
        </w:rPr>
        <w:t xml:space="preserve">KPN, to promote key perspectives in all discussions, and to stimulate grassroots initiatives for new, agile ways of working. Erik </w:t>
      </w:r>
      <w:proofErr w:type="spellStart"/>
      <w:r w:rsidRPr="0077490E">
        <w:rPr>
          <w:lang w:val="en-GB"/>
        </w:rPr>
        <w:t>Vercouteren</w:t>
      </w:r>
      <w:proofErr w:type="spellEnd"/>
      <w:r w:rsidRPr="0077490E">
        <w:rPr>
          <w:lang w:val="en-GB"/>
        </w:rPr>
        <w:t xml:space="preserve">, EVP Customer Experience, explained: </w:t>
      </w:r>
    </w:p>
    <w:p w14:paraId="1C69D1C3" w14:textId="77777777" w:rsidR="00F11C91" w:rsidRPr="0077490E" w:rsidRDefault="00F11C91" w:rsidP="00F11C91">
      <w:pPr>
        <w:pStyle w:val="BodyTextMain"/>
        <w:rPr>
          <w:lang w:val="en-GB"/>
        </w:rPr>
      </w:pPr>
    </w:p>
    <w:p w14:paraId="22A0EFA5" w14:textId="477A43AD" w:rsidR="00F11C91" w:rsidRPr="0077490E" w:rsidRDefault="00F11C91" w:rsidP="00F11C91">
      <w:pPr>
        <w:pStyle w:val="BodyTextMain"/>
        <w:ind w:left="720"/>
        <w:rPr>
          <w:lang w:val="en-GB"/>
        </w:rPr>
      </w:pPr>
      <w:r w:rsidRPr="0077490E">
        <w:rPr>
          <w:lang w:val="en-GB"/>
        </w:rPr>
        <w:t>We needed to have the whole company working together on the mission to become the best service provider. My team’s job was making sure everyone thought “customer journey,” “customer jobs-to-be-done” and “customer ecosystem” first, rather than “product,” “process” or “system.” That meant introducing a common language and new tools and techniques. We were also working very hard on people and culture with a view to breaking silos end</w:t>
      </w:r>
      <w:r w:rsidR="009207C7" w:rsidRPr="0077490E">
        <w:rPr>
          <w:lang w:val="en-GB"/>
        </w:rPr>
        <w:t xml:space="preserve"> </w:t>
      </w:r>
      <w:r w:rsidRPr="0077490E">
        <w:rPr>
          <w:lang w:val="en-GB"/>
        </w:rPr>
        <w:t>to</w:t>
      </w:r>
      <w:r w:rsidR="009207C7" w:rsidRPr="0077490E">
        <w:rPr>
          <w:lang w:val="en-GB"/>
        </w:rPr>
        <w:t xml:space="preserve"> </w:t>
      </w:r>
      <w:r w:rsidRPr="0077490E">
        <w:rPr>
          <w:lang w:val="en-GB"/>
        </w:rPr>
        <w:t>end.</w:t>
      </w:r>
    </w:p>
    <w:bookmarkEnd w:id="2"/>
    <w:p w14:paraId="13166390" w14:textId="77777777" w:rsidR="00F11C91" w:rsidRPr="0077490E" w:rsidRDefault="00F11C91" w:rsidP="00F11C91">
      <w:pPr>
        <w:pStyle w:val="BodyTextMain"/>
        <w:rPr>
          <w:lang w:val="en-GB"/>
        </w:rPr>
      </w:pPr>
    </w:p>
    <w:p w14:paraId="5CF63DE3" w14:textId="05949DB7" w:rsidR="00F11C91" w:rsidRPr="0077490E" w:rsidRDefault="00F11C91" w:rsidP="00F11C91">
      <w:pPr>
        <w:pStyle w:val="BodyTextMain"/>
        <w:rPr>
          <w:lang w:val="en-GB"/>
        </w:rPr>
      </w:pPr>
      <w:r w:rsidRPr="0077490E">
        <w:rPr>
          <w:lang w:val="en-GB"/>
        </w:rPr>
        <w:t>To support the rationalization of unnecessary process and function</w:t>
      </w:r>
      <w:r w:rsidR="009207C7" w:rsidRPr="0077490E">
        <w:rPr>
          <w:lang w:val="en-GB"/>
        </w:rPr>
        <w:t>al</w:t>
      </w:r>
      <w:r w:rsidRPr="0077490E">
        <w:rPr>
          <w:lang w:val="en-GB"/>
        </w:rPr>
        <w:t xml:space="preserve"> differences, </w:t>
      </w:r>
      <w:proofErr w:type="gramStart"/>
      <w:r w:rsidRPr="0077490E">
        <w:rPr>
          <w:lang w:val="en-GB"/>
        </w:rPr>
        <w:t>the re-structuring of the line organization was complemented by strategic and tactical governance</w:t>
      </w:r>
      <w:proofErr w:type="gramEnd"/>
      <w:r w:rsidR="009207C7" w:rsidRPr="0077490E">
        <w:rPr>
          <w:lang w:val="en-GB"/>
        </w:rPr>
        <w:t>,</w:t>
      </w:r>
      <w:r w:rsidRPr="0077490E">
        <w:rPr>
          <w:lang w:val="en-GB"/>
        </w:rPr>
        <w:t xml:space="preserve"> with decision councils that focused on end-to-end processes.</w:t>
      </w:r>
    </w:p>
    <w:p w14:paraId="6DB11E9B" w14:textId="77777777" w:rsidR="00F11C91" w:rsidRPr="0077490E" w:rsidRDefault="00F11C91" w:rsidP="00F11C91">
      <w:pPr>
        <w:pStyle w:val="BodyTextMain"/>
        <w:rPr>
          <w:lang w:val="en-GB"/>
        </w:rPr>
      </w:pPr>
    </w:p>
    <w:p w14:paraId="3EF004CA" w14:textId="77777777" w:rsidR="00F11C91" w:rsidRPr="0077490E" w:rsidRDefault="00F11C91" w:rsidP="00F11C91">
      <w:pPr>
        <w:pStyle w:val="BodyTextMain"/>
        <w:rPr>
          <w:lang w:val="en-GB"/>
        </w:rPr>
      </w:pPr>
    </w:p>
    <w:p w14:paraId="18F48331" w14:textId="77777777" w:rsidR="00F11C91" w:rsidRPr="0077490E" w:rsidRDefault="00F11C91" w:rsidP="00F11C91">
      <w:pPr>
        <w:pStyle w:val="Casehead1"/>
        <w:rPr>
          <w:lang w:val="en-GB"/>
        </w:rPr>
      </w:pPr>
      <w:r w:rsidRPr="0077490E">
        <w:rPr>
          <w:lang w:val="en-GB"/>
        </w:rPr>
        <w:t>agility at scale</w:t>
      </w:r>
    </w:p>
    <w:p w14:paraId="77599F0D" w14:textId="77777777" w:rsidR="00F11C91" w:rsidRPr="0077490E" w:rsidRDefault="00F11C91" w:rsidP="00F11C91">
      <w:pPr>
        <w:pStyle w:val="BodyTextMain"/>
        <w:rPr>
          <w:lang w:val="en-GB"/>
        </w:rPr>
      </w:pPr>
    </w:p>
    <w:p w14:paraId="4437B507" w14:textId="64AC37F6" w:rsidR="00F11C91" w:rsidRPr="0077490E" w:rsidRDefault="00F11C91" w:rsidP="00F11C91">
      <w:pPr>
        <w:pStyle w:val="BodyTextMain"/>
        <w:rPr>
          <w:lang w:val="en-GB"/>
        </w:rPr>
      </w:pPr>
      <w:r w:rsidRPr="0077490E">
        <w:rPr>
          <w:lang w:val="en-GB"/>
        </w:rPr>
        <w:t xml:space="preserve">The job of developing a new corporate culture alongside the new organization fell to Lisette </w:t>
      </w:r>
      <w:proofErr w:type="spellStart"/>
      <w:r w:rsidRPr="0077490E">
        <w:rPr>
          <w:lang w:val="en-GB"/>
        </w:rPr>
        <w:t>Oosterbroek</w:t>
      </w:r>
      <w:proofErr w:type="spellEnd"/>
      <w:r w:rsidRPr="0077490E">
        <w:rPr>
          <w:lang w:val="en-GB"/>
        </w:rPr>
        <w:t>, VP Organization Excellence. Formerly responsible for new ways of working</w:t>
      </w:r>
      <w:r w:rsidR="009207C7" w:rsidRPr="0077490E">
        <w:rPr>
          <w:lang w:val="en-GB"/>
        </w:rPr>
        <w:t xml:space="preserve"> within </w:t>
      </w:r>
      <w:proofErr w:type="gramStart"/>
      <w:r w:rsidR="009207C7" w:rsidRPr="0077490E">
        <w:rPr>
          <w:lang w:val="en-GB"/>
        </w:rPr>
        <w:t>S&amp;I</w:t>
      </w:r>
      <w:proofErr w:type="gramEnd"/>
      <w:r w:rsidRPr="0077490E">
        <w:rPr>
          <w:lang w:val="en-GB"/>
        </w:rPr>
        <w:t>, in this new KPN function</w:t>
      </w:r>
      <w:r w:rsidR="009207C7" w:rsidRPr="0077490E">
        <w:rPr>
          <w:lang w:val="en-GB"/>
        </w:rPr>
        <w:t>,</w:t>
      </w:r>
      <w:r w:rsidRPr="0077490E">
        <w:rPr>
          <w:lang w:val="en-GB"/>
        </w:rPr>
        <w:t xml:space="preserve"> she now reported directly to the CEO. </w:t>
      </w:r>
    </w:p>
    <w:p w14:paraId="6CA0AA00" w14:textId="77777777" w:rsidR="000E478B" w:rsidRPr="0077490E" w:rsidRDefault="000E478B" w:rsidP="00F11C91">
      <w:pPr>
        <w:pStyle w:val="BodyTextMain"/>
        <w:rPr>
          <w:lang w:val="en-GB"/>
        </w:rPr>
      </w:pPr>
    </w:p>
    <w:p w14:paraId="28289866" w14:textId="2C28E230" w:rsidR="00F11C91" w:rsidRPr="0077490E" w:rsidRDefault="00F11C91" w:rsidP="00F11C91">
      <w:pPr>
        <w:pStyle w:val="BodyTextMain"/>
        <w:rPr>
          <w:lang w:val="en-GB"/>
        </w:rPr>
      </w:pPr>
      <w:r w:rsidRPr="0077490E">
        <w:rPr>
          <w:lang w:val="en-GB"/>
        </w:rPr>
        <w:t xml:space="preserve">By 2016, dozens of agile-like experiments on various scales had popped up all across KPN. There was agreement within the </w:t>
      </w:r>
      <w:r w:rsidR="009207C7" w:rsidRPr="0077490E">
        <w:rPr>
          <w:lang w:val="en-GB"/>
        </w:rPr>
        <w:t>b</w:t>
      </w:r>
      <w:r w:rsidRPr="0077490E">
        <w:rPr>
          <w:lang w:val="en-GB"/>
        </w:rPr>
        <w:t>oard</w:t>
      </w:r>
      <w:r w:rsidR="00BB026C">
        <w:rPr>
          <w:lang w:val="en-GB"/>
        </w:rPr>
        <w:t xml:space="preserve"> of management and the executive committee</w:t>
      </w:r>
      <w:r w:rsidRPr="0077490E">
        <w:rPr>
          <w:lang w:val="en-GB"/>
        </w:rPr>
        <w:t xml:space="preserve"> that KPN could benefit from </w:t>
      </w:r>
      <w:r w:rsidRPr="0077490E">
        <w:rPr>
          <w:lang w:val="en-GB"/>
        </w:rPr>
        <w:lastRenderedPageBreak/>
        <w:t xml:space="preserve">scaling up these agile grassroots initiatives. However, not all </w:t>
      </w:r>
      <w:r w:rsidR="00BB026C">
        <w:rPr>
          <w:lang w:val="en-GB"/>
        </w:rPr>
        <w:t>the top managers</w:t>
      </w:r>
      <w:r w:rsidRPr="0077490E">
        <w:rPr>
          <w:lang w:val="en-GB"/>
        </w:rPr>
        <w:t xml:space="preserve"> agreed on the scale and scope of this exercise. Some believed that agile teamwork only worked for software development activities or for the front</w:t>
      </w:r>
      <w:r w:rsidR="00D81685">
        <w:rPr>
          <w:lang w:val="en-GB"/>
        </w:rPr>
        <w:t>-</w:t>
      </w:r>
      <w:r w:rsidRPr="0077490E">
        <w:rPr>
          <w:lang w:val="en-GB"/>
        </w:rPr>
        <w:t xml:space="preserve">end. Others thought that agile working only flourished in relative isolation, or that it worked best for innovation separated from the core business. Yet others were more </w:t>
      </w:r>
      <w:proofErr w:type="spellStart"/>
      <w:r w:rsidRPr="0077490E">
        <w:rPr>
          <w:lang w:val="en-GB"/>
        </w:rPr>
        <w:t>skeptical</w:t>
      </w:r>
      <w:proofErr w:type="spellEnd"/>
      <w:r w:rsidRPr="0077490E">
        <w:rPr>
          <w:lang w:val="en-GB"/>
        </w:rPr>
        <w:t xml:space="preserve"> about the </w:t>
      </w:r>
      <w:r w:rsidR="009207C7" w:rsidRPr="0077490E">
        <w:rPr>
          <w:lang w:val="en-GB"/>
        </w:rPr>
        <w:t xml:space="preserve">general </w:t>
      </w:r>
      <w:r w:rsidRPr="0077490E">
        <w:rPr>
          <w:lang w:val="en-GB"/>
        </w:rPr>
        <w:t>fit with a corporate environment. Many wanted more certainty</w:t>
      </w:r>
      <w:r w:rsidR="009207C7" w:rsidRPr="0077490E">
        <w:rPr>
          <w:lang w:val="en-GB"/>
        </w:rPr>
        <w:t>—</w:t>
      </w:r>
      <w:r w:rsidRPr="0077490E">
        <w:rPr>
          <w:lang w:val="en-GB"/>
        </w:rPr>
        <w:t>a proven plan of action</w:t>
      </w:r>
      <w:r w:rsidR="009207C7" w:rsidRPr="0077490E">
        <w:rPr>
          <w:lang w:val="en-GB"/>
        </w:rPr>
        <w:t>—</w:t>
      </w:r>
      <w:r w:rsidRPr="0077490E">
        <w:rPr>
          <w:lang w:val="en-GB"/>
        </w:rPr>
        <w:t xml:space="preserve">before deciding. </w:t>
      </w:r>
      <w:proofErr w:type="spellStart"/>
      <w:r w:rsidRPr="0077490E">
        <w:rPr>
          <w:lang w:val="en-GB"/>
        </w:rPr>
        <w:t>Oosterbroek</w:t>
      </w:r>
      <w:proofErr w:type="spellEnd"/>
      <w:r w:rsidRPr="0077490E">
        <w:rPr>
          <w:lang w:val="en-GB"/>
        </w:rPr>
        <w:t xml:space="preserve"> had her own views on how to scale </w:t>
      </w:r>
      <w:proofErr w:type="gramStart"/>
      <w:r w:rsidRPr="0077490E">
        <w:rPr>
          <w:lang w:val="en-GB"/>
        </w:rPr>
        <w:t>up</w:t>
      </w:r>
      <w:proofErr w:type="gramEnd"/>
      <w:r w:rsidRPr="0077490E">
        <w:rPr>
          <w:lang w:val="en-GB"/>
        </w:rPr>
        <w:t>:</w:t>
      </w:r>
    </w:p>
    <w:p w14:paraId="386B4624" w14:textId="77777777" w:rsidR="00F11C91" w:rsidRPr="0077490E" w:rsidRDefault="00F11C91" w:rsidP="00F11C91">
      <w:pPr>
        <w:pStyle w:val="BodyTextMain"/>
        <w:rPr>
          <w:lang w:val="en-GB"/>
        </w:rPr>
      </w:pPr>
    </w:p>
    <w:p w14:paraId="066E98B1" w14:textId="4D893F59" w:rsidR="00F11C91" w:rsidRPr="0077490E" w:rsidRDefault="00F11C91" w:rsidP="00F11C91">
      <w:pPr>
        <w:pStyle w:val="BodyTextMain"/>
        <w:ind w:left="720"/>
        <w:rPr>
          <w:lang w:val="en-GB"/>
        </w:rPr>
      </w:pPr>
      <w:r w:rsidRPr="0077490E">
        <w:rPr>
          <w:lang w:val="en-GB"/>
        </w:rPr>
        <w:t xml:space="preserve">I did not have a clear three-year, ten-step plan, which was difficult to sell to some </w:t>
      </w:r>
      <w:r w:rsidR="00BA233E">
        <w:rPr>
          <w:lang w:val="en-GB"/>
        </w:rPr>
        <w:t>of the top managers</w:t>
      </w:r>
      <w:r w:rsidRPr="0077490E">
        <w:rPr>
          <w:lang w:val="en-GB"/>
        </w:rPr>
        <w:t xml:space="preserve">. I was not building a bridge. I believed in </w:t>
      </w:r>
      <w:r w:rsidR="009207C7" w:rsidRPr="0077490E">
        <w:rPr>
          <w:lang w:val="en-GB"/>
        </w:rPr>
        <w:t xml:space="preserve">crossing the </w:t>
      </w:r>
      <w:r w:rsidRPr="0077490E">
        <w:rPr>
          <w:lang w:val="en-GB"/>
        </w:rPr>
        <w:t>river</w:t>
      </w:r>
      <w:r w:rsidR="009207C7" w:rsidRPr="0077490E">
        <w:rPr>
          <w:lang w:val="en-GB"/>
        </w:rPr>
        <w:t xml:space="preserve"> </w:t>
      </w:r>
      <w:r w:rsidRPr="0077490E">
        <w:rPr>
          <w:lang w:val="en-GB"/>
        </w:rPr>
        <w:t xml:space="preserve">by feeling </w:t>
      </w:r>
      <w:r w:rsidR="009207C7" w:rsidRPr="0077490E">
        <w:rPr>
          <w:lang w:val="en-GB"/>
        </w:rPr>
        <w:t xml:space="preserve">the </w:t>
      </w:r>
      <w:proofErr w:type="gramStart"/>
      <w:r w:rsidRPr="0077490E">
        <w:rPr>
          <w:lang w:val="en-GB"/>
        </w:rPr>
        <w:t>stones,</w:t>
      </w:r>
      <w:proofErr w:type="gramEnd"/>
      <w:r w:rsidRPr="0077490E">
        <w:rPr>
          <w:lang w:val="en-GB"/>
        </w:rPr>
        <w:t xml:space="preserve"> and being circumspect and pragmatic every step of the way. Like other early adopters within KPN, I had a dream for KPN to become this agile fleet of sailboats, navigating the oceans together. My view was to get there one stone at a time.  </w:t>
      </w:r>
    </w:p>
    <w:p w14:paraId="5BE467F6" w14:textId="77777777" w:rsidR="00F11C91" w:rsidRPr="00920CC0" w:rsidRDefault="00F11C91" w:rsidP="00F11C91">
      <w:pPr>
        <w:pStyle w:val="BodyTextMain"/>
        <w:rPr>
          <w:sz w:val="18"/>
          <w:lang w:val="en-GB"/>
        </w:rPr>
      </w:pPr>
    </w:p>
    <w:p w14:paraId="647521E8" w14:textId="1B96A477" w:rsidR="00F11C91" w:rsidRPr="0077490E" w:rsidRDefault="00F11C91" w:rsidP="00F11C91">
      <w:pPr>
        <w:pStyle w:val="BodyTextMain"/>
        <w:rPr>
          <w:lang w:val="en-GB"/>
        </w:rPr>
      </w:pPr>
      <w:r w:rsidRPr="0077490E">
        <w:rPr>
          <w:lang w:val="en-GB"/>
        </w:rPr>
        <w:t xml:space="preserve">To address the </w:t>
      </w:r>
      <w:r w:rsidR="00BA233E">
        <w:rPr>
          <w:lang w:val="en-GB"/>
        </w:rPr>
        <w:t>leadership’s</w:t>
      </w:r>
      <w:r w:rsidR="00BA233E" w:rsidRPr="0077490E">
        <w:rPr>
          <w:lang w:val="en-GB"/>
        </w:rPr>
        <w:t xml:space="preserve"> </w:t>
      </w:r>
      <w:r w:rsidRPr="0077490E">
        <w:rPr>
          <w:lang w:val="en-GB"/>
        </w:rPr>
        <w:t xml:space="preserve">concerns, </w:t>
      </w:r>
      <w:proofErr w:type="spellStart"/>
      <w:r w:rsidRPr="0077490E">
        <w:rPr>
          <w:lang w:val="en-GB"/>
        </w:rPr>
        <w:t>Oosterbroek</w:t>
      </w:r>
      <w:proofErr w:type="spellEnd"/>
      <w:r w:rsidRPr="0077490E">
        <w:rPr>
          <w:lang w:val="en-GB"/>
        </w:rPr>
        <w:t xml:space="preserve"> needed to make the agile scaling choices more tangible. She therefore decided that</w:t>
      </w:r>
      <w:r w:rsidR="009207C7" w:rsidRPr="0077490E">
        <w:rPr>
          <w:lang w:val="en-GB"/>
        </w:rPr>
        <w:t>,</w:t>
      </w:r>
      <w:r w:rsidRPr="0077490E">
        <w:rPr>
          <w:lang w:val="en-GB"/>
        </w:rPr>
        <w:t xml:space="preserve"> for 2016</w:t>
      </w:r>
      <w:r w:rsidR="009207C7" w:rsidRPr="0077490E">
        <w:rPr>
          <w:lang w:val="en-GB"/>
        </w:rPr>
        <w:t>,</w:t>
      </w:r>
      <w:r w:rsidRPr="0077490E">
        <w:rPr>
          <w:lang w:val="en-GB"/>
        </w:rPr>
        <w:t xml:space="preserve"> she would systematically expose </w:t>
      </w:r>
      <w:r w:rsidR="00BA233E">
        <w:rPr>
          <w:lang w:val="en-GB"/>
        </w:rPr>
        <w:t>its members</w:t>
      </w:r>
      <w:r w:rsidRPr="0077490E">
        <w:rPr>
          <w:lang w:val="en-GB"/>
        </w:rPr>
        <w:t xml:space="preserve"> to what was happening in four agile experiments that were already operating at some scale: S&amp;I Digital, KPN </w:t>
      </w:r>
      <w:proofErr w:type="spellStart"/>
      <w:r w:rsidRPr="0077490E">
        <w:rPr>
          <w:lang w:val="en-GB"/>
        </w:rPr>
        <w:t>iTV</w:t>
      </w:r>
      <w:proofErr w:type="spellEnd"/>
      <w:r w:rsidRPr="0077490E">
        <w:rPr>
          <w:lang w:val="en-GB"/>
        </w:rPr>
        <w:t xml:space="preserve">, and teams serving </w:t>
      </w:r>
      <w:proofErr w:type="spellStart"/>
      <w:r w:rsidR="004E515D" w:rsidRPr="0077490E">
        <w:rPr>
          <w:lang w:val="en-GB"/>
        </w:rPr>
        <w:t>Nederlandse</w:t>
      </w:r>
      <w:proofErr w:type="spellEnd"/>
      <w:r w:rsidR="004E515D" w:rsidRPr="0077490E">
        <w:rPr>
          <w:lang w:val="en-GB"/>
        </w:rPr>
        <w:t xml:space="preserve"> </w:t>
      </w:r>
      <w:proofErr w:type="spellStart"/>
      <w:r w:rsidR="004E515D" w:rsidRPr="0077490E">
        <w:rPr>
          <w:lang w:val="en-GB"/>
        </w:rPr>
        <w:t>Spoorwegen</w:t>
      </w:r>
      <w:proofErr w:type="spellEnd"/>
      <w:r w:rsidR="004E515D" w:rsidRPr="0077490E">
        <w:rPr>
          <w:lang w:val="en-GB"/>
        </w:rPr>
        <w:t xml:space="preserve"> (</w:t>
      </w:r>
      <w:r w:rsidRPr="0077490E">
        <w:rPr>
          <w:lang w:val="en-GB"/>
        </w:rPr>
        <w:t>Dutch Railways</w:t>
      </w:r>
      <w:r w:rsidR="004E515D" w:rsidRPr="0077490E">
        <w:rPr>
          <w:lang w:val="en-GB"/>
        </w:rPr>
        <w:t>)</w:t>
      </w:r>
      <w:r w:rsidRPr="0077490E">
        <w:rPr>
          <w:lang w:val="en-GB"/>
        </w:rPr>
        <w:t xml:space="preserve"> and Amsterdam </w:t>
      </w:r>
      <w:r w:rsidR="009207C7" w:rsidRPr="0077490E">
        <w:rPr>
          <w:lang w:val="en-GB"/>
        </w:rPr>
        <w:t>Airport</w:t>
      </w:r>
      <w:r w:rsidR="004E515D" w:rsidRPr="0077490E">
        <w:rPr>
          <w:lang w:val="en-GB"/>
        </w:rPr>
        <w:t xml:space="preserve"> </w:t>
      </w:r>
      <w:r w:rsidRPr="0077490E">
        <w:rPr>
          <w:lang w:val="en-GB"/>
        </w:rPr>
        <w:t xml:space="preserve">Schiphol. Every month, </w:t>
      </w:r>
      <w:proofErr w:type="spellStart"/>
      <w:r w:rsidRPr="0077490E">
        <w:rPr>
          <w:lang w:val="en-GB"/>
        </w:rPr>
        <w:t>Oosterbroek</w:t>
      </w:r>
      <w:proofErr w:type="spellEnd"/>
      <w:r w:rsidRPr="0077490E">
        <w:rPr>
          <w:lang w:val="en-GB"/>
        </w:rPr>
        <w:t xml:space="preserve"> allowed KPN’s </w:t>
      </w:r>
      <w:r w:rsidR="00BA233E">
        <w:rPr>
          <w:lang w:val="en-GB"/>
        </w:rPr>
        <w:t>leadership team</w:t>
      </w:r>
      <w:r w:rsidRPr="0077490E">
        <w:rPr>
          <w:lang w:val="en-GB"/>
        </w:rPr>
        <w:t xml:space="preserve"> </w:t>
      </w:r>
      <w:proofErr w:type="gramStart"/>
      <w:r w:rsidRPr="0077490E">
        <w:rPr>
          <w:lang w:val="en-GB"/>
        </w:rPr>
        <w:t xml:space="preserve">to </w:t>
      </w:r>
      <w:r w:rsidR="004E515D" w:rsidRPr="0077490E">
        <w:rPr>
          <w:lang w:val="en-GB"/>
        </w:rPr>
        <w:t xml:space="preserve">directly </w:t>
      </w:r>
      <w:r w:rsidRPr="0077490E">
        <w:rPr>
          <w:lang w:val="en-GB"/>
        </w:rPr>
        <w:t>witness</w:t>
      </w:r>
      <w:proofErr w:type="gramEnd"/>
      <w:r w:rsidRPr="0077490E">
        <w:rPr>
          <w:lang w:val="en-GB"/>
        </w:rPr>
        <w:t xml:space="preserve"> the progress that had been made. </w:t>
      </w:r>
      <w:r w:rsidR="004E515D" w:rsidRPr="0077490E">
        <w:rPr>
          <w:lang w:val="en-GB"/>
        </w:rPr>
        <w:t xml:space="preserve">Based on </w:t>
      </w:r>
      <w:r w:rsidRPr="0077490E">
        <w:rPr>
          <w:lang w:val="en-GB"/>
        </w:rPr>
        <w:t>these observations</w:t>
      </w:r>
      <w:r w:rsidR="004E515D" w:rsidRPr="0077490E">
        <w:rPr>
          <w:lang w:val="en-GB"/>
        </w:rPr>
        <w:t>,</w:t>
      </w:r>
      <w:r w:rsidRPr="0077490E">
        <w:rPr>
          <w:lang w:val="en-GB"/>
        </w:rPr>
        <w:t xml:space="preserve"> </w:t>
      </w:r>
      <w:r w:rsidR="00BA233E">
        <w:rPr>
          <w:lang w:val="en-GB"/>
        </w:rPr>
        <w:t xml:space="preserve">they </w:t>
      </w:r>
      <w:r w:rsidRPr="0077490E">
        <w:rPr>
          <w:lang w:val="en-GB"/>
        </w:rPr>
        <w:t xml:space="preserve">became convinced that, while different maturity levels prevented rolling out a new way of working uniformly across KPN, some KPN domains were ready to </w:t>
      </w:r>
      <w:proofErr w:type="gramStart"/>
      <w:r w:rsidRPr="0077490E">
        <w:rPr>
          <w:lang w:val="en-GB"/>
        </w:rPr>
        <w:t>be scaled up</w:t>
      </w:r>
      <w:proofErr w:type="gramEnd"/>
      <w:r w:rsidRPr="0077490E">
        <w:rPr>
          <w:lang w:val="en-GB"/>
        </w:rPr>
        <w:t xml:space="preserve">. </w:t>
      </w:r>
    </w:p>
    <w:p w14:paraId="7CA29D71" w14:textId="77777777" w:rsidR="00F11C91" w:rsidRPr="00920CC0" w:rsidRDefault="00F11C91" w:rsidP="00F11C91">
      <w:pPr>
        <w:pStyle w:val="BodyTextMain"/>
        <w:rPr>
          <w:sz w:val="18"/>
          <w:lang w:val="en-GB"/>
        </w:rPr>
      </w:pPr>
    </w:p>
    <w:p w14:paraId="057EE1EE" w14:textId="2C5A0AE3" w:rsidR="00F11C91" w:rsidRPr="0077490E" w:rsidRDefault="00F11C91" w:rsidP="00F11C91">
      <w:pPr>
        <w:pStyle w:val="BodyTextMain"/>
        <w:rPr>
          <w:lang w:val="en-GB"/>
        </w:rPr>
      </w:pPr>
      <w:r w:rsidRPr="0077490E">
        <w:rPr>
          <w:lang w:val="en-GB"/>
        </w:rPr>
        <w:t xml:space="preserve">For 2017, the </w:t>
      </w:r>
      <w:r w:rsidR="00BA233E">
        <w:rPr>
          <w:lang w:val="en-GB"/>
        </w:rPr>
        <w:t>leadership</w:t>
      </w:r>
      <w:r w:rsidR="00BA233E" w:rsidRPr="0077490E">
        <w:rPr>
          <w:lang w:val="en-GB"/>
        </w:rPr>
        <w:t xml:space="preserve"> </w:t>
      </w:r>
      <w:r w:rsidRPr="0077490E">
        <w:rPr>
          <w:lang w:val="en-GB"/>
        </w:rPr>
        <w:t xml:space="preserve">wanted a framework that unified the many agile-like variants </w:t>
      </w:r>
      <w:r w:rsidR="004E515D" w:rsidRPr="0077490E">
        <w:rPr>
          <w:lang w:val="en-GB"/>
        </w:rPr>
        <w:t xml:space="preserve">that were </w:t>
      </w:r>
      <w:r w:rsidRPr="0077490E">
        <w:rPr>
          <w:lang w:val="en-GB"/>
        </w:rPr>
        <w:t xml:space="preserve">in vogue at KPN. This gave rise to </w:t>
      </w:r>
      <w:r w:rsidR="004E515D" w:rsidRPr="0077490E">
        <w:rPr>
          <w:lang w:val="en-GB"/>
        </w:rPr>
        <w:t xml:space="preserve">the </w:t>
      </w:r>
      <w:r w:rsidRPr="0077490E">
        <w:rPr>
          <w:lang w:val="en-GB"/>
        </w:rPr>
        <w:t xml:space="preserve">KPN </w:t>
      </w:r>
      <w:proofErr w:type="spellStart"/>
      <w:r w:rsidRPr="0077490E">
        <w:rPr>
          <w:lang w:val="en-GB"/>
        </w:rPr>
        <w:t>Kompas</w:t>
      </w:r>
      <w:proofErr w:type="spellEnd"/>
      <w:r w:rsidRPr="0077490E">
        <w:rPr>
          <w:lang w:val="en-GB"/>
        </w:rPr>
        <w:t xml:space="preserve">, a navigation guide for the organization, its leaders, and employees. This guide </w:t>
      </w:r>
      <w:proofErr w:type="gramStart"/>
      <w:r w:rsidRPr="0077490E">
        <w:rPr>
          <w:lang w:val="en-GB"/>
        </w:rPr>
        <w:t>was conceived</w:t>
      </w:r>
      <w:proofErr w:type="gramEnd"/>
      <w:r w:rsidRPr="0077490E">
        <w:rPr>
          <w:lang w:val="en-GB"/>
        </w:rPr>
        <w:t xml:space="preserve"> </w:t>
      </w:r>
      <w:r w:rsidR="004E515D" w:rsidRPr="0077490E">
        <w:rPr>
          <w:lang w:val="en-GB"/>
        </w:rPr>
        <w:t xml:space="preserve">not </w:t>
      </w:r>
      <w:r w:rsidRPr="0077490E">
        <w:rPr>
          <w:lang w:val="en-GB"/>
        </w:rPr>
        <w:t>in isolation, but with and by a coalition of KPN employees who wished to work differently</w:t>
      </w:r>
      <w:r w:rsidR="004E515D" w:rsidRPr="0077490E">
        <w:rPr>
          <w:lang w:val="en-GB"/>
        </w:rPr>
        <w:t>—</w:t>
      </w:r>
      <w:r w:rsidRPr="0077490E">
        <w:rPr>
          <w:lang w:val="en-GB"/>
        </w:rPr>
        <w:t xml:space="preserve">and already did. Intent on providing direction and freedom for future exploration, the document listed </w:t>
      </w:r>
      <w:r w:rsidR="00787B5F">
        <w:rPr>
          <w:lang w:val="en-GB"/>
        </w:rPr>
        <w:t>12</w:t>
      </w:r>
      <w:r w:rsidR="00787B5F" w:rsidRPr="0077490E">
        <w:rPr>
          <w:lang w:val="en-GB"/>
        </w:rPr>
        <w:t xml:space="preserve"> </w:t>
      </w:r>
      <w:r w:rsidRPr="0077490E">
        <w:rPr>
          <w:lang w:val="en-GB"/>
        </w:rPr>
        <w:t xml:space="preserve">guiding principles for thinking and working in agile ways (see Exhibit 8). </w:t>
      </w:r>
      <w:proofErr w:type="spellStart"/>
      <w:r w:rsidRPr="0077490E">
        <w:rPr>
          <w:lang w:val="en-GB"/>
        </w:rPr>
        <w:t>Kompas</w:t>
      </w:r>
      <w:proofErr w:type="spellEnd"/>
      <w:r w:rsidRPr="0077490E">
        <w:rPr>
          <w:lang w:val="en-GB"/>
        </w:rPr>
        <w:t xml:space="preserve"> also proposed a unifying language for talking about agile </w:t>
      </w:r>
      <w:r w:rsidR="004E515D" w:rsidRPr="0077490E">
        <w:rPr>
          <w:lang w:val="en-GB"/>
        </w:rPr>
        <w:t>organization</w:t>
      </w:r>
      <w:r w:rsidRPr="0077490E">
        <w:rPr>
          <w:lang w:val="en-GB"/>
        </w:rPr>
        <w:t>. Inspired by the popular agile model in use at the digital music service Spotify</w:t>
      </w:r>
      <w:r w:rsidR="004E515D" w:rsidRPr="0077490E">
        <w:rPr>
          <w:lang w:val="en-GB"/>
        </w:rPr>
        <w:t>,</w:t>
      </w:r>
      <w:r w:rsidRPr="0077490E">
        <w:rPr>
          <w:rStyle w:val="FootnoteReference"/>
          <w:lang w:val="en-GB"/>
        </w:rPr>
        <w:footnoteReference w:id="9"/>
      </w:r>
      <w:r w:rsidRPr="0077490E">
        <w:rPr>
          <w:lang w:val="en-GB"/>
        </w:rPr>
        <w:t xml:space="preserve"> the guide spoke about</w:t>
      </w:r>
      <w:r w:rsidR="004E515D" w:rsidRPr="0077490E">
        <w:rPr>
          <w:lang w:val="en-GB"/>
        </w:rPr>
        <w:t xml:space="preserve"> issues such as</w:t>
      </w:r>
      <w:r w:rsidRPr="0077490E">
        <w:rPr>
          <w:lang w:val="en-GB"/>
        </w:rPr>
        <w:t xml:space="preserve"> organizing in autonomous, multidisciplinary teams or “squads,” purposeful groupings of highly</w:t>
      </w:r>
      <w:r w:rsidR="00787B5F">
        <w:rPr>
          <w:lang w:val="en-GB"/>
        </w:rPr>
        <w:t xml:space="preserve"> </w:t>
      </w:r>
      <w:r w:rsidRPr="0077490E">
        <w:rPr>
          <w:lang w:val="en-GB"/>
        </w:rPr>
        <w:t xml:space="preserve">dependent teams or “tribes,” and cross-team disciplinary development networks or “chapters.” </w:t>
      </w:r>
    </w:p>
    <w:p w14:paraId="6FAE0DE6" w14:textId="77777777" w:rsidR="00F11C91" w:rsidRPr="00920CC0" w:rsidRDefault="00F11C91" w:rsidP="00F11C91">
      <w:pPr>
        <w:pStyle w:val="BodyTextMain"/>
        <w:rPr>
          <w:sz w:val="18"/>
          <w:lang w:val="en-GB"/>
        </w:rPr>
      </w:pPr>
    </w:p>
    <w:p w14:paraId="0358115E" w14:textId="3590512B" w:rsidR="00F11C91" w:rsidRPr="00920CC0" w:rsidRDefault="00F11C91" w:rsidP="00F11C91">
      <w:pPr>
        <w:pStyle w:val="BodyTextMain"/>
        <w:rPr>
          <w:spacing w:val="-2"/>
          <w:lang w:val="en-GB"/>
        </w:rPr>
      </w:pPr>
      <w:r w:rsidRPr="00920CC0">
        <w:rPr>
          <w:spacing w:val="-2"/>
          <w:lang w:val="en-GB"/>
        </w:rPr>
        <w:t xml:space="preserve">The </w:t>
      </w:r>
      <w:r w:rsidR="00BA233E" w:rsidRPr="00920CC0">
        <w:rPr>
          <w:spacing w:val="-2"/>
          <w:lang w:val="en-GB"/>
        </w:rPr>
        <w:t xml:space="preserve">leadership </w:t>
      </w:r>
      <w:r w:rsidRPr="00920CC0">
        <w:rPr>
          <w:spacing w:val="-2"/>
          <w:lang w:val="en-GB"/>
        </w:rPr>
        <w:t xml:space="preserve">subsequently used the </w:t>
      </w:r>
      <w:proofErr w:type="spellStart"/>
      <w:r w:rsidRPr="00920CC0">
        <w:rPr>
          <w:spacing w:val="-2"/>
          <w:lang w:val="en-GB"/>
        </w:rPr>
        <w:t>Kompas</w:t>
      </w:r>
      <w:proofErr w:type="spellEnd"/>
      <w:r w:rsidRPr="00920CC0">
        <w:rPr>
          <w:spacing w:val="-2"/>
          <w:lang w:val="en-GB"/>
        </w:rPr>
        <w:t xml:space="preserve"> guide to raise agile experimentation to the next level by launching a number of 500-</w:t>
      </w:r>
      <w:r w:rsidR="004E515D" w:rsidRPr="00920CC0">
        <w:rPr>
          <w:spacing w:val="-2"/>
          <w:lang w:val="en-GB"/>
        </w:rPr>
        <w:t xml:space="preserve">person </w:t>
      </w:r>
      <w:r w:rsidRPr="00920CC0">
        <w:rPr>
          <w:spacing w:val="-2"/>
          <w:lang w:val="en-GB"/>
        </w:rPr>
        <w:t>agile tribes. Meanwhile, the role of digital</w:t>
      </w:r>
      <w:r w:rsidR="00BA233E" w:rsidRPr="00920CC0">
        <w:rPr>
          <w:spacing w:val="-2"/>
          <w:lang w:val="en-GB"/>
        </w:rPr>
        <w:t xml:space="preserve"> services</w:t>
      </w:r>
      <w:r w:rsidRPr="00920CC0">
        <w:rPr>
          <w:spacing w:val="-2"/>
          <w:lang w:val="en-GB"/>
        </w:rPr>
        <w:t xml:space="preserve"> in the transformation </w:t>
      </w:r>
      <w:proofErr w:type="gramStart"/>
      <w:r w:rsidRPr="00920CC0">
        <w:rPr>
          <w:spacing w:val="-2"/>
          <w:lang w:val="en-GB"/>
        </w:rPr>
        <w:t>was reaffirmed</w:t>
      </w:r>
      <w:proofErr w:type="gramEnd"/>
      <w:r w:rsidRPr="00920CC0">
        <w:rPr>
          <w:spacing w:val="-2"/>
          <w:lang w:val="en-GB"/>
        </w:rPr>
        <w:t xml:space="preserve"> when all key business owners aligned on the “100% Digital KPN” ambition (see Exhibit 9). </w:t>
      </w:r>
    </w:p>
    <w:p w14:paraId="649EEA56" w14:textId="77777777" w:rsidR="00F11C91" w:rsidRPr="00920CC0" w:rsidRDefault="00F11C91" w:rsidP="00F11C91">
      <w:pPr>
        <w:pStyle w:val="BodyTextMain"/>
        <w:rPr>
          <w:sz w:val="18"/>
          <w:lang w:val="en-GB"/>
        </w:rPr>
      </w:pPr>
    </w:p>
    <w:p w14:paraId="3F90BF02" w14:textId="56A2F9C2" w:rsidR="00F11C91" w:rsidRPr="0077490E" w:rsidRDefault="00F11C91" w:rsidP="00F11C91">
      <w:pPr>
        <w:pStyle w:val="BodyTextMain"/>
        <w:rPr>
          <w:lang w:val="en-GB"/>
        </w:rPr>
      </w:pPr>
      <w:bookmarkStart w:id="3" w:name="_Hlk535475829"/>
      <w:proofErr w:type="spellStart"/>
      <w:r w:rsidRPr="0077490E">
        <w:rPr>
          <w:lang w:val="en-GB"/>
        </w:rPr>
        <w:t>Oosterbroek’s</w:t>
      </w:r>
      <w:proofErr w:type="spellEnd"/>
      <w:r w:rsidRPr="0077490E">
        <w:rPr>
          <w:lang w:val="en-GB"/>
        </w:rPr>
        <w:t xml:space="preserve"> Organization Excellence team adopted a change approach based on participation, mobilization</w:t>
      </w:r>
      <w:r w:rsidR="004E515D" w:rsidRPr="0077490E">
        <w:rPr>
          <w:lang w:val="en-GB"/>
        </w:rPr>
        <w:t>,</w:t>
      </w:r>
      <w:r w:rsidRPr="0077490E">
        <w:rPr>
          <w:lang w:val="en-GB"/>
        </w:rPr>
        <w:t xml:space="preserve"> and culture interventions at all levels. For example, </w:t>
      </w:r>
      <w:bookmarkEnd w:id="3"/>
      <w:r w:rsidRPr="0077490E">
        <w:rPr>
          <w:lang w:val="en-GB"/>
        </w:rPr>
        <w:t xml:space="preserve">the </w:t>
      </w:r>
      <w:proofErr w:type="spellStart"/>
      <w:r w:rsidRPr="0077490E">
        <w:rPr>
          <w:lang w:val="en-GB"/>
        </w:rPr>
        <w:t>Kompas</w:t>
      </w:r>
      <w:proofErr w:type="spellEnd"/>
      <w:r w:rsidRPr="0077490E">
        <w:rPr>
          <w:lang w:val="en-GB"/>
        </w:rPr>
        <w:t xml:space="preserve"> roadshow went around the country</w:t>
      </w:r>
      <w:r w:rsidR="004E515D" w:rsidRPr="0077490E">
        <w:rPr>
          <w:lang w:val="en-GB"/>
        </w:rPr>
        <w:t xml:space="preserve">, </w:t>
      </w:r>
      <w:r w:rsidR="00BA233E">
        <w:rPr>
          <w:lang w:val="en-GB"/>
        </w:rPr>
        <w:t xml:space="preserve">board and executive committee </w:t>
      </w:r>
      <w:r w:rsidRPr="0077490E">
        <w:rPr>
          <w:lang w:val="en-GB"/>
        </w:rPr>
        <w:t xml:space="preserve">members personally </w:t>
      </w:r>
      <w:r w:rsidR="004E515D" w:rsidRPr="0077490E">
        <w:rPr>
          <w:lang w:val="en-GB"/>
        </w:rPr>
        <w:t xml:space="preserve">invited </w:t>
      </w:r>
      <w:r w:rsidRPr="0077490E">
        <w:rPr>
          <w:lang w:val="en-GB"/>
        </w:rPr>
        <w:t>KPN employees to join the agile movement</w:t>
      </w:r>
      <w:r w:rsidR="0005001D" w:rsidRPr="0077490E">
        <w:rPr>
          <w:lang w:val="en-GB"/>
        </w:rPr>
        <w:t>, and e</w:t>
      </w:r>
      <w:r w:rsidRPr="0077490E">
        <w:rPr>
          <w:lang w:val="en-GB"/>
        </w:rPr>
        <w:t xml:space="preserve">xternal experts </w:t>
      </w:r>
      <w:proofErr w:type="gramStart"/>
      <w:r w:rsidRPr="0077490E">
        <w:rPr>
          <w:lang w:val="en-GB"/>
        </w:rPr>
        <w:t>were regularly invited</w:t>
      </w:r>
      <w:proofErr w:type="gramEnd"/>
      <w:r w:rsidRPr="0077490E">
        <w:rPr>
          <w:lang w:val="en-GB"/>
        </w:rPr>
        <w:t xml:space="preserve"> on stage to share their experiences. All management teams received personal assistance for kick-starting local cultivation tracks. Workshops, inspiration sessions</w:t>
      </w:r>
      <w:r w:rsidR="0005001D" w:rsidRPr="0077490E">
        <w:rPr>
          <w:lang w:val="en-GB"/>
        </w:rPr>
        <w:t>,</w:t>
      </w:r>
      <w:r w:rsidRPr="0077490E">
        <w:rPr>
          <w:lang w:val="en-GB"/>
        </w:rPr>
        <w:t xml:space="preserve"> and hackathons were organized. Management </w:t>
      </w:r>
      <w:proofErr w:type="gramStart"/>
      <w:r w:rsidRPr="0077490E">
        <w:rPr>
          <w:lang w:val="en-GB"/>
        </w:rPr>
        <w:t>was offered</w:t>
      </w:r>
      <w:proofErr w:type="gramEnd"/>
      <w:r w:rsidRPr="0077490E">
        <w:rPr>
          <w:lang w:val="en-GB"/>
        </w:rPr>
        <w:t xml:space="preserve"> leadership master</w:t>
      </w:r>
      <w:r w:rsidR="0005001D" w:rsidRPr="0077490E">
        <w:rPr>
          <w:lang w:val="en-GB"/>
        </w:rPr>
        <w:t xml:space="preserve"> </w:t>
      </w:r>
      <w:r w:rsidRPr="0077490E">
        <w:rPr>
          <w:lang w:val="en-GB"/>
        </w:rPr>
        <w:t>classes, coaches</w:t>
      </w:r>
      <w:r w:rsidR="0005001D" w:rsidRPr="0077490E">
        <w:rPr>
          <w:lang w:val="en-GB"/>
        </w:rPr>
        <w:t>,</w:t>
      </w:r>
      <w:r w:rsidRPr="0077490E">
        <w:rPr>
          <w:lang w:val="en-GB"/>
        </w:rPr>
        <w:t xml:space="preserve"> and internal consultants. A new leadership model </w:t>
      </w:r>
      <w:proofErr w:type="gramStart"/>
      <w:r w:rsidRPr="0077490E">
        <w:rPr>
          <w:lang w:val="en-GB"/>
        </w:rPr>
        <w:t>was created</w:t>
      </w:r>
      <w:proofErr w:type="gramEnd"/>
      <w:r w:rsidR="0005001D" w:rsidRPr="0077490E">
        <w:rPr>
          <w:lang w:val="en-GB"/>
        </w:rPr>
        <w:t>,</w:t>
      </w:r>
      <w:r w:rsidRPr="0077490E">
        <w:rPr>
          <w:lang w:val="en-GB"/>
        </w:rPr>
        <w:t xml:space="preserve"> and </w:t>
      </w:r>
      <w:proofErr w:type="spellStart"/>
      <w:r w:rsidRPr="0077490E">
        <w:rPr>
          <w:lang w:val="en-GB"/>
        </w:rPr>
        <w:t>Oosterbroek</w:t>
      </w:r>
      <w:proofErr w:type="spellEnd"/>
      <w:r w:rsidRPr="0077490E">
        <w:rPr>
          <w:lang w:val="en-GB"/>
        </w:rPr>
        <w:t xml:space="preserve"> worked with corporate HR to revisit recruitment and performance management. Hubs, communities</w:t>
      </w:r>
      <w:r w:rsidR="0005001D" w:rsidRPr="0077490E">
        <w:rPr>
          <w:lang w:val="en-GB"/>
        </w:rPr>
        <w:t xml:space="preserve"> </w:t>
      </w:r>
      <w:r w:rsidRPr="0077490E">
        <w:rPr>
          <w:lang w:val="en-GB"/>
        </w:rPr>
        <w:t>of</w:t>
      </w:r>
      <w:r w:rsidR="0005001D" w:rsidRPr="0077490E">
        <w:rPr>
          <w:lang w:val="en-GB"/>
        </w:rPr>
        <w:t xml:space="preserve"> </w:t>
      </w:r>
      <w:r w:rsidRPr="0077490E">
        <w:rPr>
          <w:lang w:val="en-GB"/>
        </w:rPr>
        <w:t>practice</w:t>
      </w:r>
      <w:r w:rsidR="0005001D" w:rsidRPr="0077490E">
        <w:rPr>
          <w:lang w:val="en-GB"/>
        </w:rPr>
        <w:t>,</w:t>
      </w:r>
      <w:r w:rsidRPr="0077490E">
        <w:rPr>
          <w:lang w:val="en-GB"/>
        </w:rPr>
        <w:t xml:space="preserve"> and co-working spaces </w:t>
      </w:r>
      <w:proofErr w:type="gramStart"/>
      <w:r w:rsidRPr="0077490E">
        <w:rPr>
          <w:lang w:val="en-GB"/>
        </w:rPr>
        <w:t>were introduced</w:t>
      </w:r>
      <w:proofErr w:type="gramEnd"/>
      <w:r w:rsidRPr="0077490E">
        <w:rPr>
          <w:lang w:val="en-GB"/>
        </w:rPr>
        <w:t xml:space="preserve"> to facilitate disciplinary</w:t>
      </w:r>
      <w:r w:rsidR="0005001D" w:rsidRPr="0077490E">
        <w:rPr>
          <w:lang w:val="en-GB"/>
        </w:rPr>
        <w:t xml:space="preserve">, </w:t>
      </w:r>
      <w:r w:rsidRPr="0077490E">
        <w:rPr>
          <w:lang w:val="en-GB"/>
        </w:rPr>
        <w:t>cross-disciplinary</w:t>
      </w:r>
      <w:r w:rsidR="0005001D" w:rsidRPr="0077490E">
        <w:rPr>
          <w:lang w:val="en-GB"/>
        </w:rPr>
        <w:t>,</w:t>
      </w:r>
      <w:r w:rsidRPr="0077490E">
        <w:rPr>
          <w:lang w:val="en-GB"/>
        </w:rPr>
        <w:t xml:space="preserve"> and peer-to-peer networking across KPN. </w:t>
      </w:r>
      <w:bookmarkStart w:id="4" w:name="_Hlk535475856"/>
      <w:r w:rsidRPr="0077490E">
        <w:rPr>
          <w:lang w:val="en-GB"/>
        </w:rPr>
        <w:t xml:space="preserve">Many interventions were personal, as </w:t>
      </w:r>
      <w:proofErr w:type="spellStart"/>
      <w:r w:rsidRPr="0077490E">
        <w:rPr>
          <w:lang w:val="en-GB"/>
        </w:rPr>
        <w:t>Oosterbroek</w:t>
      </w:r>
      <w:proofErr w:type="spellEnd"/>
      <w:r w:rsidRPr="0077490E">
        <w:rPr>
          <w:lang w:val="en-GB"/>
        </w:rPr>
        <w:t xml:space="preserve"> explained</w:t>
      </w:r>
      <w:r w:rsidR="0005001D" w:rsidRPr="0077490E">
        <w:rPr>
          <w:lang w:val="en-GB"/>
        </w:rPr>
        <w:t xml:space="preserve">: </w:t>
      </w:r>
      <w:r w:rsidRPr="0077490E">
        <w:rPr>
          <w:lang w:val="en-GB"/>
        </w:rPr>
        <w:t xml:space="preserve">“Real change? That is what people do themselves. So we engaged and listened carefully to individuals’ needs and worries, took away roadblocks for them, and helped them capitalize on momentum.” </w:t>
      </w:r>
    </w:p>
    <w:bookmarkEnd w:id="4"/>
    <w:p w14:paraId="204C0ECF" w14:textId="77777777" w:rsidR="00F11C91" w:rsidRPr="0077490E" w:rsidRDefault="00F11C91" w:rsidP="003A1ED4">
      <w:pPr>
        <w:pStyle w:val="Casehead1"/>
        <w:rPr>
          <w:lang w:val="en-GB"/>
        </w:rPr>
      </w:pPr>
      <w:r w:rsidRPr="0077490E">
        <w:rPr>
          <w:lang w:val="en-GB"/>
        </w:rPr>
        <w:lastRenderedPageBreak/>
        <w:t xml:space="preserve">new growth </w:t>
      </w:r>
    </w:p>
    <w:p w14:paraId="20E0EA7A" w14:textId="77777777" w:rsidR="00F11C91" w:rsidRPr="003A1ED4" w:rsidRDefault="00F11C91" w:rsidP="003A1ED4">
      <w:pPr>
        <w:pStyle w:val="BodyTextMain"/>
        <w:rPr>
          <w:lang w:val="en-GB"/>
        </w:rPr>
      </w:pPr>
    </w:p>
    <w:p w14:paraId="6F900489" w14:textId="24673B36" w:rsidR="00F11C91" w:rsidRPr="0077490E" w:rsidRDefault="00F11C91" w:rsidP="003A1ED4">
      <w:pPr>
        <w:pStyle w:val="BodyTextMain"/>
        <w:rPr>
          <w:lang w:val="en-GB"/>
        </w:rPr>
      </w:pPr>
      <w:r w:rsidRPr="0077490E">
        <w:rPr>
          <w:lang w:val="en-GB"/>
        </w:rPr>
        <w:t>Throughout the transformation, data and analytics capabilities had play</w:t>
      </w:r>
      <w:r w:rsidR="0005001D" w:rsidRPr="0077490E">
        <w:rPr>
          <w:lang w:val="en-GB"/>
        </w:rPr>
        <w:t xml:space="preserve">ed </w:t>
      </w:r>
      <w:proofErr w:type="gramStart"/>
      <w:r w:rsidRPr="0077490E">
        <w:rPr>
          <w:lang w:val="en-GB"/>
        </w:rPr>
        <w:t>ever</w:t>
      </w:r>
      <w:r w:rsidR="00787B5F">
        <w:rPr>
          <w:lang w:val="en-GB"/>
        </w:rPr>
        <w:t xml:space="preserve"> </w:t>
      </w:r>
      <w:r w:rsidRPr="0077490E">
        <w:rPr>
          <w:lang w:val="en-GB"/>
        </w:rPr>
        <w:t>more important role</w:t>
      </w:r>
      <w:r w:rsidR="0005001D" w:rsidRPr="0077490E">
        <w:rPr>
          <w:lang w:val="en-GB"/>
        </w:rPr>
        <w:t>s</w:t>
      </w:r>
      <w:r w:rsidRPr="0077490E">
        <w:rPr>
          <w:lang w:val="en-GB"/>
        </w:rPr>
        <w:t xml:space="preserve"> at KPN</w:t>
      </w:r>
      <w:r w:rsidR="0005001D" w:rsidRPr="0077490E">
        <w:rPr>
          <w:lang w:val="en-GB"/>
        </w:rPr>
        <w:t>—n</w:t>
      </w:r>
      <w:r w:rsidRPr="0077490E">
        <w:rPr>
          <w:lang w:val="en-GB"/>
        </w:rPr>
        <w:t>ot just for simplification,</w:t>
      </w:r>
      <w:proofErr w:type="gramEnd"/>
      <w:r w:rsidRPr="0077490E">
        <w:rPr>
          <w:lang w:val="en-GB"/>
        </w:rPr>
        <w:t xml:space="preserve"> but increasingly</w:t>
      </w:r>
      <w:r w:rsidR="0005001D" w:rsidRPr="0077490E">
        <w:rPr>
          <w:lang w:val="en-GB"/>
        </w:rPr>
        <w:t>,</w:t>
      </w:r>
      <w:r w:rsidRPr="0077490E">
        <w:rPr>
          <w:lang w:val="en-GB"/>
        </w:rPr>
        <w:t xml:space="preserve"> for generating growth and innovation. This evolution g</w:t>
      </w:r>
      <w:r w:rsidR="0005001D" w:rsidRPr="0077490E">
        <w:rPr>
          <w:lang w:val="en-GB"/>
        </w:rPr>
        <w:t>a</w:t>
      </w:r>
      <w:r w:rsidRPr="0077490E">
        <w:rPr>
          <w:lang w:val="en-GB"/>
        </w:rPr>
        <w:t xml:space="preserve">ve rise to the central Data </w:t>
      </w:r>
      <w:r w:rsidR="00787B5F">
        <w:rPr>
          <w:lang w:val="en-GB"/>
        </w:rPr>
        <w:t>and</w:t>
      </w:r>
      <w:r w:rsidRPr="0077490E">
        <w:rPr>
          <w:lang w:val="en-GB"/>
        </w:rPr>
        <w:t xml:space="preserve"> Analytics department. Its focus was on creating more intimate customer relationships</w:t>
      </w:r>
      <w:r w:rsidR="0005001D" w:rsidRPr="0077490E">
        <w:rPr>
          <w:lang w:val="en-GB"/>
        </w:rPr>
        <w:t>—</w:t>
      </w:r>
      <w:r w:rsidRPr="0077490E">
        <w:rPr>
          <w:lang w:val="en-GB"/>
        </w:rPr>
        <w:t>for example</w:t>
      </w:r>
      <w:r w:rsidR="0005001D" w:rsidRPr="0077490E">
        <w:rPr>
          <w:lang w:val="en-GB"/>
        </w:rPr>
        <w:t>,</w:t>
      </w:r>
      <w:r w:rsidRPr="0077490E">
        <w:rPr>
          <w:lang w:val="en-GB"/>
        </w:rPr>
        <w:t xml:space="preserve"> through personalized TV ads and churn reduction</w:t>
      </w:r>
      <w:r w:rsidR="0005001D" w:rsidRPr="0077490E">
        <w:rPr>
          <w:lang w:val="en-GB"/>
        </w:rPr>
        <w:t xml:space="preserve"> and through</w:t>
      </w:r>
      <w:r w:rsidRPr="0077490E">
        <w:rPr>
          <w:lang w:val="en-GB"/>
        </w:rPr>
        <w:t xml:space="preserve"> finding new business models and revenue streams. A good example of a new revenue stream was </w:t>
      </w:r>
      <w:r w:rsidR="0005001D" w:rsidRPr="0077490E">
        <w:rPr>
          <w:lang w:val="en-GB"/>
        </w:rPr>
        <w:t xml:space="preserve">the decision </w:t>
      </w:r>
      <w:r w:rsidRPr="0077490E">
        <w:rPr>
          <w:lang w:val="en-GB"/>
        </w:rPr>
        <w:t xml:space="preserve">to offer </w:t>
      </w:r>
      <w:r w:rsidR="0005001D" w:rsidRPr="0077490E">
        <w:rPr>
          <w:lang w:val="en-GB"/>
        </w:rPr>
        <w:t xml:space="preserve">use of </w:t>
      </w:r>
      <w:r w:rsidRPr="0077490E">
        <w:rPr>
          <w:lang w:val="en-GB"/>
        </w:rPr>
        <w:t>KPN’s proprietary real-time data streaming platform</w:t>
      </w:r>
      <w:r w:rsidR="0005001D" w:rsidRPr="0077490E">
        <w:rPr>
          <w:lang w:val="en-GB"/>
        </w:rPr>
        <w:t xml:space="preserve"> to external clients</w:t>
      </w:r>
      <w:r w:rsidRPr="0077490E">
        <w:rPr>
          <w:lang w:val="en-GB"/>
        </w:rPr>
        <w:t xml:space="preserve">. </w:t>
      </w:r>
      <w:bookmarkStart w:id="5" w:name="_Hlk535476707"/>
      <w:proofErr w:type="spellStart"/>
      <w:r w:rsidRPr="0077490E">
        <w:rPr>
          <w:lang w:val="en-GB"/>
        </w:rPr>
        <w:t>Martijn</w:t>
      </w:r>
      <w:proofErr w:type="spellEnd"/>
      <w:r w:rsidRPr="0077490E">
        <w:rPr>
          <w:lang w:val="en-GB"/>
        </w:rPr>
        <w:t xml:space="preserve"> </w:t>
      </w:r>
      <w:proofErr w:type="spellStart"/>
      <w:r w:rsidRPr="0077490E">
        <w:rPr>
          <w:lang w:val="en-GB"/>
        </w:rPr>
        <w:t>Koning</w:t>
      </w:r>
      <w:proofErr w:type="spellEnd"/>
      <w:r w:rsidRPr="0077490E">
        <w:rPr>
          <w:lang w:val="en-GB"/>
        </w:rPr>
        <w:t xml:space="preserve">, EVP </w:t>
      </w:r>
      <w:proofErr w:type="gramStart"/>
      <w:r w:rsidRPr="0077490E">
        <w:rPr>
          <w:lang w:val="en-GB"/>
        </w:rPr>
        <w:t xml:space="preserve">Data </w:t>
      </w:r>
      <w:r w:rsidR="00787B5F">
        <w:rPr>
          <w:lang w:val="en-GB"/>
        </w:rPr>
        <w:t>and</w:t>
      </w:r>
      <w:r w:rsidRPr="0077490E">
        <w:rPr>
          <w:lang w:val="en-GB"/>
        </w:rPr>
        <w:t xml:space="preserve"> Analytics</w:t>
      </w:r>
      <w:proofErr w:type="gramEnd"/>
      <w:r w:rsidRPr="0077490E">
        <w:rPr>
          <w:lang w:val="en-GB"/>
        </w:rPr>
        <w:t xml:space="preserve"> and New Business, explained how his competence centre worked: </w:t>
      </w:r>
    </w:p>
    <w:p w14:paraId="030B0125" w14:textId="77777777" w:rsidR="00F11C91" w:rsidRPr="0077490E" w:rsidRDefault="00F11C91" w:rsidP="00F11C91">
      <w:pPr>
        <w:pStyle w:val="BodyTextMain"/>
        <w:rPr>
          <w:lang w:val="en-GB"/>
        </w:rPr>
      </w:pPr>
    </w:p>
    <w:p w14:paraId="5837A834" w14:textId="3CAA5EBC" w:rsidR="00F11C91" w:rsidRPr="0077490E" w:rsidRDefault="00F11C91" w:rsidP="00F11C91">
      <w:pPr>
        <w:pStyle w:val="BodyTextMain"/>
        <w:ind w:left="720"/>
        <w:rPr>
          <w:lang w:val="en-GB"/>
        </w:rPr>
      </w:pPr>
      <w:r w:rsidRPr="0077490E">
        <w:rPr>
          <w:lang w:val="en-GB"/>
        </w:rPr>
        <w:t>The use cases came from the business</w:t>
      </w:r>
      <w:r w:rsidR="0005001D" w:rsidRPr="0077490E">
        <w:rPr>
          <w:lang w:val="en-GB"/>
        </w:rPr>
        <w:t>;</w:t>
      </w:r>
      <w:r w:rsidRPr="0077490E">
        <w:rPr>
          <w:lang w:val="en-GB"/>
        </w:rPr>
        <w:t xml:space="preserve"> we offered the data and analytics </w:t>
      </w:r>
      <w:proofErr w:type="gramStart"/>
      <w:r w:rsidRPr="0077490E">
        <w:rPr>
          <w:lang w:val="en-GB"/>
        </w:rPr>
        <w:t>craftsmanship</w:t>
      </w:r>
      <w:proofErr w:type="gramEnd"/>
      <w:r w:rsidRPr="0077490E">
        <w:rPr>
          <w:lang w:val="en-GB"/>
        </w:rPr>
        <w:t>. We functioned more as a chapter than as a line organization. That is, we tried to operate from inside the teams. Nevertheless, for scale</w:t>
      </w:r>
      <w:r w:rsidR="0005001D" w:rsidRPr="0077490E">
        <w:rPr>
          <w:lang w:val="en-GB"/>
        </w:rPr>
        <w:t>,</w:t>
      </w:r>
      <w:r w:rsidRPr="0077490E">
        <w:rPr>
          <w:lang w:val="en-GB"/>
        </w:rPr>
        <w:t xml:space="preserve"> we needed data architecture and governance, so we worked with the business and IT to identify shared building blocks. We did this by mapping initiatives on</w:t>
      </w:r>
      <w:r w:rsidR="0005001D" w:rsidRPr="0077490E">
        <w:rPr>
          <w:lang w:val="en-GB"/>
        </w:rPr>
        <w:t>to</w:t>
      </w:r>
      <w:r w:rsidRPr="0077490E">
        <w:rPr>
          <w:lang w:val="en-GB"/>
        </w:rPr>
        <w:t xml:space="preserve"> the operating model. At the same time</w:t>
      </w:r>
      <w:r w:rsidR="0005001D" w:rsidRPr="0077490E">
        <w:rPr>
          <w:lang w:val="en-GB"/>
        </w:rPr>
        <w:t>,</w:t>
      </w:r>
      <w:r w:rsidRPr="0077490E">
        <w:rPr>
          <w:lang w:val="en-GB"/>
        </w:rPr>
        <w:t xml:space="preserve"> we invested in data literacy. For example, hundreds of people took part in data, analytics</w:t>
      </w:r>
      <w:r w:rsidR="0005001D" w:rsidRPr="0077490E">
        <w:rPr>
          <w:lang w:val="en-GB"/>
        </w:rPr>
        <w:t>,</w:t>
      </w:r>
      <w:r w:rsidRPr="0077490E">
        <w:rPr>
          <w:lang w:val="en-GB"/>
        </w:rPr>
        <w:t xml:space="preserve"> or advanced analytics training. The entire senior management team joined a two-day workshop to debunk common myths.</w:t>
      </w:r>
    </w:p>
    <w:p w14:paraId="6A3CC2D5" w14:textId="77777777" w:rsidR="00F11C91" w:rsidRPr="0077490E" w:rsidRDefault="00F11C91" w:rsidP="00F11C91">
      <w:pPr>
        <w:pStyle w:val="BodyTextMain"/>
        <w:rPr>
          <w:lang w:val="en-GB"/>
        </w:rPr>
      </w:pPr>
    </w:p>
    <w:bookmarkEnd w:id="5"/>
    <w:p w14:paraId="380B6475" w14:textId="69A10EA5" w:rsidR="00F11C91" w:rsidRPr="0077490E" w:rsidRDefault="00F11C91" w:rsidP="00F11C91">
      <w:pPr>
        <w:pStyle w:val="BodyTextMain"/>
        <w:rPr>
          <w:lang w:val="en-GB"/>
        </w:rPr>
      </w:pPr>
      <w:r w:rsidRPr="0077490E">
        <w:rPr>
          <w:lang w:val="en-GB"/>
        </w:rPr>
        <w:t xml:space="preserve">In 2016, KPN officially changed its strategic focus from “strengthen, simplify and grow” to “simplify, grow and innovate.” This shift came with several initiatives to stimulate outside-in innovation, the most prominent </w:t>
      </w:r>
      <w:r w:rsidR="0005001D" w:rsidRPr="0077490E">
        <w:rPr>
          <w:lang w:val="en-GB"/>
        </w:rPr>
        <w:t xml:space="preserve">of which </w:t>
      </w:r>
      <w:r w:rsidRPr="0077490E">
        <w:rPr>
          <w:lang w:val="en-GB"/>
        </w:rPr>
        <w:t>were the New Business department</w:t>
      </w:r>
      <w:r w:rsidR="0005001D" w:rsidRPr="0077490E">
        <w:rPr>
          <w:lang w:val="en-GB"/>
        </w:rPr>
        <w:t>,</w:t>
      </w:r>
      <w:r w:rsidRPr="0077490E">
        <w:rPr>
          <w:lang w:val="en-GB"/>
        </w:rPr>
        <w:t xml:space="preserve"> for internally incubating start-ups</w:t>
      </w:r>
      <w:r w:rsidR="0005001D" w:rsidRPr="0077490E">
        <w:rPr>
          <w:lang w:val="en-GB"/>
        </w:rPr>
        <w:t xml:space="preserve">; the </w:t>
      </w:r>
      <w:r w:rsidRPr="0077490E">
        <w:rPr>
          <w:lang w:val="en-GB"/>
        </w:rPr>
        <w:t>KPN Ventures investment fund</w:t>
      </w:r>
      <w:r w:rsidR="0005001D" w:rsidRPr="0077490E">
        <w:rPr>
          <w:lang w:val="en-GB"/>
        </w:rPr>
        <w:t>,</w:t>
      </w:r>
      <w:r w:rsidRPr="0077490E">
        <w:rPr>
          <w:lang w:val="en-GB"/>
        </w:rPr>
        <w:t xml:space="preserve"> for externally accelerating scale-ups</w:t>
      </w:r>
      <w:r w:rsidR="0005001D" w:rsidRPr="0077490E">
        <w:rPr>
          <w:lang w:val="en-GB"/>
        </w:rPr>
        <w:t xml:space="preserve">; </w:t>
      </w:r>
      <w:r w:rsidRPr="0077490E">
        <w:rPr>
          <w:lang w:val="en-GB"/>
        </w:rPr>
        <w:t xml:space="preserve">and the </w:t>
      </w:r>
      <w:proofErr w:type="spellStart"/>
      <w:r w:rsidRPr="0077490E">
        <w:rPr>
          <w:lang w:val="en-GB"/>
        </w:rPr>
        <w:t>IoT</w:t>
      </w:r>
      <w:proofErr w:type="spellEnd"/>
      <w:r w:rsidRPr="0077490E">
        <w:rPr>
          <w:lang w:val="en-GB"/>
        </w:rPr>
        <w:t xml:space="preserve"> Academy</w:t>
      </w:r>
      <w:r w:rsidR="0005001D" w:rsidRPr="0077490E">
        <w:rPr>
          <w:lang w:val="en-GB"/>
        </w:rPr>
        <w:t>,</w:t>
      </w:r>
      <w:r w:rsidRPr="0077490E">
        <w:rPr>
          <w:lang w:val="en-GB"/>
        </w:rPr>
        <w:t xml:space="preserve"> for exploring </w:t>
      </w:r>
      <w:proofErr w:type="spellStart"/>
      <w:r w:rsidRPr="0077490E">
        <w:rPr>
          <w:lang w:val="en-GB"/>
        </w:rPr>
        <w:t>IoT</w:t>
      </w:r>
      <w:proofErr w:type="spellEnd"/>
      <w:r w:rsidRPr="0077490E">
        <w:rPr>
          <w:lang w:val="en-GB"/>
        </w:rPr>
        <w:t xml:space="preserve">-related business opportunities. KPN chose to work with key partners to speed up innovation; </w:t>
      </w:r>
      <w:r w:rsidR="0005001D" w:rsidRPr="0077490E">
        <w:rPr>
          <w:lang w:val="en-GB"/>
        </w:rPr>
        <w:t xml:space="preserve">these were </w:t>
      </w:r>
      <w:r w:rsidRPr="0077490E">
        <w:rPr>
          <w:lang w:val="en-GB"/>
        </w:rPr>
        <w:t xml:space="preserve">partners with whom </w:t>
      </w:r>
      <w:r w:rsidR="0005001D" w:rsidRPr="0077490E">
        <w:rPr>
          <w:lang w:val="en-GB"/>
        </w:rPr>
        <w:t xml:space="preserve">the company </w:t>
      </w:r>
      <w:r w:rsidRPr="0077490E">
        <w:rPr>
          <w:lang w:val="en-GB"/>
        </w:rPr>
        <w:t xml:space="preserve">could explore strategic goals and improve the supply chain. In 2017, for example, </w:t>
      </w:r>
      <w:r w:rsidR="0005001D" w:rsidRPr="0077490E">
        <w:rPr>
          <w:lang w:val="en-GB"/>
        </w:rPr>
        <w:t xml:space="preserve">it made </w:t>
      </w:r>
      <w:r w:rsidRPr="0077490E">
        <w:rPr>
          <w:lang w:val="en-GB"/>
        </w:rPr>
        <w:t>more than 80 deals, including pilot projects, investments by KPN Ventures, co-creation propositions, distribution partnerships</w:t>
      </w:r>
      <w:r w:rsidR="0005001D" w:rsidRPr="0077490E">
        <w:rPr>
          <w:lang w:val="en-GB"/>
        </w:rPr>
        <w:t>,</w:t>
      </w:r>
      <w:r w:rsidRPr="0077490E">
        <w:rPr>
          <w:lang w:val="en-GB"/>
        </w:rPr>
        <w:t xml:space="preserve"> and </w:t>
      </w:r>
      <w:r w:rsidR="00787B5F" w:rsidRPr="0077490E">
        <w:rPr>
          <w:lang w:val="en-GB"/>
        </w:rPr>
        <w:t>asset</w:t>
      </w:r>
      <w:r w:rsidR="00787B5F">
        <w:rPr>
          <w:lang w:val="en-GB"/>
        </w:rPr>
        <w:t>-</w:t>
      </w:r>
      <w:r w:rsidRPr="0077490E">
        <w:rPr>
          <w:lang w:val="en-GB"/>
        </w:rPr>
        <w:t xml:space="preserve">sharing deals. This joint approach to innovation enabled KPN to benefit and learn from the speed with which start-ups could innovate, while the </w:t>
      </w:r>
      <w:r w:rsidR="0005001D" w:rsidRPr="0077490E">
        <w:rPr>
          <w:lang w:val="en-GB"/>
        </w:rPr>
        <w:t xml:space="preserve">start-ups </w:t>
      </w:r>
      <w:r w:rsidRPr="0077490E">
        <w:rPr>
          <w:lang w:val="en-GB"/>
        </w:rPr>
        <w:t>benefit</w:t>
      </w:r>
      <w:r w:rsidR="0005001D" w:rsidRPr="0077490E">
        <w:rPr>
          <w:lang w:val="en-GB"/>
        </w:rPr>
        <w:t>ed</w:t>
      </w:r>
      <w:r w:rsidRPr="0077490E">
        <w:rPr>
          <w:lang w:val="en-GB"/>
        </w:rPr>
        <w:t xml:space="preserve"> from KPN’s expertise, network, brand</w:t>
      </w:r>
      <w:r w:rsidR="0005001D" w:rsidRPr="0077490E">
        <w:rPr>
          <w:lang w:val="en-GB"/>
        </w:rPr>
        <w:t>,</w:t>
      </w:r>
      <w:r w:rsidRPr="0077490E">
        <w:rPr>
          <w:lang w:val="en-GB"/>
        </w:rPr>
        <w:t xml:space="preserve"> and marketing capabilities. </w:t>
      </w:r>
    </w:p>
    <w:p w14:paraId="2819B8BE" w14:textId="77777777" w:rsidR="00F11C91" w:rsidRPr="0077490E" w:rsidRDefault="00F11C91" w:rsidP="00F11C91">
      <w:pPr>
        <w:pStyle w:val="BodyTextMain"/>
        <w:rPr>
          <w:lang w:val="en-GB"/>
        </w:rPr>
      </w:pPr>
    </w:p>
    <w:p w14:paraId="7DD11B80" w14:textId="35DC188D" w:rsidR="00F11C91" w:rsidRPr="0077490E" w:rsidRDefault="00F11C91" w:rsidP="00F11C91">
      <w:pPr>
        <w:pStyle w:val="BodyTextMain"/>
        <w:rPr>
          <w:lang w:val="en-GB"/>
        </w:rPr>
      </w:pPr>
      <w:r w:rsidRPr="0077490E">
        <w:rPr>
          <w:lang w:val="en-GB"/>
        </w:rPr>
        <w:t>KPN</w:t>
      </w:r>
      <w:r w:rsidR="0005001D" w:rsidRPr="0077490E">
        <w:rPr>
          <w:lang w:val="en-GB"/>
        </w:rPr>
        <w:t>’s approach to</w:t>
      </w:r>
      <w:r w:rsidRPr="0077490E">
        <w:rPr>
          <w:lang w:val="en-GB"/>
        </w:rPr>
        <w:t xml:space="preserve"> partnerships </w:t>
      </w:r>
      <w:proofErr w:type="gramStart"/>
      <w:r w:rsidRPr="0077490E">
        <w:rPr>
          <w:lang w:val="en-GB"/>
        </w:rPr>
        <w:t>was best illustrated</w:t>
      </w:r>
      <w:proofErr w:type="gramEnd"/>
      <w:r w:rsidRPr="0077490E">
        <w:rPr>
          <w:lang w:val="en-GB"/>
        </w:rPr>
        <w:t xml:space="preserve"> by </w:t>
      </w:r>
      <w:r w:rsidR="0005001D" w:rsidRPr="0077490E">
        <w:rPr>
          <w:lang w:val="en-GB"/>
        </w:rPr>
        <w:t xml:space="preserve">the way </w:t>
      </w:r>
      <w:r w:rsidRPr="0077490E">
        <w:rPr>
          <w:lang w:val="en-GB"/>
        </w:rPr>
        <w:t>KPN Ventures chose investments. By 2018, KPN Ventures managed a €70 million fund</w:t>
      </w:r>
      <w:r w:rsidR="002B15F4" w:rsidRPr="0077490E">
        <w:rPr>
          <w:lang w:val="en-GB"/>
        </w:rPr>
        <w:t xml:space="preserve"> that </w:t>
      </w:r>
      <w:proofErr w:type="gramStart"/>
      <w:r w:rsidR="002B15F4" w:rsidRPr="0077490E">
        <w:rPr>
          <w:lang w:val="en-GB"/>
        </w:rPr>
        <w:t xml:space="preserve">was </w:t>
      </w:r>
      <w:r w:rsidRPr="0077490E">
        <w:rPr>
          <w:lang w:val="en-GB"/>
        </w:rPr>
        <w:t>used</w:t>
      </w:r>
      <w:proofErr w:type="gramEnd"/>
      <w:r w:rsidRPr="0077490E">
        <w:rPr>
          <w:lang w:val="en-GB"/>
        </w:rPr>
        <w:t xml:space="preserve"> for investments in new digital business models and revenue streams in selected high-growth digital ecosystems adjacent to KPN’s core business (e.g.</w:t>
      </w:r>
      <w:r w:rsidR="002B15F4" w:rsidRPr="0077490E">
        <w:rPr>
          <w:lang w:val="en-GB"/>
        </w:rPr>
        <w:t>,</w:t>
      </w:r>
      <w:r w:rsidRPr="0077490E">
        <w:rPr>
          <w:lang w:val="en-GB"/>
        </w:rPr>
        <w:t xml:space="preserve"> </w:t>
      </w:r>
      <w:proofErr w:type="spellStart"/>
      <w:r w:rsidRPr="0077490E">
        <w:rPr>
          <w:lang w:val="en-GB"/>
        </w:rPr>
        <w:t>IoT</w:t>
      </w:r>
      <w:proofErr w:type="spellEnd"/>
      <w:r w:rsidRPr="0077490E">
        <w:rPr>
          <w:lang w:val="en-GB"/>
        </w:rPr>
        <w:t>, cyber security, smart life</w:t>
      </w:r>
      <w:r w:rsidR="002B15F4" w:rsidRPr="0077490E">
        <w:rPr>
          <w:lang w:val="en-GB"/>
        </w:rPr>
        <w:t>,</w:t>
      </w:r>
      <w:r w:rsidRPr="0077490E">
        <w:rPr>
          <w:lang w:val="en-GB"/>
        </w:rPr>
        <w:t xml:space="preserve"> and digital health). It executed direct minority investments in scale-ups or made indirect fund investments. The Ventures team assessed investments based on potential financial and strategic return. Herman </w:t>
      </w:r>
      <w:proofErr w:type="spellStart"/>
      <w:r w:rsidRPr="0077490E">
        <w:rPr>
          <w:lang w:val="en-GB"/>
        </w:rPr>
        <w:t>Kienhuis</w:t>
      </w:r>
      <w:proofErr w:type="spellEnd"/>
      <w:r w:rsidRPr="0077490E">
        <w:rPr>
          <w:lang w:val="en-GB"/>
        </w:rPr>
        <w:t xml:space="preserve">, EVP and </w:t>
      </w:r>
      <w:r w:rsidR="002B15F4" w:rsidRPr="0077490E">
        <w:rPr>
          <w:lang w:val="en-GB"/>
        </w:rPr>
        <w:t xml:space="preserve">managing director </w:t>
      </w:r>
      <w:r w:rsidRPr="0077490E">
        <w:rPr>
          <w:lang w:val="en-GB"/>
        </w:rPr>
        <w:t xml:space="preserve">of KPN Ventures, explained: </w:t>
      </w:r>
    </w:p>
    <w:p w14:paraId="5A18EC78" w14:textId="77777777" w:rsidR="00F11C91" w:rsidRPr="0077490E" w:rsidRDefault="00F11C91" w:rsidP="00F11C91">
      <w:pPr>
        <w:pStyle w:val="BodyTextMain"/>
        <w:rPr>
          <w:lang w:val="en-GB"/>
        </w:rPr>
      </w:pPr>
    </w:p>
    <w:p w14:paraId="093491E3" w14:textId="1163164B" w:rsidR="00F11C91" w:rsidRPr="0077490E" w:rsidRDefault="00F11C91" w:rsidP="00F11C91">
      <w:pPr>
        <w:pStyle w:val="BodyTextMain"/>
        <w:ind w:left="720"/>
        <w:rPr>
          <w:lang w:val="en-GB"/>
        </w:rPr>
      </w:pPr>
      <w:r w:rsidRPr="0077490E">
        <w:rPr>
          <w:lang w:val="en-GB"/>
        </w:rPr>
        <w:t>We looked at factors like management quality, market size, product competitiveness, growth plans</w:t>
      </w:r>
      <w:r w:rsidR="002B15F4" w:rsidRPr="0077490E">
        <w:rPr>
          <w:lang w:val="en-GB"/>
        </w:rPr>
        <w:t>,</w:t>
      </w:r>
      <w:r w:rsidRPr="0077490E">
        <w:rPr>
          <w:lang w:val="en-GB"/>
        </w:rPr>
        <w:t xml:space="preserve"> and risks </w:t>
      </w:r>
      <w:r w:rsidR="002B15F4" w:rsidRPr="0077490E">
        <w:rPr>
          <w:lang w:val="en-GB"/>
        </w:rPr>
        <w:t xml:space="preserve">to evaluate </w:t>
      </w:r>
      <w:r w:rsidRPr="0077490E">
        <w:rPr>
          <w:lang w:val="en-GB"/>
        </w:rPr>
        <w:t xml:space="preserve">financial return. Strategic return </w:t>
      </w:r>
      <w:proofErr w:type="gramStart"/>
      <w:r w:rsidRPr="0077490E">
        <w:rPr>
          <w:lang w:val="en-GB"/>
        </w:rPr>
        <w:t>was assessed</w:t>
      </w:r>
      <w:proofErr w:type="gramEnd"/>
      <w:r w:rsidRPr="0077490E">
        <w:rPr>
          <w:lang w:val="en-GB"/>
        </w:rPr>
        <w:t xml:space="preserve"> </w:t>
      </w:r>
      <w:r w:rsidR="002B15F4" w:rsidRPr="0077490E">
        <w:rPr>
          <w:lang w:val="en-GB"/>
        </w:rPr>
        <w:t xml:space="preserve">based on </w:t>
      </w:r>
      <w:r w:rsidRPr="0077490E">
        <w:rPr>
          <w:lang w:val="en-GB"/>
        </w:rPr>
        <w:t xml:space="preserve">concrete use cases showing the value of the collaboration and the asset-leveraging potential for KPN. No investment </w:t>
      </w:r>
      <w:proofErr w:type="gramStart"/>
      <w:r w:rsidRPr="0077490E">
        <w:rPr>
          <w:lang w:val="en-GB"/>
        </w:rPr>
        <w:t>was made</w:t>
      </w:r>
      <w:proofErr w:type="gramEnd"/>
      <w:r w:rsidRPr="0077490E">
        <w:rPr>
          <w:lang w:val="en-GB"/>
        </w:rPr>
        <w:t xml:space="preserve"> without a strong case for strategic return.</w:t>
      </w:r>
    </w:p>
    <w:p w14:paraId="40CD6038" w14:textId="77777777" w:rsidR="00F11C91" w:rsidRPr="0077490E" w:rsidRDefault="00F11C91" w:rsidP="00F11C91">
      <w:pPr>
        <w:pStyle w:val="BodyTextMain"/>
        <w:rPr>
          <w:lang w:val="en-GB"/>
        </w:rPr>
      </w:pPr>
    </w:p>
    <w:p w14:paraId="21F12B5F" w14:textId="46351771" w:rsidR="00F11C91" w:rsidRPr="0077490E" w:rsidRDefault="00F11C91" w:rsidP="00F11C91">
      <w:pPr>
        <w:pStyle w:val="BodyTextMain"/>
        <w:rPr>
          <w:lang w:val="en-GB"/>
        </w:rPr>
      </w:pPr>
      <w:r w:rsidRPr="0077490E">
        <w:rPr>
          <w:lang w:val="en-GB"/>
        </w:rPr>
        <w:t xml:space="preserve">By 2018, KPN had established a respectable ecosystem of digital partners. </w:t>
      </w:r>
      <w:proofErr w:type="spellStart"/>
      <w:r w:rsidRPr="0077490E">
        <w:rPr>
          <w:lang w:val="en-GB"/>
        </w:rPr>
        <w:t>Hoving</w:t>
      </w:r>
      <w:proofErr w:type="spellEnd"/>
      <w:r w:rsidRPr="0077490E">
        <w:rPr>
          <w:lang w:val="en-GB"/>
        </w:rPr>
        <w:t xml:space="preserve"> was particularly proud of the partnership </w:t>
      </w:r>
      <w:r w:rsidR="002B15F4" w:rsidRPr="0077490E">
        <w:rPr>
          <w:lang w:val="en-GB"/>
        </w:rPr>
        <w:t xml:space="preserve">it </w:t>
      </w:r>
      <w:r w:rsidRPr="0077490E">
        <w:rPr>
          <w:lang w:val="en-GB"/>
        </w:rPr>
        <w:t xml:space="preserve">established in 2017 with </w:t>
      </w:r>
      <w:proofErr w:type="spellStart"/>
      <w:r w:rsidR="002B15F4" w:rsidRPr="0077490E">
        <w:rPr>
          <w:lang w:val="en-GB"/>
        </w:rPr>
        <w:t>Tencent</w:t>
      </w:r>
      <w:proofErr w:type="spellEnd"/>
      <w:r w:rsidR="002B15F4" w:rsidRPr="0077490E">
        <w:rPr>
          <w:lang w:val="en-GB"/>
        </w:rPr>
        <w:t xml:space="preserve"> Holdings Limited (</w:t>
      </w:r>
      <w:proofErr w:type="spellStart"/>
      <w:r w:rsidRPr="0077490E">
        <w:rPr>
          <w:lang w:val="en-GB"/>
        </w:rPr>
        <w:t>Tencent</w:t>
      </w:r>
      <w:proofErr w:type="spellEnd"/>
      <w:r w:rsidR="002B15F4" w:rsidRPr="0077490E">
        <w:rPr>
          <w:lang w:val="en-GB"/>
        </w:rPr>
        <w:t>)</w:t>
      </w:r>
      <w:r w:rsidRPr="0077490E">
        <w:rPr>
          <w:lang w:val="en-GB"/>
        </w:rPr>
        <w:t>, China’s software giant, to launch the WeChat Go SIM card for Chinese tourists travelling in Europe:</w:t>
      </w:r>
      <w:r w:rsidRPr="0077490E">
        <w:rPr>
          <w:rStyle w:val="FootnoteReference"/>
          <w:lang w:val="en-GB"/>
        </w:rPr>
        <w:footnoteReference w:id="10"/>
      </w:r>
      <w:r w:rsidRPr="0077490E">
        <w:rPr>
          <w:lang w:val="en-GB"/>
        </w:rPr>
        <w:t xml:space="preserve"> </w:t>
      </w:r>
    </w:p>
    <w:p w14:paraId="3C19ABFC" w14:textId="6AE9E6A1" w:rsidR="00F11C91" w:rsidRDefault="00F11C91" w:rsidP="00F11C91">
      <w:pPr>
        <w:pStyle w:val="BodyTextMain"/>
        <w:rPr>
          <w:lang w:val="en-GB"/>
        </w:rPr>
      </w:pPr>
    </w:p>
    <w:p w14:paraId="2A41A0D5" w14:textId="77777777" w:rsidR="00BF2747" w:rsidRPr="0077490E" w:rsidRDefault="00BF2747" w:rsidP="00F11C91">
      <w:pPr>
        <w:pStyle w:val="BodyTextMain"/>
        <w:rPr>
          <w:lang w:val="en-GB"/>
        </w:rPr>
      </w:pPr>
    </w:p>
    <w:p w14:paraId="3FE7BF89" w14:textId="2F7CF718" w:rsidR="00F11C91" w:rsidRDefault="00F11C91" w:rsidP="00243C2F">
      <w:pPr>
        <w:pStyle w:val="BodyTextMain"/>
        <w:ind w:left="720"/>
        <w:rPr>
          <w:lang w:val="en-GB"/>
        </w:rPr>
      </w:pPr>
      <w:r w:rsidRPr="0077490E">
        <w:rPr>
          <w:lang w:val="en-GB"/>
        </w:rPr>
        <w:lastRenderedPageBreak/>
        <w:t xml:space="preserve">We had to compete against big European </w:t>
      </w:r>
      <w:proofErr w:type="spellStart"/>
      <w:r w:rsidRPr="0077490E">
        <w:rPr>
          <w:lang w:val="en-GB"/>
        </w:rPr>
        <w:t>telcos</w:t>
      </w:r>
      <w:proofErr w:type="spellEnd"/>
      <w:r w:rsidRPr="0077490E">
        <w:rPr>
          <w:lang w:val="en-GB"/>
        </w:rPr>
        <w:t xml:space="preserve">, which offered further network capabilities. </w:t>
      </w:r>
      <w:proofErr w:type="gramStart"/>
      <w:r w:rsidRPr="0077490E">
        <w:rPr>
          <w:lang w:val="en-GB"/>
        </w:rPr>
        <w:t>But</w:t>
      </w:r>
      <w:proofErr w:type="gramEnd"/>
      <w:r w:rsidRPr="0077490E">
        <w:rPr>
          <w:lang w:val="en-GB"/>
        </w:rPr>
        <w:t xml:space="preserve"> we had superior software and IT capabilities. We were the only ones that could meet </w:t>
      </w:r>
      <w:proofErr w:type="spellStart"/>
      <w:r w:rsidRPr="0077490E">
        <w:rPr>
          <w:lang w:val="en-GB"/>
        </w:rPr>
        <w:t>Tencent’s</w:t>
      </w:r>
      <w:proofErr w:type="spellEnd"/>
      <w:r w:rsidRPr="0077490E">
        <w:rPr>
          <w:lang w:val="en-GB"/>
        </w:rPr>
        <w:t xml:space="preserve"> challenging time-to-market requirements. </w:t>
      </w:r>
      <w:proofErr w:type="gramStart"/>
      <w:r w:rsidRPr="0077490E">
        <w:rPr>
          <w:lang w:val="en-GB"/>
        </w:rPr>
        <w:t>We basically</w:t>
      </w:r>
      <w:proofErr w:type="gramEnd"/>
      <w:r w:rsidRPr="0077490E">
        <w:rPr>
          <w:lang w:val="en-GB"/>
        </w:rPr>
        <w:t xml:space="preserve"> plugged our APIs directly into their system and were able to launch Europe-wide in weeks, not months. </w:t>
      </w:r>
      <w:proofErr w:type="gramStart"/>
      <w:r w:rsidRPr="0077490E">
        <w:rPr>
          <w:lang w:val="en-GB"/>
        </w:rPr>
        <w:t>Also</w:t>
      </w:r>
      <w:proofErr w:type="gramEnd"/>
      <w:r w:rsidRPr="0077490E">
        <w:rPr>
          <w:lang w:val="en-GB"/>
        </w:rPr>
        <w:t xml:space="preserve">, it gave us a unique opportunity to co-develop the customer experience with </w:t>
      </w:r>
      <w:proofErr w:type="spellStart"/>
      <w:r w:rsidRPr="0077490E">
        <w:rPr>
          <w:lang w:val="en-GB"/>
        </w:rPr>
        <w:t>Tencent</w:t>
      </w:r>
      <w:proofErr w:type="spellEnd"/>
      <w:r w:rsidRPr="0077490E">
        <w:rPr>
          <w:lang w:val="en-GB"/>
        </w:rPr>
        <w:t xml:space="preserve">. The partnership </w:t>
      </w:r>
      <w:proofErr w:type="gramStart"/>
      <w:r w:rsidRPr="0077490E">
        <w:rPr>
          <w:lang w:val="en-GB"/>
        </w:rPr>
        <w:t>has now been extended</w:t>
      </w:r>
      <w:proofErr w:type="gramEnd"/>
      <w:r w:rsidRPr="0077490E">
        <w:rPr>
          <w:lang w:val="en-GB"/>
        </w:rPr>
        <w:t xml:space="preserve"> to tourists travelling in Australia.</w:t>
      </w:r>
    </w:p>
    <w:p w14:paraId="099BFEDB" w14:textId="77777777" w:rsidR="00BC41B1" w:rsidRDefault="00BC41B1" w:rsidP="00BC41B1">
      <w:pPr>
        <w:pStyle w:val="BodyTextMain"/>
        <w:rPr>
          <w:lang w:val="en-GB"/>
        </w:rPr>
      </w:pPr>
    </w:p>
    <w:p w14:paraId="22D4EACA" w14:textId="77777777" w:rsidR="00BC41B1" w:rsidRDefault="00BC41B1" w:rsidP="00BC41B1">
      <w:pPr>
        <w:pStyle w:val="BodyTextMain"/>
        <w:rPr>
          <w:lang w:val="en-GB"/>
        </w:rPr>
      </w:pPr>
    </w:p>
    <w:p w14:paraId="2D46ED03" w14:textId="08D9B3D7" w:rsidR="00F11C91" w:rsidRPr="0077490E" w:rsidRDefault="00F11C91" w:rsidP="00F11C91">
      <w:pPr>
        <w:pStyle w:val="Casehead1"/>
        <w:rPr>
          <w:lang w:val="en-GB"/>
        </w:rPr>
      </w:pPr>
      <w:r w:rsidRPr="0077490E">
        <w:rPr>
          <w:lang w:val="en-GB"/>
        </w:rPr>
        <w:t>GOING FORWARD</w:t>
      </w:r>
    </w:p>
    <w:p w14:paraId="14FF6A0E" w14:textId="77777777" w:rsidR="00F11C91" w:rsidRPr="0077490E" w:rsidRDefault="00F11C91" w:rsidP="00F11C91">
      <w:pPr>
        <w:pStyle w:val="BodyTextMain"/>
        <w:rPr>
          <w:lang w:val="en-GB"/>
        </w:rPr>
      </w:pPr>
    </w:p>
    <w:p w14:paraId="25944606" w14:textId="28A70F05" w:rsidR="00F11C91" w:rsidRPr="0077490E" w:rsidRDefault="00F11C91" w:rsidP="00F11C91">
      <w:pPr>
        <w:pStyle w:val="BodyTextMain"/>
        <w:rPr>
          <w:lang w:val="en-GB"/>
        </w:rPr>
      </w:pPr>
      <w:r w:rsidRPr="0077490E">
        <w:rPr>
          <w:lang w:val="en-GB"/>
        </w:rPr>
        <w:t>In 2016, KPN’s simplification program received TM Forum’s Business Transformation of the Year award</w:t>
      </w:r>
      <w:r w:rsidR="002B15F4" w:rsidRPr="0077490E">
        <w:rPr>
          <w:lang w:val="en-GB"/>
        </w:rPr>
        <w:t>; and i</w:t>
      </w:r>
      <w:r w:rsidRPr="0077490E">
        <w:rPr>
          <w:lang w:val="en-GB"/>
        </w:rPr>
        <w:t xml:space="preserve">n June 2018, </w:t>
      </w:r>
      <w:proofErr w:type="spellStart"/>
      <w:r w:rsidRPr="0077490E">
        <w:rPr>
          <w:lang w:val="en-GB"/>
        </w:rPr>
        <w:t>Hoving</w:t>
      </w:r>
      <w:proofErr w:type="spellEnd"/>
      <w:r w:rsidRPr="0077490E">
        <w:rPr>
          <w:lang w:val="en-GB"/>
        </w:rPr>
        <w:t xml:space="preserve"> </w:t>
      </w:r>
      <w:proofErr w:type="gramStart"/>
      <w:r w:rsidRPr="0077490E">
        <w:rPr>
          <w:lang w:val="en-GB"/>
        </w:rPr>
        <w:t>was lauded</w:t>
      </w:r>
      <w:proofErr w:type="gramEnd"/>
      <w:r w:rsidRPr="0077490E">
        <w:rPr>
          <w:lang w:val="en-GB"/>
        </w:rPr>
        <w:t xml:space="preserve"> as European CIO of the Year by CIONET</w:t>
      </w:r>
      <w:r w:rsidR="002B15F4" w:rsidRPr="0077490E">
        <w:rPr>
          <w:lang w:val="en-GB"/>
        </w:rPr>
        <w:t>.</w:t>
      </w:r>
      <w:r w:rsidRPr="0077490E">
        <w:rPr>
          <w:rStyle w:val="FootnoteReference"/>
          <w:lang w:val="en-GB"/>
        </w:rPr>
        <w:footnoteReference w:id="11"/>
      </w:r>
      <w:r w:rsidRPr="0077490E">
        <w:rPr>
          <w:lang w:val="en-GB"/>
        </w:rPr>
        <w:t xml:space="preserve"> </w:t>
      </w:r>
      <w:bookmarkStart w:id="6" w:name="_Hlk535843476"/>
      <w:r w:rsidRPr="0077490E">
        <w:rPr>
          <w:lang w:val="en-GB"/>
        </w:rPr>
        <w:t xml:space="preserve">Both awards recognized KPN for having made significant strides in </w:t>
      </w:r>
      <w:r w:rsidR="002B15F4" w:rsidRPr="0077490E">
        <w:rPr>
          <w:lang w:val="en-GB"/>
        </w:rPr>
        <w:t xml:space="preserve">transitioning </w:t>
      </w:r>
      <w:r w:rsidRPr="0077490E">
        <w:rPr>
          <w:lang w:val="en-GB"/>
        </w:rPr>
        <w:t>to a low-cost, customer-centric, agile operating model</w:t>
      </w:r>
      <w:bookmarkEnd w:id="6"/>
      <w:r w:rsidRPr="0077490E">
        <w:rPr>
          <w:lang w:val="en-GB"/>
        </w:rPr>
        <w:t xml:space="preserve"> (see Exhibit 10). Indeed, </w:t>
      </w:r>
      <w:r w:rsidR="002B15F4" w:rsidRPr="0077490E">
        <w:rPr>
          <w:lang w:val="en-GB"/>
        </w:rPr>
        <w:t xml:space="preserve">the company’s </w:t>
      </w:r>
      <w:r w:rsidRPr="0077490E">
        <w:rPr>
          <w:lang w:val="en-GB"/>
        </w:rPr>
        <w:t>spend</w:t>
      </w:r>
      <w:r w:rsidR="002B15F4" w:rsidRPr="0077490E">
        <w:rPr>
          <w:lang w:val="en-GB"/>
        </w:rPr>
        <w:t>ing</w:t>
      </w:r>
      <w:r w:rsidRPr="0077490E">
        <w:rPr>
          <w:lang w:val="en-GB"/>
        </w:rPr>
        <w:t xml:space="preserve"> levels were structurally lower, with €570 million in cumulative run-rate savings compared to 2013. Consumer order handling times </w:t>
      </w:r>
      <w:proofErr w:type="gramStart"/>
      <w:r w:rsidRPr="0077490E">
        <w:rPr>
          <w:lang w:val="en-GB"/>
        </w:rPr>
        <w:t>had been cut</w:t>
      </w:r>
      <w:proofErr w:type="gramEnd"/>
      <w:r w:rsidRPr="0077490E">
        <w:rPr>
          <w:lang w:val="en-GB"/>
        </w:rPr>
        <w:t xml:space="preserve"> by </w:t>
      </w:r>
      <w:r w:rsidR="00500DA8" w:rsidRPr="0077490E">
        <w:rPr>
          <w:lang w:val="en-GB"/>
        </w:rPr>
        <w:t>80 per </w:t>
      </w:r>
      <w:r w:rsidRPr="0077490E">
        <w:rPr>
          <w:lang w:val="en-GB"/>
        </w:rPr>
        <w:t xml:space="preserve">cent, SME delivery costs </w:t>
      </w:r>
      <w:r w:rsidR="00500DA8" w:rsidRPr="0077490E">
        <w:rPr>
          <w:lang w:val="en-GB"/>
        </w:rPr>
        <w:t xml:space="preserve">had been cut </w:t>
      </w:r>
      <w:r w:rsidRPr="0077490E">
        <w:rPr>
          <w:lang w:val="en-GB"/>
        </w:rPr>
        <w:t xml:space="preserve">by 57 per cent, and IT systems </w:t>
      </w:r>
      <w:r w:rsidR="00500DA8" w:rsidRPr="0077490E">
        <w:rPr>
          <w:lang w:val="en-GB"/>
        </w:rPr>
        <w:t xml:space="preserve">had been cut </w:t>
      </w:r>
      <w:r w:rsidRPr="0077490E">
        <w:rPr>
          <w:lang w:val="en-GB"/>
        </w:rPr>
        <w:t>by 25 per cent. The NPS was up 18 points</w:t>
      </w:r>
      <w:r w:rsidR="00500DA8" w:rsidRPr="0077490E">
        <w:rPr>
          <w:lang w:val="en-GB"/>
        </w:rPr>
        <w:t>,</w:t>
      </w:r>
      <w:r w:rsidRPr="0077490E">
        <w:rPr>
          <w:lang w:val="en-GB"/>
        </w:rPr>
        <w:t xml:space="preserve"> and customer interaction was becoming increasingly digital (see Exhibit 3). In terms of customer satisfaction, KPN was the best telco in the Netherlands; but </w:t>
      </w:r>
      <w:r w:rsidR="00500DA8" w:rsidRPr="0077490E">
        <w:rPr>
          <w:lang w:val="en-GB"/>
        </w:rPr>
        <w:t xml:space="preserve">it was </w:t>
      </w:r>
      <w:r w:rsidRPr="0077490E">
        <w:rPr>
          <w:lang w:val="en-GB"/>
        </w:rPr>
        <w:t xml:space="preserve">not yet the country’s best service provider. </w:t>
      </w:r>
    </w:p>
    <w:p w14:paraId="444F0ABA" w14:textId="77777777" w:rsidR="00F11C91" w:rsidRPr="0077490E" w:rsidRDefault="00F11C91" w:rsidP="00F11C91">
      <w:pPr>
        <w:pStyle w:val="BodyTextMain"/>
        <w:rPr>
          <w:lang w:val="en-GB"/>
        </w:rPr>
      </w:pPr>
    </w:p>
    <w:p w14:paraId="275B6467" w14:textId="493E9F09" w:rsidR="00F11C91" w:rsidRPr="0077490E" w:rsidRDefault="00F11C91" w:rsidP="00F11C91">
      <w:pPr>
        <w:pStyle w:val="BodyTextMain"/>
        <w:rPr>
          <w:lang w:val="en-GB"/>
        </w:rPr>
      </w:pPr>
      <w:r w:rsidRPr="0077490E">
        <w:rPr>
          <w:lang w:val="en-GB"/>
        </w:rPr>
        <w:t xml:space="preserve">KPN could not afford to rest on its laurels. Big tech and </w:t>
      </w:r>
      <w:r w:rsidR="00500DA8" w:rsidRPr="0077490E">
        <w:rPr>
          <w:lang w:val="en-GB"/>
        </w:rPr>
        <w:t xml:space="preserve">Internet </w:t>
      </w:r>
      <w:r w:rsidRPr="0077490E">
        <w:rPr>
          <w:lang w:val="en-GB"/>
        </w:rPr>
        <w:t xml:space="preserve">players were entering the traditional telco and media domains fast. </w:t>
      </w:r>
      <w:proofErr w:type="gramStart"/>
      <w:r w:rsidRPr="0077490E">
        <w:rPr>
          <w:lang w:val="en-GB"/>
        </w:rPr>
        <w:t>And</w:t>
      </w:r>
      <w:proofErr w:type="gramEnd"/>
      <w:r w:rsidRPr="0077490E">
        <w:rPr>
          <w:lang w:val="en-GB"/>
        </w:rPr>
        <w:t xml:space="preserve"> while KPN’s search for new digital growth had intensified since 2016, the investment was still relatively moderate compared with the </w:t>
      </w:r>
      <w:r w:rsidR="00500DA8" w:rsidRPr="0077490E">
        <w:rPr>
          <w:lang w:val="en-GB"/>
        </w:rPr>
        <w:t xml:space="preserve">company’s </w:t>
      </w:r>
      <w:r w:rsidRPr="0077490E">
        <w:rPr>
          <w:lang w:val="en-GB"/>
        </w:rPr>
        <w:t xml:space="preserve">focus on simplification. </w:t>
      </w:r>
      <w:proofErr w:type="spellStart"/>
      <w:r w:rsidRPr="0077490E">
        <w:rPr>
          <w:lang w:val="en-GB"/>
        </w:rPr>
        <w:t>Hoving</w:t>
      </w:r>
      <w:proofErr w:type="spellEnd"/>
      <w:r w:rsidRPr="0077490E">
        <w:rPr>
          <w:lang w:val="en-GB"/>
        </w:rPr>
        <w:t xml:space="preserve"> knew </w:t>
      </w:r>
      <w:r w:rsidR="00500DA8" w:rsidRPr="0077490E">
        <w:rPr>
          <w:lang w:val="en-GB"/>
        </w:rPr>
        <w:t xml:space="preserve">the pressure to cut costs </w:t>
      </w:r>
      <w:r w:rsidRPr="0077490E">
        <w:rPr>
          <w:lang w:val="en-GB"/>
        </w:rPr>
        <w:t>would no</w:t>
      </w:r>
      <w:r w:rsidR="00500DA8" w:rsidRPr="0077490E">
        <w:rPr>
          <w:lang w:val="en-GB"/>
        </w:rPr>
        <w:t>t</w:t>
      </w:r>
      <w:r w:rsidRPr="0077490E">
        <w:rPr>
          <w:lang w:val="en-GB"/>
        </w:rPr>
        <w:t xml:space="preserve"> let</w:t>
      </w:r>
      <w:r w:rsidR="00500DA8" w:rsidRPr="0077490E">
        <w:rPr>
          <w:lang w:val="en-GB"/>
        </w:rPr>
        <w:t xml:space="preserve"> </w:t>
      </w:r>
      <w:r w:rsidRPr="0077490E">
        <w:rPr>
          <w:lang w:val="en-GB"/>
        </w:rPr>
        <w:t xml:space="preserve">up, as management expected another €250 million in recurrent savings by 2020. Moreover, with preparations for the rollout of 5G in the Netherlands fully underway and demand for new </w:t>
      </w:r>
      <w:proofErr w:type="spellStart"/>
      <w:r w:rsidRPr="0077490E">
        <w:rPr>
          <w:lang w:val="en-GB"/>
        </w:rPr>
        <w:t>IoT</w:t>
      </w:r>
      <w:proofErr w:type="spellEnd"/>
      <w:r w:rsidRPr="0077490E">
        <w:rPr>
          <w:lang w:val="en-GB"/>
        </w:rPr>
        <w:t xml:space="preserve"> infrastructure rising, capital investments would remain high. The business market remained challeng</w:t>
      </w:r>
      <w:r w:rsidR="00500DA8" w:rsidRPr="0077490E">
        <w:rPr>
          <w:lang w:val="en-GB"/>
        </w:rPr>
        <w:t>ing</w:t>
      </w:r>
      <w:r w:rsidRPr="0077490E">
        <w:rPr>
          <w:lang w:val="en-GB"/>
        </w:rPr>
        <w:t>. Due to complex market segmentation, an extensive customized product portfolio</w:t>
      </w:r>
      <w:r w:rsidR="00500DA8" w:rsidRPr="0077490E">
        <w:rPr>
          <w:lang w:val="en-GB"/>
        </w:rPr>
        <w:t>—</w:t>
      </w:r>
      <w:r w:rsidRPr="0077490E">
        <w:rPr>
          <w:lang w:val="en-GB"/>
        </w:rPr>
        <w:t>especially for large businesses</w:t>
      </w:r>
      <w:r w:rsidR="00500DA8" w:rsidRPr="0077490E">
        <w:rPr>
          <w:lang w:val="en-GB"/>
        </w:rPr>
        <w:t>—</w:t>
      </w:r>
      <w:r w:rsidRPr="0077490E">
        <w:rPr>
          <w:lang w:val="en-GB"/>
        </w:rPr>
        <w:t xml:space="preserve">and a very turbulent market, KPN had not </w:t>
      </w:r>
      <w:r w:rsidR="00500DA8" w:rsidRPr="0077490E">
        <w:rPr>
          <w:lang w:val="en-GB"/>
        </w:rPr>
        <w:t xml:space="preserve">fully </w:t>
      </w:r>
      <w:r w:rsidRPr="0077490E">
        <w:rPr>
          <w:lang w:val="en-GB"/>
        </w:rPr>
        <w:t xml:space="preserve">achieved the simplification success it had </w:t>
      </w:r>
      <w:r w:rsidR="00500DA8" w:rsidRPr="0077490E">
        <w:rPr>
          <w:lang w:val="en-GB"/>
        </w:rPr>
        <w:t xml:space="preserve">anticipated and had so far </w:t>
      </w:r>
      <w:r w:rsidRPr="0077490E">
        <w:rPr>
          <w:lang w:val="en-GB"/>
        </w:rPr>
        <w:t xml:space="preserve">enjoyed in its consumer business. </w:t>
      </w:r>
    </w:p>
    <w:p w14:paraId="78278D4B" w14:textId="77777777" w:rsidR="00F11C91" w:rsidRPr="0077490E" w:rsidRDefault="00F11C91" w:rsidP="00F11C91">
      <w:pPr>
        <w:pStyle w:val="BodyTextMain"/>
        <w:rPr>
          <w:lang w:val="en-GB"/>
        </w:rPr>
      </w:pPr>
    </w:p>
    <w:p w14:paraId="20647A32" w14:textId="0A24AEAB" w:rsidR="00F11C91" w:rsidRPr="0077490E" w:rsidRDefault="00F11C91" w:rsidP="00F11C91">
      <w:pPr>
        <w:pStyle w:val="BodyTextMain"/>
        <w:rPr>
          <w:lang w:val="en-GB"/>
        </w:rPr>
      </w:pPr>
      <w:r w:rsidRPr="0077490E">
        <w:rPr>
          <w:lang w:val="en-GB"/>
        </w:rPr>
        <w:t xml:space="preserve">There were so many battles to </w:t>
      </w:r>
      <w:proofErr w:type="gramStart"/>
      <w:r w:rsidRPr="0077490E">
        <w:rPr>
          <w:lang w:val="en-GB"/>
        </w:rPr>
        <w:t>be won</w:t>
      </w:r>
      <w:proofErr w:type="gramEnd"/>
      <w:r w:rsidRPr="0077490E">
        <w:rPr>
          <w:lang w:val="en-GB"/>
        </w:rPr>
        <w:t xml:space="preserve"> that </w:t>
      </w:r>
      <w:proofErr w:type="spellStart"/>
      <w:r w:rsidRPr="0077490E">
        <w:rPr>
          <w:lang w:val="en-GB"/>
        </w:rPr>
        <w:t>Hoving</w:t>
      </w:r>
      <w:proofErr w:type="spellEnd"/>
      <w:r w:rsidRPr="0077490E">
        <w:rPr>
          <w:lang w:val="en-GB"/>
        </w:rPr>
        <w:t xml:space="preserve"> sometimes had trouble focusing. </w:t>
      </w:r>
      <w:proofErr w:type="spellStart"/>
      <w:r w:rsidRPr="0077490E">
        <w:rPr>
          <w:lang w:val="en-GB"/>
        </w:rPr>
        <w:t>Oosterbroek</w:t>
      </w:r>
      <w:proofErr w:type="spellEnd"/>
      <w:r w:rsidRPr="0077490E">
        <w:rPr>
          <w:lang w:val="en-GB"/>
        </w:rPr>
        <w:t xml:space="preserve"> continued to emphasize </w:t>
      </w:r>
      <w:r w:rsidR="00500DA8" w:rsidRPr="0077490E">
        <w:rPr>
          <w:lang w:val="en-GB"/>
        </w:rPr>
        <w:t xml:space="preserve">the importance of </w:t>
      </w:r>
      <w:r w:rsidRPr="0077490E">
        <w:rPr>
          <w:lang w:val="en-GB"/>
        </w:rPr>
        <w:t>management think</w:t>
      </w:r>
      <w:r w:rsidR="00500DA8" w:rsidRPr="0077490E">
        <w:rPr>
          <w:lang w:val="en-GB"/>
        </w:rPr>
        <w:t>ing</w:t>
      </w:r>
      <w:r w:rsidRPr="0077490E">
        <w:rPr>
          <w:lang w:val="en-GB"/>
        </w:rPr>
        <w:t xml:space="preserve"> and act</w:t>
      </w:r>
      <w:r w:rsidR="00500DA8" w:rsidRPr="0077490E">
        <w:rPr>
          <w:lang w:val="en-GB"/>
        </w:rPr>
        <w:t>ing</w:t>
      </w:r>
      <w:r w:rsidRPr="0077490E">
        <w:rPr>
          <w:lang w:val="en-GB"/>
        </w:rPr>
        <w:t xml:space="preserve"> even more as one. Maybe, as some had suggested, it was time for KPN to take a step back from the transformation that </w:t>
      </w:r>
      <w:r w:rsidR="00500DA8" w:rsidRPr="0077490E">
        <w:rPr>
          <w:lang w:val="en-GB"/>
        </w:rPr>
        <w:t xml:space="preserve">had </w:t>
      </w:r>
      <w:r w:rsidRPr="0077490E">
        <w:rPr>
          <w:lang w:val="en-GB"/>
        </w:rPr>
        <w:t xml:space="preserve">emerged from a crisis in 2013, and start “doing things more by the book.” It was clear that </w:t>
      </w:r>
      <w:r w:rsidR="00500DA8" w:rsidRPr="0077490E">
        <w:rPr>
          <w:lang w:val="en-GB"/>
        </w:rPr>
        <w:t xml:space="preserve">the company’s attempt to become </w:t>
      </w:r>
      <w:r w:rsidRPr="0077490E">
        <w:rPr>
          <w:lang w:val="en-GB"/>
        </w:rPr>
        <w:t xml:space="preserve">a super-slim telco remained a work in progress. Short-term survival seemed to </w:t>
      </w:r>
      <w:proofErr w:type="gramStart"/>
      <w:r w:rsidRPr="0077490E">
        <w:rPr>
          <w:lang w:val="en-GB"/>
        </w:rPr>
        <w:t>have been secured</w:t>
      </w:r>
      <w:proofErr w:type="gramEnd"/>
      <w:r w:rsidRPr="0077490E">
        <w:rPr>
          <w:lang w:val="en-GB"/>
        </w:rPr>
        <w:t>. However, none of the stakeholders</w:t>
      </w:r>
      <w:r w:rsidR="00500DA8" w:rsidRPr="0077490E">
        <w:rPr>
          <w:lang w:val="en-GB"/>
        </w:rPr>
        <w:t xml:space="preserve"> </w:t>
      </w:r>
      <w:r w:rsidRPr="0077490E">
        <w:rPr>
          <w:lang w:val="en-GB"/>
        </w:rPr>
        <w:t>would settle for survival</w:t>
      </w:r>
      <w:r w:rsidR="00500DA8" w:rsidRPr="0077490E">
        <w:rPr>
          <w:lang w:val="en-GB"/>
        </w:rPr>
        <w:t>—especially not the incoming CEO</w:t>
      </w:r>
      <w:r w:rsidRPr="0077490E">
        <w:rPr>
          <w:lang w:val="en-GB"/>
        </w:rPr>
        <w:t xml:space="preserve">. The real strategic question </w:t>
      </w:r>
      <w:proofErr w:type="gramStart"/>
      <w:r w:rsidRPr="0077490E">
        <w:rPr>
          <w:lang w:val="en-GB"/>
        </w:rPr>
        <w:t>was</w:t>
      </w:r>
      <w:r w:rsidR="00BE0603">
        <w:rPr>
          <w:lang w:val="en-GB"/>
        </w:rPr>
        <w:t>:</w:t>
      </w:r>
      <w:proofErr w:type="gramEnd"/>
      <w:r w:rsidR="00500DA8" w:rsidRPr="0077490E">
        <w:rPr>
          <w:lang w:val="en-GB"/>
        </w:rPr>
        <w:t xml:space="preserve"> H</w:t>
      </w:r>
      <w:r w:rsidRPr="0077490E">
        <w:rPr>
          <w:lang w:val="en-GB"/>
        </w:rPr>
        <w:t xml:space="preserve">ow could KPN thrive in an environment where digital </w:t>
      </w:r>
      <w:r w:rsidR="00500DA8" w:rsidRPr="0077490E">
        <w:rPr>
          <w:lang w:val="en-GB"/>
        </w:rPr>
        <w:t>dominated</w:t>
      </w:r>
      <w:r w:rsidRPr="0077490E">
        <w:rPr>
          <w:lang w:val="en-GB"/>
        </w:rPr>
        <w:t>?</w:t>
      </w:r>
    </w:p>
    <w:p w14:paraId="49B0A50F" w14:textId="77777777" w:rsidR="00F11C91" w:rsidRPr="0077490E" w:rsidRDefault="00F11C91" w:rsidP="00F11C91">
      <w:pPr>
        <w:pStyle w:val="BodyTextMain"/>
        <w:rPr>
          <w:lang w:val="en-GB"/>
        </w:rPr>
      </w:pPr>
    </w:p>
    <w:p w14:paraId="2C183161" w14:textId="00A6C624" w:rsidR="002E4E77" w:rsidRPr="0077490E" w:rsidRDefault="002E4E77">
      <w:pPr>
        <w:spacing w:after="200" w:line="276" w:lineRule="auto"/>
        <w:rPr>
          <w:lang w:val="en-GB"/>
        </w:rPr>
      </w:pPr>
      <w:r w:rsidRPr="0077490E">
        <w:rPr>
          <w:lang w:val="en-GB"/>
        </w:rPr>
        <w:br w:type="page"/>
      </w:r>
    </w:p>
    <w:p w14:paraId="7AAF866C" w14:textId="2AF28B9F" w:rsidR="002E4E77" w:rsidRPr="0077490E" w:rsidRDefault="002E4E77" w:rsidP="002E4E77">
      <w:pPr>
        <w:pStyle w:val="Casehead1"/>
        <w:jc w:val="center"/>
        <w:rPr>
          <w:lang w:val="en-GB"/>
        </w:rPr>
      </w:pPr>
      <w:r w:rsidRPr="0077490E">
        <w:rPr>
          <w:lang w:val="en-GB"/>
        </w:rPr>
        <w:lastRenderedPageBreak/>
        <w:t>Exhibit 1: KPN financials</w:t>
      </w:r>
      <w:r w:rsidR="00DB5DC9" w:rsidRPr="0077490E">
        <w:rPr>
          <w:lang w:val="en-GB"/>
        </w:rPr>
        <w:t>—</w:t>
      </w:r>
      <w:r w:rsidRPr="0077490E">
        <w:rPr>
          <w:lang w:val="en-GB"/>
        </w:rPr>
        <w:t>the Netherlands (€ Million</w:t>
      </w:r>
      <w:r w:rsidR="00500DA8" w:rsidRPr="0077490E">
        <w:rPr>
          <w:lang w:val="en-GB"/>
        </w:rPr>
        <w:t>s</w:t>
      </w:r>
      <w:r w:rsidRPr="0077490E">
        <w:rPr>
          <w:lang w:val="en-GB"/>
        </w:rPr>
        <w:t>)</w:t>
      </w:r>
    </w:p>
    <w:p w14:paraId="3AC4E438" w14:textId="77777777" w:rsidR="002E4E77" w:rsidRPr="0077490E" w:rsidRDefault="002E4E77" w:rsidP="002E4E77">
      <w:pPr>
        <w:pStyle w:val="ExhibitText"/>
        <w:rPr>
          <w:lang w:val="en-GB"/>
        </w:rPr>
      </w:pPr>
    </w:p>
    <w:tbl>
      <w:tblPr>
        <w:tblW w:w="43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834"/>
        <w:gridCol w:w="834"/>
        <w:gridCol w:w="834"/>
        <w:gridCol w:w="834"/>
        <w:gridCol w:w="834"/>
        <w:gridCol w:w="834"/>
        <w:gridCol w:w="834"/>
      </w:tblGrid>
      <w:tr w:rsidR="002E4E77" w:rsidRPr="0077490E" w14:paraId="44EB3049" w14:textId="77777777" w:rsidTr="002E4E77">
        <w:trPr>
          <w:trHeight w:val="267"/>
          <w:jc w:val="center"/>
        </w:trPr>
        <w:tc>
          <w:tcPr>
            <w:tcW w:w="1818" w:type="pct"/>
            <w:shd w:val="clear" w:color="auto" w:fill="auto"/>
            <w:noWrap/>
            <w:vAlign w:val="bottom"/>
            <w:hideMark/>
          </w:tcPr>
          <w:p w14:paraId="2E7407B2" w14:textId="77777777" w:rsidR="002E4E77" w:rsidRPr="0077490E" w:rsidRDefault="002E4E77" w:rsidP="002E4E77">
            <w:pPr>
              <w:pStyle w:val="ExhibitText"/>
              <w:rPr>
                <w:lang w:val="en-GB" w:eastAsia="en-GB"/>
              </w:rPr>
            </w:pPr>
          </w:p>
        </w:tc>
        <w:tc>
          <w:tcPr>
            <w:tcW w:w="462" w:type="pct"/>
            <w:shd w:val="clear" w:color="auto" w:fill="auto"/>
            <w:noWrap/>
            <w:vAlign w:val="bottom"/>
            <w:hideMark/>
          </w:tcPr>
          <w:p w14:paraId="3457F8DA" w14:textId="77777777"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 2011 </w:t>
            </w:r>
          </w:p>
        </w:tc>
        <w:tc>
          <w:tcPr>
            <w:tcW w:w="462" w:type="pct"/>
            <w:shd w:val="clear" w:color="auto" w:fill="auto"/>
            <w:noWrap/>
            <w:vAlign w:val="bottom"/>
            <w:hideMark/>
          </w:tcPr>
          <w:p w14:paraId="2DF29E16" w14:textId="77777777"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 2012 </w:t>
            </w:r>
          </w:p>
        </w:tc>
        <w:tc>
          <w:tcPr>
            <w:tcW w:w="452" w:type="pct"/>
            <w:shd w:val="clear" w:color="auto" w:fill="auto"/>
            <w:noWrap/>
            <w:vAlign w:val="bottom"/>
            <w:hideMark/>
          </w:tcPr>
          <w:p w14:paraId="4FA77221" w14:textId="77777777"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 2013 </w:t>
            </w:r>
          </w:p>
        </w:tc>
        <w:tc>
          <w:tcPr>
            <w:tcW w:w="452" w:type="pct"/>
            <w:shd w:val="clear" w:color="auto" w:fill="auto"/>
            <w:noWrap/>
            <w:vAlign w:val="bottom"/>
            <w:hideMark/>
          </w:tcPr>
          <w:p w14:paraId="65D24868" w14:textId="77777777"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 2014 </w:t>
            </w:r>
          </w:p>
        </w:tc>
        <w:tc>
          <w:tcPr>
            <w:tcW w:w="452" w:type="pct"/>
            <w:shd w:val="clear" w:color="auto" w:fill="auto"/>
            <w:noWrap/>
            <w:vAlign w:val="bottom"/>
            <w:hideMark/>
          </w:tcPr>
          <w:p w14:paraId="4F30B79D" w14:textId="77777777"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 2015 </w:t>
            </w:r>
          </w:p>
        </w:tc>
        <w:tc>
          <w:tcPr>
            <w:tcW w:w="452" w:type="pct"/>
            <w:shd w:val="clear" w:color="auto" w:fill="auto"/>
            <w:noWrap/>
            <w:vAlign w:val="bottom"/>
            <w:hideMark/>
          </w:tcPr>
          <w:p w14:paraId="1B00E937" w14:textId="77777777"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 2016 </w:t>
            </w:r>
          </w:p>
        </w:tc>
        <w:tc>
          <w:tcPr>
            <w:tcW w:w="452" w:type="pct"/>
            <w:shd w:val="clear" w:color="auto" w:fill="auto"/>
            <w:noWrap/>
            <w:vAlign w:val="bottom"/>
            <w:hideMark/>
          </w:tcPr>
          <w:p w14:paraId="0CFF9B08" w14:textId="77777777"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 2017 </w:t>
            </w:r>
          </w:p>
        </w:tc>
      </w:tr>
      <w:tr w:rsidR="002E4E77" w:rsidRPr="0077490E" w14:paraId="1CFD4534" w14:textId="77777777" w:rsidTr="002E4E77">
        <w:trPr>
          <w:trHeight w:val="267"/>
          <w:jc w:val="center"/>
        </w:trPr>
        <w:tc>
          <w:tcPr>
            <w:tcW w:w="1818" w:type="pct"/>
            <w:shd w:val="clear" w:color="auto" w:fill="auto"/>
            <w:noWrap/>
            <w:vAlign w:val="bottom"/>
            <w:hideMark/>
          </w:tcPr>
          <w:p w14:paraId="0DA84B12" w14:textId="77777777" w:rsidR="002E4E77" w:rsidRPr="0077490E" w:rsidRDefault="002E4E77" w:rsidP="002E4E77">
            <w:pPr>
              <w:pStyle w:val="ExhibitText"/>
              <w:rPr>
                <w:lang w:val="en-GB"/>
              </w:rPr>
            </w:pPr>
          </w:p>
        </w:tc>
        <w:tc>
          <w:tcPr>
            <w:tcW w:w="462" w:type="pct"/>
            <w:shd w:val="clear" w:color="auto" w:fill="auto"/>
            <w:noWrap/>
            <w:vAlign w:val="bottom"/>
            <w:hideMark/>
          </w:tcPr>
          <w:p w14:paraId="0C54B042" w14:textId="77777777" w:rsidR="002E4E77" w:rsidRPr="0077490E" w:rsidRDefault="002E4E77" w:rsidP="002E4E77">
            <w:pPr>
              <w:pStyle w:val="ExhibitText"/>
              <w:rPr>
                <w:lang w:val="en-GB"/>
              </w:rPr>
            </w:pPr>
          </w:p>
        </w:tc>
        <w:tc>
          <w:tcPr>
            <w:tcW w:w="462" w:type="pct"/>
            <w:shd w:val="clear" w:color="auto" w:fill="auto"/>
            <w:noWrap/>
            <w:vAlign w:val="bottom"/>
            <w:hideMark/>
          </w:tcPr>
          <w:p w14:paraId="27FA88BA" w14:textId="77777777" w:rsidR="002E4E77" w:rsidRPr="0077490E" w:rsidRDefault="002E4E77" w:rsidP="002E4E77">
            <w:pPr>
              <w:pStyle w:val="ExhibitText"/>
              <w:rPr>
                <w:lang w:val="en-GB"/>
              </w:rPr>
            </w:pPr>
          </w:p>
        </w:tc>
        <w:tc>
          <w:tcPr>
            <w:tcW w:w="452" w:type="pct"/>
            <w:shd w:val="clear" w:color="auto" w:fill="auto"/>
            <w:noWrap/>
            <w:vAlign w:val="bottom"/>
            <w:hideMark/>
          </w:tcPr>
          <w:p w14:paraId="515C1C9D" w14:textId="77777777" w:rsidR="002E4E77" w:rsidRPr="0077490E" w:rsidRDefault="002E4E77" w:rsidP="002E4E77">
            <w:pPr>
              <w:pStyle w:val="ExhibitText"/>
              <w:rPr>
                <w:lang w:val="en-GB"/>
              </w:rPr>
            </w:pPr>
          </w:p>
        </w:tc>
        <w:tc>
          <w:tcPr>
            <w:tcW w:w="452" w:type="pct"/>
            <w:shd w:val="clear" w:color="auto" w:fill="auto"/>
            <w:noWrap/>
            <w:vAlign w:val="bottom"/>
            <w:hideMark/>
          </w:tcPr>
          <w:p w14:paraId="55C29318" w14:textId="77777777" w:rsidR="002E4E77" w:rsidRPr="0077490E" w:rsidRDefault="002E4E77" w:rsidP="002E4E77">
            <w:pPr>
              <w:pStyle w:val="ExhibitText"/>
              <w:rPr>
                <w:lang w:val="en-GB"/>
              </w:rPr>
            </w:pPr>
          </w:p>
        </w:tc>
        <w:tc>
          <w:tcPr>
            <w:tcW w:w="452" w:type="pct"/>
            <w:shd w:val="clear" w:color="auto" w:fill="auto"/>
            <w:noWrap/>
            <w:vAlign w:val="bottom"/>
            <w:hideMark/>
          </w:tcPr>
          <w:p w14:paraId="2491D451" w14:textId="77777777" w:rsidR="002E4E77" w:rsidRPr="0077490E" w:rsidRDefault="002E4E77" w:rsidP="002E4E77">
            <w:pPr>
              <w:pStyle w:val="ExhibitText"/>
              <w:rPr>
                <w:lang w:val="en-GB"/>
              </w:rPr>
            </w:pPr>
          </w:p>
        </w:tc>
        <w:tc>
          <w:tcPr>
            <w:tcW w:w="452" w:type="pct"/>
            <w:shd w:val="clear" w:color="auto" w:fill="auto"/>
            <w:noWrap/>
            <w:vAlign w:val="bottom"/>
            <w:hideMark/>
          </w:tcPr>
          <w:p w14:paraId="098ADDAD" w14:textId="77777777" w:rsidR="002E4E77" w:rsidRPr="0077490E" w:rsidRDefault="002E4E77" w:rsidP="002E4E77">
            <w:pPr>
              <w:pStyle w:val="ExhibitText"/>
              <w:rPr>
                <w:lang w:val="en-GB"/>
              </w:rPr>
            </w:pPr>
          </w:p>
        </w:tc>
        <w:tc>
          <w:tcPr>
            <w:tcW w:w="452" w:type="pct"/>
            <w:shd w:val="clear" w:color="auto" w:fill="auto"/>
            <w:noWrap/>
            <w:vAlign w:val="bottom"/>
            <w:hideMark/>
          </w:tcPr>
          <w:p w14:paraId="2F66FCCE" w14:textId="77777777" w:rsidR="002E4E77" w:rsidRPr="0077490E" w:rsidRDefault="002E4E77" w:rsidP="002E4E77">
            <w:pPr>
              <w:pStyle w:val="ExhibitText"/>
              <w:rPr>
                <w:lang w:val="en-GB"/>
              </w:rPr>
            </w:pPr>
          </w:p>
        </w:tc>
      </w:tr>
      <w:tr w:rsidR="002E4E77" w:rsidRPr="0077490E" w14:paraId="2BC12CA1" w14:textId="77777777" w:rsidTr="002E4E77">
        <w:trPr>
          <w:trHeight w:val="242"/>
          <w:jc w:val="center"/>
        </w:trPr>
        <w:tc>
          <w:tcPr>
            <w:tcW w:w="1818" w:type="pct"/>
            <w:shd w:val="clear" w:color="auto" w:fill="auto"/>
            <w:noWrap/>
            <w:vAlign w:val="bottom"/>
            <w:hideMark/>
          </w:tcPr>
          <w:p w14:paraId="3B54919D" w14:textId="6EE52F46"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Total </w:t>
            </w:r>
            <w:r w:rsidR="00BD2640">
              <w:rPr>
                <w:b/>
                <w:color w:val="000000"/>
                <w:szCs w:val="22"/>
                <w:lang w:val="en-GB" w:eastAsia="en-GB"/>
              </w:rPr>
              <w:t>r</w:t>
            </w:r>
            <w:r w:rsidR="00500DA8" w:rsidRPr="0077490E">
              <w:rPr>
                <w:b/>
                <w:color w:val="000000"/>
                <w:szCs w:val="22"/>
                <w:lang w:val="en-GB" w:eastAsia="en-GB"/>
              </w:rPr>
              <w:t>evenues</w:t>
            </w:r>
          </w:p>
        </w:tc>
        <w:tc>
          <w:tcPr>
            <w:tcW w:w="462" w:type="pct"/>
            <w:shd w:val="clear" w:color="auto" w:fill="auto"/>
            <w:noWrap/>
            <w:vAlign w:val="bottom"/>
            <w:hideMark/>
          </w:tcPr>
          <w:p w14:paraId="366316F1" w14:textId="08062F8A"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8,259 </w:t>
            </w:r>
          </w:p>
        </w:tc>
        <w:tc>
          <w:tcPr>
            <w:tcW w:w="462" w:type="pct"/>
            <w:shd w:val="clear" w:color="auto" w:fill="auto"/>
            <w:noWrap/>
            <w:vAlign w:val="bottom"/>
            <w:hideMark/>
          </w:tcPr>
          <w:p w14:paraId="1273EC67" w14:textId="5B68DD20"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7,532 </w:t>
            </w:r>
          </w:p>
        </w:tc>
        <w:tc>
          <w:tcPr>
            <w:tcW w:w="452" w:type="pct"/>
            <w:shd w:val="clear" w:color="auto" w:fill="auto"/>
            <w:noWrap/>
            <w:vAlign w:val="bottom"/>
            <w:hideMark/>
          </w:tcPr>
          <w:p w14:paraId="0440DE86" w14:textId="55F5C062"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6,802 </w:t>
            </w:r>
          </w:p>
        </w:tc>
        <w:tc>
          <w:tcPr>
            <w:tcW w:w="452" w:type="pct"/>
            <w:shd w:val="clear" w:color="auto" w:fill="auto"/>
            <w:noWrap/>
            <w:vAlign w:val="bottom"/>
            <w:hideMark/>
          </w:tcPr>
          <w:p w14:paraId="47A56982" w14:textId="61658543"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6,455 </w:t>
            </w:r>
          </w:p>
        </w:tc>
        <w:tc>
          <w:tcPr>
            <w:tcW w:w="452" w:type="pct"/>
            <w:shd w:val="clear" w:color="auto" w:fill="auto"/>
            <w:noWrap/>
            <w:vAlign w:val="bottom"/>
            <w:hideMark/>
          </w:tcPr>
          <w:p w14:paraId="2FCD8E39" w14:textId="6904FF3D"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6,162 </w:t>
            </w:r>
          </w:p>
        </w:tc>
        <w:tc>
          <w:tcPr>
            <w:tcW w:w="452" w:type="pct"/>
            <w:shd w:val="clear" w:color="auto" w:fill="auto"/>
            <w:noWrap/>
            <w:vAlign w:val="bottom"/>
            <w:hideMark/>
          </w:tcPr>
          <w:p w14:paraId="7BD5ED0E" w14:textId="328D2929"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6,052 </w:t>
            </w:r>
          </w:p>
        </w:tc>
        <w:tc>
          <w:tcPr>
            <w:tcW w:w="452" w:type="pct"/>
            <w:shd w:val="clear" w:color="auto" w:fill="auto"/>
            <w:noWrap/>
            <w:vAlign w:val="bottom"/>
            <w:hideMark/>
          </w:tcPr>
          <w:p w14:paraId="58F435CF" w14:textId="36FAA1C9"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5,741 </w:t>
            </w:r>
          </w:p>
        </w:tc>
      </w:tr>
      <w:tr w:rsidR="002E4E77" w:rsidRPr="0077490E" w14:paraId="609D1980" w14:textId="77777777" w:rsidTr="002E4E77">
        <w:trPr>
          <w:trHeight w:val="242"/>
          <w:jc w:val="center"/>
        </w:trPr>
        <w:tc>
          <w:tcPr>
            <w:tcW w:w="1818" w:type="pct"/>
            <w:shd w:val="clear" w:color="auto" w:fill="auto"/>
            <w:noWrap/>
            <w:vAlign w:val="bottom"/>
            <w:hideMark/>
          </w:tcPr>
          <w:p w14:paraId="2CD9DB94" w14:textId="240DC4C7" w:rsidR="002E4E77" w:rsidRPr="0077490E" w:rsidRDefault="002E4E77" w:rsidP="002E4E77">
            <w:pPr>
              <w:pStyle w:val="ExhibitText"/>
              <w:rPr>
                <w:color w:val="000000"/>
                <w:szCs w:val="22"/>
                <w:lang w:val="en-GB" w:eastAsia="en-GB"/>
              </w:rPr>
            </w:pPr>
            <w:r w:rsidRPr="0077490E">
              <w:rPr>
                <w:color w:val="000000"/>
                <w:szCs w:val="22"/>
                <w:lang w:val="en-GB" w:eastAsia="en-GB"/>
              </w:rPr>
              <w:t xml:space="preserve">Consumer </w:t>
            </w:r>
            <w:r w:rsidR="00BD2640">
              <w:rPr>
                <w:color w:val="000000"/>
                <w:szCs w:val="22"/>
                <w:lang w:val="en-GB" w:eastAsia="en-GB"/>
              </w:rPr>
              <w:t>r</w:t>
            </w:r>
            <w:r w:rsidR="00500DA8" w:rsidRPr="0077490E">
              <w:rPr>
                <w:color w:val="000000"/>
                <w:szCs w:val="22"/>
                <w:lang w:val="en-GB" w:eastAsia="en-GB"/>
              </w:rPr>
              <w:t>evenues</w:t>
            </w:r>
          </w:p>
        </w:tc>
        <w:tc>
          <w:tcPr>
            <w:tcW w:w="462" w:type="pct"/>
            <w:shd w:val="clear" w:color="auto" w:fill="auto"/>
            <w:noWrap/>
            <w:vAlign w:val="bottom"/>
            <w:hideMark/>
          </w:tcPr>
          <w:p w14:paraId="3CC9945B" w14:textId="705A8338"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3,803 </w:t>
            </w:r>
          </w:p>
        </w:tc>
        <w:tc>
          <w:tcPr>
            <w:tcW w:w="462" w:type="pct"/>
            <w:shd w:val="clear" w:color="auto" w:fill="auto"/>
            <w:noWrap/>
            <w:vAlign w:val="bottom"/>
            <w:hideMark/>
          </w:tcPr>
          <w:p w14:paraId="1C4D4DDD" w14:textId="60F7F01C"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3,559 </w:t>
            </w:r>
          </w:p>
        </w:tc>
        <w:tc>
          <w:tcPr>
            <w:tcW w:w="452" w:type="pct"/>
            <w:shd w:val="clear" w:color="auto" w:fill="auto"/>
            <w:noWrap/>
            <w:vAlign w:val="bottom"/>
            <w:hideMark/>
          </w:tcPr>
          <w:p w14:paraId="5CB0D2DA" w14:textId="4FE260F8"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3,472 </w:t>
            </w:r>
          </w:p>
        </w:tc>
        <w:tc>
          <w:tcPr>
            <w:tcW w:w="452" w:type="pct"/>
            <w:shd w:val="clear" w:color="auto" w:fill="auto"/>
            <w:noWrap/>
            <w:vAlign w:val="bottom"/>
            <w:hideMark/>
          </w:tcPr>
          <w:p w14:paraId="0695DE8C" w14:textId="0EB6527B"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3,323 </w:t>
            </w:r>
          </w:p>
        </w:tc>
        <w:tc>
          <w:tcPr>
            <w:tcW w:w="452" w:type="pct"/>
            <w:shd w:val="clear" w:color="auto" w:fill="auto"/>
            <w:noWrap/>
            <w:vAlign w:val="bottom"/>
            <w:hideMark/>
          </w:tcPr>
          <w:p w14:paraId="3E87632C" w14:textId="7FC0B4C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3,095 </w:t>
            </w:r>
          </w:p>
        </w:tc>
        <w:tc>
          <w:tcPr>
            <w:tcW w:w="452" w:type="pct"/>
            <w:shd w:val="clear" w:color="auto" w:fill="auto"/>
            <w:noWrap/>
            <w:vAlign w:val="bottom"/>
            <w:hideMark/>
          </w:tcPr>
          <w:p w14:paraId="6AF45F4E" w14:textId="6C70D5DF"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3,143 </w:t>
            </w:r>
          </w:p>
        </w:tc>
        <w:tc>
          <w:tcPr>
            <w:tcW w:w="452" w:type="pct"/>
            <w:shd w:val="clear" w:color="auto" w:fill="auto"/>
            <w:noWrap/>
            <w:vAlign w:val="bottom"/>
            <w:hideMark/>
          </w:tcPr>
          <w:p w14:paraId="3BF928C0" w14:textId="481D78A1"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3,044 </w:t>
            </w:r>
          </w:p>
        </w:tc>
      </w:tr>
      <w:tr w:rsidR="002E4E77" w:rsidRPr="0077490E" w14:paraId="58AF2807" w14:textId="77777777" w:rsidTr="002E4E77">
        <w:trPr>
          <w:trHeight w:val="242"/>
          <w:jc w:val="center"/>
        </w:trPr>
        <w:tc>
          <w:tcPr>
            <w:tcW w:w="1818" w:type="pct"/>
            <w:shd w:val="clear" w:color="auto" w:fill="auto"/>
            <w:noWrap/>
            <w:vAlign w:val="bottom"/>
            <w:hideMark/>
          </w:tcPr>
          <w:p w14:paraId="05E835D8" w14:textId="3C56FB96" w:rsidR="002E4E77" w:rsidRPr="0077490E" w:rsidRDefault="002E4E77" w:rsidP="002E4E77">
            <w:pPr>
              <w:pStyle w:val="ExhibitText"/>
              <w:rPr>
                <w:color w:val="000000"/>
                <w:szCs w:val="22"/>
                <w:lang w:val="en-GB" w:eastAsia="en-GB"/>
              </w:rPr>
            </w:pPr>
            <w:r w:rsidRPr="0077490E">
              <w:rPr>
                <w:color w:val="000000"/>
                <w:szCs w:val="22"/>
                <w:lang w:val="en-GB" w:eastAsia="en-GB"/>
              </w:rPr>
              <w:t xml:space="preserve">Business </w:t>
            </w:r>
            <w:r w:rsidR="00BD2640">
              <w:rPr>
                <w:color w:val="000000"/>
                <w:szCs w:val="22"/>
                <w:lang w:val="en-GB" w:eastAsia="en-GB"/>
              </w:rPr>
              <w:t>r</w:t>
            </w:r>
            <w:r w:rsidR="00500DA8" w:rsidRPr="0077490E">
              <w:rPr>
                <w:color w:val="000000"/>
                <w:szCs w:val="22"/>
                <w:lang w:val="en-GB" w:eastAsia="en-GB"/>
              </w:rPr>
              <w:t>evenues</w:t>
            </w:r>
          </w:p>
        </w:tc>
        <w:tc>
          <w:tcPr>
            <w:tcW w:w="462" w:type="pct"/>
            <w:shd w:val="clear" w:color="auto" w:fill="auto"/>
            <w:noWrap/>
            <w:vAlign w:val="bottom"/>
            <w:hideMark/>
          </w:tcPr>
          <w:p w14:paraId="386659FD" w14:textId="22C35A0F"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3,069 </w:t>
            </w:r>
          </w:p>
        </w:tc>
        <w:tc>
          <w:tcPr>
            <w:tcW w:w="462" w:type="pct"/>
            <w:shd w:val="clear" w:color="auto" w:fill="auto"/>
            <w:noWrap/>
            <w:vAlign w:val="bottom"/>
            <w:hideMark/>
          </w:tcPr>
          <w:p w14:paraId="4997136E" w14:textId="3B62BCE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2,956 </w:t>
            </w:r>
          </w:p>
        </w:tc>
        <w:tc>
          <w:tcPr>
            <w:tcW w:w="452" w:type="pct"/>
            <w:shd w:val="clear" w:color="auto" w:fill="auto"/>
            <w:noWrap/>
            <w:vAlign w:val="bottom"/>
            <w:hideMark/>
          </w:tcPr>
          <w:p w14:paraId="43D1389B" w14:textId="3AAEDD1D"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3,201 </w:t>
            </w:r>
          </w:p>
        </w:tc>
        <w:tc>
          <w:tcPr>
            <w:tcW w:w="452" w:type="pct"/>
            <w:shd w:val="clear" w:color="auto" w:fill="auto"/>
            <w:noWrap/>
            <w:vAlign w:val="bottom"/>
            <w:hideMark/>
          </w:tcPr>
          <w:p w14:paraId="4C755D63" w14:textId="0386E4D2"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2,920 </w:t>
            </w:r>
          </w:p>
        </w:tc>
        <w:tc>
          <w:tcPr>
            <w:tcW w:w="452" w:type="pct"/>
            <w:shd w:val="clear" w:color="auto" w:fill="auto"/>
            <w:noWrap/>
            <w:vAlign w:val="bottom"/>
            <w:hideMark/>
          </w:tcPr>
          <w:p w14:paraId="4D8C78F4" w14:textId="1EE42C88"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2,482 </w:t>
            </w:r>
          </w:p>
        </w:tc>
        <w:tc>
          <w:tcPr>
            <w:tcW w:w="452" w:type="pct"/>
            <w:shd w:val="clear" w:color="auto" w:fill="auto"/>
            <w:noWrap/>
            <w:vAlign w:val="bottom"/>
            <w:hideMark/>
          </w:tcPr>
          <w:p w14:paraId="21090840" w14:textId="3FC9ACE5"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2,309 </w:t>
            </w:r>
          </w:p>
        </w:tc>
        <w:tc>
          <w:tcPr>
            <w:tcW w:w="452" w:type="pct"/>
            <w:shd w:val="clear" w:color="auto" w:fill="auto"/>
            <w:noWrap/>
            <w:vAlign w:val="bottom"/>
            <w:hideMark/>
          </w:tcPr>
          <w:p w14:paraId="728E5065" w14:textId="2DA9A5CF"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2,183 </w:t>
            </w:r>
          </w:p>
        </w:tc>
      </w:tr>
      <w:tr w:rsidR="002E4E77" w:rsidRPr="0077490E" w14:paraId="3BB70106" w14:textId="77777777" w:rsidTr="002E4E77">
        <w:trPr>
          <w:trHeight w:val="242"/>
          <w:jc w:val="center"/>
        </w:trPr>
        <w:tc>
          <w:tcPr>
            <w:tcW w:w="1818" w:type="pct"/>
            <w:shd w:val="clear" w:color="auto" w:fill="auto"/>
            <w:vAlign w:val="bottom"/>
            <w:hideMark/>
          </w:tcPr>
          <w:p w14:paraId="529F7FC4" w14:textId="7D7D9AF7" w:rsidR="002E4E77" w:rsidRPr="0077490E" w:rsidRDefault="002E4E77" w:rsidP="002E4E77">
            <w:pPr>
              <w:pStyle w:val="ExhibitText"/>
              <w:rPr>
                <w:color w:val="000000"/>
                <w:szCs w:val="22"/>
                <w:lang w:val="en-GB" w:eastAsia="en-GB"/>
              </w:rPr>
            </w:pPr>
            <w:r w:rsidRPr="0077490E">
              <w:rPr>
                <w:color w:val="000000"/>
                <w:szCs w:val="22"/>
                <w:lang w:val="en-GB" w:eastAsia="en-GB"/>
              </w:rPr>
              <w:t xml:space="preserve">Other </w:t>
            </w:r>
            <w:r w:rsidR="00BD2640">
              <w:rPr>
                <w:color w:val="000000"/>
                <w:szCs w:val="22"/>
                <w:lang w:val="en-GB" w:eastAsia="en-GB"/>
              </w:rPr>
              <w:t>r</w:t>
            </w:r>
            <w:r w:rsidR="00500DA8" w:rsidRPr="0077490E">
              <w:rPr>
                <w:color w:val="000000"/>
                <w:szCs w:val="22"/>
                <w:lang w:val="en-GB" w:eastAsia="en-GB"/>
              </w:rPr>
              <w:t>evenues</w:t>
            </w:r>
          </w:p>
        </w:tc>
        <w:tc>
          <w:tcPr>
            <w:tcW w:w="462" w:type="pct"/>
            <w:shd w:val="clear" w:color="auto" w:fill="auto"/>
            <w:noWrap/>
            <w:vAlign w:val="bottom"/>
            <w:hideMark/>
          </w:tcPr>
          <w:p w14:paraId="4BF55945" w14:textId="46ECBA61"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1,387 </w:t>
            </w:r>
          </w:p>
        </w:tc>
        <w:tc>
          <w:tcPr>
            <w:tcW w:w="462" w:type="pct"/>
            <w:shd w:val="clear" w:color="auto" w:fill="auto"/>
            <w:noWrap/>
            <w:vAlign w:val="bottom"/>
            <w:hideMark/>
          </w:tcPr>
          <w:p w14:paraId="1E6E8875" w14:textId="5EFDBA9B"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1,017 </w:t>
            </w:r>
          </w:p>
        </w:tc>
        <w:tc>
          <w:tcPr>
            <w:tcW w:w="452" w:type="pct"/>
            <w:shd w:val="clear" w:color="auto" w:fill="auto"/>
            <w:noWrap/>
            <w:vAlign w:val="bottom"/>
            <w:hideMark/>
          </w:tcPr>
          <w:p w14:paraId="1175A28F" w14:textId="7BC21071"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129 </w:t>
            </w:r>
          </w:p>
        </w:tc>
        <w:tc>
          <w:tcPr>
            <w:tcW w:w="452" w:type="pct"/>
            <w:shd w:val="clear" w:color="auto" w:fill="auto"/>
            <w:noWrap/>
            <w:vAlign w:val="bottom"/>
            <w:hideMark/>
          </w:tcPr>
          <w:p w14:paraId="68EA084F" w14:textId="317F4D3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212 </w:t>
            </w:r>
          </w:p>
        </w:tc>
        <w:tc>
          <w:tcPr>
            <w:tcW w:w="452" w:type="pct"/>
            <w:shd w:val="clear" w:color="auto" w:fill="auto"/>
            <w:noWrap/>
            <w:vAlign w:val="bottom"/>
            <w:hideMark/>
          </w:tcPr>
          <w:p w14:paraId="754DC006" w14:textId="198C2BF6"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585 </w:t>
            </w:r>
          </w:p>
        </w:tc>
        <w:tc>
          <w:tcPr>
            <w:tcW w:w="452" w:type="pct"/>
            <w:shd w:val="clear" w:color="auto" w:fill="auto"/>
            <w:noWrap/>
            <w:vAlign w:val="bottom"/>
            <w:hideMark/>
          </w:tcPr>
          <w:p w14:paraId="42CC93A6" w14:textId="3130006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600 </w:t>
            </w:r>
          </w:p>
        </w:tc>
        <w:tc>
          <w:tcPr>
            <w:tcW w:w="452" w:type="pct"/>
            <w:shd w:val="clear" w:color="auto" w:fill="auto"/>
            <w:noWrap/>
            <w:vAlign w:val="bottom"/>
            <w:hideMark/>
          </w:tcPr>
          <w:p w14:paraId="3D492FAE" w14:textId="604AD090"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515 </w:t>
            </w:r>
          </w:p>
        </w:tc>
      </w:tr>
      <w:tr w:rsidR="002E4E77" w:rsidRPr="0077490E" w14:paraId="3622F583" w14:textId="77777777" w:rsidTr="002E4E77">
        <w:trPr>
          <w:trHeight w:val="242"/>
          <w:jc w:val="center"/>
        </w:trPr>
        <w:tc>
          <w:tcPr>
            <w:tcW w:w="1818" w:type="pct"/>
            <w:shd w:val="clear" w:color="auto" w:fill="auto"/>
            <w:noWrap/>
            <w:vAlign w:val="bottom"/>
            <w:hideMark/>
          </w:tcPr>
          <w:p w14:paraId="76AF22B6" w14:textId="3FB65EDA"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Total </w:t>
            </w:r>
            <w:r w:rsidR="00BD2640">
              <w:rPr>
                <w:b/>
                <w:color w:val="000000"/>
                <w:szCs w:val="22"/>
                <w:lang w:val="en-GB" w:eastAsia="en-GB"/>
              </w:rPr>
              <w:t>o</w:t>
            </w:r>
            <w:r w:rsidR="00500DA8" w:rsidRPr="0077490E">
              <w:rPr>
                <w:b/>
                <w:color w:val="000000"/>
                <w:szCs w:val="22"/>
                <w:lang w:val="en-GB" w:eastAsia="en-GB"/>
              </w:rPr>
              <w:t xml:space="preserve">perating </w:t>
            </w:r>
            <w:r w:rsidR="00BD2640">
              <w:rPr>
                <w:b/>
                <w:color w:val="000000"/>
                <w:szCs w:val="22"/>
                <w:lang w:val="en-GB" w:eastAsia="en-GB"/>
              </w:rPr>
              <w:t>e</w:t>
            </w:r>
            <w:r w:rsidR="00500DA8" w:rsidRPr="0077490E">
              <w:rPr>
                <w:b/>
                <w:color w:val="000000"/>
                <w:szCs w:val="22"/>
                <w:lang w:val="en-GB" w:eastAsia="en-GB"/>
              </w:rPr>
              <w:t>xpenses</w:t>
            </w:r>
          </w:p>
        </w:tc>
        <w:tc>
          <w:tcPr>
            <w:tcW w:w="462" w:type="pct"/>
            <w:shd w:val="clear" w:color="auto" w:fill="auto"/>
            <w:noWrap/>
            <w:vAlign w:val="bottom"/>
            <w:hideMark/>
          </w:tcPr>
          <w:p w14:paraId="37D390A9" w14:textId="1F7777BC"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4,731 </w:t>
            </w:r>
          </w:p>
        </w:tc>
        <w:tc>
          <w:tcPr>
            <w:tcW w:w="462" w:type="pct"/>
            <w:shd w:val="clear" w:color="auto" w:fill="auto"/>
            <w:noWrap/>
            <w:vAlign w:val="bottom"/>
            <w:hideMark/>
          </w:tcPr>
          <w:p w14:paraId="4A6176A4" w14:textId="1BA329A7"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4,397 </w:t>
            </w:r>
          </w:p>
        </w:tc>
        <w:tc>
          <w:tcPr>
            <w:tcW w:w="452" w:type="pct"/>
            <w:shd w:val="clear" w:color="auto" w:fill="auto"/>
            <w:noWrap/>
            <w:vAlign w:val="bottom"/>
            <w:hideMark/>
          </w:tcPr>
          <w:p w14:paraId="181143DA" w14:textId="0B4DC8D7"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4,047 </w:t>
            </w:r>
          </w:p>
        </w:tc>
        <w:tc>
          <w:tcPr>
            <w:tcW w:w="452" w:type="pct"/>
            <w:shd w:val="clear" w:color="auto" w:fill="auto"/>
            <w:noWrap/>
            <w:vAlign w:val="bottom"/>
            <w:hideMark/>
          </w:tcPr>
          <w:p w14:paraId="6964C69A" w14:textId="1A0157C4"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4,005 </w:t>
            </w:r>
          </w:p>
        </w:tc>
        <w:tc>
          <w:tcPr>
            <w:tcW w:w="452" w:type="pct"/>
            <w:shd w:val="clear" w:color="auto" w:fill="auto"/>
            <w:noWrap/>
            <w:vAlign w:val="bottom"/>
            <w:hideMark/>
          </w:tcPr>
          <w:p w14:paraId="5A23FBED" w14:textId="63BA74AA"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3,861 </w:t>
            </w:r>
          </w:p>
        </w:tc>
        <w:tc>
          <w:tcPr>
            <w:tcW w:w="452" w:type="pct"/>
            <w:shd w:val="clear" w:color="auto" w:fill="auto"/>
            <w:noWrap/>
            <w:vAlign w:val="bottom"/>
            <w:hideMark/>
          </w:tcPr>
          <w:p w14:paraId="3184A836" w14:textId="59106AFF"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3,650 </w:t>
            </w:r>
          </w:p>
        </w:tc>
        <w:tc>
          <w:tcPr>
            <w:tcW w:w="452" w:type="pct"/>
            <w:shd w:val="clear" w:color="auto" w:fill="auto"/>
            <w:noWrap/>
            <w:vAlign w:val="bottom"/>
            <w:hideMark/>
          </w:tcPr>
          <w:p w14:paraId="4935F5C9" w14:textId="24937E09"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3,554 </w:t>
            </w:r>
          </w:p>
        </w:tc>
      </w:tr>
      <w:tr w:rsidR="002E4E77" w:rsidRPr="0077490E" w14:paraId="5A4961AD" w14:textId="77777777" w:rsidTr="002E4E77">
        <w:trPr>
          <w:trHeight w:val="242"/>
          <w:jc w:val="center"/>
        </w:trPr>
        <w:tc>
          <w:tcPr>
            <w:tcW w:w="1818" w:type="pct"/>
            <w:shd w:val="clear" w:color="auto" w:fill="auto"/>
            <w:noWrap/>
            <w:vAlign w:val="bottom"/>
            <w:hideMark/>
          </w:tcPr>
          <w:p w14:paraId="76318617" w14:textId="61002C22" w:rsidR="002E4E77" w:rsidRPr="0077490E" w:rsidRDefault="00500DA8" w:rsidP="002E4E77">
            <w:pPr>
              <w:pStyle w:val="ExhibitText"/>
              <w:rPr>
                <w:b/>
                <w:color w:val="000000"/>
                <w:szCs w:val="22"/>
                <w:lang w:val="en-GB" w:eastAsia="en-GB"/>
              </w:rPr>
            </w:pPr>
            <w:r w:rsidRPr="0077490E">
              <w:rPr>
                <w:b/>
                <w:color w:val="000000"/>
                <w:szCs w:val="22"/>
                <w:lang w:val="en-GB" w:eastAsia="en-GB"/>
              </w:rPr>
              <w:t>EBITDA</w:t>
            </w:r>
          </w:p>
        </w:tc>
        <w:tc>
          <w:tcPr>
            <w:tcW w:w="462" w:type="pct"/>
            <w:shd w:val="clear" w:color="auto" w:fill="auto"/>
            <w:noWrap/>
            <w:vAlign w:val="bottom"/>
            <w:hideMark/>
          </w:tcPr>
          <w:p w14:paraId="64F228F3" w14:textId="3EEABD30"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3,528 </w:t>
            </w:r>
          </w:p>
        </w:tc>
        <w:tc>
          <w:tcPr>
            <w:tcW w:w="462" w:type="pct"/>
            <w:shd w:val="clear" w:color="auto" w:fill="auto"/>
            <w:noWrap/>
            <w:vAlign w:val="bottom"/>
            <w:hideMark/>
          </w:tcPr>
          <w:p w14:paraId="3919D136" w14:textId="4E68C11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3,135 </w:t>
            </w:r>
          </w:p>
        </w:tc>
        <w:tc>
          <w:tcPr>
            <w:tcW w:w="452" w:type="pct"/>
            <w:shd w:val="clear" w:color="auto" w:fill="auto"/>
            <w:noWrap/>
            <w:vAlign w:val="bottom"/>
            <w:hideMark/>
          </w:tcPr>
          <w:p w14:paraId="2E7BE3C7" w14:textId="5803D17F"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2,755 </w:t>
            </w:r>
          </w:p>
        </w:tc>
        <w:tc>
          <w:tcPr>
            <w:tcW w:w="452" w:type="pct"/>
            <w:shd w:val="clear" w:color="auto" w:fill="auto"/>
            <w:noWrap/>
            <w:vAlign w:val="bottom"/>
            <w:hideMark/>
          </w:tcPr>
          <w:p w14:paraId="61DE16FE" w14:textId="2588EBE6"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2,450 </w:t>
            </w:r>
          </w:p>
        </w:tc>
        <w:tc>
          <w:tcPr>
            <w:tcW w:w="452" w:type="pct"/>
            <w:shd w:val="clear" w:color="auto" w:fill="auto"/>
            <w:noWrap/>
            <w:vAlign w:val="bottom"/>
            <w:hideMark/>
          </w:tcPr>
          <w:p w14:paraId="2024F5FA" w14:textId="10CEAC93"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2,301 </w:t>
            </w:r>
          </w:p>
        </w:tc>
        <w:tc>
          <w:tcPr>
            <w:tcW w:w="452" w:type="pct"/>
            <w:shd w:val="clear" w:color="auto" w:fill="auto"/>
            <w:noWrap/>
            <w:vAlign w:val="bottom"/>
            <w:hideMark/>
          </w:tcPr>
          <w:p w14:paraId="44FD3A48" w14:textId="63BF4AF5"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2,402 </w:t>
            </w:r>
          </w:p>
        </w:tc>
        <w:tc>
          <w:tcPr>
            <w:tcW w:w="452" w:type="pct"/>
            <w:shd w:val="clear" w:color="auto" w:fill="auto"/>
            <w:noWrap/>
            <w:vAlign w:val="bottom"/>
            <w:hideMark/>
          </w:tcPr>
          <w:p w14:paraId="41B1BA6B" w14:textId="3CAB84C0"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2,187 </w:t>
            </w:r>
          </w:p>
        </w:tc>
      </w:tr>
      <w:tr w:rsidR="002E4E77" w:rsidRPr="0077490E" w14:paraId="66265828" w14:textId="77777777" w:rsidTr="002E4E77">
        <w:trPr>
          <w:trHeight w:val="242"/>
          <w:jc w:val="center"/>
        </w:trPr>
        <w:tc>
          <w:tcPr>
            <w:tcW w:w="1818" w:type="pct"/>
            <w:shd w:val="clear" w:color="auto" w:fill="auto"/>
            <w:noWrap/>
            <w:vAlign w:val="bottom"/>
            <w:hideMark/>
          </w:tcPr>
          <w:p w14:paraId="4C351CA3" w14:textId="7D5EAAF4" w:rsidR="002E4E77" w:rsidRPr="0077490E" w:rsidRDefault="002E4E77" w:rsidP="002E4E77">
            <w:pPr>
              <w:pStyle w:val="ExhibitText"/>
              <w:rPr>
                <w:color w:val="000000"/>
                <w:szCs w:val="22"/>
                <w:lang w:val="en-GB" w:eastAsia="en-GB"/>
              </w:rPr>
            </w:pPr>
            <w:r w:rsidRPr="0077490E">
              <w:rPr>
                <w:color w:val="000000"/>
                <w:szCs w:val="22"/>
                <w:lang w:val="en-GB" w:eastAsia="en-GB"/>
              </w:rPr>
              <w:t xml:space="preserve">Depreciation </w:t>
            </w:r>
            <w:r w:rsidR="00500DA8" w:rsidRPr="0077490E">
              <w:rPr>
                <w:color w:val="000000"/>
                <w:szCs w:val="22"/>
                <w:lang w:val="en-GB" w:eastAsia="en-GB"/>
              </w:rPr>
              <w:t xml:space="preserve">and </w:t>
            </w:r>
            <w:r w:rsidR="00BD2640">
              <w:rPr>
                <w:color w:val="000000"/>
                <w:szCs w:val="22"/>
                <w:lang w:val="en-GB" w:eastAsia="en-GB"/>
              </w:rPr>
              <w:t>a</w:t>
            </w:r>
            <w:r w:rsidR="00500DA8" w:rsidRPr="0077490E">
              <w:rPr>
                <w:color w:val="000000"/>
                <w:szCs w:val="22"/>
                <w:lang w:val="en-GB" w:eastAsia="en-GB"/>
              </w:rPr>
              <w:t>mortization</w:t>
            </w:r>
          </w:p>
        </w:tc>
        <w:tc>
          <w:tcPr>
            <w:tcW w:w="462" w:type="pct"/>
            <w:shd w:val="clear" w:color="auto" w:fill="auto"/>
            <w:noWrap/>
            <w:vAlign w:val="bottom"/>
            <w:hideMark/>
          </w:tcPr>
          <w:p w14:paraId="2C987D8C" w14:textId="6D6F6FD0"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1,753 </w:t>
            </w:r>
          </w:p>
        </w:tc>
        <w:tc>
          <w:tcPr>
            <w:tcW w:w="462" w:type="pct"/>
            <w:shd w:val="clear" w:color="auto" w:fill="auto"/>
            <w:noWrap/>
            <w:vAlign w:val="bottom"/>
            <w:hideMark/>
          </w:tcPr>
          <w:p w14:paraId="71151FA6" w14:textId="261976A4"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1,756 </w:t>
            </w:r>
          </w:p>
        </w:tc>
        <w:tc>
          <w:tcPr>
            <w:tcW w:w="452" w:type="pct"/>
            <w:shd w:val="clear" w:color="auto" w:fill="auto"/>
            <w:noWrap/>
            <w:vAlign w:val="bottom"/>
            <w:hideMark/>
          </w:tcPr>
          <w:p w14:paraId="526C218F" w14:textId="5225451B"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1,679 </w:t>
            </w:r>
          </w:p>
        </w:tc>
        <w:tc>
          <w:tcPr>
            <w:tcW w:w="452" w:type="pct"/>
            <w:shd w:val="clear" w:color="auto" w:fill="auto"/>
            <w:noWrap/>
            <w:vAlign w:val="bottom"/>
            <w:hideMark/>
          </w:tcPr>
          <w:p w14:paraId="19504757" w14:textId="0DEBD502"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1,630 </w:t>
            </w:r>
          </w:p>
        </w:tc>
        <w:tc>
          <w:tcPr>
            <w:tcW w:w="452" w:type="pct"/>
            <w:shd w:val="clear" w:color="auto" w:fill="auto"/>
            <w:noWrap/>
            <w:vAlign w:val="bottom"/>
            <w:hideMark/>
          </w:tcPr>
          <w:p w14:paraId="37CD86A9" w14:textId="4FDB3E82"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1,597 </w:t>
            </w:r>
          </w:p>
        </w:tc>
        <w:tc>
          <w:tcPr>
            <w:tcW w:w="452" w:type="pct"/>
            <w:shd w:val="clear" w:color="auto" w:fill="auto"/>
            <w:noWrap/>
            <w:vAlign w:val="bottom"/>
            <w:hideMark/>
          </w:tcPr>
          <w:p w14:paraId="62B3C1C2" w14:textId="408DEACE"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1,487 </w:t>
            </w:r>
          </w:p>
        </w:tc>
        <w:tc>
          <w:tcPr>
            <w:tcW w:w="452" w:type="pct"/>
            <w:shd w:val="clear" w:color="auto" w:fill="auto"/>
            <w:noWrap/>
            <w:vAlign w:val="bottom"/>
            <w:hideMark/>
          </w:tcPr>
          <w:p w14:paraId="251D0A71" w14:textId="0E80A94C" w:rsidR="002E4E77" w:rsidRPr="0077490E" w:rsidRDefault="00A84186" w:rsidP="002E4E77">
            <w:pPr>
              <w:pStyle w:val="ExhibitText"/>
              <w:jc w:val="right"/>
              <w:rPr>
                <w:color w:val="000000"/>
                <w:szCs w:val="22"/>
                <w:lang w:val="en-GB" w:eastAsia="en-GB"/>
              </w:rPr>
            </w:pPr>
            <w:r w:rsidRPr="0077490E">
              <w:rPr>
                <w:color w:val="000000"/>
                <w:szCs w:val="22"/>
                <w:lang w:val="en-GB" w:eastAsia="en-GB"/>
              </w:rPr>
              <w:t>−</w:t>
            </w:r>
            <w:r w:rsidR="002E4E77" w:rsidRPr="0077490E">
              <w:rPr>
                <w:color w:val="000000"/>
                <w:szCs w:val="22"/>
                <w:lang w:val="en-GB" w:eastAsia="en-GB"/>
              </w:rPr>
              <w:t xml:space="preserve">1,413 </w:t>
            </w:r>
          </w:p>
        </w:tc>
      </w:tr>
      <w:tr w:rsidR="002E4E77" w:rsidRPr="0077490E" w14:paraId="4EC4A10B" w14:textId="77777777" w:rsidTr="002E4E77">
        <w:trPr>
          <w:trHeight w:val="242"/>
          <w:jc w:val="center"/>
        </w:trPr>
        <w:tc>
          <w:tcPr>
            <w:tcW w:w="1818" w:type="pct"/>
            <w:shd w:val="clear" w:color="auto" w:fill="auto"/>
            <w:noWrap/>
            <w:vAlign w:val="bottom"/>
            <w:hideMark/>
          </w:tcPr>
          <w:p w14:paraId="6810DED4" w14:textId="26E4BB21"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Operating </w:t>
            </w:r>
            <w:r w:rsidR="00BD2640">
              <w:rPr>
                <w:b/>
                <w:color w:val="000000"/>
                <w:szCs w:val="22"/>
                <w:lang w:val="en-GB" w:eastAsia="en-GB"/>
              </w:rPr>
              <w:t>p</w:t>
            </w:r>
            <w:r w:rsidR="00500DA8" w:rsidRPr="0077490E">
              <w:rPr>
                <w:b/>
                <w:color w:val="000000"/>
                <w:szCs w:val="22"/>
                <w:lang w:val="en-GB" w:eastAsia="en-GB"/>
              </w:rPr>
              <w:t>rofit</w:t>
            </w:r>
          </w:p>
        </w:tc>
        <w:tc>
          <w:tcPr>
            <w:tcW w:w="462" w:type="pct"/>
            <w:shd w:val="clear" w:color="auto" w:fill="auto"/>
            <w:noWrap/>
            <w:vAlign w:val="bottom"/>
            <w:hideMark/>
          </w:tcPr>
          <w:p w14:paraId="6A416539" w14:textId="1296C7F4"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1,775 </w:t>
            </w:r>
          </w:p>
        </w:tc>
        <w:tc>
          <w:tcPr>
            <w:tcW w:w="462" w:type="pct"/>
            <w:shd w:val="clear" w:color="auto" w:fill="auto"/>
            <w:noWrap/>
            <w:vAlign w:val="bottom"/>
            <w:hideMark/>
          </w:tcPr>
          <w:p w14:paraId="69D51F5C" w14:textId="3D818DC5"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1,379 </w:t>
            </w:r>
          </w:p>
        </w:tc>
        <w:tc>
          <w:tcPr>
            <w:tcW w:w="452" w:type="pct"/>
            <w:shd w:val="clear" w:color="auto" w:fill="auto"/>
            <w:noWrap/>
            <w:vAlign w:val="bottom"/>
            <w:hideMark/>
          </w:tcPr>
          <w:p w14:paraId="3020FC97" w14:textId="2E2885E6"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1,076 </w:t>
            </w:r>
          </w:p>
        </w:tc>
        <w:tc>
          <w:tcPr>
            <w:tcW w:w="452" w:type="pct"/>
            <w:shd w:val="clear" w:color="auto" w:fill="auto"/>
            <w:noWrap/>
            <w:vAlign w:val="bottom"/>
            <w:hideMark/>
          </w:tcPr>
          <w:p w14:paraId="7C870378" w14:textId="63A59F65"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820 </w:t>
            </w:r>
          </w:p>
        </w:tc>
        <w:tc>
          <w:tcPr>
            <w:tcW w:w="452" w:type="pct"/>
            <w:shd w:val="clear" w:color="auto" w:fill="auto"/>
            <w:noWrap/>
            <w:vAlign w:val="bottom"/>
            <w:hideMark/>
          </w:tcPr>
          <w:p w14:paraId="629D11E5" w14:textId="63E0D389"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704 </w:t>
            </w:r>
          </w:p>
        </w:tc>
        <w:tc>
          <w:tcPr>
            <w:tcW w:w="452" w:type="pct"/>
            <w:shd w:val="clear" w:color="auto" w:fill="auto"/>
            <w:noWrap/>
            <w:vAlign w:val="bottom"/>
            <w:hideMark/>
          </w:tcPr>
          <w:p w14:paraId="3EC46F69" w14:textId="4320138C"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 xml:space="preserve">915 </w:t>
            </w:r>
          </w:p>
        </w:tc>
        <w:tc>
          <w:tcPr>
            <w:tcW w:w="452" w:type="pct"/>
            <w:shd w:val="clear" w:color="auto" w:fill="auto"/>
            <w:noWrap/>
            <w:vAlign w:val="bottom"/>
            <w:hideMark/>
          </w:tcPr>
          <w:p w14:paraId="10F2D43B" w14:textId="409AC776" w:rsidR="002E4E77" w:rsidRPr="0077490E" w:rsidRDefault="002E4E77" w:rsidP="002E4E77">
            <w:pPr>
              <w:pStyle w:val="ExhibitText"/>
              <w:jc w:val="right"/>
              <w:rPr>
                <w:szCs w:val="22"/>
                <w:lang w:val="en-GB" w:eastAsia="en-GB"/>
              </w:rPr>
            </w:pPr>
            <w:r w:rsidRPr="0077490E">
              <w:rPr>
                <w:szCs w:val="22"/>
                <w:lang w:val="en-GB" w:eastAsia="en-GB"/>
              </w:rPr>
              <w:t xml:space="preserve">774 </w:t>
            </w:r>
          </w:p>
        </w:tc>
      </w:tr>
      <w:tr w:rsidR="002E4E77" w:rsidRPr="0077490E" w14:paraId="727CBF7E" w14:textId="77777777" w:rsidTr="002E4E77">
        <w:trPr>
          <w:trHeight w:val="242"/>
          <w:jc w:val="center"/>
        </w:trPr>
        <w:tc>
          <w:tcPr>
            <w:tcW w:w="1818" w:type="pct"/>
            <w:shd w:val="clear" w:color="auto" w:fill="auto"/>
            <w:noWrap/>
            <w:vAlign w:val="bottom"/>
            <w:hideMark/>
          </w:tcPr>
          <w:p w14:paraId="6862F304" w14:textId="77777777" w:rsidR="002E4E77" w:rsidRPr="0077490E" w:rsidRDefault="002E4E77" w:rsidP="002E4E77">
            <w:pPr>
              <w:pStyle w:val="ExhibitText"/>
              <w:rPr>
                <w:color w:val="000000"/>
                <w:szCs w:val="22"/>
                <w:lang w:val="en-GB" w:eastAsia="en-GB"/>
              </w:rPr>
            </w:pPr>
          </w:p>
        </w:tc>
        <w:tc>
          <w:tcPr>
            <w:tcW w:w="462" w:type="pct"/>
            <w:shd w:val="clear" w:color="auto" w:fill="auto"/>
            <w:noWrap/>
            <w:vAlign w:val="bottom"/>
            <w:hideMark/>
          </w:tcPr>
          <w:p w14:paraId="3711E05B" w14:textId="77777777" w:rsidR="002E4E77" w:rsidRPr="0077490E" w:rsidRDefault="002E4E77" w:rsidP="002E4E77">
            <w:pPr>
              <w:pStyle w:val="ExhibitText"/>
              <w:jc w:val="right"/>
              <w:rPr>
                <w:lang w:val="en-GB" w:eastAsia="en-GB"/>
              </w:rPr>
            </w:pPr>
          </w:p>
        </w:tc>
        <w:tc>
          <w:tcPr>
            <w:tcW w:w="462" w:type="pct"/>
            <w:shd w:val="clear" w:color="auto" w:fill="auto"/>
            <w:noWrap/>
            <w:vAlign w:val="bottom"/>
            <w:hideMark/>
          </w:tcPr>
          <w:p w14:paraId="43D8DF38" w14:textId="77777777" w:rsidR="002E4E77" w:rsidRPr="0077490E" w:rsidRDefault="002E4E77" w:rsidP="002E4E77">
            <w:pPr>
              <w:pStyle w:val="ExhibitText"/>
              <w:jc w:val="right"/>
              <w:rPr>
                <w:lang w:val="en-GB" w:eastAsia="en-GB"/>
              </w:rPr>
            </w:pPr>
          </w:p>
        </w:tc>
        <w:tc>
          <w:tcPr>
            <w:tcW w:w="452" w:type="pct"/>
            <w:shd w:val="clear" w:color="auto" w:fill="auto"/>
            <w:noWrap/>
            <w:vAlign w:val="bottom"/>
            <w:hideMark/>
          </w:tcPr>
          <w:p w14:paraId="71F85137" w14:textId="77777777" w:rsidR="002E4E77" w:rsidRPr="0077490E" w:rsidRDefault="002E4E77" w:rsidP="002E4E77">
            <w:pPr>
              <w:pStyle w:val="ExhibitText"/>
              <w:jc w:val="right"/>
              <w:rPr>
                <w:lang w:val="en-GB" w:eastAsia="en-GB"/>
              </w:rPr>
            </w:pPr>
          </w:p>
        </w:tc>
        <w:tc>
          <w:tcPr>
            <w:tcW w:w="452" w:type="pct"/>
            <w:shd w:val="clear" w:color="auto" w:fill="auto"/>
            <w:noWrap/>
            <w:vAlign w:val="bottom"/>
            <w:hideMark/>
          </w:tcPr>
          <w:p w14:paraId="5E509E12" w14:textId="77777777" w:rsidR="002E4E77" w:rsidRPr="0077490E" w:rsidRDefault="002E4E77" w:rsidP="002E4E77">
            <w:pPr>
              <w:pStyle w:val="ExhibitText"/>
              <w:jc w:val="right"/>
              <w:rPr>
                <w:lang w:val="en-GB" w:eastAsia="en-GB"/>
              </w:rPr>
            </w:pPr>
          </w:p>
        </w:tc>
        <w:tc>
          <w:tcPr>
            <w:tcW w:w="452" w:type="pct"/>
            <w:shd w:val="clear" w:color="auto" w:fill="auto"/>
            <w:noWrap/>
            <w:vAlign w:val="bottom"/>
            <w:hideMark/>
          </w:tcPr>
          <w:p w14:paraId="55CCF261" w14:textId="77777777" w:rsidR="002E4E77" w:rsidRPr="0077490E" w:rsidRDefault="002E4E77" w:rsidP="002E4E77">
            <w:pPr>
              <w:pStyle w:val="ExhibitText"/>
              <w:jc w:val="right"/>
              <w:rPr>
                <w:lang w:val="en-GB" w:eastAsia="en-GB"/>
              </w:rPr>
            </w:pPr>
          </w:p>
        </w:tc>
        <w:tc>
          <w:tcPr>
            <w:tcW w:w="452" w:type="pct"/>
            <w:shd w:val="clear" w:color="auto" w:fill="auto"/>
            <w:noWrap/>
            <w:vAlign w:val="bottom"/>
            <w:hideMark/>
          </w:tcPr>
          <w:p w14:paraId="327B44E9" w14:textId="77777777" w:rsidR="002E4E77" w:rsidRPr="0077490E" w:rsidRDefault="002E4E77" w:rsidP="002E4E77">
            <w:pPr>
              <w:pStyle w:val="ExhibitText"/>
              <w:jc w:val="right"/>
              <w:rPr>
                <w:lang w:val="en-GB" w:eastAsia="en-GB"/>
              </w:rPr>
            </w:pPr>
          </w:p>
        </w:tc>
        <w:tc>
          <w:tcPr>
            <w:tcW w:w="452" w:type="pct"/>
            <w:shd w:val="clear" w:color="auto" w:fill="auto"/>
            <w:noWrap/>
            <w:vAlign w:val="bottom"/>
            <w:hideMark/>
          </w:tcPr>
          <w:p w14:paraId="3E0F7809" w14:textId="77777777" w:rsidR="002E4E77" w:rsidRPr="0077490E" w:rsidRDefault="002E4E77" w:rsidP="002E4E77">
            <w:pPr>
              <w:pStyle w:val="ExhibitText"/>
              <w:jc w:val="right"/>
              <w:rPr>
                <w:lang w:val="en-GB" w:eastAsia="en-GB"/>
              </w:rPr>
            </w:pPr>
          </w:p>
        </w:tc>
      </w:tr>
      <w:tr w:rsidR="002E4E77" w:rsidRPr="0077490E" w14:paraId="0DD50096" w14:textId="77777777" w:rsidTr="002E4E77">
        <w:trPr>
          <w:trHeight w:val="242"/>
          <w:jc w:val="center"/>
        </w:trPr>
        <w:tc>
          <w:tcPr>
            <w:tcW w:w="1818" w:type="pct"/>
            <w:shd w:val="clear" w:color="auto" w:fill="auto"/>
            <w:noWrap/>
            <w:vAlign w:val="bottom"/>
            <w:hideMark/>
          </w:tcPr>
          <w:p w14:paraId="36CB36E4" w14:textId="114ED323"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Share </w:t>
            </w:r>
            <w:r w:rsidR="00BD2640">
              <w:rPr>
                <w:b/>
                <w:color w:val="000000"/>
                <w:szCs w:val="22"/>
                <w:lang w:val="en-GB" w:eastAsia="en-GB"/>
              </w:rPr>
              <w:t>p</w:t>
            </w:r>
            <w:r w:rsidR="00500DA8" w:rsidRPr="0077490E">
              <w:rPr>
                <w:b/>
                <w:color w:val="000000"/>
                <w:szCs w:val="22"/>
                <w:lang w:val="en-GB" w:eastAsia="en-GB"/>
              </w:rPr>
              <w:t xml:space="preserve">rice </w:t>
            </w:r>
            <w:r w:rsidR="00BD2640">
              <w:rPr>
                <w:b/>
                <w:color w:val="000000"/>
                <w:szCs w:val="22"/>
                <w:lang w:val="en-GB" w:eastAsia="en-GB"/>
              </w:rPr>
              <w:t>e</w:t>
            </w:r>
            <w:r w:rsidR="00500DA8" w:rsidRPr="0077490E">
              <w:rPr>
                <w:b/>
                <w:color w:val="000000"/>
                <w:szCs w:val="22"/>
                <w:lang w:val="en-GB" w:eastAsia="en-GB"/>
              </w:rPr>
              <w:t>nd-of-</w:t>
            </w:r>
            <w:r w:rsidR="00BD2640">
              <w:rPr>
                <w:b/>
                <w:color w:val="000000"/>
                <w:szCs w:val="22"/>
                <w:lang w:val="en-GB" w:eastAsia="en-GB"/>
              </w:rPr>
              <w:t>y</w:t>
            </w:r>
            <w:r w:rsidR="00500DA8" w:rsidRPr="0077490E">
              <w:rPr>
                <w:b/>
                <w:color w:val="000000"/>
                <w:szCs w:val="22"/>
                <w:lang w:val="en-GB" w:eastAsia="en-GB"/>
              </w:rPr>
              <w:t>ear (€)</w:t>
            </w:r>
          </w:p>
        </w:tc>
        <w:tc>
          <w:tcPr>
            <w:tcW w:w="462" w:type="pct"/>
            <w:shd w:val="clear" w:color="auto" w:fill="auto"/>
            <w:noWrap/>
            <w:vAlign w:val="bottom"/>
            <w:hideMark/>
          </w:tcPr>
          <w:p w14:paraId="2D0594E2"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5.61</w:t>
            </w:r>
          </w:p>
        </w:tc>
        <w:tc>
          <w:tcPr>
            <w:tcW w:w="462" w:type="pct"/>
            <w:shd w:val="clear" w:color="auto" w:fill="auto"/>
            <w:noWrap/>
            <w:vAlign w:val="bottom"/>
            <w:hideMark/>
          </w:tcPr>
          <w:p w14:paraId="4A2D6397"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2.25</w:t>
            </w:r>
          </w:p>
        </w:tc>
        <w:tc>
          <w:tcPr>
            <w:tcW w:w="452" w:type="pct"/>
            <w:shd w:val="clear" w:color="auto" w:fill="auto"/>
            <w:noWrap/>
            <w:vAlign w:val="bottom"/>
            <w:hideMark/>
          </w:tcPr>
          <w:p w14:paraId="4A526841"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2.34</w:t>
            </w:r>
          </w:p>
        </w:tc>
        <w:tc>
          <w:tcPr>
            <w:tcW w:w="452" w:type="pct"/>
            <w:shd w:val="clear" w:color="auto" w:fill="auto"/>
            <w:noWrap/>
            <w:vAlign w:val="bottom"/>
            <w:hideMark/>
          </w:tcPr>
          <w:p w14:paraId="56765BA1"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2.63</w:t>
            </w:r>
          </w:p>
        </w:tc>
        <w:tc>
          <w:tcPr>
            <w:tcW w:w="452" w:type="pct"/>
            <w:shd w:val="clear" w:color="auto" w:fill="auto"/>
            <w:noWrap/>
            <w:vAlign w:val="bottom"/>
            <w:hideMark/>
          </w:tcPr>
          <w:p w14:paraId="15A61D69"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3.51</w:t>
            </w:r>
          </w:p>
        </w:tc>
        <w:tc>
          <w:tcPr>
            <w:tcW w:w="452" w:type="pct"/>
            <w:shd w:val="clear" w:color="auto" w:fill="auto"/>
            <w:noWrap/>
            <w:vAlign w:val="bottom"/>
            <w:hideMark/>
          </w:tcPr>
          <w:p w14:paraId="20C30A88"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2.81</w:t>
            </w:r>
          </w:p>
        </w:tc>
        <w:tc>
          <w:tcPr>
            <w:tcW w:w="452" w:type="pct"/>
            <w:shd w:val="clear" w:color="auto" w:fill="auto"/>
            <w:noWrap/>
            <w:vAlign w:val="bottom"/>
            <w:hideMark/>
          </w:tcPr>
          <w:p w14:paraId="7577BE86"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2.91</w:t>
            </w:r>
          </w:p>
        </w:tc>
      </w:tr>
      <w:tr w:rsidR="002E4E77" w:rsidRPr="0077490E" w14:paraId="6FFE2A1A" w14:textId="77777777" w:rsidTr="002E4E77">
        <w:trPr>
          <w:trHeight w:val="242"/>
          <w:jc w:val="center"/>
        </w:trPr>
        <w:tc>
          <w:tcPr>
            <w:tcW w:w="1818" w:type="pct"/>
            <w:shd w:val="clear" w:color="auto" w:fill="auto"/>
            <w:noWrap/>
            <w:vAlign w:val="bottom"/>
            <w:hideMark/>
          </w:tcPr>
          <w:p w14:paraId="3F842F2B" w14:textId="5587E29A" w:rsidR="002E4E77" w:rsidRPr="0077490E" w:rsidRDefault="002E4E77" w:rsidP="002E4E77">
            <w:pPr>
              <w:pStyle w:val="ExhibitText"/>
              <w:rPr>
                <w:b/>
                <w:color w:val="000000"/>
                <w:szCs w:val="22"/>
                <w:lang w:val="en-GB" w:eastAsia="en-GB"/>
              </w:rPr>
            </w:pPr>
            <w:r w:rsidRPr="0077490E">
              <w:rPr>
                <w:b/>
                <w:color w:val="000000"/>
                <w:szCs w:val="22"/>
                <w:lang w:val="en-GB" w:eastAsia="en-GB"/>
              </w:rPr>
              <w:t xml:space="preserve">Dividend </w:t>
            </w:r>
            <w:r w:rsidR="00500DA8" w:rsidRPr="0077490E">
              <w:rPr>
                <w:b/>
                <w:color w:val="000000"/>
                <w:szCs w:val="22"/>
                <w:lang w:val="en-GB" w:eastAsia="en-GB"/>
              </w:rPr>
              <w:t xml:space="preserve">per </w:t>
            </w:r>
            <w:r w:rsidR="00BD2640">
              <w:rPr>
                <w:b/>
                <w:color w:val="000000"/>
                <w:szCs w:val="22"/>
                <w:lang w:val="en-GB" w:eastAsia="en-GB"/>
              </w:rPr>
              <w:t>s</w:t>
            </w:r>
            <w:r w:rsidR="00500DA8" w:rsidRPr="0077490E">
              <w:rPr>
                <w:b/>
                <w:color w:val="000000"/>
                <w:szCs w:val="22"/>
                <w:lang w:val="en-GB" w:eastAsia="en-GB"/>
              </w:rPr>
              <w:t xml:space="preserve">hare (€) </w:t>
            </w:r>
          </w:p>
        </w:tc>
        <w:tc>
          <w:tcPr>
            <w:tcW w:w="462" w:type="pct"/>
            <w:shd w:val="clear" w:color="auto" w:fill="auto"/>
            <w:noWrap/>
            <w:vAlign w:val="bottom"/>
            <w:hideMark/>
          </w:tcPr>
          <w:p w14:paraId="4D1252B2"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0.850</w:t>
            </w:r>
          </w:p>
        </w:tc>
        <w:tc>
          <w:tcPr>
            <w:tcW w:w="462" w:type="pct"/>
            <w:shd w:val="clear" w:color="auto" w:fill="auto"/>
            <w:noWrap/>
            <w:vAlign w:val="bottom"/>
            <w:hideMark/>
          </w:tcPr>
          <w:p w14:paraId="52FB5AD8"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0.120</w:t>
            </w:r>
          </w:p>
        </w:tc>
        <w:tc>
          <w:tcPr>
            <w:tcW w:w="452" w:type="pct"/>
            <w:shd w:val="clear" w:color="auto" w:fill="auto"/>
            <w:noWrap/>
            <w:vAlign w:val="bottom"/>
            <w:hideMark/>
          </w:tcPr>
          <w:p w14:paraId="0FD8E4B1"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0.000</w:t>
            </w:r>
          </w:p>
        </w:tc>
        <w:tc>
          <w:tcPr>
            <w:tcW w:w="452" w:type="pct"/>
            <w:shd w:val="clear" w:color="auto" w:fill="auto"/>
            <w:noWrap/>
            <w:vAlign w:val="bottom"/>
            <w:hideMark/>
          </w:tcPr>
          <w:p w14:paraId="0ECA1413"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0.070</w:t>
            </w:r>
          </w:p>
        </w:tc>
        <w:tc>
          <w:tcPr>
            <w:tcW w:w="452" w:type="pct"/>
            <w:shd w:val="clear" w:color="auto" w:fill="auto"/>
            <w:noWrap/>
            <w:vAlign w:val="bottom"/>
            <w:hideMark/>
          </w:tcPr>
          <w:p w14:paraId="7970D219"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0.114</w:t>
            </w:r>
          </w:p>
        </w:tc>
        <w:tc>
          <w:tcPr>
            <w:tcW w:w="452" w:type="pct"/>
            <w:shd w:val="clear" w:color="auto" w:fill="auto"/>
            <w:noWrap/>
            <w:vAlign w:val="bottom"/>
            <w:hideMark/>
          </w:tcPr>
          <w:p w14:paraId="783907EF"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0.125</w:t>
            </w:r>
          </w:p>
        </w:tc>
        <w:tc>
          <w:tcPr>
            <w:tcW w:w="452" w:type="pct"/>
            <w:shd w:val="clear" w:color="auto" w:fill="auto"/>
            <w:noWrap/>
            <w:vAlign w:val="bottom"/>
            <w:hideMark/>
          </w:tcPr>
          <w:p w14:paraId="3EF24998" w14:textId="77777777" w:rsidR="002E4E77" w:rsidRPr="0077490E" w:rsidRDefault="002E4E77" w:rsidP="002E4E77">
            <w:pPr>
              <w:pStyle w:val="ExhibitText"/>
              <w:jc w:val="right"/>
              <w:rPr>
                <w:color w:val="000000"/>
                <w:szCs w:val="22"/>
                <w:lang w:val="en-GB" w:eastAsia="en-GB"/>
              </w:rPr>
            </w:pPr>
            <w:r w:rsidRPr="0077490E">
              <w:rPr>
                <w:color w:val="000000"/>
                <w:szCs w:val="22"/>
                <w:lang w:val="en-GB" w:eastAsia="en-GB"/>
              </w:rPr>
              <w:t>0.127</w:t>
            </w:r>
          </w:p>
        </w:tc>
      </w:tr>
    </w:tbl>
    <w:p w14:paraId="36BE2538" w14:textId="77777777" w:rsidR="002E4E77" w:rsidRPr="0077490E" w:rsidRDefault="002E4E77" w:rsidP="002E4E77">
      <w:pPr>
        <w:pStyle w:val="ExhibitText"/>
        <w:rPr>
          <w:lang w:val="en-GB"/>
        </w:rPr>
      </w:pPr>
    </w:p>
    <w:p w14:paraId="5984D7BF" w14:textId="6B2B7F01" w:rsidR="002E4E77" w:rsidRPr="0077490E" w:rsidRDefault="002E4E77" w:rsidP="002E4E77">
      <w:pPr>
        <w:pStyle w:val="Footnote"/>
        <w:rPr>
          <w:lang w:val="en-GB" w:eastAsia="en-GB"/>
        </w:rPr>
      </w:pPr>
      <w:r w:rsidRPr="0077490E">
        <w:rPr>
          <w:lang w:val="en-GB"/>
        </w:rPr>
        <w:t>Note</w:t>
      </w:r>
      <w:r w:rsidR="00920CC0">
        <w:rPr>
          <w:lang w:val="en-GB"/>
        </w:rPr>
        <w:t>s</w:t>
      </w:r>
      <w:r w:rsidRPr="0077490E">
        <w:rPr>
          <w:lang w:val="en-GB"/>
        </w:rPr>
        <w:t>:</w:t>
      </w:r>
      <w:r w:rsidR="00920CC0">
        <w:rPr>
          <w:lang w:val="en-GB"/>
        </w:rPr>
        <w:t xml:space="preserve"> </w:t>
      </w:r>
      <w:r w:rsidR="00500DA8" w:rsidRPr="0077490E">
        <w:rPr>
          <w:lang w:val="en-GB" w:eastAsia="en-GB"/>
        </w:rPr>
        <w:t xml:space="preserve">Other </w:t>
      </w:r>
      <w:r w:rsidR="00BD2640">
        <w:rPr>
          <w:lang w:val="en-GB" w:eastAsia="en-GB"/>
        </w:rPr>
        <w:t>r</w:t>
      </w:r>
      <w:r w:rsidR="00500DA8" w:rsidRPr="0077490E">
        <w:rPr>
          <w:lang w:val="en-GB" w:eastAsia="en-GB"/>
        </w:rPr>
        <w:t xml:space="preserve">evenues = </w:t>
      </w:r>
      <w:r w:rsidR="003A419B">
        <w:rPr>
          <w:lang w:val="en-GB" w:eastAsia="en-GB"/>
        </w:rPr>
        <w:t>wholesale, network o</w:t>
      </w:r>
      <w:r w:rsidRPr="0077490E">
        <w:rPr>
          <w:lang w:val="en-GB" w:eastAsia="en-GB"/>
        </w:rPr>
        <w:t xml:space="preserve">perations </w:t>
      </w:r>
      <w:r w:rsidR="00787B5F">
        <w:rPr>
          <w:lang w:val="en-GB" w:eastAsia="en-GB"/>
        </w:rPr>
        <w:t>and</w:t>
      </w:r>
      <w:r w:rsidRPr="0077490E">
        <w:rPr>
          <w:lang w:val="en-GB" w:eastAsia="en-GB"/>
        </w:rPr>
        <w:t xml:space="preserve"> IT, </w:t>
      </w:r>
      <w:r w:rsidR="00500DA8" w:rsidRPr="0077490E">
        <w:rPr>
          <w:lang w:val="en-GB" w:eastAsia="en-GB"/>
        </w:rPr>
        <w:t xml:space="preserve">and </w:t>
      </w:r>
      <w:r w:rsidR="003A419B">
        <w:rPr>
          <w:lang w:val="en-GB" w:eastAsia="en-GB"/>
        </w:rPr>
        <w:t>o</w:t>
      </w:r>
      <w:r w:rsidRPr="0077490E">
        <w:rPr>
          <w:lang w:val="en-GB" w:eastAsia="en-GB"/>
        </w:rPr>
        <w:t>ther (incl. eliminations)</w:t>
      </w:r>
      <w:r w:rsidR="00920CC0">
        <w:rPr>
          <w:lang w:val="en-GB" w:eastAsia="en-GB"/>
        </w:rPr>
        <w:t>; EBITDA = earnings before interest, tax, depreciation and amortization</w:t>
      </w:r>
      <w:r w:rsidR="00500DA8" w:rsidRPr="0077490E">
        <w:rPr>
          <w:lang w:val="en-GB" w:eastAsia="en-GB"/>
        </w:rPr>
        <w:t>.</w:t>
      </w:r>
    </w:p>
    <w:p w14:paraId="225C51D7" w14:textId="363E9F60" w:rsidR="002E4E77" w:rsidRPr="0077490E" w:rsidRDefault="002E4E77" w:rsidP="002E4E77">
      <w:pPr>
        <w:pStyle w:val="Footnote"/>
        <w:rPr>
          <w:lang w:val="en-GB"/>
        </w:rPr>
      </w:pPr>
      <w:r w:rsidRPr="0077490E">
        <w:rPr>
          <w:lang w:val="en-GB"/>
        </w:rPr>
        <w:t xml:space="preserve">Source: </w:t>
      </w:r>
      <w:r w:rsidR="00A84186" w:rsidRPr="0077490E">
        <w:rPr>
          <w:lang w:val="en-GB"/>
        </w:rPr>
        <w:t>Created by</w:t>
      </w:r>
      <w:r w:rsidR="00CD749E">
        <w:rPr>
          <w:lang w:val="en-GB"/>
        </w:rPr>
        <w:t xml:space="preserve"> the</w:t>
      </w:r>
      <w:r w:rsidR="00A84186" w:rsidRPr="0077490E">
        <w:rPr>
          <w:lang w:val="en-GB"/>
        </w:rPr>
        <w:t xml:space="preserve"> case author based on data from </w:t>
      </w:r>
      <w:r w:rsidRPr="0077490E">
        <w:rPr>
          <w:lang w:val="en-GB"/>
        </w:rPr>
        <w:t xml:space="preserve">KPN annual reports </w:t>
      </w:r>
      <w:r w:rsidR="00787B5F">
        <w:rPr>
          <w:lang w:val="en-GB"/>
        </w:rPr>
        <w:t>and</w:t>
      </w:r>
      <w:r w:rsidRPr="0077490E">
        <w:rPr>
          <w:lang w:val="en-GB"/>
        </w:rPr>
        <w:t xml:space="preserve"> fact sheets (2012</w:t>
      </w:r>
      <w:r w:rsidR="00500DA8" w:rsidRPr="0077490E">
        <w:rPr>
          <w:lang w:val="en-GB"/>
        </w:rPr>
        <w:t>–</w:t>
      </w:r>
      <w:r w:rsidRPr="0077490E">
        <w:rPr>
          <w:lang w:val="en-GB"/>
        </w:rPr>
        <w:t>2017).</w:t>
      </w:r>
      <w:r w:rsidR="00A84186" w:rsidRPr="0077490E">
        <w:rPr>
          <w:lang w:val="en-GB"/>
        </w:rPr>
        <w:t xml:space="preserve"> </w:t>
      </w:r>
    </w:p>
    <w:p w14:paraId="190BF480" w14:textId="77777777" w:rsidR="00B87DC0" w:rsidRPr="0077490E" w:rsidRDefault="00B87DC0" w:rsidP="002E4E77">
      <w:pPr>
        <w:pStyle w:val="ExhibitText"/>
        <w:rPr>
          <w:lang w:val="en-GB"/>
        </w:rPr>
      </w:pPr>
    </w:p>
    <w:p w14:paraId="4FA487A9" w14:textId="77777777" w:rsidR="002E4E77" w:rsidRPr="0077490E" w:rsidRDefault="002E4E77" w:rsidP="002E4E77">
      <w:pPr>
        <w:pStyle w:val="ExhibitText"/>
        <w:rPr>
          <w:lang w:val="en-GB"/>
        </w:rPr>
      </w:pPr>
    </w:p>
    <w:p w14:paraId="06191FBC" w14:textId="0D107BDF" w:rsidR="002E4E77" w:rsidRPr="0077490E" w:rsidRDefault="002E4E77" w:rsidP="002E4E77">
      <w:pPr>
        <w:pStyle w:val="ExhibitHeading"/>
        <w:rPr>
          <w:lang w:val="en-GB"/>
        </w:rPr>
      </w:pPr>
      <w:r w:rsidRPr="0077490E">
        <w:rPr>
          <w:lang w:val="en-GB"/>
        </w:rPr>
        <w:t>Exhibit 2: KPN OPERATIng mODEL</w:t>
      </w:r>
      <w:r w:rsidR="00DB5DC9" w:rsidRPr="0077490E">
        <w:rPr>
          <w:lang w:val="en-GB"/>
        </w:rPr>
        <w:t>—</w:t>
      </w:r>
      <w:r w:rsidRPr="0077490E">
        <w:rPr>
          <w:lang w:val="en-GB"/>
        </w:rPr>
        <w:t xml:space="preserve">status </w:t>
      </w:r>
      <w:r w:rsidR="00DB5DC9" w:rsidRPr="0077490E">
        <w:rPr>
          <w:lang w:val="en-GB"/>
        </w:rPr>
        <w:t xml:space="preserve">at </w:t>
      </w:r>
      <w:r w:rsidRPr="0077490E">
        <w:rPr>
          <w:lang w:val="en-GB"/>
        </w:rPr>
        <w:t>end of 2013</w:t>
      </w:r>
    </w:p>
    <w:p w14:paraId="73F9FF21" w14:textId="77777777" w:rsidR="002E4E77" w:rsidRPr="0077490E" w:rsidRDefault="002E4E77" w:rsidP="002E4E77">
      <w:pPr>
        <w:pStyle w:val="ExhibitText"/>
        <w:rPr>
          <w:lang w:val="en-GB"/>
        </w:rPr>
      </w:pPr>
    </w:p>
    <w:p w14:paraId="58BD7FAF" w14:textId="350DAAFE" w:rsidR="002E4E77" w:rsidRPr="0077490E" w:rsidRDefault="00BF7D0E" w:rsidP="008A4D62">
      <w:pPr>
        <w:pStyle w:val="ExhibitText"/>
        <w:jc w:val="center"/>
        <w:rPr>
          <w:lang w:val="en-GB"/>
        </w:rPr>
      </w:pPr>
      <w:r w:rsidRPr="0077490E">
        <w:rPr>
          <w:noProof/>
          <w:lang w:val="en-CA" w:eastAsia="en-CA"/>
        </w:rPr>
        <w:drawing>
          <wp:inline distT="0" distB="0" distL="0" distR="0" wp14:anchorId="2DA532B0" wp14:editId="35965D42">
            <wp:extent cx="5943600"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7945"/>
                    </a:xfrm>
                    <a:prstGeom prst="rect">
                      <a:avLst/>
                    </a:prstGeom>
                  </pic:spPr>
                </pic:pic>
              </a:graphicData>
            </a:graphic>
          </wp:inline>
        </w:drawing>
      </w:r>
      <w:r w:rsidRPr="0077490E">
        <w:rPr>
          <w:lang w:val="en-GB" w:eastAsia="en-CA"/>
        </w:rPr>
        <w:t xml:space="preserve"> </w:t>
      </w:r>
    </w:p>
    <w:p w14:paraId="072BC8DB" w14:textId="77777777" w:rsidR="00B01A3E" w:rsidRPr="0077490E" w:rsidRDefault="00B01A3E" w:rsidP="00967737">
      <w:pPr>
        <w:pStyle w:val="Footnote"/>
        <w:rPr>
          <w:lang w:val="en-GB"/>
        </w:rPr>
      </w:pPr>
    </w:p>
    <w:p w14:paraId="45B7C0CA" w14:textId="43395726" w:rsidR="00B066D1" w:rsidRPr="0077490E" w:rsidRDefault="00B066D1" w:rsidP="00B01A3E">
      <w:pPr>
        <w:pStyle w:val="BodyTextMain"/>
        <w:rPr>
          <w:rStyle w:val="FootnoteChar"/>
          <w:lang w:val="en-GB"/>
        </w:rPr>
      </w:pPr>
      <w:r w:rsidRPr="0077490E">
        <w:rPr>
          <w:rStyle w:val="FootnoteChar"/>
          <w:lang w:val="en-GB"/>
        </w:rPr>
        <w:t>N</w:t>
      </w:r>
      <w:r w:rsidR="00AA52D6">
        <w:rPr>
          <w:rStyle w:val="FootnoteChar"/>
          <w:lang w:val="en-GB"/>
        </w:rPr>
        <w:t>ote</w:t>
      </w:r>
      <w:r w:rsidRPr="0077490E">
        <w:rPr>
          <w:rStyle w:val="FootnoteChar"/>
          <w:lang w:val="en-GB"/>
        </w:rPr>
        <w:t xml:space="preserve">: B2B = business to business; BSS = </w:t>
      </w:r>
      <w:r w:rsidR="00BD2640">
        <w:rPr>
          <w:rStyle w:val="FootnoteChar"/>
          <w:lang w:val="en-GB"/>
        </w:rPr>
        <w:t>b</w:t>
      </w:r>
      <w:r w:rsidR="00DC7593">
        <w:rPr>
          <w:rStyle w:val="FootnoteChar"/>
          <w:lang w:val="en-GB"/>
        </w:rPr>
        <w:t xml:space="preserve">usiness </w:t>
      </w:r>
      <w:r w:rsidR="00BD2640">
        <w:rPr>
          <w:rStyle w:val="FootnoteChar"/>
          <w:lang w:val="en-GB"/>
        </w:rPr>
        <w:t>s</w:t>
      </w:r>
      <w:r w:rsidR="00DC7593">
        <w:rPr>
          <w:rStyle w:val="FootnoteChar"/>
          <w:lang w:val="en-GB"/>
        </w:rPr>
        <w:t xml:space="preserve">upport </w:t>
      </w:r>
      <w:r w:rsidR="00BD2640">
        <w:rPr>
          <w:rStyle w:val="FootnoteChar"/>
          <w:lang w:val="en-GB"/>
        </w:rPr>
        <w:t>s</w:t>
      </w:r>
      <w:r w:rsidR="00DC7593">
        <w:rPr>
          <w:rStyle w:val="FootnoteChar"/>
          <w:lang w:val="en-GB"/>
        </w:rPr>
        <w:t>ystems</w:t>
      </w:r>
      <w:r w:rsidR="00AA52D6">
        <w:rPr>
          <w:rStyle w:val="FootnoteChar"/>
          <w:lang w:val="en-GB"/>
        </w:rPr>
        <w:t>;</w:t>
      </w:r>
      <w:r w:rsidR="00DC7593">
        <w:rPr>
          <w:rStyle w:val="FootnoteChar"/>
          <w:lang w:val="en-GB"/>
        </w:rPr>
        <w:t xml:space="preserve"> </w:t>
      </w:r>
      <w:r w:rsidRPr="0077490E">
        <w:rPr>
          <w:rStyle w:val="FootnoteChar"/>
          <w:lang w:val="en-GB"/>
        </w:rPr>
        <w:t>OSS =</w:t>
      </w:r>
      <w:r w:rsidR="00D205D3">
        <w:rPr>
          <w:rStyle w:val="FootnoteChar"/>
          <w:lang w:val="en-GB"/>
        </w:rPr>
        <w:t xml:space="preserve"> </w:t>
      </w:r>
      <w:r w:rsidR="00BD2640">
        <w:rPr>
          <w:rStyle w:val="FootnoteChar"/>
          <w:lang w:val="en-GB"/>
        </w:rPr>
        <w:t>o</w:t>
      </w:r>
      <w:r w:rsidR="00D205D3">
        <w:rPr>
          <w:rStyle w:val="FootnoteChar"/>
          <w:lang w:val="en-GB"/>
        </w:rPr>
        <w:t xml:space="preserve">perations </w:t>
      </w:r>
      <w:r w:rsidR="00BD2640">
        <w:rPr>
          <w:rStyle w:val="FootnoteChar"/>
          <w:lang w:val="en-GB"/>
        </w:rPr>
        <w:t>s</w:t>
      </w:r>
      <w:r w:rsidR="00D205D3">
        <w:rPr>
          <w:rStyle w:val="FootnoteChar"/>
          <w:lang w:val="en-GB"/>
        </w:rPr>
        <w:t xml:space="preserve">upport </w:t>
      </w:r>
      <w:r w:rsidR="00BD2640">
        <w:rPr>
          <w:rStyle w:val="FootnoteChar"/>
          <w:lang w:val="en-GB"/>
        </w:rPr>
        <w:t>s</w:t>
      </w:r>
      <w:r w:rsidR="00D205D3">
        <w:rPr>
          <w:rStyle w:val="FootnoteChar"/>
          <w:lang w:val="en-GB"/>
        </w:rPr>
        <w:t>ystems</w:t>
      </w:r>
      <w:r w:rsidR="00BD2640">
        <w:rPr>
          <w:rStyle w:val="FootnoteChar"/>
          <w:lang w:val="en-GB"/>
        </w:rPr>
        <w:t>.</w:t>
      </w:r>
      <w:r w:rsidRPr="0077490E">
        <w:rPr>
          <w:rStyle w:val="FootnoteChar"/>
          <w:lang w:val="en-GB"/>
        </w:rPr>
        <w:t xml:space="preserve"> </w:t>
      </w:r>
    </w:p>
    <w:p w14:paraId="68ED3D79" w14:textId="356BE13F" w:rsidR="00B01A3E" w:rsidRPr="0077490E" w:rsidRDefault="00B01A3E" w:rsidP="00B01A3E">
      <w:pPr>
        <w:pStyle w:val="BodyTextMain"/>
        <w:rPr>
          <w:lang w:val="en-GB"/>
        </w:rPr>
      </w:pPr>
      <w:r w:rsidRPr="0077490E">
        <w:rPr>
          <w:rStyle w:val="FootnoteChar"/>
          <w:lang w:val="en-GB"/>
        </w:rPr>
        <w:t>Source: Company documents</w:t>
      </w:r>
      <w:r w:rsidRPr="0077490E">
        <w:rPr>
          <w:lang w:val="en-GB"/>
        </w:rPr>
        <w:t>.</w:t>
      </w:r>
    </w:p>
    <w:p w14:paraId="35C530C8" w14:textId="705C3C79" w:rsidR="00B01A3E" w:rsidRPr="0077490E" w:rsidRDefault="00B01A3E">
      <w:pPr>
        <w:spacing w:after="200" w:line="276" w:lineRule="auto"/>
        <w:rPr>
          <w:rFonts w:ascii="Arial" w:hAnsi="Arial" w:cs="Arial"/>
          <w:lang w:val="en-GB"/>
        </w:rPr>
      </w:pPr>
      <w:r w:rsidRPr="0077490E">
        <w:rPr>
          <w:lang w:val="en-GB"/>
        </w:rPr>
        <w:br w:type="page"/>
      </w:r>
    </w:p>
    <w:p w14:paraId="22D45B5A" w14:textId="3ADEE5F1" w:rsidR="00B01A3E" w:rsidRPr="0077490E" w:rsidRDefault="00B01A3E" w:rsidP="00B01A3E">
      <w:pPr>
        <w:pStyle w:val="ExhibitHeading"/>
        <w:rPr>
          <w:lang w:val="en-GB"/>
        </w:rPr>
      </w:pPr>
      <w:r w:rsidRPr="0077490E">
        <w:rPr>
          <w:color w:val="000000" w:themeColor="text1"/>
          <w:lang w:val="en-GB"/>
        </w:rPr>
        <w:lastRenderedPageBreak/>
        <w:t xml:space="preserve">Exhibit 3: </w:t>
      </w:r>
      <w:r w:rsidR="00DB5DC9" w:rsidRPr="0077490E">
        <w:rPr>
          <w:color w:val="000000" w:themeColor="text1"/>
          <w:lang w:val="en-GB"/>
        </w:rPr>
        <w:t xml:space="preserve">KPN, </w:t>
      </w:r>
      <w:r w:rsidRPr="0077490E">
        <w:rPr>
          <w:color w:val="000000" w:themeColor="text1"/>
          <w:lang w:val="en-GB"/>
        </w:rPr>
        <w:t>transformation Performance indicators</w:t>
      </w:r>
      <w:r w:rsidR="00DB5DC9" w:rsidRPr="0077490E">
        <w:rPr>
          <w:color w:val="000000" w:themeColor="text1"/>
          <w:lang w:val="en-GB"/>
        </w:rPr>
        <w:t>—</w:t>
      </w:r>
      <w:r w:rsidRPr="0077490E">
        <w:rPr>
          <w:color w:val="000000" w:themeColor="text1"/>
          <w:lang w:val="en-GB"/>
        </w:rPr>
        <w:t>The Netherlands</w:t>
      </w:r>
      <w:r w:rsidRPr="0077490E">
        <w:rPr>
          <w:lang w:val="en-GB"/>
        </w:rPr>
        <w:t xml:space="preserve"> </w:t>
      </w:r>
    </w:p>
    <w:p w14:paraId="47C15473" w14:textId="77777777" w:rsidR="00B01A3E" w:rsidRPr="0077490E" w:rsidRDefault="00B01A3E" w:rsidP="00B01A3E">
      <w:pPr>
        <w:pStyle w:val="ExhibitText"/>
        <w:rPr>
          <w:lang w:val="en-GB"/>
        </w:rPr>
      </w:pPr>
    </w:p>
    <w:tbl>
      <w:tblPr>
        <w:tblW w:w="45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24"/>
        <w:gridCol w:w="812"/>
        <w:gridCol w:w="900"/>
        <w:gridCol w:w="810"/>
        <w:gridCol w:w="810"/>
        <w:gridCol w:w="898"/>
      </w:tblGrid>
      <w:tr w:rsidR="008B6F11" w:rsidRPr="0077490E" w14:paraId="48D4AD59" w14:textId="77777777" w:rsidTr="00967737">
        <w:trPr>
          <w:trHeight w:val="235"/>
          <w:jc w:val="center"/>
        </w:trPr>
        <w:tc>
          <w:tcPr>
            <w:tcW w:w="2499" w:type="pct"/>
            <w:shd w:val="clear" w:color="auto" w:fill="auto"/>
            <w:noWrap/>
            <w:vAlign w:val="bottom"/>
            <w:hideMark/>
          </w:tcPr>
          <w:p w14:paraId="5ED1A7ED" w14:textId="77777777" w:rsidR="00B01A3E" w:rsidRPr="0077490E" w:rsidRDefault="00B01A3E" w:rsidP="00B01A3E">
            <w:pPr>
              <w:pStyle w:val="ExhibitText"/>
              <w:rPr>
                <w:spacing w:val="-2"/>
                <w:sz w:val="19"/>
                <w:szCs w:val="19"/>
                <w:lang w:val="en-GB" w:eastAsia="en-GB"/>
              </w:rPr>
            </w:pPr>
          </w:p>
        </w:tc>
        <w:tc>
          <w:tcPr>
            <w:tcW w:w="480" w:type="pct"/>
            <w:shd w:val="clear" w:color="auto" w:fill="auto"/>
            <w:noWrap/>
            <w:vAlign w:val="bottom"/>
            <w:hideMark/>
          </w:tcPr>
          <w:p w14:paraId="2C241B5F" w14:textId="77777777" w:rsidR="00B01A3E" w:rsidRPr="0077490E" w:rsidRDefault="00B01A3E" w:rsidP="00B01A3E">
            <w:pPr>
              <w:pStyle w:val="ExhibitText"/>
              <w:jc w:val="center"/>
              <w:rPr>
                <w:b/>
                <w:bCs/>
                <w:color w:val="000000"/>
                <w:spacing w:val="-2"/>
                <w:sz w:val="19"/>
                <w:szCs w:val="19"/>
                <w:lang w:val="en-GB" w:eastAsia="en-GB"/>
              </w:rPr>
            </w:pPr>
            <w:r w:rsidRPr="0077490E">
              <w:rPr>
                <w:b/>
                <w:bCs/>
                <w:color w:val="000000"/>
                <w:spacing w:val="-2"/>
                <w:sz w:val="19"/>
                <w:szCs w:val="19"/>
                <w:lang w:val="en-GB" w:eastAsia="en-GB"/>
              </w:rPr>
              <w:t>2013</w:t>
            </w:r>
          </w:p>
        </w:tc>
        <w:tc>
          <w:tcPr>
            <w:tcW w:w="532" w:type="pct"/>
            <w:shd w:val="clear" w:color="auto" w:fill="auto"/>
            <w:noWrap/>
            <w:vAlign w:val="bottom"/>
            <w:hideMark/>
          </w:tcPr>
          <w:p w14:paraId="003AD10D" w14:textId="77777777" w:rsidR="00B01A3E" w:rsidRPr="0077490E" w:rsidRDefault="00B01A3E" w:rsidP="00B01A3E">
            <w:pPr>
              <w:pStyle w:val="ExhibitText"/>
              <w:jc w:val="center"/>
              <w:rPr>
                <w:b/>
                <w:bCs/>
                <w:color w:val="000000"/>
                <w:spacing w:val="-2"/>
                <w:sz w:val="19"/>
                <w:szCs w:val="19"/>
                <w:lang w:val="en-GB" w:eastAsia="en-GB"/>
              </w:rPr>
            </w:pPr>
            <w:r w:rsidRPr="0077490E">
              <w:rPr>
                <w:b/>
                <w:bCs/>
                <w:color w:val="000000"/>
                <w:spacing w:val="-2"/>
                <w:sz w:val="19"/>
                <w:szCs w:val="19"/>
                <w:lang w:val="en-GB" w:eastAsia="en-GB"/>
              </w:rPr>
              <w:t>2014</w:t>
            </w:r>
          </w:p>
        </w:tc>
        <w:tc>
          <w:tcPr>
            <w:tcW w:w="479" w:type="pct"/>
            <w:shd w:val="clear" w:color="auto" w:fill="auto"/>
            <w:noWrap/>
            <w:vAlign w:val="bottom"/>
            <w:hideMark/>
          </w:tcPr>
          <w:p w14:paraId="6B72826A" w14:textId="77777777" w:rsidR="00B01A3E" w:rsidRPr="0077490E" w:rsidRDefault="00B01A3E" w:rsidP="00B01A3E">
            <w:pPr>
              <w:pStyle w:val="ExhibitText"/>
              <w:jc w:val="center"/>
              <w:rPr>
                <w:b/>
                <w:bCs/>
                <w:color w:val="000000"/>
                <w:spacing w:val="-2"/>
                <w:sz w:val="19"/>
                <w:szCs w:val="19"/>
                <w:lang w:val="en-GB" w:eastAsia="en-GB"/>
              </w:rPr>
            </w:pPr>
            <w:r w:rsidRPr="0077490E">
              <w:rPr>
                <w:b/>
                <w:bCs/>
                <w:color w:val="000000"/>
                <w:spacing w:val="-2"/>
                <w:sz w:val="19"/>
                <w:szCs w:val="19"/>
                <w:lang w:val="en-GB" w:eastAsia="en-GB"/>
              </w:rPr>
              <w:t>2015</w:t>
            </w:r>
          </w:p>
        </w:tc>
        <w:tc>
          <w:tcPr>
            <w:tcW w:w="479" w:type="pct"/>
            <w:shd w:val="clear" w:color="auto" w:fill="auto"/>
            <w:noWrap/>
            <w:vAlign w:val="bottom"/>
            <w:hideMark/>
          </w:tcPr>
          <w:p w14:paraId="2301FA2C" w14:textId="77777777" w:rsidR="00B01A3E" w:rsidRPr="0077490E" w:rsidRDefault="00B01A3E" w:rsidP="00B01A3E">
            <w:pPr>
              <w:pStyle w:val="ExhibitText"/>
              <w:jc w:val="center"/>
              <w:rPr>
                <w:b/>
                <w:bCs/>
                <w:color w:val="000000"/>
                <w:spacing w:val="-2"/>
                <w:sz w:val="19"/>
                <w:szCs w:val="19"/>
                <w:lang w:val="en-GB" w:eastAsia="en-GB"/>
              </w:rPr>
            </w:pPr>
            <w:r w:rsidRPr="0077490E">
              <w:rPr>
                <w:b/>
                <w:bCs/>
                <w:color w:val="000000"/>
                <w:spacing w:val="-2"/>
                <w:sz w:val="19"/>
                <w:szCs w:val="19"/>
                <w:lang w:val="en-GB" w:eastAsia="en-GB"/>
              </w:rPr>
              <w:t>2016</w:t>
            </w:r>
          </w:p>
        </w:tc>
        <w:tc>
          <w:tcPr>
            <w:tcW w:w="531" w:type="pct"/>
            <w:shd w:val="clear" w:color="auto" w:fill="auto"/>
            <w:noWrap/>
            <w:vAlign w:val="bottom"/>
            <w:hideMark/>
          </w:tcPr>
          <w:p w14:paraId="1DE72DCC" w14:textId="77777777" w:rsidR="00B01A3E" w:rsidRPr="0077490E" w:rsidRDefault="00B01A3E" w:rsidP="00B01A3E">
            <w:pPr>
              <w:pStyle w:val="ExhibitText"/>
              <w:jc w:val="center"/>
              <w:rPr>
                <w:b/>
                <w:bCs/>
                <w:color w:val="000000"/>
                <w:spacing w:val="-2"/>
                <w:sz w:val="19"/>
                <w:szCs w:val="19"/>
                <w:lang w:val="en-GB" w:eastAsia="en-GB"/>
              </w:rPr>
            </w:pPr>
            <w:r w:rsidRPr="0077490E">
              <w:rPr>
                <w:b/>
                <w:bCs/>
                <w:color w:val="000000"/>
                <w:spacing w:val="-2"/>
                <w:sz w:val="19"/>
                <w:szCs w:val="19"/>
                <w:lang w:val="en-GB" w:eastAsia="en-GB"/>
              </w:rPr>
              <w:t>2017</w:t>
            </w:r>
          </w:p>
        </w:tc>
      </w:tr>
      <w:tr w:rsidR="008B6F11" w:rsidRPr="0077490E" w14:paraId="04618B91" w14:textId="77777777" w:rsidTr="00967737">
        <w:trPr>
          <w:trHeight w:val="235"/>
          <w:jc w:val="center"/>
        </w:trPr>
        <w:tc>
          <w:tcPr>
            <w:tcW w:w="2499" w:type="pct"/>
            <w:shd w:val="clear" w:color="auto" w:fill="auto"/>
            <w:noWrap/>
            <w:vAlign w:val="bottom"/>
            <w:hideMark/>
          </w:tcPr>
          <w:p w14:paraId="220AF8B0" w14:textId="5D1472B3" w:rsidR="00B01A3E" w:rsidRPr="0077490E" w:rsidRDefault="00B01A3E" w:rsidP="00B01A3E">
            <w:pPr>
              <w:pStyle w:val="ExhibitText"/>
              <w:rPr>
                <w:b/>
                <w:bCs/>
                <w:color w:val="000000"/>
                <w:spacing w:val="-2"/>
                <w:sz w:val="19"/>
                <w:szCs w:val="19"/>
                <w:lang w:val="en-GB" w:eastAsia="en-GB"/>
              </w:rPr>
            </w:pPr>
            <w:r w:rsidRPr="0077490E">
              <w:rPr>
                <w:b/>
                <w:bCs/>
                <w:color w:val="000000"/>
                <w:spacing w:val="-2"/>
                <w:sz w:val="19"/>
                <w:szCs w:val="19"/>
                <w:lang w:val="en-GB" w:eastAsia="en-GB"/>
              </w:rPr>
              <w:t xml:space="preserve">Customer </w:t>
            </w:r>
            <w:r w:rsidR="007229F7">
              <w:rPr>
                <w:b/>
                <w:bCs/>
                <w:color w:val="000000"/>
                <w:spacing w:val="-2"/>
                <w:sz w:val="19"/>
                <w:szCs w:val="19"/>
                <w:lang w:val="en-GB" w:eastAsia="en-GB"/>
              </w:rPr>
              <w:t>s</w:t>
            </w:r>
            <w:r w:rsidR="00DB5DC9" w:rsidRPr="0077490E">
              <w:rPr>
                <w:b/>
                <w:bCs/>
                <w:color w:val="000000"/>
                <w:spacing w:val="-2"/>
                <w:sz w:val="19"/>
                <w:szCs w:val="19"/>
                <w:lang w:val="en-GB" w:eastAsia="en-GB"/>
              </w:rPr>
              <w:t>atisfaction (</w:t>
            </w:r>
            <w:r w:rsidRPr="0077490E">
              <w:rPr>
                <w:b/>
                <w:bCs/>
                <w:color w:val="000000"/>
                <w:spacing w:val="-2"/>
                <w:sz w:val="19"/>
                <w:szCs w:val="19"/>
                <w:lang w:val="en-GB" w:eastAsia="en-GB"/>
              </w:rPr>
              <w:t>NPS</w:t>
            </w:r>
            <w:r w:rsidR="00DB5DC9" w:rsidRPr="0077490E">
              <w:rPr>
                <w:b/>
                <w:bCs/>
                <w:color w:val="000000"/>
                <w:spacing w:val="-2"/>
                <w:sz w:val="19"/>
                <w:szCs w:val="19"/>
                <w:lang w:val="en-GB" w:eastAsia="en-GB"/>
              </w:rPr>
              <w:t>)</w:t>
            </w:r>
          </w:p>
        </w:tc>
        <w:tc>
          <w:tcPr>
            <w:tcW w:w="480" w:type="pct"/>
            <w:shd w:val="clear" w:color="auto" w:fill="auto"/>
            <w:noWrap/>
            <w:vAlign w:val="bottom"/>
            <w:hideMark/>
          </w:tcPr>
          <w:p w14:paraId="19F34B1C" w14:textId="77777777" w:rsidR="00B01A3E" w:rsidRPr="0077490E" w:rsidRDefault="00B01A3E" w:rsidP="00B01A3E">
            <w:pPr>
              <w:pStyle w:val="ExhibitText"/>
              <w:rPr>
                <w:bCs/>
                <w:color w:val="000000"/>
                <w:spacing w:val="-2"/>
                <w:sz w:val="19"/>
                <w:szCs w:val="19"/>
                <w:lang w:val="en-GB" w:eastAsia="en-GB"/>
              </w:rPr>
            </w:pPr>
          </w:p>
        </w:tc>
        <w:tc>
          <w:tcPr>
            <w:tcW w:w="532" w:type="pct"/>
            <w:shd w:val="clear" w:color="auto" w:fill="auto"/>
            <w:noWrap/>
            <w:vAlign w:val="bottom"/>
            <w:hideMark/>
          </w:tcPr>
          <w:p w14:paraId="25953C7A" w14:textId="77777777" w:rsidR="00B01A3E" w:rsidRPr="0077490E" w:rsidRDefault="00B01A3E" w:rsidP="00B01A3E">
            <w:pPr>
              <w:pStyle w:val="ExhibitText"/>
              <w:rPr>
                <w:spacing w:val="-2"/>
                <w:sz w:val="19"/>
                <w:szCs w:val="19"/>
                <w:lang w:val="en-GB" w:eastAsia="en-GB"/>
              </w:rPr>
            </w:pPr>
          </w:p>
        </w:tc>
        <w:tc>
          <w:tcPr>
            <w:tcW w:w="479" w:type="pct"/>
            <w:shd w:val="clear" w:color="auto" w:fill="auto"/>
            <w:noWrap/>
            <w:vAlign w:val="bottom"/>
            <w:hideMark/>
          </w:tcPr>
          <w:p w14:paraId="693DDCD9" w14:textId="77777777" w:rsidR="00B01A3E" w:rsidRPr="0077490E" w:rsidRDefault="00B01A3E" w:rsidP="00B01A3E">
            <w:pPr>
              <w:pStyle w:val="ExhibitText"/>
              <w:rPr>
                <w:spacing w:val="-2"/>
                <w:sz w:val="19"/>
                <w:szCs w:val="19"/>
                <w:lang w:val="en-GB" w:eastAsia="en-GB"/>
              </w:rPr>
            </w:pPr>
          </w:p>
        </w:tc>
        <w:tc>
          <w:tcPr>
            <w:tcW w:w="479" w:type="pct"/>
            <w:shd w:val="clear" w:color="auto" w:fill="auto"/>
            <w:noWrap/>
            <w:vAlign w:val="bottom"/>
            <w:hideMark/>
          </w:tcPr>
          <w:p w14:paraId="054E6A72" w14:textId="77777777" w:rsidR="00B01A3E" w:rsidRPr="0077490E" w:rsidRDefault="00B01A3E" w:rsidP="00B01A3E">
            <w:pPr>
              <w:pStyle w:val="ExhibitText"/>
              <w:rPr>
                <w:spacing w:val="-2"/>
                <w:sz w:val="19"/>
                <w:szCs w:val="19"/>
                <w:lang w:val="en-GB" w:eastAsia="en-GB"/>
              </w:rPr>
            </w:pPr>
          </w:p>
        </w:tc>
        <w:tc>
          <w:tcPr>
            <w:tcW w:w="531" w:type="pct"/>
            <w:shd w:val="clear" w:color="auto" w:fill="auto"/>
            <w:noWrap/>
            <w:vAlign w:val="bottom"/>
            <w:hideMark/>
          </w:tcPr>
          <w:p w14:paraId="2C564353" w14:textId="77777777" w:rsidR="00B01A3E" w:rsidRPr="0077490E" w:rsidRDefault="00B01A3E" w:rsidP="00B01A3E">
            <w:pPr>
              <w:pStyle w:val="ExhibitText"/>
              <w:rPr>
                <w:spacing w:val="-2"/>
                <w:sz w:val="19"/>
                <w:szCs w:val="19"/>
                <w:lang w:val="en-GB" w:eastAsia="en-GB"/>
              </w:rPr>
            </w:pPr>
          </w:p>
        </w:tc>
      </w:tr>
      <w:tr w:rsidR="008B6F11" w:rsidRPr="0077490E" w14:paraId="281DAB3D" w14:textId="77777777" w:rsidTr="00967737">
        <w:trPr>
          <w:trHeight w:val="235"/>
          <w:jc w:val="center"/>
        </w:trPr>
        <w:tc>
          <w:tcPr>
            <w:tcW w:w="2499" w:type="pct"/>
            <w:shd w:val="clear" w:color="auto" w:fill="auto"/>
            <w:noWrap/>
            <w:vAlign w:val="bottom"/>
            <w:hideMark/>
          </w:tcPr>
          <w:p w14:paraId="2D33E6EF" w14:textId="77777777"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 xml:space="preserve">Overall </w:t>
            </w:r>
          </w:p>
        </w:tc>
        <w:tc>
          <w:tcPr>
            <w:tcW w:w="480" w:type="pct"/>
            <w:shd w:val="clear" w:color="auto" w:fill="auto"/>
            <w:noWrap/>
            <w:vAlign w:val="bottom"/>
            <w:hideMark/>
          </w:tcPr>
          <w:p w14:paraId="3B2F2D93" w14:textId="0B8765E5"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10</w:t>
            </w:r>
          </w:p>
        </w:tc>
        <w:tc>
          <w:tcPr>
            <w:tcW w:w="532" w:type="pct"/>
            <w:shd w:val="clear" w:color="auto" w:fill="auto"/>
            <w:noWrap/>
            <w:vAlign w:val="bottom"/>
            <w:hideMark/>
          </w:tcPr>
          <w:p w14:paraId="1BF43693" w14:textId="1C520FAD"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3</w:t>
            </w:r>
          </w:p>
        </w:tc>
        <w:tc>
          <w:tcPr>
            <w:tcW w:w="479" w:type="pct"/>
            <w:shd w:val="clear" w:color="auto" w:fill="auto"/>
            <w:noWrap/>
            <w:vAlign w:val="bottom"/>
            <w:hideMark/>
          </w:tcPr>
          <w:p w14:paraId="02DE5489"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+3</w:t>
            </w:r>
          </w:p>
        </w:tc>
        <w:tc>
          <w:tcPr>
            <w:tcW w:w="479" w:type="pct"/>
            <w:shd w:val="clear" w:color="auto" w:fill="auto"/>
            <w:noWrap/>
            <w:vAlign w:val="bottom"/>
            <w:hideMark/>
          </w:tcPr>
          <w:p w14:paraId="265DC8EA"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+6</w:t>
            </w:r>
          </w:p>
        </w:tc>
        <w:tc>
          <w:tcPr>
            <w:tcW w:w="531" w:type="pct"/>
            <w:shd w:val="clear" w:color="auto" w:fill="auto"/>
            <w:noWrap/>
            <w:vAlign w:val="bottom"/>
            <w:hideMark/>
          </w:tcPr>
          <w:p w14:paraId="76F174E0"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+8</w:t>
            </w:r>
          </w:p>
        </w:tc>
      </w:tr>
      <w:tr w:rsidR="008B6F11" w:rsidRPr="0077490E" w14:paraId="520A4750" w14:textId="77777777" w:rsidTr="00967737">
        <w:trPr>
          <w:trHeight w:val="235"/>
          <w:jc w:val="center"/>
        </w:trPr>
        <w:tc>
          <w:tcPr>
            <w:tcW w:w="2499" w:type="pct"/>
            <w:shd w:val="clear" w:color="auto" w:fill="auto"/>
            <w:noWrap/>
            <w:vAlign w:val="bottom"/>
            <w:hideMark/>
          </w:tcPr>
          <w:p w14:paraId="153F125D" w14:textId="77777777"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Consumer</w:t>
            </w:r>
          </w:p>
        </w:tc>
        <w:tc>
          <w:tcPr>
            <w:tcW w:w="480" w:type="pct"/>
            <w:shd w:val="clear" w:color="auto" w:fill="auto"/>
            <w:noWrap/>
            <w:vAlign w:val="bottom"/>
            <w:hideMark/>
          </w:tcPr>
          <w:p w14:paraId="2FB02D0A" w14:textId="54CC70CC"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6</w:t>
            </w:r>
          </w:p>
        </w:tc>
        <w:tc>
          <w:tcPr>
            <w:tcW w:w="532" w:type="pct"/>
            <w:shd w:val="clear" w:color="auto" w:fill="auto"/>
            <w:noWrap/>
            <w:vAlign w:val="bottom"/>
            <w:hideMark/>
          </w:tcPr>
          <w:p w14:paraId="14BC9567"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+2</w:t>
            </w:r>
          </w:p>
        </w:tc>
        <w:tc>
          <w:tcPr>
            <w:tcW w:w="479" w:type="pct"/>
            <w:shd w:val="clear" w:color="auto" w:fill="auto"/>
            <w:noWrap/>
            <w:vAlign w:val="bottom"/>
            <w:hideMark/>
          </w:tcPr>
          <w:p w14:paraId="21BC4FCF"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+9</w:t>
            </w:r>
          </w:p>
        </w:tc>
        <w:tc>
          <w:tcPr>
            <w:tcW w:w="479" w:type="pct"/>
            <w:shd w:val="clear" w:color="auto" w:fill="auto"/>
            <w:noWrap/>
            <w:vAlign w:val="bottom"/>
            <w:hideMark/>
          </w:tcPr>
          <w:p w14:paraId="504E854D"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+10</w:t>
            </w:r>
          </w:p>
        </w:tc>
        <w:tc>
          <w:tcPr>
            <w:tcW w:w="531" w:type="pct"/>
            <w:shd w:val="clear" w:color="auto" w:fill="auto"/>
            <w:noWrap/>
            <w:vAlign w:val="bottom"/>
            <w:hideMark/>
          </w:tcPr>
          <w:p w14:paraId="6F5CB14A"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+13</w:t>
            </w:r>
          </w:p>
        </w:tc>
      </w:tr>
      <w:tr w:rsidR="008B6F11" w:rsidRPr="0077490E" w14:paraId="4B831980" w14:textId="77777777" w:rsidTr="00967737">
        <w:trPr>
          <w:trHeight w:val="235"/>
          <w:jc w:val="center"/>
        </w:trPr>
        <w:tc>
          <w:tcPr>
            <w:tcW w:w="2499" w:type="pct"/>
            <w:shd w:val="clear" w:color="auto" w:fill="auto"/>
            <w:noWrap/>
            <w:vAlign w:val="bottom"/>
            <w:hideMark/>
          </w:tcPr>
          <w:p w14:paraId="6F5EA366" w14:textId="77777777"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Business</w:t>
            </w:r>
          </w:p>
        </w:tc>
        <w:tc>
          <w:tcPr>
            <w:tcW w:w="480" w:type="pct"/>
            <w:shd w:val="clear" w:color="auto" w:fill="auto"/>
            <w:noWrap/>
            <w:vAlign w:val="bottom"/>
            <w:hideMark/>
          </w:tcPr>
          <w:p w14:paraId="1CAF6A01" w14:textId="5C1C8F05"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18</w:t>
            </w:r>
          </w:p>
        </w:tc>
        <w:tc>
          <w:tcPr>
            <w:tcW w:w="532" w:type="pct"/>
            <w:shd w:val="clear" w:color="auto" w:fill="auto"/>
            <w:noWrap/>
            <w:vAlign w:val="bottom"/>
            <w:hideMark/>
          </w:tcPr>
          <w:p w14:paraId="10827C36" w14:textId="61D35AF8"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13</w:t>
            </w:r>
          </w:p>
        </w:tc>
        <w:tc>
          <w:tcPr>
            <w:tcW w:w="479" w:type="pct"/>
            <w:shd w:val="clear" w:color="auto" w:fill="auto"/>
            <w:noWrap/>
            <w:vAlign w:val="bottom"/>
            <w:hideMark/>
          </w:tcPr>
          <w:p w14:paraId="78E3E0E8" w14:textId="6A07ADFA"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10</w:t>
            </w:r>
          </w:p>
        </w:tc>
        <w:tc>
          <w:tcPr>
            <w:tcW w:w="479" w:type="pct"/>
            <w:shd w:val="clear" w:color="auto" w:fill="auto"/>
            <w:noWrap/>
            <w:vAlign w:val="bottom"/>
            <w:hideMark/>
          </w:tcPr>
          <w:p w14:paraId="59381473" w14:textId="79E042CF"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3</w:t>
            </w:r>
          </w:p>
        </w:tc>
        <w:tc>
          <w:tcPr>
            <w:tcW w:w="531" w:type="pct"/>
            <w:shd w:val="clear" w:color="auto" w:fill="auto"/>
            <w:noWrap/>
            <w:vAlign w:val="bottom"/>
            <w:hideMark/>
          </w:tcPr>
          <w:p w14:paraId="57755678" w14:textId="1E3DA460"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1</w:t>
            </w:r>
          </w:p>
        </w:tc>
      </w:tr>
      <w:tr w:rsidR="008B6F11" w:rsidRPr="0077490E" w14:paraId="3BFA261D" w14:textId="77777777" w:rsidTr="00967737">
        <w:trPr>
          <w:trHeight w:val="235"/>
          <w:jc w:val="center"/>
        </w:trPr>
        <w:tc>
          <w:tcPr>
            <w:tcW w:w="2499" w:type="pct"/>
            <w:shd w:val="clear" w:color="auto" w:fill="auto"/>
            <w:noWrap/>
            <w:vAlign w:val="bottom"/>
            <w:hideMark/>
          </w:tcPr>
          <w:p w14:paraId="7F763084" w14:textId="56269226" w:rsidR="00B01A3E" w:rsidRPr="00D81685" w:rsidRDefault="00B01A3E">
            <w:pPr>
              <w:pStyle w:val="ExhibitText"/>
              <w:rPr>
                <w:bCs/>
                <w:color w:val="000000"/>
                <w:spacing w:val="-2"/>
                <w:sz w:val="19"/>
                <w:szCs w:val="19"/>
                <w:lang w:val="en-GB" w:eastAsia="en-GB"/>
              </w:rPr>
            </w:pPr>
            <w:r w:rsidRPr="00D81685">
              <w:rPr>
                <w:bCs/>
                <w:color w:val="000000"/>
                <w:spacing w:val="-2"/>
                <w:sz w:val="19"/>
                <w:szCs w:val="19"/>
                <w:lang w:val="en-GB" w:eastAsia="en-GB"/>
              </w:rPr>
              <w:t xml:space="preserve">Reputation </w:t>
            </w:r>
            <w:r w:rsidR="00DB5DC9" w:rsidRPr="00D81685">
              <w:rPr>
                <w:bCs/>
                <w:color w:val="000000"/>
                <w:spacing w:val="-2"/>
                <w:sz w:val="19"/>
                <w:szCs w:val="19"/>
                <w:lang w:val="en-GB" w:eastAsia="en-GB"/>
              </w:rPr>
              <w:t>(</w:t>
            </w:r>
            <w:proofErr w:type="spellStart"/>
            <w:r w:rsidR="00B807EF" w:rsidRPr="00D81685">
              <w:rPr>
                <w:bCs/>
                <w:color w:val="000000"/>
                <w:spacing w:val="-2"/>
                <w:sz w:val="19"/>
                <w:szCs w:val="19"/>
                <w:lang w:val="en-GB" w:eastAsia="en-GB"/>
              </w:rPr>
              <w:t>RepTrak</w:t>
            </w:r>
            <w:proofErr w:type="spellEnd"/>
            <w:r w:rsidR="00B807EF" w:rsidRPr="00D81685">
              <w:rPr>
                <w:bCs/>
                <w:color w:val="000000"/>
                <w:spacing w:val="-2"/>
                <w:sz w:val="19"/>
                <w:szCs w:val="19"/>
                <w:lang w:val="en-GB" w:eastAsia="en-GB"/>
              </w:rPr>
              <w:t xml:space="preserve"> </w:t>
            </w:r>
            <w:r w:rsidR="00CD749E" w:rsidRPr="00D81685">
              <w:rPr>
                <w:bCs/>
                <w:color w:val="000000"/>
                <w:spacing w:val="-2"/>
                <w:sz w:val="19"/>
                <w:szCs w:val="19"/>
                <w:lang w:val="en-GB" w:eastAsia="en-GB"/>
              </w:rPr>
              <w:t>P</w:t>
            </w:r>
            <w:r w:rsidRPr="00D81685">
              <w:rPr>
                <w:bCs/>
                <w:color w:val="000000"/>
                <w:spacing w:val="-2"/>
                <w:sz w:val="19"/>
                <w:szCs w:val="19"/>
                <w:lang w:val="en-GB" w:eastAsia="en-GB"/>
              </w:rPr>
              <w:t xml:space="preserve">ulse </w:t>
            </w:r>
            <w:r w:rsidR="007229F7" w:rsidRPr="00D81685">
              <w:rPr>
                <w:bCs/>
                <w:color w:val="000000"/>
                <w:spacing w:val="-2"/>
                <w:sz w:val="19"/>
                <w:szCs w:val="19"/>
                <w:lang w:val="en-GB" w:eastAsia="en-GB"/>
              </w:rPr>
              <w:t>s</w:t>
            </w:r>
            <w:r w:rsidRPr="00D81685">
              <w:rPr>
                <w:bCs/>
                <w:color w:val="000000"/>
                <w:spacing w:val="-2"/>
                <w:sz w:val="19"/>
                <w:szCs w:val="19"/>
                <w:lang w:val="en-GB" w:eastAsia="en-GB"/>
              </w:rPr>
              <w:t>core</w:t>
            </w:r>
            <w:r w:rsidR="00DB5DC9" w:rsidRPr="00D81685">
              <w:rPr>
                <w:bCs/>
                <w:color w:val="000000"/>
                <w:spacing w:val="-2"/>
                <w:sz w:val="19"/>
                <w:szCs w:val="19"/>
                <w:lang w:val="en-GB" w:eastAsia="en-GB"/>
              </w:rPr>
              <w:t>)</w:t>
            </w:r>
          </w:p>
        </w:tc>
        <w:tc>
          <w:tcPr>
            <w:tcW w:w="480" w:type="pct"/>
            <w:shd w:val="clear" w:color="auto" w:fill="auto"/>
            <w:noWrap/>
            <w:vAlign w:val="bottom"/>
            <w:hideMark/>
          </w:tcPr>
          <w:p w14:paraId="7430432B"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63</w:t>
            </w:r>
          </w:p>
        </w:tc>
        <w:tc>
          <w:tcPr>
            <w:tcW w:w="532" w:type="pct"/>
            <w:shd w:val="clear" w:color="auto" w:fill="auto"/>
            <w:noWrap/>
            <w:vAlign w:val="bottom"/>
            <w:hideMark/>
          </w:tcPr>
          <w:p w14:paraId="7A8DB557"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70</w:t>
            </w:r>
          </w:p>
        </w:tc>
        <w:tc>
          <w:tcPr>
            <w:tcW w:w="479" w:type="pct"/>
            <w:shd w:val="clear" w:color="auto" w:fill="auto"/>
            <w:noWrap/>
            <w:vAlign w:val="bottom"/>
            <w:hideMark/>
          </w:tcPr>
          <w:p w14:paraId="2972BA07"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69</w:t>
            </w:r>
          </w:p>
        </w:tc>
        <w:tc>
          <w:tcPr>
            <w:tcW w:w="479" w:type="pct"/>
            <w:shd w:val="clear" w:color="auto" w:fill="auto"/>
            <w:noWrap/>
            <w:vAlign w:val="bottom"/>
            <w:hideMark/>
          </w:tcPr>
          <w:p w14:paraId="315755EB"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67</w:t>
            </w:r>
          </w:p>
        </w:tc>
        <w:tc>
          <w:tcPr>
            <w:tcW w:w="531" w:type="pct"/>
            <w:shd w:val="clear" w:color="auto" w:fill="auto"/>
            <w:noWrap/>
            <w:vAlign w:val="bottom"/>
            <w:hideMark/>
          </w:tcPr>
          <w:p w14:paraId="7E87D4C3"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71</w:t>
            </w:r>
          </w:p>
        </w:tc>
      </w:tr>
      <w:tr w:rsidR="008B6F11" w:rsidRPr="0077490E" w14:paraId="0925A1FF" w14:textId="77777777" w:rsidTr="00967737">
        <w:trPr>
          <w:trHeight w:val="235"/>
          <w:jc w:val="center"/>
        </w:trPr>
        <w:tc>
          <w:tcPr>
            <w:tcW w:w="2499" w:type="pct"/>
            <w:shd w:val="clear" w:color="auto" w:fill="auto"/>
            <w:noWrap/>
            <w:vAlign w:val="bottom"/>
            <w:hideMark/>
          </w:tcPr>
          <w:p w14:paraId="06950852" w14:textId="4579BDA0" w:rsidR="00B01A3E" w:rsidRPr="00D81685" w:rsidRDefault="00B01A3E" w:rsidP="00B01A3E">
            <w:pPr>
              <w:pStyle w:val="ExhibitText"/>
              <w:rPr>
                <w:bCs/>
                <w:color w:val="000000"/>
                <w:spacing w:val="-2"/>
                <w:sz w:val="19"/>
                <w:szCs w:val="19"/>
                <w:lang w:val="en-GB" w:eastAsia="en-GB"/>
              </w:rPr>
            </w:pPr>
            <w:r w:rsidRPr="00D81685">
              <w:rPr>
                <w:bCs/>
                <w:color w:val="000000"/>
                <w:spacing w:val="-2"/>
                <w:sz w:val="19"/>
                <w:szCs w:val="19"/>
                <w:lang w:val="en-GB" w:eastAsia="en-GB"/>
              </w:rPr>
              <w:t>Run</w:t>
            </w:r>
            <w:r w:rsidR="00DB5DC9" w:rsidRPr="00D81685">
              <w:rPr>
                <w:bCs/>
                <w:color w:val="000000"/>
                <w:spacing w:val="-2"/>
                <w:sz w:val="19"/>
                <w:szCs w:val="19"/>
                <w:lang w:val="en-GB" w:eastAsia="en-GB"/>
              </w:rPr>
              <w:t xml:space="preserve">-Rate </w:t>
            </w:r>
            <w:r w:rsidR="007229F7" w:rsidRPr="00D81685">
              <w:rPr>
                <w:bCs/>
                <w:color w:val="000000"/>
                <w:spacing w:val="-2"/>
                <w:sz w:val="19"/>
                <w:szCs w:val="19"/>
                <w:lang w:val="en-GB" w:eastAsia="en-GB"/>
              </w:rPr>
              <w:t>s</w:t>
            </w:r>
            <w:r w:rsidR="00DB5DC9" w:rsidRPr="00D81685">
              <w:rPr>
                <w:bCs/>
                <w:color w:val="000000"/>
                <w:spacing w:val="-2"/>
                <w:sz w:val="19"/>
                <w:szCs w:val="19"/>
                <w:lang w:val="en-GB" w:eastAsia="en-GB"/>
              </w:rPr>
              <w:t xml:space="preserve">avings (€ </w:t>
            </w:r>
            <w:r w:rsidR="007229F7" w:rsidRPr="00D81685">
              <w:rPr>
                <w:bCs/>
                <w:color w:val="000000"/>
                <w:spacing w:val="-2"/>
                <w:sz w:val="19"/>
                <w:szCs w:val="19"/>
                <w:lang w:val="en-GB" w:eastAsia="en-GB"/>
              </w:rPr>
              <w:t>m</w:t>
            </w:r>
            <w:r w:rsidR="00DB5DC9" w:rsidRPr="00D81685">
              <w:rPr>
                <w:bCs/>
                <w:color w:val="000000"/>
                <w:spacing w:val="-2"/>
                <w:sz w:val="19"/>
                <w:szCs w:val="19"/>
                <w:lang w:val="en-GB" w:eastAsia="en-GB"/>
              </w:rPr>
              <w:t>illions)</w:t>
            </w:r>
          </w:p>
        </w:tc>
        <w:tc>
          <w:tcPr>
            <w:tcW w:w="480" w:type="pct"/>
            <w:shd w:val="clear" w:color="auto" w:fill="auto"/>
            <w:noWrap/>
            <w:vAlign w:val="bottom"/>
            <w:hideMark/>
          </w:tcPr>
          <w:p w14:paraId="1E6CE6D7"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0</w:t>
            </w:r>
          </w:p>
        </w:tc>
        <w:tc>
          <w:tcPr>
            <w:tcW w:w="532" w:type="pct"/>
            <w:shd w:val="clear" w:color="auto" w:fill="auto"/>
            <w:noWrap/>
            <w:vAlign w:val="bottom"/>
            <w:hideMark/>
          </w:tcPr>
          <w:p w14:paraId="52E090A9"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140</w:t>
            </w:r>
          </w:p>
        </w:tc>
        <w:tc>
          <w:tcPr>
            <w:tcW w:w="479" w:type="pct"/>
            <w:shd w:val="clear" w:color="auto" w:fill="auto"/>
            <w:noWrap/>
            <w:vAlign w:val="bottom"/>
            <w:hideMark/>
          </w:tcPr>
          <w:p w14:paraId="0C1A72F9"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140</w:t>
            </w:r>
          </w:p>
        </w:tc>
        <w:tc>
          <w:tcPr>
            <w:tcW w:w="479" w:type="pct"/>
            <w:shd w:val="clear" w:color="auto" w:fill="auto"/>
            <w:noWrap/>
            <w:vAlign w:val="bottom"/>
            <w:hideMark/>
          </w:tcPr>
          <w:p w14:paraId="6DB96A2F"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180</w:t>
            </w:r>
          </w:p>
        </w:tc>
        <w:tc>
          <w:tcPr>
            <w:tcW w:w="531" w:type="pct"/>
            <w:shd w:val="clear" w:color="auto" w:fill="auto"/>
            <w:noWrap/>
            <w:vAlign w:val="bottom"/>
            <w:hideMark/>
          </w:tcPr>
          <w:p w14:paraId="7D2B81F5"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110</w:t>
            </w:r>
          </w:p>
        </w:tc>
      </w:tr>
      <w:tr w:rsidR="008B6F11" w:rsidRPr="0077490E" w14:paraId="389ABAC2" w14:textId="77777777" w:rsidTr="00967737">
        <w:trPr>
          <w:trHeight w:val="235"/>
          <w:jc w:val="center"/>
        </w:trPr>
        <w:tc>
          <w:tcPr>
            <w:tcW w:w="2499" w:type="pct"/>
            <w:shd w:val="clear" w:color="auto" w:fill="auto"/>
            <w:noWrap/>
            <w:vAlign w:val="bottom"/>
            <w:hideMark/>
          </w:tcPr>
          <w:p w14:paraId="03C46F35" w14:textId="05A2B614" w:rsidR="00B01A3E" w:rsidRPr="0077490E" w:rsidRDefault="00B01A3E">
            <w:pPr>
              <w:pStyle w:val="ExhibitText"/>
              <w:rPr>
                <w:b/>
                <w:bCs/>
                <w:color w:val="000000"/>
                <w:spacing w:val="-2"/>
                <w:sz w:val="19"/>
                <w:szCs w:val="19"/>
                <w:lang w:val="en-GB" w:eastAsia="en-GB"/>
              </w:rPr>
            </w:pPr>
            <w:r w:rsidRPr="0077490E">
              <w:rPr>
                <w:b/>
                <w:bCs/>
                <w:color w:val="000000"/>
                <w:spacing w:val="-2"/>
                <w:sz w:val="19"/>
                <w:szCs w:val="19"/>
                <w:lang w:val="en-GB" w:eastAsia="en-GB"/>
              </w:rPr>
              <w:t xml:space="preserve">Proposition </w:t>
            </w:r>
            <w:r w:rsidR="007229F7">
              <w:rPr>
                <w:b/>
                <w:bCs/>
                <w:color w:val="000000"/>
                <w:spacing w:val="-2"/>
                <w:sz w:val="19"/>
                <w:szCs w:val="19"/>
                <w:lang w:val="en-GB" w:eastAsia="en-GB"/>
              </w:rPr>
              <w:t>r</w:t>
            </w:r>
            <w:r w:rsidR="00DB5DC9" w:rsidRPr="0077490E">
              <w:rPr>
                <w:b/>
                <w:bCs/>
                <w:color w:val="000000"/>
                <w:spacing w:val="-2"/>
                <w:sz w:val="19"/>
                <w:szCs w:val="19"/>
                <w:lang w:val="en-GB" w:eastAsia="en-GB"/>
              </w:rPr>
              <w:t xml:space="preserve">eduction </w:t>
            </w:r>
            <w:r w:rsidRPr="0077490E">
              <w:rPr>
                <w:b/>
                <w:bCs/>
                <w:color w:val="000000"/>
                <w:spacing w:val="-2"/>
                <w:sz w:val="19"/>
                <w:szCs w:val="19"/>
                <w:lang w:val="en-GB" w:eastAsia="en-GB"/>
              </w:rPr>
              <w:t>v</w:t>
            </w:r>
            <w:r w:rsidR="00B807EF" w:rsidRPr="0077490E">
              <w:rPr>
                <w:b/>
                <w:bCs/>
                <w:color w:val="000000"/>
                <w:spacing w:val="-2"/>
                <w:sz w:val="19"/>
                <w:szCs w:val="19"/>
                <w:lang w:val="en-GB" w:eastAsia="en-GB"/>
              </w:rPr>
              <w:t>ersus</w:t>
            </w:r>
            <w:r w:rsidRPr="0077490E">
              <w:rPr>
                <w:b/>
                <w:bCs/>
                <w:color w:val="000000"/>
                <w:spacing w:val="-2"/>
                <w:sz w:val="19"/>
                <w:szCs w:val="19"/>
                <w:lang w:val="en-GB" w:eastAsia="en-GB"/>
              </w:rPr>
              <w:t xml:space="preserve"> 2013</w:t>
            </w:r>
          </w:p>
        </w:tc>
        <w:tc>
          <w:tcPr>
            <w:tcW w:w="480" w:type="pct"/>
            <w:shd w:val="clear" w:color="auto" w:fill="auto"/>
            <w:noWrap/>
            <w:vAlign w:val="bottom"/>
            <w:hideMark/>
          </w:tcPr>
          <w:p w14:paraId="21EB073E" w14:textId="77777777" w:rsidR="00B01A3E" w:rsidRPr="0077490E" w:rsidRDefault="00B01A3E" w:rsidP="00967737">
            <w:pPr>
              <w:pStyle w:val="ExhibitText"/>
              <w:jc w:val="right"/>
              <w:rPr>
                <w:bCs/>
                <w:color w:val="000000"/>
                <w:spacing w:val="-2"/>
                <w:sz w:val="19"/>
                <w:szCs w:val="19"/>
                <w:lang w:val="en-GB" w:eastAsia="en-GB"/>
              </w:rPr>
            </w:pPr>
          </w:p>
        </w:tc>
        <w:tc>
          <w:tcPr>
            <w:tcW w:w="532" w:type="pct"/>
            <w:shd w:val="clear" w:color="auto" w:fill="auto"/>
            <w:noWrap/>
            <w:vAlign w:val="bottom"/>
            <w:hideMark/>
          </w:tcPr>
          <w:p w14:paraId="508197D6" w14:textId="77777777" w:rsidR="00B01A3E" w:rsidRPr="0077490E" w:rsidRDefault="00B01A3E" w:rsidP="00967737">
            <w:pPr>
              <w:pStyle w:val="ExhibitText"/>
              <w:jc w:val="right"/>
              <w:rPr>
                <w:spacing w:val="-2"/>
                <w:sz w:val="19"/>
                <w:szCs w:val="19"/>
                <w:lang w:val="en-GB" w:eastAsia="en-GB"/>
              </w:rPr>
            </w:pPr>
          </w:p>
        </w:tc>
        <w:tc>
          <w:tcPr>
            <w:tcW w:w="479" w:type="pct"/>
            <w:shd w:val="clear" w:color="auto" w:fill="auto"/>
            <w:noWrap/>
            <w:vAlign w:val="bottom"/>
            <w:hideMark/>
          </w:tcPr>
          <w:p w14:paraId="16AABD11" w14:textId="77777777" w:rsidR="00B01A3E" w:rsidRPr="0077490E" w:rsidRDefault="00B01A3E" w:rsidP="00967737">
            <w:pPr>
              <w:pStyle w:val="ExhibitText"/>
              <w:jc w:val="right"/>
              <w:rPr>
                <w:spacing w:val="-2"/>
                <w:sz w:val="19"/>
                <w:szCs w:val="19"/>
                <w:lang w:val="en-GB" w:eastAsia="en-GB"/>
              </w:rPr>
            </w:pPr>
          </w:p>
        </w:tc>
        <w:tc>
          <w:tcPr>
            <w:tcW w:w="479" w:type="pct"/>
            <w:shd w:val="clear" w:color="auto" w:fill="auto"/>
            <w:noWrap/>
            <w:vAlign w:val="bottom"/>
            <w:hideMark/>
          </w:tcPr>
          <w:p w14:paraId="2F24043A" w14:textId="77777777" w:rsidR="00B01A3E" w:rsidRPr="0077490E" w:rsidRDefault="00B01A3E" w:rsidP="00967737">
            <w:pPr>
              <w:pStyle w:val="ExhibitText"/>
              <w:jc w:val="right"/>
              <w:rPr>
                <w:spacing w:val="-2"/>
                <w:sz w:val="19"/>
                <w:szCs w:val="19"/>
                <w:lang w:val="en-GB" w:eastAsia="en-GB"/>
              </w:rPr>
            </w:pPr>
          </w:p>
        </w:tc>
        <w:tc>
          <w:tcPr>
            <w:tcW w:w="531" w:type="pct"/>
            <w:shd w:val="clear" w:color="auto" w:fill="auto"/>
            <w:noWrap/>
            <w:vAlign w:val="bottom"/>
            <w:hideMark/>
          </w:tcPr>
          <w:p w14:paraId="13C2F0C0" w14:textId="77777777" w:rsidR="00B01A3E" w:rsidRPr="0077490E" w:rsidRDefault="00B01A3E" w:rsidP="00967737">
            <w:pPr>
              <w:pStyle w:val="ExhibitText"/>
              <w:jc w:val="right"/>
              <w:rPr>
                <w:spacing w:val="-2"/>
                <w:sz w:val="19"/>
                <w:szCs w:val="19"/>
                <w:lang w:val="en-GB" w:eastAsia="en-GB"/>
              </w:rPr>
            </w:pPr>
          </w:p>
        </w:tc>
      </w:tr>
      <w:tr w:rsidR="008B6F11" w:rsidRPr="0077490E" w14:paraId="2A736F10" w14:textId="77777777" w:rsidTr="00967737">
        <w:trPr>
          <w:trHeight w:val="235"/>
          <w:jc w:val="center"/>
        </w:trPr>
        <w:tc>
          <w:tcPr>
            <w:tcW w:w="2499" w:type="pct"/>
            <w:shd w:val="clear" w:color="auto" w:fill="auto"/>
            <w:noWrap/>
            <w:vAlign w:val="bottom"/>
            <w:hideMark/>
          </w:tcPr>
          <w:p w14:paraId="22FB897B" w14:textId="0C0D4D53"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 xml:space="preserve">Consumer </w:t>
            </w:r>
            <w:r w:rsidR="007229F7">
              <w:rPr>
                <w:color w:val="000000"/>
                <w:spacing w:val="-2"/>
                <w:sz w:val="19"/>
                <w:szCs w:val="19"/>
                <w:lang w:val="en-GB" w:eastAsia="en-GB"/>
              </w:rPr>
              <w:t>m</w:t>
            </w:r>
            <w:r w:rsidR="00DB5DC9" w:rsidRPr="0077490E">
              <w:rPr>
                <w:color w:val="000000"/>
                <w:spacing w:val="-2"/>
                <w:sz w:val="19"/>
                <w:szCs w:val="19"/>
                <w:lang w:val="en-GB" w:eastAsia="en-GB"/>
              </w:rPr>
              <w:t xml:space="preserve">obile </w:t>
            </w:r>
            <w:r w:rsidRPr="0077490E">
              <w:rPr>
                <w:color w:val="000000"/>
                <w:spacing w:val="-2"/>
                <w:sz w:val="19"/>
                <w:szCs w:val="19"/>
                <w:lang w:val="en-GB" w:eastAsia="en-GB"/>
              </w:rPr>
              <w:t>(%)</w:t>
            </w:r>
          </w:p>
        </w:tc>
        <w:tc>
          <w:tcPr>
            <w:tcW w:w="480" w:type="pct"/>
            <w:shd w:val="clear" w:color="auto" w:fill="auto"/>
            <w:noWrap/>
            <w:vAlign w:val="bottom"/>
            <w:hideMark/>
          </w:tcPr>
          <w:p w14:paraId="26D607D4"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0</w:t>
            </w:r>
          </w:p>
        </w:tc>
        <w:tc>
          <w:tcPr>
            <w:tcW w:w="532" w:type="pct"/>
            <w:shd w:val="clear" w:color="auto" w:fill="auto"/>
            <w:noWrap/>
            <w:vAlign w:val="bottom"/>
            <w:hideMark/>
          </w:tcPr>
          <w:p w14:paraId="7BF7292D" w14:textId="60BF0B39"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65</w:t>
            </w:r>
          </w:p>
        </w:tc>
        <w:tc>
          <w:tcPr>
            <w:tcW w:w="479" w:type="pct"/>
            <w:shd w:val="clear" w:color="auto" w:fill="auto"/>
            <w:noWrap/>
            <w:vAlign w:val="bottom"/>
            <w:hideMark/>
          </w:tcPr>
          <w:p w14:paraId="53F3A965" w14:textId="1D2E602B"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75</w:t>
            </w:r>
          </w:p>
        </w:tc>
        <w:tc>
          <w:tcPr>
            <w:tcW w:w="479" w:type="pct"/>
            <w:shd w:val="clear" w:color="auto" w:fill="auto"/>
            <w:noWrap/>
            <w:vAlign w:val="bottom"/>
            <w:hideMark/>
          </w:tcPr>
          <w:p w14:paraId="45B65FE2" w14:textId="7143F058"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80</w:t>
            </w:r>
          </w:p>
        </w:tc>
        <w:tc>
          <w:tcPr>
            <w:tcW w:w="531" w:type="pct"/>
            <w:shd w:val="clear" w:color="auto" w:fill="auto"/>
            <w:noWrap/>
            <w:vAlign w:val="bottom"/>
            <w:hideMark/>
          </w:tcPr>
          <w:p w14:paraId="008932ED" w14:textId="5E4BEFC9"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80</w:t>
            </w:r>
          </w:p>
        </w:tc>
      </w:tr>
      <w:tr w:rsidR="008B6F11" w:rsidRPr="0077490E" w14:paraId="1AC3DE9A" w14:textId="77777777" w:rsidTr="00967737">
        <w:trPr>
          <w:trHeight w:val="235"/>
          <w:jc w:val="center"/>
        </w:trPr>
        <w:tc>
          <w:tcPr>
            <w:tcW w:w="2499" w:type="pct"/>
            <w:shd w:val="clear" w:color="auto" w:fill="auto"/>
            <w:noWrap/>
            <w:vAlign w:val="bottom"/>
            <w:hideMark/>
          </w:tcPr>
          <w:p w14:paraId="29787ECC" w14:textId="77777777"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Business (%)</w:t>
            </w:r>
          </w:p>
        </w:tc>
        <w:tc>
          <w:tcPr>
            <w:tcW w:w="480" w:type="pct"/>
            <w:shd w:val="clear" w:color="auto" w:fill="auto"/>
            <w:noWrap/>
            <w:vAlign w:val="bottom"/>
            <w:hideMark/>
          </w:tcPr>
          <w:p w14:paraId="0EA5301E"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0</w:t>
            </w:r>
          </w:p>
        </w:tc>
        <w:tc>
          <w:tcPr>
            <w:tcW w:w="532" w:type="pct"/>
            <w:shd w:val="clear" w:color="auto" w:fill="auto"/>
            <w:noWrap/>
            <w:vAlign w:val="bottom"/>
            <w:hideMark/>
          </w:tcPr>
          <w:p w14:paraId="72339C1D" w14:textId="082910B3"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20</w:t>
            </w:r>
          </w:p>
        </w:tc>
        <w:tc>
          <w:tcPr>
            <w:tcW w:w="479" w:type="pct"/>
            <w:shd w:val="clear" w:color="auto" w:fill="auto"/>
            <w:noWrap/>
            <w:vAlign w:val="bottom"/>
            <w:hideMark/>
          </w:tcPr>
          <w:p w14:paraId="40F90959" w14:textId="698168F8"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35</w:t>
            </w:r>
          </w:p>
        </w:tc>
        <w:tc>
          <w:tcPr>
            <w:tcW w:w="479" w:type="pct"/>
            <w:shd w:val="clear" w:color="auto" w:fill="auto"/>
            <w:noWrap/>
            <w:vAlign w:val="bottom"/>
            <w:hideMark/>
          </w:tcPr>
          <w:p w14:paraId="2CE8607E" w14:textId="7CF0678E"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NA</w:t>
            </w:r>
          </w:p>
        </w:tc>
        <w:tc>
          <w:tcPr>
            <w:tcW w:w="531" w:type="pct"/>
            <w:shd w:val="clear" w:color="auto" w:fill="auto"/>
            <w:noWrap/>
            <w:vAlign w:val="bottom"/>
            <w:hideMark/>
          </w:tcPr>
          <w:p w14:paraId="69CA8E59"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NA</w:t>
            </w:r>
          </w:p>
        </w:tc>
      </w:tr>
      <w:tr w:rsidR="008B6F11" w:rsidRPr="0077490E" w14:paraId="2E1D3806" w14:textId="77777777" w:rsidTr="00967737">
        <w:trPr>
          <w:trHeight w:val="235"/>
          <w:jc w:val="center"/>
        </w:trPr>
        <w:tc>
          <w:tcPr>
            <w:tcW w:w="2499" w:type="pct"/>
            <w:shd w:val="clear" w:color="auto" w:fill="auto"/>
            <w:noWrap/>
            <w:vAlign w:val="bottom"/>
            <w:hideMark/>
          </w:tcPr>
          <w:p w14:paraId="673F6D7E" w14:textId="4B523DE7" w:rsidR="00B01A3E" w:rsidRPr="0077490E" w:rsidRDefault="00B01A3E">
            <w:pPr>
              <w:pStyle w:val="ExhibitText"/>
              <w:rPr>
                <w:b/>
                <w:bCs/>
                <w:color w:val="000000"/>
                <w:spacing w:val="-2"/>
                <w:sz w:val="19"/>
                <w:szCs w:val="19"/>
                <w:lang w:val="en-GB" w:eastAsia="en-GB"/>
              </w:rPr>
            </w:pPr>
            <w:r w:rsidRPr="0077490E">
              <w:rPr>
                <w:b/>
                <w:bCs/>
                <w:color w:val="000000"/>
                <w:spacing w:val="-2"/>
                <w:sz w:val="19"/>
                <w:szCs w:val="19"/>
                <w:lang w:val="en-GB" w:eastAsia="en-GB"/>
              </w:rPr>
              <w:t xml:space="preserve">Process </w:t>
            </w:r>
            <w:r w:rsidR="00BD2640">
              <w:rPr>
                <w:b/>
                <w:bCs/>
                <w:color w:val="000000"/>
                <w:spacing w:val="-2"/>
                <w:sz w:val="19"/>
                <w:szCs w:val="19"/>
                <w:lang w:val="en-GB" w:eastAsia="en-GB"/>
              </w:rPr>
              <w:t>i</w:t>
            </w:r>
            <w:r w:rsidR="00DB5DC9" w:rsidRPr="0077490E">
              <w:rPr>
                <w:b/>
                <w:bCs/>
                <w:color w:val="000000"/>
                <w:spacing w:val="-2"/>
                <w:sz w:val="19"/>
                <w:szCs w:val="19"/>
                <w:lang w:val="en-GB" w:eastAsia="en-GB"/>
              </w:rPr>
              <w:t xml:space="preserve">mprovement </w:t>
            </w:r>
            <w:r w:rsidRPr="0077490E">
              <w:rPr>
                <w:b/>
                <w:bCs/>
                <w:color w:val="000000"/>
                <w:spacing w:val="-2"/>
                <w:sz w:val="19"/>
                <w:szCs w:val="19"/>
                <w:lang w:val="en-GB" w:eastAsia="en-GB"/>
              </w:rPr>
              <w:t>v</w:t>
            </w:r>
            <w:r w:rsidR="00B807EF" w:rsidRPr="0077490E">
              <w:rPr>
                <w:b/>
                <w:bCs/>
                <w:color w:val="000000"/>
                <w:spacing w:val="-2"/>
                <w:sz w:val="19"/>
                <w:szCs w:val="19"/>
                <w:lang w:val="en-GB" w:eastAsia="en-GB"/>
              </w:rPr>
              <w:t>ersus</w:t>
            </w:r>
            <w:r w:rsidRPr="0077490E">
              <w:rPr>
                <w:b/>
                <w:bCs/>
                <w:color w:val="000000"/>
                <w:spacing w:val="-2"/>
                <w:sz w:val="19"/>
                <w:szCs w:val="19"/>
                <w:lang w:val="en-GB" w:eastAsia="en-GB"/>
              </w:rPr>
              <w:t xml:space="preserve"> 2013</w:t>
            </w:r>
          </w:p>
        </w:tc>
        <w:tc>
          <w:tcPr>
            <w:tcW w:w="480" w:type="pct"/>
            <w:shd w:val="clear" w:color="auto" w:fill="auto"/>
            <w:noWrap/>
            <w:vAlign w:val="bottom"/>
            <w:hideMark/>
          </w:tcPr>
          <w:p w14:paraId="075879C8" w14:textId="77777777" w:rsidR="00B01A3E" w:rsidRPr="0077490E" w:rsidRDefault="00B01A3E" w:rsidP="00967737">
            <w:pPr>
              <w:pStyle w:val="ExhibitText"/>
              <w:jc w:val="right"/>
              <w:rPr>
                <w:bCs/>
                <w:color w:val="000000"/>
                <w:spacing w:val="-2"/>
                <w:sz w:val="19"/>
                <w:szCs w:val="19"/>
                <w:lang w:val="en-GB" w:eastAsia="en-GB"/>
              </w:rPr>
            </w:pPr>
          </w:p>
        </w:tc>
        <w:tc>
          <w:tcPr>
            <w:tcW w:w="532" w:type="pct"/>
            <w:shd w:val="clear" w:color="auto" w:fill="auto"/>
            <w:noWrap/>
            <w:vAlign w:val="bottom"/>
            <w:hideMark/>
          </w:tcPr>
          <w:p w14:paraId="68449C8F" w14:textId="77777777" w:rsidR="00B01A3E" w:rsidRPr="0077490E" w:rsidRDefault="00B01A3E" w:rsidP="00967737">
            <w:pPr>
              <w:pStyle w:val="ExhibitText"/>
              <w:jc w:val="right"/>
              <w:rPr>
                <w:spacing w:val="-2"/>
                <w:sz w:val="19"/>
                <w:szCs w:val="19"/>
                <w:lang w:val="en-GB" w:eastAsia="en-GB"/>
              </w:rPr>
            </w:pPr>
          </w:p>
        </w:tc>
        <w:tc>
          <w:tcPr>
            <w:tcW w:w="479" w:type="pct"/>
            <w:shd w:val="clear" w:color="auto" w:fill="auto"/>
            <w:noWrap/>
            <w:vAlign w:val="bottom"/>
            <w:hideMark/>
          </w:tcPr>
          <w:p w14:paraId="2B370EEA" w14:textId="77777777" w:rsidR="00B01A3E" w:rsidRPr="0077490E" w:rsidRDefault="00B01A3E" w:rsidP="00967737">
            <w:pPr>
              <w:pStyle w:val="ExhibitText"/>
              <w:jc w:val="right"/>
              <w:rPr>
                <w:spacing w:val="-2"/>
                <w:sz w:val="19"/>
                <w:szCs w:val="19"/>
                <w:lang w:val="en-GB" w:eastAsia="en-GB"/>
              </w:rPr>
            </w:pPr>
          </w:p>
        </w:tc>
        <w:tc>
          <w:tcPr>
            <w:tcW w:w="479" w:type="pct"/>
            <w:shd w:val="clear" w:color="auto" w:fill="auto"/>
            <w:noWrap/>
            <w:vAlign w:val="bottom"/>
            <w:hideMark/>
          </w:tcPr>
          <w:p w14:paraId="7A43EF3C" w14:textId="77777777" w:rsidR="00B01A3E" w:rsidRPr="0077490E" w:rsidRDefault="00B01A3E" w:rsidP="00967737">
            <w:pPr>
              <w:pStyle w:val="ExhibitText"/>
              <w:jc w:val="right"/>
              <w:rPr>
                <w:spacing w:val="-2"/>
                <w:sz w:val="19"/>
                <w:szCs w:val="19"/>
                <w:lang w:val="en-GB" w:eastAsia="en-GB"/>
              </w:rPr>
            </w:pPr>
          </w:p>
        </w:tc>
        <w:tc>
          <w:tcPr>
            <w:tcW w:w="531" w:type="pct"/>
            <w:shd w:val="clear" w:color="auto" w:fill="auto"/>
            <w:noWrap/>
            <w:vAlign w:val="bottom"/>
            <w:hideMark/>
          </w:tcPr>
          <w:p w14:paraId="1B3DD4E6" w14:textId="77777777" w:rsidR="00B01A3E" w:rsidRPr="0077490E" w:rsidRDefault="00B01A3E" w:rsidP="00967737">
            <w:pPr>
              <w:pStyle w:val="ExhibitText"/>
              <w:jc w:val="right"/>
              <w:rPr>
                <w:spacing w:val="-2"/>
                <w:sz w:val="19"/>
                <w:szCs w:val="19"/>
                <w:lang w:val="en-GB" w:eastAsia="en-GB"/>
              </w:rPr>
            </w:pPr>
          </w:p>
        </w:tc>
      </w:tr>
      <w:tr w:rsidR="008B6F11" w:rsidRPr="0077490E" w14:paraId="1F318FE9" w14:textId="77777777" w:rsidTr="00967737">
        <w:trPr>
          <w:trHeight w:val="235"/>
          <w:jc w:val="center"/>
        </w:trPr>
        <w:tc>
          <w:tcPr>
            <w:tcW w:w="2499" w:type="pct"/>
            <w:shd w:val="clear" w:color="auto" w:fill="auto"/>
            <w:noWrap/>
            <w:vAlign w:val="bottom"/>
            <w:hideMark/>
          </w:tcPr>
          <w:p w14:paraId="31FB080F" w14:textId="5BBE7B69"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 xml:space="preserve">Consumer </w:t>
            </w:r>
            <w:r w:rsidR="00BD2640">
              <w:rPr>
                <w:color w:val="000000"/>
                <w:spacing w:val="-2"/>
                <w:sz w:val="19"/>
                <w:szCs w:val="19"/>
                <w:lang w:val="en-GB" w:eastAsia="en-GB"/>
              </w:rPr>
              <w:t>o</w:t>
            </w:r>
            <w:r w:rsidR="00DB5DC9" w:rsidRPr="0077490E">
              <w:rPr>
                <w:color w:val="000000"/>
                <w:spacing w:val="-2"/>
                <w:sz w:val="19"/>
                <w:szCs w:val="19"/>
                <w:lang w:val="en-GB" w:eastAsia="en-GB"/>
              </w:rPr>
              <w:t xml:space="preserve">rder </w:t>
            </w:r>
            <w:r w:rsidR="00BD2640">
              <w:rPr>
                <w:color w:val="000000"/>
                <w:spacing w:val="-2"/>
                <w:sz w:val="19"/>
                <w:szCs w:val="19"/>
                <w:lang w:val="en-GB" w:eastAsia="en-GB"/>
              </w:rPr>
              <w:t>h</w:t>
            </w:r>
            <w:r w:rsidR="00DB5DC9" w:rsidRPr="0077490E">
              <w:rPr>
                <w:color w:val="000000"/>
                <w:spacing w:val="-2"/>
                <w:sz w:val="19"/>
                <w:szCs w:val="19"/>
                <w:lang w:val="en-GB" w:eastAsia="en-GB"/>
              </w:rPr>
              <w:t xml:space="preserve">andling </w:t>
            </w:r>
            <w:r w:rsidR="00BD2640">
              <w:rPr>
                <w:color w:val="000000"/>
                <w:spacing w:val="-2"/>
                <w:sz w:val="19"/>
                <w:szCs w:val="19"/>
                <w:lang w:val="en-GB" w:eastAsia="en-GB"/>
              </w:rPr>
              <w:t>t</w:t>
            </w:r>
            <w:r w:rsidR="00DB5DC9" w:rsidRPr="0077490E">
              <w:rPr>
                <w:color w:val="000000"/>
                <w:spacing w:val="-2"/>
                <w:sz w:val="19"/>
                <w:szCs w:val="19"/>
                <w:lang w:val="en-GB" w:eastAsia="en-GB"/>
              </w:rPr>
              <w:t>ime (%)</w:t>
            </w:r>
          </w:p>
        </w:tc>
        <w:tc>
          <w:tcPr>
            <w:tcW w:w="480" w:type="pct"/>
            <w:shd w:val="clear" w:color="auto" w:fill="auto"/>
            <w:noWrap/>
            <w:vAlign w:val="bottom"/>
            <w:hideMark/>
          </w:tcPr>
          <w:p w14:paraId="0671050A"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0</w:t>
            </w:r>
          </w:p>
        </w:tc>
        <w:tc>
          <w:tcPr>
            <w:tcW w:w="532" w:type="pct"/>
            <w:shd w:val="clear" w:color="auto" w:fill="auto"/>
            <w:noWrap/>
            <w:vAlign w:val="bottom"/>
            <w:hideMark/>
          </w:tcPr>
          <w:p w14:paraId="38DAFF17" w14:textId="4A78B7C9"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40</w:t>
            </w:r>
          </w:p>
        </w:tc>
        <w:tc>
          <w:tcPr>
            <w:tcW w:w="479" w:type="pct"/>
            <w:shd w:val="clear" w:color="auto" w:fill="auto"/>
            <w:noWrap/>
            <w:vAlign w:val="bottom"/>
            <w:hideMark/>
          </w:tcPr>
          <w:p w14:paraId="4478E082" w14:textId="23575191"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80</w:t>
            </w:r>
          </w:p>
        </w:tc>
        <w:tc>
          <w:tcPr>
            <w:tcW w:w="479" w:type="pct"/>
            <w:shd w:val="clear" w:color="auto" w:fill="auto"/>
            <w:noWrap/>
            <w:vAlign w:val="bottom"/>
            <w:hideMark/>
          </w:tcPr>
          <w:p w14:paraId="6C49BC2E" w14:textId="31600C7C"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80</w:t>
            </w:r>
          </w:p>
        </w:tc>
        <w:tc>
          <w:tcPr>
            <w:tcW w:w="531" w:type="pct"/>
            <w:shd w:val="clear" w:color="auto" w:fill="auto"/>
            <w:noWrap/>
            <w:vAlign w:val="bottom"/>
            <w:hideMark/>
          </w:tcPr>
          <w:p w14:paraId="63C5328F" w14:textId="0C7CBF5C"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80</w:t>
            </w:r>
          </w:p>
        </w:tc>
      </w:tr>
      <w:tr w:rsidR="008B6F11" w:rsidRPr="0077490E" w14:paraId="4C2EBC3B" w14:textId="77777777" w:rsidTr="00967737">
        <w:trPr>
          <w:trHeight w:val="235"/>
          <w:jc w:val="center"/>
        </w:trPr>
        <w:tc>
          <w:tcPr>
            <w:tcW w:w="2499" w:type="pct"/>
            <w:shd w:val="clear" w:color="auto" w:fill="auto"/>
            <w:noWrap/>
            <w:vAlign w:val="bottom"/>
            <w:hideMark/>
          </w:tcPr>
          <w:p w14:paraId="4B6AB011" w14:textId="5F3E071D"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 xml:space="preserve">Consumer </w:t>
            </w:r>
            <w:r w:rsidR="00BD2640">
              <w:rPr>
                <w:color w:val="000000"/>
                <w:spacing w:val="-2"/>
                <w:sz w:val="19"/>
                <w:szCs w:val="19"/>
                <w:lang w:val="en-GB" w:eastAsia="en-GB"/>
              </w:rPr>
              <w:t>c</w:t>
            </w:r>
            <w:r w:rsidR="00DB5DC9" w:rsidRPr="0077490E">
              <w:rPr>
                <w:color w:val="000000"/>
                <w:spacing w:val="-2"/>
                <w:sz w:val="19"/>
                <w:szCs w:val="19"/>
                <w:lang w:val="en-GB" w:eastAsia="en-GB"/>
              </w:rPr>
              <w:t>alls (%)</w:t>
            </w:r>
          </w:p>
        </w:tc>
        <w:tc>
          <w:tcPr>
            <w:tcW w:w="480" w:type="pct"/>
            <w:shd w:val="clear" w:color="auto" w:fill="auto"/>
            <w:noWrap/>
            <w:vAlign w:val="bottom"/>
            <w:hideMark/>
          </w:tcPr>
          <w:p w14:paraId="56F14E85"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0</w:t>
            </w:r>
          </w:p>
        </w:tc>
        <w:tc>
          <w:tcPr>
            <w:tcW w:w="532" w:type="pct"/>
            <w:shd w:val="clear" w:color="auto" w:fill="auto"/>
            <w:noWrap/>
            <w:vAlign w:val="bottom"/>
            <w:hideMark/>
          </w:tcPr>
          <w:p w14:paraId="025E3610" w14:textId="410D53E6"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15</w:t>
            </w:r>
          </w:p>
        </w:tc>
        <w:tc>
          <w:tcPr>
            <w:tcW w:w="479" w:type="pct"/>
            <w:shd w:val="clear" w:color="auto" w:fill="auto"/>
            <w:noWrap/>
            <w:vAlign w:val="bottom"/>
            <w:hideMark/>
          </w:tcPr>
          <w:p w14:paraId="734CACF2" w14:textId="3CF3E49C"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30</w:t>
            </w:r>
          </w:p>
        </w:tc>
        <w:tc>
          <w:tcPr>
            <w:tcW w:w="479" w:type="pct"/>
            <w:shd w:val="clear" w:color="auto" w:fill="auto"/>
            <w:noWrap/>
            <w:vAlign w:val="bottom"/>
            <w:hideMark/>
          </w:tcPr>
          <w:p w14:paraId="5F93B567" w14:textId="0C5467BB"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45</w:t>
            </w:r>
          </w:p>
        </w:tc>
        <w:tc>
          <w:tcPr>
            <w:tcW w:w="531" w:type="pct"/>
            <w:shd w:val="clear" w:color="auto" w:fill="auto"/>
            <w:noWrap/>
            <w:vAlign w:val="bottom"/>
            <w:hideMark/>
          </w:tcPr>
          <w:p w14:paraId="40A31A24" w14:textId="2964630A"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50</w:t>
            </w:r>
          </w:p>
        </w:tc>
      </w:tr>
      <w:tr w:rsidR="008B6F11" w:rsidRPr="0077490E" w14:paraId="611C3512" w14:textId="77777777" w:rsidTr="00967737">
        <w:trPr>
          <w:trHeight w:val="235"/>
          <w:jc w:val="center"/>
        </w:trPr>
        <w:tc>
          <w:tcPr>
            <w:tcW w:w="2499" w:type="pct"/>
            <w:shd w:val="clear" w:color="auto" w:fill="auto"/>
            <w:noWrap/>
            <w:vAlign w:val="bottom"/>
            <w:hideMark/>
          </w:tcPr>
          <w:p w14:paraId="37F80584" w14:textId="5AAF4462"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 xml:space="preserve">SME </w:t>
            </w:r>
            <w:r w:rsidR="00BD2640">
              <w:rPr>
                <w:color w:val="000000"/>
                <w:spacing w:val="-2"/>
                <w:sz w:val="19"/>
                <w:szCs w:val="19"/>
                <w:lang w:val="en-GB" w:eastAsia="en-GB"/>
              </w:rPr>
              <w:t>d</w:t>
            </w:r>
            <w:r w:rsidR="00DB5DC9" w:rsidRPr="0077490E">
              <w:rPr>
                <w:color w:val="000000"/>
                <w:spacing w:val="-2"/>
                <w:sz w:val="19"/>
                <w:szCs w:val="19"/>
                <w:lang w:val="en-GB" w:eastAsia="en-GB"/>
              </w:rPr>
              <w:t xml:space="preserve">elivery </w:t>
            </w:r>
            <w:r w:rsidR="00BD2640">
              <w:rPr>
                <w:color w:val="000000"/>
                <w:spacing w:val="-2"/>
                <w:sz w:val="19"/>
                <w:szCs w:val="19"/>
                <w:lang w:val="en-GB" w:eastAsia="en-GB"/>
              </w:rPr>
              <w:t>c</w:t>
            </w:r>
            <w:r w:rsidR="00DB5DC9" w:rsidRPr="0077490E">
              <w:rPr>
                <w:color w:val="000000"/>
                <w:spacing w:val="-2"/>
                <w:sz w:val="19"/>
                <w:szCs w:val="19"/>
                <w:lang w:val="en-GB" w:eastAsia="en-GB"/>
              </w:rPr>
              <w:t>osts (%)</w:t>
            </w:r>
          </w:p>
        </w:tc>
        <w:tc>
          <w:tcPr>
            <w:tcW w:w="480" w:type="pct"/>
            <w:shd w:val="clear" w:color="auto" w:fill="auto"/>
            <w:noWrap/>
            <w:vAlign w:val="bottom"/>
            <w:hideMark/>
          </w:tcPr>
          <w:p w14:paraId="40F869E0"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0</w:t>
            </w:r>
          </w:p>
        </w:tc>
        <w:tc>
          <w:tcPr>
            <w:tcW w:w="532" w:type="pct"/>
            <w:shd w:val="clear" w:color="auto" w:fill="auto"/>
            <w:noWrap/>
            <w:vAlign w:val="bottom"/>
            <w:hideMark/>
          </w:tcPr>
          <w:p w14:paraId="150296D0"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NA</w:t>
            </w:r>
          </w:p>
        </w:tc>
        <w:tc>
          <w:tcPr>
            <w:tcW w:w="479" w:type="pct"/>
            <w:shd w:val="clear" w:color="auto" w:fill="auto"/>
            <w:noWrap/>
            <w:vAlign w:val="bottom"/>
            <w:hideMark/>
          </w:tcPr>
          <w:p w14:paraId="1F605446"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NA</w:t>
            </w:r>
          </w:p>
        </w:tc>
        <w:tc>
          <w:tcPr>
            <w:tcW w:w="479" w:type="pct"/>
            <w:shd w:val="clear" w:color="auto" w:fill="auto"/>
            <w:noWrap/>
            <w:vAlign w:val="bottom"/>
            <w:hideMark/>
          </w:tcPr>
          <w:p w14:paraId="4D8DC96F" w14:textId="78DE3C31"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10</w:t>
            </w:r>
          </w:p>
        </w:tc>
        <w:tc>
          <w:tcPr>
            <w:tcW w:w="531" w:type="pct"/>
            <w:shd w:val="clear" w:color="auto" w:fill="auto"/>
            <w:noWrap/>
            <w:vAlign w:val="bottom"/>
            <w:hideMark/>
          </w:tcPr>
          <w:p w14:paraId="53759684" w14:textId="659DBBC2"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60</w:t>
            </w:r>
          </w:p>
        </w:tc>
      </w:tr>
      <w:tr w:rsidR="008B6F11" w:rsidRPr="0077490E" w14:paraId="2CF803F6" w14:textId="77777777" w:rsidTr="00967737">
        <w:trPr>
          <w:trHeight w:val="235"/>
          <w:jc w:val="center"/>
        </w:trPr>
        <w:tc>
          <w:tcPr>
            <w:tcW w:w="2499" w:type="pct"/>
            <w:shd w:val="clear" w:color="auto" w:fill="auto"/>
            <w:noWrap/>
            <w:vAlign w:val="bottom"/>
            <w:hideMark/>
          </w:tcPr>
          <w:p w14:paraId="122CDBB1" w14:textId="5D558B23"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 xml:space="preserve">SME </w:t>
            </w:r>
            <w:r w:rsidR="00BD2640">
              <w:rPr>
                <w:color w:val="000000"/>
                <w:spacing w:val="-2"/>
                <w:sz w:val="19"/>
                <w:szCs w:val="19"/>
                <w:lang w:val="en-GB" w:eastAsia="en-GB"/>
              </w:rPr>
              <w:t>s</w:t>
            </w:r>
            <w:r w:rsidR="00DB5DC9" w:rsidRPr="0077490E">
              <w:rPr>
                <w:color w:val="000000"/>
                <w:spacing w:val="-2"/>
                <w:sz w:val="19"/>
                <w:szCs w:val="19"/>
                <w:lang w:val="en-GB" w:eastAsia="en-GB"/>
              </w:rPr>
              <w:t xml:space="preserve">ervicing </w:t>
            </w:r>
            <w:r w:rsidR="00BD2640">
              <w:rPr>
                <w:color w:val="000000"/>
                <w:spacing w:val="-2"/>
                <w:sz w:val="19"/>
                <w:szCs w:val="19"/>
                <w:lang w:val="en-GB" w:eastAsia="en-GB"/>
              </w:rPr>
              <w:t>c</w:t>
            </w:r>
            <w:r w:rsidR="00DB5DC9" w:rsidRPr="0077490E">
              <w:rPr>
                <w:color w:val="000000"/>
                <w:spacing w:val="-2"/>
                <w:sz w:val="19"/>
                <w:szCs w:val="19"/>
                <w:lang w:val="en-GB" w:eastAsia="en-GB"/>
              </w:rPr>
              <w:t>osts (%)</w:t>
            </w:r>
          </w:p>
        </w:tc>
        <w:tc>
          <w:tcPr>
            <w:tcW w:w="480" w:type="pct"/>
            <w:shd w:val="clear" w:color="auto" w:fill="auto"/>
            <w:noWrap/>
            <w:vAlign w:val="bottom"/>
            <w:hideMark/>
          </w:tcPr>
          <w:p w14:paraId="5DF4DB35"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0</w:t>
            </w:r>
          </w:p>
        </w:tc>
        <w:tc>
          <w:tcPr>
            <w:tcW w:w="532" w:type="pct"/>
            <w:shd w:val="clear" w:color="auto" w:fill="auto"/>
            <w:noWrap/>
            <w:vAlign w:val="bottom"/>
            <w:hideMark/>
          </w:tcPr>
          <w:p w14:paraId="158A6C27"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NA</w:t>
            </w:r>
          </w:p>
        </w:tc>
        <w:tc>
          <w:tcPr>
            <w:tcW w:w="479" w:type="pct"/>
            <w:shd w:val="clear" w:color="auto" w:fill="auto"/>
            <w:noWrap/>
            <w:vAlign w:val="bottom"/>
            <w:hideMark/>
          </w:tcPr>
          <w:p w14:paraId="7A63DD38"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NA</w:t>
            </w:r>
          </w:p>
        </w:tc>
        <w:tc>
          <w:tcPr>
            <w:tcW w:w="479" w:type="pct"/>
            <w:shd w:val="clear" w:color="auto" w:fill="auto"/>
            <w:noWrap/>
            <w:vAlign w:val="bottom"/>
            <w:hideMark/>
          </w:tcPr>
          <w:p w14:paraId="642AB15E" w14:textId="543BB681"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10</w:t>
            </w:r>
          </w:p>
        </w:tc>
        <w:tc>
          <w:tcPr>
            <w:tcW w:w="531" w:type="pct"/>
            <w:shd w:val="clear" w:color="auto" w:fill="auto"/>
            <w:noWrap/>
            <w:vAlign w:val="bottom"/>
            <w:hideMark/>
          </w:tcPr>
          <w:p w14:paraId="54E33F16" w14:textId="7D8DD950" w:rsidR="00B01A3E" w:rsidRPr="0077490E" w:rsidRDefault="00B807EF" w:rsidP="00967737">
            <w:pPr>
              <w:pStyle w:val="ExhibitText"/>
              <w:jc w:val="right"/>
              <w:rPr>
                <w:color w:val="000000"/>
                <w:spacing w:val="-2"/>
                <w:sz w:val="19"/>
                <w:szCs w:val="19"/>
                <w:lang w:val="en-GB" w:eastAsia="en-GB"/>
              </w:rPr>
            </w:pPr>
            <w:r w:rsidRPr="0077490E">
              <w:rPr>
                <w:color w:val="000000"/>
                <w:spacing w:val="-2"/>
                <w:sz w:val="19"/>
                <w:szCs w:val="19"/>
                <w:lang w:val="en-GB" w:eastAsia="en-GB"/>
              </w:rPr>
              <w:t>−</w:t>
            </w:r>
            <w:r w:rsidR="00B01A3E" w:rsidRPr="0077490E">
              <w:rPr>
                <w:color w:val="000000"/>
                <w:spacing w:val="-2"/>
                <w:sz w:val="19"/>
                <w:szCs w:val="19"/>
                <w:lang w:val="en-GB" w:eastAsia="en-GB"/>
              </w:rPr>
              <w:t>65</w:t>
            </w:r>
          </w:p>
        </w:tc>
      </w:tr>
      <w:tr w:rsidR="008B6F11" w:rsidRPr="0077490E" w14:paraId="3A420013" w14:textId="77777777" w:rsidTr="00967737">
        <w:trPr>
          <w:trHeight w:val="235"/>
          <w:jc w:val="center"/>
        </w:trPr>
        <w:tc>
          <w:tcPr>
            <w:tcW w:w="2499" w:type="pct"/>
            <w:shd w:val="clear" w:color="auto" w:fill="auto"/>
            <w:noWrap/>
            <w:vAlign w:val="bottom"/>
            <w:hideMark/>
          </w:tcPr>
          <w:p w14:paraId="41BCCD75" w14:textId="4DEEDC8B" w:rsidR="00B01A3E" w:rsidRPr="0077490E" w:rsidRDefault="00B01A3E" w:rsidP="00B01A3E">
            <w:pPr>
              <w:pStyle w:val="ExhibitText"/>
              <w:rPr>
                <w:b/>
                <w:bCs/>
                <w:color w:val="000000"/>
                <w:spacing w:val="-2"/>
                <w:sz w:val="19"/>
                <w:szCs w:val="19"/>
                <w:lang w:val="en-GB" w:eastAsia="en-GB"/>
              </w:rPr>
            </w:pPr>
            <w:r w:rsidRPr="0077490E">
              <w:rPr>
                <w:b/>
                <w:bCs/>
                <w:color w:val="000000"/>
                <w:spacing w:val="-2"/>
                <w:sz w:val="19"/>
                <w:szCs w:val="19"/>
                <w:lang w:val="en-GB" w:eastAsia="en-GB"/>
              </w:rPr>
              <w:t xml:space="preserve">Converged </w:t>
            </w:r>
            <w:r w:rsidR="00BD2640">
              <w:rPr>
                <w:b/>
                <w:bCs/>
                <w:color w:val="000000"/>
                <w:spacing w:val="-2"/>
                <w:sz w:val="19"/>
                <w:szCs w:val="19"/>
                <w:lang w:val="en-GB" w:eastAsia="en-GB"/>
              </w:rPr>
              <w:t>s</w:t>
            </w:r>
            <w:r w:rsidR="00DB5DC9" w:rsidRPr="0077490E">
              <w:rPr>
                <w:b/>
                <w:bCs/>
                <w:color w:val="000000"/>
                <w:spacing w:val="-2"/>
                <w:sz w:val="19"/>
                <w:szCs w:val="19"/>
                <w:lang w:val="en-GB" w:eastAsia="en-GB"/>
              </w:rPr>
              <w:t>ervices</w:t>
            </w:r>
          </w:p>
        </w:tc>
        <w:tc>
          <w:tcPr>
            <w:tcW w:w="480" w:type="pct"/>
            <w:shd w:val="clear" w:color="auto" w:fill="auto"/>
            <w:noWrap/>
            <w:vAlign w:val="bottom"/>
            <w:hideMark/>
          </w:tcPr>
          <w:p w14:paraId="0322DA39" w14:textId="77777777" w:rsidR="00B01A3E" w:rsidRPr="0077490E" w:rsidRDefault="00B01A3E" w:rsidP="00967737">
            <w:pPr>
              <w:pStyle w:val="ExhibitText"/>
              <w:jc w:val="right"/>
              <w:rPr>
                <w:bCs/>
                <w:color w:val="000000"/>
                <w:spacing w:val="-2"/>
                <w:sz w:val="19"/>
                <w:szCs w:val="19"/>
                <w:lang w:val="en-GB" w:eastAsia="en-GB"/>
              </w:rPr>
            </w:pPr>
          </w:p>
        </w:tc>
        <w:tc>
          <w:tcPr>
            <w:tcW w:w="532" w:type="pct"/>
            <w:shd w:val="clear" w:color="auto" w:fill="auto"/>
            <w:noWrap/>
            <w:vAlign w:val="bottom"/>
            <w:hideMark/>
          </w:tcPr>
          <w:p w14:paraId="6B1A7294" w14:textId="77777777" w:rsidR="00B01A3E" w:rsidRPr="0077490E" w:rsidRDefault="00B01A3E" w:rsidP="00967737">
            <w:pPr>
              <w:pStyle w:val="ExhibitText"/>
              <w:jc w:val="right"/>
              <w:rPr>
                <w:spacing w:val="-2"/>
                <w:sz w:val="19"/>
                <w:szCs w:val="19"/>
                <w:lang w:val="en-GB" w:eastAsia="en-GB"/>
              </w:rPr>
            </w:pPr>
          </w:p>
        </w:tc>
        <w:tc>
          <w:tcPr>
            <w:tcW w:w="479" w:type="pct"/>
            <w:shd w:val="clear" w:color="auto" w:fill="auto"/>
            <w:noWrap/>
            <w:vAlign w:val="bottom"/>
            <w:hideMark/>
          </w:tcPr>
          <w:p w14:paraId="70AA889B" w14:textId="77777777" w:rsidR="00B01A3E" w:rsidRPr="0077490E" w:rsidRDefault="00B01A3E" w:rsidP="00967737">
            <w:pPr>
              <w:pStyle w:val="ExhibitText"/>
              <w:jc w:val="right"/>
              <w:rPr>
                <w:spacing w:val="-2"/>
                <w:sz w:val="19"/>
                <w:szCs w:val="19"/>
                <w:lang w:val="en-GB" w:eastAsia="en-GB"/>
              </w:rPr>
            </w:pPr>
          </w:p>
        </w:tc>
        <w:tc>
          <w:tcPr>
            <w:tcW w:w="479" w:type="pct"/>
            <w:shd w:val="clear" w:color="auto" w:fill="auto"/>
            <w:noWrap/>
            <w:vAlign w:val="bottom"/>
            <w:hideMark/>
          </w:tcPr>
          <w:p w14:paraId="5947A85B" w14:textId="77777777" w:rsidR="00B01A3E" w:rsidRPr="0077490E" w:rsidRDefault="00B01A3E" w:rsidP="00967737">
            <w:pPr>
              <w:pStyle w:val="ExhibitText"/>
              <w:jc w:val="right"/>
              <w:rPr>
                <w:spacing w:val="-2"/>
                <w:sz w:val="19"/>
                <w:szCs w:val="19"/>
                <w:lang w:val="en-GB" w:eastAsia="en-GB"/>
              </w:rPr>
            </w:pPr>
          </w:p>
        </w:tc>
        <w:tc>
          <w:tcPr>
            <w:tcW w:w="531" w:type="pct"/>
            <w:shd w:val="clear" w:color="auto" w:fill="auto"/>
            <w:noWrap/>
            <w:vAlign w:val="bottom"/>
            <w:hideMark/>
          </w:tcPr>
          <w:p w14:paraId="2D128340" w14:textId="77777777" w:rsidR="00B01A3E" w:rsidRPr="0077490E" w:rsidRDefault="00B01A3E" w:rsidP="00967737">
            <w:pPr>
              <w:pStyle w:val="ExhibitText"/>
              <w:jc w:val="right"/>
              <w:rPr>
                <w:spacing w:val="-2"/>
                <w:sz w:val="19"/>
                <w:szCs w:val="19"/>
                <w:lang w:val="en-GB" w:eastAsia="en-GB"/>
              </w:rPr>
            </w:pPr>
          </w:p>
        </w:tc>
      </w:tr>
      <w:tr w:rsidR="008B6F11" w:rsidRPr="0077490E" w14:paraId="5CCCA985" w14:textId="77777777" w:rsidTr="00967737">
        <w:trPr>
          <w:trHeight w:val="235"/>
          <w:jc w:val="center"/>
        </w:trPr>
        <w:tc>
          <w:tcPr>
            <w:tcW w:w="2499" w:type="pct"/>
            <w:shd w:val="clear" w:color="auto" w:fill="auto"/>
            <w:noWrap/>
            <w:vAlign w:val="bottom"/>
            <w:hideMark/>
          </w:tcPr>
          <w:p w14:paraId="110999DE" w14:textId="6C746829"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 xml:space="preserve">Households </w:t>
            </w:r>
            <w:r w:rsidR="00B807EF" w:rsidRPr="0077490E">
              <w:rPr>
                <w:color w:val="000000"/>
                <w:spacing w:val="-2"/>
                <w:sz w:val="19"/>
                <w:szCs w:val="19"/>
                <w:lang w:val="en-GB" w:eastAsia="en-GB"/>
              </w:rPr>
              <w:t xml:space="preserve">in </w:t>
            </w:r>
            <w:r w:rsidR="00BD2640">
              <w:rPr>
                <w:color w:val="000000"/>
                <w:spacing w:val="-2"/>
                <w:sz w:val="19"/>
                <w:szCs w:val="19"/>
                <w:lang w:val="en-GB" w:eastAsia="en-GB"/>
              </w:rPr>
              <w:t>f</w:t>
            </w:r>
            <w:r w:rsidR="00DB5DC9" w:rsidRPr="0077490E">
              <w:rPr>
                <w:color w:val="000000"/>
                <w:spacing w:val="-2"/>
                <w:sz w:val="19"/>
                <w:szCs w:val="19"/>
                <w:lang w:val="en-GB" w:eastAsia="en-GB"/>
              </w:rPr>
              <w:t>ixed-</w:t>
            </w:r>
            <w:r w:rsidR="00BD2640">
              <w:rPr>
                <w:color w:val="000000"/>
                <w:spacing w:val="-2"/>
                <w:sz w:val="19"/>
                <w:szCs w:val="19"/>
                <w:lang w:val="en-GB" w:eastAsia="en-GB"/>
              </w:rPr>
              <w:t>m</w:t>
            </w:r>
            <w:r w:rsidR="00DB5DC9" w:rsidRPr="0077490E">
              <w:rPr>
                <w:color w:val="000000"/>
                <w:spacing w:val="-2"/>
                <w:sz w:val="19"/>
                <w:szCs w:val="19"/>
                <w:lang w:val="en-GB" w:eastAsia="en-GB"/>
              </w:rPr>
              <w:t xml:space="preserve">obile </w:t>
            </w:r>
            <w:r w:rsidR="00BD2640">
              <w:rPr>
                <w:color w:val="000000"/>
                <w:spacing w:val="-2"/>
                <w:sz w:val="19"/>
                <w:szCs w:val="19"/>
                <w:lang w:val="en-GB" w:eastAsia="en-GB"/>
              </w:rPr>
              <w:t>b</w:t>
            </w:r>
            <w:r w:rsidR="00DB5DC9" w:rsidRPr="0077490E">
              <w:rPr>
                <w:color w:val="000000"/>
                <w:spacing w:val="-2"/>
                <w:sz w:val="19"/>
                <w:szCs w:val="19"/>
                <w:lang w:val="en-GB" w:eastAsia="en-GB"/>
              </w:rPr>
              <w:t>undles (%)</w:t>
            </w:r>
          </w:p>
        </w:tc>
        <w:tc>
          <w:tcPr>
            <w:tcW w:w="480" w:type="pct"/>
            <w:shd w:val="clear" w:color="auto" w:fill="auto"/>
            <w:noWrap/>
            <w:vAlign w:val="bottom"/>
            <w:hideMark/>
          </w:tcPr>
          <w:p w14:paraId="38609FA2"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NA</w:t>
            </w:r>
          </w:p>
        </w:tc>
        <w:tc>
          <w:tcPr>
            <w:tcW w:w="532" w:type="pct"/>
            <w:shd w:val="clear" w:color="auto" w:fill="auto"/>
            <w:noWrap/>
            <w:vAlign w:val="bottom"/>
            <w:hideMark/>
          </w:tcPr>
          <w:p w14:paraId="6DD8D65A"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15</w:t>
            </w:r>
          </w:p>
        </w:tc>
        <w:tc>
          <w:tcPr>
            <w:tcW w:w="479" w:type="pct"/>
            <w:shd w:val="clear" w:color="auto" w:fill="auto"/>
            <w:noWrap/>
            <w:vAlign w:val="bottom"/>
            <w:hideMark/>
          </w:tcPr>
          <w:p w14:paraId="32A425FE"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30</w:t>
            </w:r>
          </w:p>
        </w:tc>
        <w:tc>
          <w:tcPr>
            <w:tcW w:w="479" w:type="pct"/>
            <w:shd w:val="clear" w:color="auto" w:fill="auto"/>
            <w:noWrap/>
            <w:vAlign w:val="bottom"/>
            <w:hideMark/>
          </w:tcPr>
          <w:p w14:paraId="5E525F4F"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35</w:t>
            </w:r>
          </w:p>
        </w:tc>
        <w:tc>
          <w:tcPr>
            <w:tcW w:w="531" w:type="pct"/>
            <w:shd w:val="clear" w:color="auto" w:fill="auto"/>
            <w:noWrap/>
            <w:vAlign w:val="bottom"/>
            <w:hideMark/>
          </w:tcPr>
          <w:p w14:paraId="191F31F8"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40</w:t>
            </w:r>
          </w:p>
        </w:tc>
      </w:tr>
      <w:tr w:rsidR="008B6F11" w:rsidRPr="0077490E" w14:paraId="2F81C476" w14:textId="77777777" w:rsidTr="00967737">
        <w:trPr>
          <w:trHeight w:val="235"/>
          <w:jc w:val="center"/>
        </w:trPr>
        <w:tc>
          <w:tcPr>
            <w:tcW w:w="2499" w:type="pct"/>
            <w:shd w:val="clear" w:color="auto" w:fill="auto"/>
            <w:noWrap/>
            <w:vAlign w:val="bottom"/>
            <w:hideMark/>
          </w:tcPr>
          <w:p w14:paraId="32903686" w14:textId="188870E3" w:rsidR="00B01A3E" w:rsidRPr="0077490E" w:rsidRDefault="00B01A3E" w:rsidP="00B01A3E">
            <w:pPr>
              <w:pStyle w:val="ExhibitText"/>
              <w:jc w:val="left"/>
              <w:rPr>
                <w:color w:val="000000"/>
                <w:spacing w:val="-2"/>
                <w:sz w:val="19"/>
                <w:szCs w:val="19"/>
                <w:lang w:val="en-GB" w:eastAsia="en-GB"/>
              </w:rPr>
            </w:pPr>
            <w:r w:rsidRPr="0077490E">
              <w:rPr>
                <w:color w:val="000000"/>
                <w:spacing w:val="-2"/>
                <w:sz w:val="19"/>
                <w:szCs w:val="19"/>
                <w:lang w:val="en-GB" w:eastAsia="en-GB"/>
              </w:rPr>
              <w:t>Post</w:t>
            </w:r>
            <w:r w:rsidR="00DB5DC9" w:rsidRPr="0077490E">
              <w:rPr>
                <w:color w:val="000000"/>
                <w:spacing w:val="-2"/>
                <w:sz w:val="19"/>
                <w:szCs w:val="19"/>
                <w:lang w:val="en-GB" w:eastAsia="en-GB"/>
              </w:rPr>
              <w:t xml:space="preserve">-Paid </w:t>
            </w:r>
            <w:r w:rsidR="00BD2640">
              <w:rPr>
                <w:color w:val="000000"/>
                <w:spacing w:val="-2"/>
                <w:sz w:val="19"/>
                <w:szCs w:val="19"/>
                <w:lang w:val="en-GB" w:eastAsia="en-GB"/>
              </w:rPr>
              <w:t>c</w:t>
            </w:r>
            <w:r w:rsidR="00DB5DC9" w:rsidRPr="0077490E">
              <w:rPr>
                <w:color w:val="000000"/>
                <w:spacing w:val="-2"/>
                <w:sz w:val="19"/>
                <w:szCs w:val="19"/>
                <w:lang w:val="en-GB" w:eastAsia="en-GB"/>
              </w:rPr>
              <w:t xml:space="preserve">ustomers </w:t>
            </w:r>
            <w:r w:rsidR="00B807EF" w:rsidRPr="0077490E">
              <w:rPr>
                <w:color w:val="000000"/>
                <w:spacing w:val="-2"/>
                <w:sz w:val="19"/>
                <w:szCs w:val="19"/>
                <w:lang w:val="en-GB" w:eastAsia="en-GB"/>
              </w:rPr>
              <w:t xml:space="preserve">in </w:t>
            </w:r>
            <w:r w:rsidR="00BD2640">
              <w:rPr>
                <w:color w:val="000000"/>
                <w:spacing w:val="-2"/>
                <w:sz w:val="19"/>
                <w:szCs w:val="19"/>
                <w:lang w:val="en-GB" w:eastAsia="en-GB"/>
              </w:rPr>
              <w:t>f</w:t>
            </w:r>
            <w:r w:rsidR="00DB5DC9" w:rsidRPr="0077490E">
              <w:rPr>
                <w:color w:val="000000"/>
                <w:spacing w:val="-2"/>
                <w:sz w:val="19"/>
                <w:szCs w:val="19"/>
                <w:lang w:val="en-GB" w:eastAsia="en-GB"/>
              </w:rPr>
              <w:t>ixed-</w:t>
            </w:r>
            <w:r w:rsidR="00BD2640">
              <w:rPr>
                <w:color w:val="000000"/>
                <w:spacing w:val="-2"/>
                <w:sz w:val="19"/>
                <w:szCs w:val="19"/>
                <w:lang w:val="en-GB" w:eastAsia="en-GB"/>
              </w:rPr>
              <w:t>m</w:t>
            </w:r>
            <w:r w:rsidR="00DB5DC9" w:rsidRPr="0077490E">
              <w:rPr>
                <w:color w:val="000000"/>
                <w:spacing w:val="-2"/>
                <w:sz w:val="19"/>
                <w:szCs w:val="19"/>
                <w:lang w:val="en-GB" w:eastAsia="en-GB"/>
              </w:rPr>
              <w:t xml:space="preserve">obile </w:t>
            </w:r>
            <w:r w:rsidR="00BD2640">
              <w:rPr>
                <w:color w:val="000000"/>
                <w:spacing w:val="-2"/>
                <w:sz w:val="19"/>
                <w:szCs w:val="19"/>
                <w:lang w:val="en-GB" w:eastAsia="en-GB"/>
              </w:rPr>
              <w:t>b</w:t>
            </w:r>
            <w:r w:rsidR="00DB5DC9" w:rsidRPr="0077490E">
              <w:rPr>
                <w:color w:val="000000"/>
                <w:spacing w:val="-2"/>
                <w:sz w:val="19"/>
                <w:szCs w:val="19"/>
                <w:lang w:val="en-GB" w:eastAsia="en-GB"/>
              </w:rPr>
              <w:t>undles (%)</w:t>
            </w:r>
          </w:p>
        </w:tc>
        <w:tc>
          <w:tcPr>
            <w:tcW w:w="480" w:type="pct"/>
            <w:shd w:val="clear" w:color="auto" w:fill="auto"/>
            <w:noWrap/>
            <w:vAlign w:val="bottom"/>
            <w:hideMark/>
          </w:tcPr>
          <w:p w14:paraId="61887909"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10</w:t>
            </w:r>
          </w:p>
        </w:tc>
        <w:tc>
          <w:tcPr>
            <w:tcW w:w="532" w:type="pct"/>
            <w:shd w:val="clear" w:color="auto" w:fill="auto"/>
            <w:noWrap/>
            <w:vAlign w:val="bottom"/>
            <w:hideMark/>
          </w:tcPr>
          <w:p w14:paraId="4B983D9D"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20</w:t>
            </w:r>
          </w:p>
        </w:tc>
        <w:tc>
          <w:tcPr>
            <w:tcW w:w="479" w:type="pct"/>
            <w:shd w:val="clear" w:color="auto" w:fill="auto"/>
            <w:noWrap/>
            <w:vAlign w:val="bottom"/>
            <w:hideMark/>
          </w:tcPr>
          <w:p w14:paraId="2A8086BB"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35</w:t>
            </w:r>
          </w:p>
        </w:tc>
        <w:tc>
          <w:tcPr>
            <w:tcW w:w="479" w:type="pct"/>
            <w:shd w:val="clear" w:color="auto" w:fill="auto"/>
            <w:noWrap/>
            <w:vAlign w:val="bottom"/>
            <w:hideMark/>
          </w:tcPr>
          <w:p w14:paraId="1FBD6D7B"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45</w:t>
            </w:r>
          </w:p>
        </w:tc>
        <w:tc>
          <w:tcPr>
            <w:tcW w:w="531" w:type="pct"/>
            <w:shd w:val="clear" w:color="auto" w:fill="auto"/>
            <w:noWrap/>
            <w:vAlign w:val="bottom"/>
            <w:hideMark/>
          </w:tcPr>
          <w:p w14:paraId="411DCE57"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50</w:t>
            </w:r>
          </w:p>
        </w:tc>
      </w:tr>
      <w:tr w:rsidR="008B6F11" w:rsidRPr="0077490E" w14:paraId="5CCEE8F4" w14:textId="77777777" w:rsidTr="00967737">
        <w:trPr>
          <w:trHeight w:val="235"/>
          <w:jc w:val="center"/>
        </w:trPr>
        <w:tc>
          <w:tcPr>
            <w:tcW w:w="2499" w:type="pct"/>
            <w:shd w:val="clear" w:color="auto" w:fill="auto"/>
            <w:noWrap/>
            <w:vAlign w:val="bottom"/>
            <w:hideMark/>
          </w:tcPr>
          <w:p w14:paraId="205AA914" w14:textId="738B9085"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 xml:space="preserve">SME </w:t>
            </w:r>
            <w:r w:rsidR="00BD2640">
              <w:rPr>
                <w:color w:val="000000"/>
                <w:spacing w:val="-2"/>
                <w:sz w:val="19"/>
                <w:szCs w:val="19"/>
                <w:lang w:val="en-GB" w:eastAsia="en-GB"/>
              </w:rPr>
              <w:t>m</w:t>
            </w:r>
            <w:r w:rsidR="00DB5DC9" w:rsidRPr="0077490E">
              <w:rPr>
                <w:color w:val="000000"/>
                <w:spacing w:val="-2"/>
                <w:sz w:val="19"/>
                <w:szCs w:val="19"/>
                <w:lang w:val="en-GB" w:eastAsia="en-GB"/>
              </w:rPr>
              <w:t>ulti-</w:t>
            </w:r>
            <w:r w:rsidR="00BD2640">
              <w:rPr>
                <w:color w:val="000000"/>
                <w:spacing w:val="-2"/>
                <w:sz w:val="19"/>
                <w:szCs w:val="19"/>
                <w:lang w:val="en-GB" w:eastAsia="en-GB"/>
              </w:rPr>
              <w:t>p</w:t>
            </w:r>
            <w:r w:rsidR="00DB5DC9" w:rsidRPr="0077490E">
              <w:rPr>
                <w:color w:val="000000"/>
                <w:spacing w:val="-2"/>
                <w:sz w:val="19"/>
                <w:szCs w:val="19"/>
                <w:lang w:val="en-GB" w:eastAsia="en-GB"/>
              </w:rPr>
              <w:t xml:space="preserve">lay </w:t>
            </w:r>
            <w:r w:rsidR="00BD2640">
              <w:rPr>
                <w:color w:val="000000"/>
                <w:spacing w:val="-2"/>
                <w:sz w:val="19"/>
                <w:szCs w:val="19"/>
                <w:lang w:val="en-GB" w:eastAsia="en-GB"/>
              </w:rPr>
              <w:t>s</w:t>
            </w:r>
            <w:r w:rsidR="00DB5DC9" w:rsidRPr="0077490E">
              <w:rPr>
                <w:color w:val="000000"/>
                <w:spacing w:val="-2"/>
                <w:sz w:val="19"/>
                <w:szCs w:val="19"/>
                <w:lang w:val="en-GB" w:eastAsia="en-GB"/>
              </w:rPr>
              <w:t>eats (</w:t>
            </w:r>
            <w:r w:rsidR="00BD2640">
              <w:rPr>
                <w:color w:val="000000"/>
                <w:spacing w:val="-2"/>
                <w:sz w:val="19"/>
                <w:szCs w:val="19"/>
                <w:lang w:val="en-GB" w:eastAsia="en-GB"/>
              </w:rPr>
              <w:t>t</w:t>
            </w:r>
            <w:r w:rsidR="00DB5DC9" w:rsidRPr="0077490E">
              <w:rPr>
                <w:color w:val="000000"/>
                <w:spacing w:val="-2"/>
                <w:sz w:val="19"/>
                <w:szCs w:val="19"/>
                <w:lang w:val="en-GB" w:eastAsia="en-GB"/>
              </w:rPr>
              <w:t>housand</w:t>
            </w:r>
            <w:r w:rsidR="00B807EF" w:rsidRPr="0077490E">
              <w:rPr>
                <w:color w:val="000000"/>
                <w:spacing w:val="-2"/>
                <w:sz w:val="19"/>
                <w:szCs w:val="19"/>
                <w:lang w:val="en-GB" w:eastAsia="en-GB"/>
              </w:rPr>
              <w:t>s</w:t>
            </w:r>
            <w:r w:rsidR="00DB5DC9" w:rsidRPr="0077490E">
              <w:rPr>
                <w:color w:val="000000"/>
                <w:spacing w:val="-2"/>
                <w:sz w:val="19"/>
                <w:szCs w:val="19"/>
                <w:lang w:val="en-GB" w:eastAsia="en-GB"/>
              </w:rPr>
              <w:t>)</w:t>
            </w:r>
          </w:p>
        </w:tc>
        <w:tc>
          <w:tcPr>
            <w:tcW w:w="480" w:type="pct"/>
            <w:shd w:val="clear" w:color="auto" w:fill="auto"/>
            <w:noWrap/>
            <w:vAlign w:val="bottom"/>
            <w:hideMark/>
          </w:tcPr>
          <w:p w14:paraId="51151F4F"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NA</w:t>
            </w:r>
          </w:p>
        </w:tc>
        <w:tc>
          <w:tcPr>
            <w:tcW w:w="532" w:type="pct"/>
            <w:shd w:val="clear" w:color="auto" w:fill="auto"/>
            <w:noWrap/>
            <w:vAlign w:val="bottom"/>
            <w:hideMark/>
          </w:tcPr>
          <w:p w14:paraId="325EF8A2"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15</w:t>
            </w:r>
          </w:p>
        </w:tc>
        <w:tc>
          <w:tcPr>
            <w:tcW w:w="479" w:type="pct"/>
            <w:shd w:val="clear" w:color="auto" w:fill="auto"/>
            <w:noWrap/>
            <w:vAlign w:val="bottom"/>
            <w:hideMark/>
          </w:tcPr>
          <w:p w14:paraId="00753E04"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60</w:t>
            </w:r>
          </w:p>
        </w:tc>
        <w:tc>
          <w:tcPr>
            <w:tcW w:w="479" w:type="pct"/>
            <w:shd w:val="clear" w:color="auto" w:fill="auto"/>
            <w:noWrap/>
            <w:vAlign w:val="bottom"/>
            <w:hideMark/>
          </w:tcPr>
          <w:p w14:paraId="2CD8C6CB"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315</w:t>
            </w:r>
          </w:p>
        </w:tc>
        <w:tc>
          <w:tcPr>
            <w:tcW w:w="531" w:type="pct"/>
            <w:shd w:val="clear" w:color="auto" w:fill="auto"/>
            <w:noWrap/>
            <w:vAlign w:val="bottom"/>
            <w:hideMark/>
          </w:tcPr>
          <w:p w14:paraId="134F1B16"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475</w:t>
            </w:r>
          </w:p>
        </w:tc>
      </w:tr>
      <w:tr w:rsidR="008B6F11" w:rsidRPr="0077490E" w14:paraId="7E904C1C" w14:textId="77777777" w:rsidTr="00967737">
        <w:trPr>
          <w:trHeight w:val="235"/>
          <w:jc w:val="center"/>
        </w:trPr>
        <w:tc>
          <w:tcPr>
            <w:tcW w:w="2499" w:type="pct"/>
            <w:shd w:val="clear" w:color="auto" w:fill="auto"/>
            <w:vAlign w:val="bottom"/>
            <w:hideMark/>
          </w:tcPr>
          <w:p w14:paraId="08CBC58D" w14:textId="46CEA473" w:rsidR="00B01A3E" w:rsidRPr="0077490E" w:rsidRDefault="00B01A3E" w:rsidP="00B01A3E">
            <w:pPr>
              <w:pStyle w:val="ExhibitText"/>
              <w:rPr>
                <w:b/>
                <w:bCs/>
                <w:color w:val="000000"/>
                <w:spacing w:val="-2"/>
                <w:sz w:val="19"/>
                <w:szCs w:val="19"/>
                <w:lang w:val="en-GB" w:eastAsia="en-GB"/>
              </w:rPr>
            </w:pPr>
            <w:r w:rsidRPr="0077490E">
              <w:rPr>
                <w:b/>
                <w:bCs/>
                <w:color w:val="000000"/>
                <w:spacing w:val="-2"/>
                <w:sz w:val="19"/>
                <w:szCs w:val="19"/>
                <w:lang w:val="en-GB" w:eastAsia="en-GB"/>
              </w:rPr>
              <w:t xml:space="preserve">Data </w:t>
            </w:r>
            <w:r w:rsidR="00BD2640">
              <w:rPr>
                <w:b/>
                <w:bCs/>
                <w:color w:val="000000"/>
                <w:spacing w:val="-2"/>
                <w:sz w:val="19"/>
                <w:szCs w:val="19"/>
                <w:lang w:val="en-GB" w:eastAsia="en-GB"/>
              </w:rPr>
              <w:t>u</w:t>
            </w:r>
            <w:r w:rsidR="00DB5DC9" w:rsidRPr="0077490E">
              <w:rPr>
                <w:b/>
                <w:bCs/>
                <w:color w:val="000000"/>
                <w:spacing w:val="-2"/>
                <w:sz w:val="19"/>
                <w:szCs w:val="19"/>
                <w:lang w:val="en-GB" w:eastAsia="en-GB"/>
              </w:rPr>
              <w:t>sage</w:t>
            </w:r>
          </w:p>
        </w:tc>
        <w:tc>
          <w:tcPr>
            <w:tcW w:w="480" w:type="pct"/>
            <w:shd w:val="clear" w:color="auto" w:fill="auto"/>
            <w:noWrap/>
            <w:vAlign w:val="bottom"/>
            <w:hideMark/>
          </w:tcPr>
          <w:p w14:paraId="0C667968" w14:textId="77777777" w:rsidR="00B01A3E" w:rsidRPr="0077490E" w:rsidRDefault="00B01A3E" w:rsidP="00967737">
            <w:pPr>
              <w:pStyle w:val="ExhibitText"/>
              <w:jc w:val="right"/>
              <w:rPr>
                <w:bCs/>
                <w:color w:val="000000"/>
                <w:spacing w:val="-2"/>
                <w:sz w:val="19"/>
                <w:szCs w:val="19"/>
                <w:lang w:val="en-GB" w:eastAsia="en-GB"/>
              </w:rPr>
            </w:pPr>
          </w:p>
        </w:tc>
        <w:tc>
          <w:tcPr>
            <w:tcW w:w="532" w:type="pct"/>
            <w:shd w:val="clear" w:color="auto" w:fill="auto"/>
            <w:noWrap/>
            <w:vAlign w:val="bottom"/>
            <w:hideMark/>
          </w:tcPr>
          <w:p w14:paraId="524C53B0" w14:textId="77777777" w:rsidR="00B01A3E" w:rsidRPr="0077490E" w:rsidRDefault="00B01A3E" w:rsidP="00967737">
            <w:pPr>
              <w:pStyle w:val="ExhibitText"/>
              <w:jc w:val="right"/>
              <w:rPr>
                <w:spacing w:val="-2"/>
                <w:sz w:val="19"/>
                <w:szCs w:val="19"/>
                <w:lang w:val="en-GB" w:eastAsia="en-GB"/>
              </w:rPr>
            </w:pPr>
          </w:p>
        </w:tc>
        <w:tc>
          <w:tcPr>
            <w:tcW w:w="479" w:type="pct"/>
            <w:shd w:val="clear" w:color="auto" w:fill="auto"/>
            <w:noWrap/>
            <w:vAlign w:val="bottom"/>
            <w:hideMark/>
          </w:tcPr>
          <w:p w14:paraId="553356A9" w14:textId="77777777" w:rsidR="00B01A3E" w:rsidRPr="0077490E" w:rsidRDefault="00B01A3E" w:rsidP="00967737">
            <w:pPr>
              <w:pStyle w:val="ExhibitText"/>
              <w:jc w:val="right"/>
              <w:rPr>
                <w:spacing w:val="-2"/>
                <w:sz w:val="19"/>
                <w:szCs w:val="19"/>
                <w:lang w:val="en-GB" w:eastAsia="en-GB"/>
              </w:rPr>
            </w:pPr>
          </w:p>
        </w:tc>
        <w:tc>
          <w:tcPr>
            <w:tcW w:w="479" w:type="pct"/>
            <w:shd w:val="clear" w:color="auto" w:fill="auto"/>
            <w:noWrap/>
            <w:vAlign w:val="bottom"/>
            <w:hideMark/>
          </w:tcPr>
          <w:p w14:paraId="2D90756D" w14:textId="77777777" w:rsidR="00B01A3E" w:rsidRPr="0077490E" w:rsidRDefault="00B01A3E" w:rsidP="00967737">
            <w:pPr>
              <w:pStyle w:val="ExhibitText"/>
              <w:jc w:val="right"/>
              <w:rPr>
                <w:spacing w:val="-2"/>
                <w:sz w:val="19"/>
                <w:szCs w:val="19"/>
                <w:lang w:val="en-GB" w:eastAsia="en-GB"/>
              </w:rPr>
            </w:pPr>
          </w:p>
        </w:tc>
        <w:tc>
          <w:tcPr>
            <w:tcW w:w="531" w:type="pct"/>
            <w:shd w:val="clear" w:color="auto" w:fill="auto"/>
            <w:noWrap/>
            <w:vAlign w:val="bottom"/>
            <w:hideMark/>
          </w:tcPr>
          <w:p w14:paraId="19F59CE2" w14:textId="77777777" w:rsidR="00B01A3E" w:rsidRPr="0077490E" w:rsidRDefault="00B01A3E" w:rsidP="00967737">
            <w:pPr>
              <w:pStyle w:val="ExhibitText"/>
              <w:jc w:val="right"/>
              <w:rPr>
                <w:spacing w:val="-2"/>
                <w:sz w:val="19"/>
                <w:szCs w:val="19"/>
                <w:lang w:val="en-GB" w:eastAsia="en-GB"/>
              </w:rPr>
            </w:pPr>
          </w:p>
        </w:tc>
      </w:tr>
      <w:tr w:rsidR="008B6F11" w:rsidRPr="0077490E" w14:paraId="58E798D1" w14:textId="77777777" w:rsidTr="00967737">
        <w:trPr>
          <w:trHeight w:val="235"/>
          <w:jc w:val="center"/>
        </w:trPr>
        <w:tc>
          <w:tcPr>
            <w:tcW w:w="2499" w:type="pct"/>
            <w:shd w:val="clear" w:color="auto" w:fill="auto"/>
            <w:noWrap/>
            <w:vAlign w:val="bottom"/>
            <w:hideMark/>
          </w:tcPr>
          <w:p w14:paraId="00C4CF5A" w14:textId="5E7FA9A3" w:rsidR="00B01A3E" w:rsidRPr="0077490E" w:rsidRDefault="00B01A3E" w:rsidP="00B01A3E">
            <w:pPr>
              <w:pStyle w:val="ExhibitText"/>
              <w:rPr>
                <w:color w:val="000000"/>
                <w:spacing w:val="-2"/>
                <w:sz w:val="19"/>
                <w:szCs w:val="19"/>
                <w:lang w:val="en-GB" w:eastAsia="en-GB"/>
              </w:rPr>
            </w:pPr>
            <w:r w:rsidRPr="0077490E">
              <w:rPr>
                <w:color w:val="000000"/>
                <w:spacing w:val="-2"/>
                <w:sz w:val="19"/>
                <w:szCs w:val="19"/>
                <w:lang w:val="en-GB" w:eastAsia="en-GB"/>
              </w:rPr>
              <w:t xml:space="preserve">Total </w:t>
            </w:r>
            <w:r w:rsidR="00BD2640">
              <w:rPr>
                <w:color w:val="000000"/>
                <w:spacing w:val="-2"/>
                <w:sz w:val="19"/>
                <w:szCs w:val="19"/>
                <w:lang w:val="en-GB" w:eastAsia="en-GB"/>
              </w:rPr>
              <w:t>d</w:t>
            </w:r>
            <w:r w:rsidR="00DB5DC9" w:rsidRPr="0077490E">
              <w:rPr>
                <w:color w:val="000000"/>
                <w:spacing w:val="-2"/>
                <w:sz w:val="19"/>
                <w:szCs w:val="19"/>
                <w:lang w:val="en-GB" w:eastAsia="en-GB"/>
              </w:rPr>
              <w:t xml:space="preserve">ata </w:t>
            </w:r>
            <w:r w:rsidR="00BD2640">
              <w:rPr>
                <w:color w:val="000000"/>
                <w:spacing w:val="-2"/>
                <w:sz w:val="19"/>
                <w:szCs w:val="19"/>
                <w:lang w:val="en-GB" w:eastAsia="en-GB"/>
              </w:rPr>
              <w:t>t</w:t>
            </w:r>
            <w:r w:rsidR="00DB5DC9" w:rsidRPr="0077490E">
              <w:rPr>
                <w:color w:val="000000"/>
                <w:spacing w:val="-2"/>
                <w:sz w:val="19"/>
                <w:szCs w:val="19"/>
                <w:lang w:val="en-GB" w:eastAsia="en-GB"/>
              </w:rPr>
              <w:t>raffic (</w:t>
            </w:r>
            <w:r w:rsidR="00BD2640">
              <w:rPr>
                <w:color w:val="000000"/>
                <w:spacing w:val="-2"/>
                <w:sz w:val="19"/>
                <w:szCs w:val="19"/>
                <w:lang w:val="en-GB" w:eastAsia="en-GB"/>
              </w:rPr>
              <w:t>t</w:t>
            </w:r>
            <w:r w:rsidRPr="0077490E">
              <w:rPr>
                <w:color w:val="000000"/>
                <w:spacing w:val="-2"/>
                <w:sz w:val="19"/>
                <w:szCs w:val="19"/>
                <w:lang w:val="en-GB" w:eastAsia="en-GB"/>
              </w:rPr>
              <w:t xml:space="preserve">erabytes </w:t>
            </w:r>
            <w:r w:rsidR="00B807EF" w:rsidRPr="0077490E">
              <w:rPr>
                <w:color w:val="000000"/>
                <w:spacing w:val="-2"/>
                <w:sz w:val="19"/>
                <w:szCs w:val="19"/>
                <w:lang w:val="en-GB" w:eastAsia="en-GB"/>
              </w:rPr>
              <w:t xml:space="preserve">per </w:t>
            </w:r>
            <w:r w:rsidR="00BD2640">
              <w:rPr>
                <w:color w:val="000000"/>
                <w:spacing w:val="-2"/>
                <w:sz w:val="19"/>
                <w:szCs w:val="19"/>
                <w:lang w:val="en-GB" w:eastAsia="en-GB"/>
              </w:rPr>
              <w:t>s</w:t>
            </w:r>
            <w:r w:rsidR="00DB5DC9" w:rsidRPr="0077490E">
              <w:rPr>
                <w:color w:val="000000"/>
                <w:spacing w:val="-2"/>
                <w:sz w:val="19"/>
                <w:szCs w:val="19"/>
                <w:lang w:val="en-GB" w:eastAsia="en-GB"/>
              </w:rPr>
              <w:t>econd)</w:t>
            </w:r>
          </w:p>
        </w:tc>
        <w:tc>
          <w:tcPr>
            <w:tcW w:w="480" w:type="pct"/>
            <w:shd w:val="clear" w:color="auto" w:fill="auto"/>
            <w:noWrap/>
            <w:vAlign w:val="bottom"/>
            <w:hideMark/>
          </w:tcPr>
          <w:p w14:paraId="195368DE"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1.6</w:t>
            </w:r>
          </w:p>
        </w:tc>
        <w:tc>
          <w:tcPr>
            <w:tcW w:w="532" w:type="pct"/>
            <w:shd w:val="clear" w:color="auto" w:fill="auto"/>
            <w:noWrap/>
            <w:vAlign w:val="bottom"/>
            <w:hideMark/>
          </w:tcPr>
          <w:p w14:paraId="2FEAD6D4" w14:textId="7E3A8B5B"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2</w:t>
            </w:r>
            <w:r w:rsidR="00B807EF" w:rsidRPr="0077490E">
              <w:rPr>
                <w:color w:val="000000"/>
                <w:spacing w:val="-2"/>
                <w:sz w:val="19"/>
                <w:szCs w:val="19"/>
                <w:lang w:val="en-GB" w:eastAsia="en-GB"/>
              </w:rPr>
              <w:t>.0</w:t>
            </w:r>
          </w:p>
        </w:tc>
        <w:tc>
          <w:tcPr>
            <w:tcW w:w="479" w:type="pct"/>
            <w:shd w:val="clear" w:color="auto" w:fill="auto"/>
            <w:noWrap/>
            <w:vAlign w:val="bottom"/>
            <w:hideMark/>
          </w:tcPr>
          <w:p w14:paraId="5F40619C"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2.6</w:t>
            </w:r>
          </w:p>
        </w:tc>
        <w:tc>
          <w:tcPr>
            <w:tcW w:w="479" w:type="pct"/>
            <w:shd w:val="clear" w:color="auto" w:fill="auto"/>
            <w:noWrap/>
            <w:vAlign w:val="bottom"/>
            <w:hideMark/>
          </w:tcPr>
          <w:p w14:paraId="43ED9705"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3.4</w:t>
            </w:r>
          </w:p>
        </w:tc>
        <w:tc>
          <w:tcPr>
            <w:tcW w:w="531" w:type="pct"/>
            <w:shd w:val="clear" w:color="auto" w:fill="auto"/>
            <w:noWrap/>
            <w:vAlign w:val="bottom"/>
            <w:hideMark/>
          </w:tcPr>
          <w:p w14:paraId="0CC767D9"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4.7</w:t>
            </w:r>
          </w:p>
        </w:tc>
      </w:tr>
      <w:tr w:rsidR="008B6F11" w:rsidRPr="0077490E" w14:paraId="624362A6" w14:textId="77777777" w:rsidTr="00967737">
        <w:trPr>
          <w:trHeight w:val="235"/>
          <w:jc w:val="center"/>
        </w:trPr>
        <w:tc>
          <w:tcPr>
            <w:tcW w:w="2499" w:type="pct"/>
            <w:shd w:val="clear" w:color="auto" w:fill="auto"/>
            <w:noWrap/>
            <w:vAlign w:val="bottom"/>
            <w:hideMark/>
          </w:tcPr>
          <w:p w14:paraId="47DE717A" w14:textId="09B7F366" w:rsidR="00B01A3E" w:rsidRPr="0077490E" w:rsidRDefault="00B01A3E" w:rsidP="00B01A3E">
            <w:pPr>
              <w:pStyle w:val="ExhibitText"/>
              <w:jc w:val="left"/>
              <w:rPr>
                <w:color w:val="000000"/>
                <w:spacing w:val="-2"/>
                <w:sz w:val="19"/>
                <w:szCs w:val="19"/>
                <w:lang w:val="en-GB" w:eastAsia="en-GB"/>
              </w:rPr>
            </w:pPr>
            <w:r w:rsidRPr="0077490E">
              <w:rPr>
                <w:color w:val="000000"/>
                <w:spacing w:val="-2"/>
                <w:sz w:val="19"/>
                <w:szCs w:val="19"/>
                <w:lang w:val="en-GB" w:eastAsia="en-GB"/>
              </w:rPr>
              <w:t>Avg</w:t>
            </w:r>
            <w:r w:rsidR="00B807EF" w:rsidRPr="0077490E">
              <w:rPr>
                <w:color w:val="000000"/>
                <w:spacing w:val="-2"/>
                <w:sz w:val="19"/>
                <w:szCs w:val="19"/>
                <w:lang w:val="en-GB" w:eastAsia="en-GB"/>
              </w:rPr>
              <w:t>.</w:t>
            </w:r>
            <w:r w:rsidRPr="0077490E">
              <w:rPr>
                <w:color w:val="000000"/>
                <w:spacing w:val="-2"/>
                <w:sz w:val="19"/>
                <w:szCs w:val="19"/>
                <w:lang w:val="en-GB" w:eastAsia="en-GB"/>
              </w:rPr>
              <w:t xml:space="preserve"> 4G </w:t>
            </w:r>
            <w:r w:rsidR="00BD2640">
              <w:rPr>
                <w:color w:val="000000"/>
                <w:spacing w:val="-2"/>
                <w:sz w:val="19"/>
                <w:szCs w:val="19"/>
                <w:lang w:val="en-GB" w:eastAsia="en-GB"/>
              </w:rPr>
              <w:t>d</w:t>
            </w:r>
            <w:r w:rsidR="00DB5DC9" w:rsidRPr="0077490E">
              <w:rPr>
                <w:color w:val="000000"/>
                <w:spacing w:val="-2"/>
                <w:sz w:val="19"/>
                <w:szCs w:val="19"/>
                <w:lang w:val="en-GB" w:eastAsia="en-GB"/>
              </w:rPr>
              <w:t xml:space="preserve">ownload </w:t>
            </w:r>
            <w:r w:rsidR="00BD2640">
              <w:rPr>
                <w:color w:val="000000"/>
                <w:spacing w:val="-2"/>
                <w:sz w:val="19"/>
                <w:szCs w:val="19"/>
                <w:lang w:val="en-GB" w:eastAsia="en-GB"/>
              </w:rPr>
              <w:t>s</w:t>
            </w:r>
            <w:r w:rsidR="00DB5DC9" w:rsidRPr="0077490E">
              <w:rPr>
                <w:color w:val="000000"/>
                <w:spacing w:val="-2"/>
                <w:sz w:val="19"/>
                <w:szCs w:val="19"/>
                <w:lang w:val="en-GB" w:eastAsia="en-GB"/>
              </w:rPr>
              <w:t xml:space="preserve">peed </w:t>
            </w:r>
            <w:r w:rsidR="00BD2640">
              <w:rPr>
                <w:color w:val="000000"/>
                <w:spacing w:val="-2"/>
                <w:sz w:val="19"/>
                <w:szCs w:val="19"/>
                <w:lang w:val="en-GB" w:eastAsia="en-GB"/>
              </w:rPr>
              <w:t>m</w:t>
            </w:r>
            <w:r w:rsidR="00DB5DC9" w:rsidRPr="0077490E">
              <w:rPr>
                <w:color w:val="000000"/>
                <w:spacing w:val="-2"/>
                <w:sz w:val="19"/>
                <w:szCs w:val="19"/>
                <w:lang w:val="en-GB" w:eastAsia="en-GB"/>
              </w:rPr>
              <w:t>obile (</w:t>
            </w:r>
            <w:r w:rsidR="00BD2640">
              <w:rPr>
                <w:color w:val="000000"/>
                <w:spacing w:val="-2"/>
                <w:sz w:val="19"/>
                <w:szCs w:val="19"/>
                <w:lang w:val="en-GB" w:eastAsia="en-GB"/>
              </w:rPr>
              <w:t>m</w:t>
            </w:r>
            <w:r w:rsidRPr="0077490E">
              <w:rPr>
                <w:color w:val="000000"/>
                <w:spacing w:val="-2"/>
                <w:sz w:val="19"/>
                <w:szCs w:val="19"/>
                <w:lang w:val="en-GB" w:eastAsia="en-GB"/>
              </w:rPr>
              <w:t xml:space="preserve">egabytes </w:t>
            </w:r>
            <w:r w:rsidR="00B807EF" w:rsidRPr="0077490E">
              <w:rPr>
                <w:color w:val="000000"/>
                <w:spacing w:val="-2"/>
                <w:sz w:val="19"/>
                <w:szCs w:val="19"/>
                <w:lang w:val="en-GB" w:eastAsia="en-GB"/>
              </w:rPr>
              <w:t xml:space="preserve">per </w:t>
            </w:r>
            <w:r w:rsidR="00BD2640">
              <w:rPr>
                <w:color w:val="000000"/>
                <w:spacing w:val="-2"/>
                <w:sz w:val="19"/>
                <w:szCs w:val="19"/>
                <w:lang w:val="en-GB" w:eastAsia="en-GB"/>
              </w:rPr>
              <w:t>s</w:t>
            </w:r>
            <w:r w:rsidR="00DB5DC9" w:rsidRPr="0077490E">
              <w:rPr>
                <w:color w:val="000000"/>
                <w:spacing w:val="-2"/>
                <w:sz w:val="19"/>
                <w:szCs w:val="19"/>
                <w:lang w:val="en-GB" w:eastAsia="en-GB"/>
              </w:rPr>
              <w:t>econd)</w:t>
            </w:r>
          </w:p>
        </w:tc>
        <w:tc>
          <w:tcPr>
            <w:tcW w:w="480" w:type="pct"/>
            <w:shd w:val="clear" w:color="auto" w:fill="auto"/>
            <w:noWrap/>
            <w:vAlign w:val="bottom"/>
            <w:hideMark/>
          </w:tcPr>
          <w:p w14:paraId="3BB43035"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20</w:t>
            </w:r>
          </w:p>
        </w:tc>
        <w:tc>
          <w:tcPr>
            <w:tcW w:w="532" w:type="pct"/>
            <w:shd w:val="clear" w:color="auto" w:fill="auto"/>
            <w:noWrap/>
            <w:vAlign w:val="bottom"/>
            <w:hideMark/>
          </w:tcPr>
          <w:p w14:paraId="0AAA47C2"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20</w:t>
            </w:r>
          </w:p>
        </w:tc>
        <w:tc>
          <w:tcPr>
            <w:tcW w:w="479" w:type="pct"/>
            <w:shd w:val="clear" w:color="auto" w:fill="auto"/>
            <w:noWrap/>
            <w:vAlign w:val="bottom"/>
            <w:hideMark/>
          </w:tcPr>
          <w:p w14:paraId="418FA389"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50</w:t>
            </w:r>
          </w:p>
        </w:tc>
        <w:tc>
          <w:tcPr>
            <w:tcW w:w="479" w:type="pct"/>
            <w:shd w:val="clear" w:color="auto" w:fill="auto"/>
            <w:noWrap/>
            <w:vAlign w:val="bottom"/>
            <w:hideMark/>
          </w:tcPr>
          <w:p w14:paraId="3E81923D"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50</w:t>
            </w:r>
          </w:p>
        </w:tc>
        <w:tc>
          <w:tcPr>
            <w:tcW w:w="531" w:type="pct"/>
            <w:shd w:val="clear" w:color="auto" w:fill="auto"/>
            <w:noWrap/>
            <w:vAlign w:val="bottom"/>
            <w:hideMark/>
          </w:tcPr>
          <w:p w14:paraId="0BD41557" w14:textId="7777777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60</w:t>
            </w:r>
          </w:p>
        </w:tc>
      </w:tr>
      <w:tr w:rsidR="008B6F11" w:rsidRPr="0077490E" w14:paraId="7DBB946F" w14:textId="77777777" w:rsidTr="00967737">
        <w:trPr>
          <w:trHeight w:val="116"/>
          <w:jc w:val="center"/>
        </w:trPr>
        <w:tc>
          <w:tcPr>
            <w:tcW w:w="2499" w:type="pct"/>
            <w:shd w:val="clear" w:color="auto" w:fill="auto"/>
            <w:noWrap/>
            <w:hideMark/>
          </w:tcPr>
          <w:p w14:paraId="4E2C7569" w14:textId="4EBC8DF8" w:rsidR="00B01A3E" w:rsidRPr="0077490E" w:rsidRDefault="00B01A3E">
            <w:pPr>
              <w:pStyle w:val="ExhibitText"/>
              <w:jc w:val="left"/>
              <w:rPr>
                <w:b/>
                <w:bCs/>
                <w:color w:val="000000"/>
                <w:spacing w:val="-2"/>
                <w:sz w:val="19"/>
                <w:szCs w:val="19"/>
                <w:lang w:val="en-GB" w:eastAsia="en-GB"/>
              </w:rPr>
            </w:pPr>
            <w:r w:rsidRPr="0077490E">
              <w:rPr>
                <w:b/>
                <w:bCs/>
                <w:color w:val="000000"/>
                <w:spacing w:val="-2"/>
                <w:sz w:val="19"/>
                <w:szCs w:val="19"/>
                <w:lang w:val="en-GB" w:eastAsia="en-GB"/>
              </w:rPr>
              <w:t xml:space="preserve">Own </w:t>
            </w:r>
            <w:r w:rsidR="00BD2640">
              <w:rPr>
                <w:b/>
                <w:bCs/>
                <w:color w:val="000000"/>
                <w:spacing w:val="-2"/>
                <w:sz w:val="19"/>
                <w:szCs w:val="19"/>
                <w:lang w:val="en-GB" w:eastAsia="en-GB"/>
              </w:rPr>
              <w:t>s</w:t>
            </w:r>
            <w:r w:rsidR="00DB5DC9" w:rsidRPr="0077490E">
              <w:rPr>
                <w:b/>
                <w:bCs/>
                <w:color w:val="000000"/>
                <w:spacing w:val="-2"/>
                <w:sz w:val="19"/>
                <w:szCs w:val="19"/>
                <w:lang w:val="en-GB" w:eastAsia="en-GB"/>
              </w:rPr>
              <w:t>taff (#</w:t>
            </w:r>
            <w:r w:rsidR="00B807EF" w:rsidRPr="0077490E">
              <w:rPr>
                <w:b/>
                <w:bCs/>
                <w:color w:val="000000"/>
                <w:spacing w:val="-2"/>
                <w:sz w:val="19"/>
                <w:szCs w:val="19"/>
                <w:lang w:val="en-GB" w:eastAsia="en-GB"/>
              </w:rPr>
              <w:t>FTEs</w:t>
            </w:r>
            <w:r w:rsidR="00DB5DC9" w:rsidRPr="0077490E">
              <w:rPr>
                <w:b/>
                <w:bCs/>
                <w:color w:val="000000"/>
                <w:spacing w:val="-2"/>
                <w:sz w:val="19"/>
                <w:szCs w:val="19"/>
                <w:lang w:val="en-GB" w:eastAsia="en-GB"/>
              </w:rPr>
              <w:t>)</w:t>
            </w:r>
          </w:p>
        </w:tc>
        <w:tc>
          <w:tcPr>
            <w:tcW w:w="480" w:type="pct"/>
            <w:shd w:val="clear" w:color="auto" w:fill="auto"/>
            <w:noWrap/>
            <w:vAlign w:val="bottom"/>
            <w:hideMark/>
          </w:tcPr>
          <w:p w14:paraId="1AA127B2" w14:textId="5BDCD876"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14,782</w:t>
            </w:r>
          </w:p>
        </w:tc>
        <w:tc>
          <w:tcPr>
            <w:tcW w:w="532" w:type="pct"/>
            <w:shd w:val="clear" w:color="auto" w:fill="auto"/>
            <w:noWrap/>
            <w:vAlign w:val="bottom"/>
            <w:hideMark/>
          </w:tcPr>
          <w:p w14:paraId="337C9661" w14:textId="0B411C06"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14,346</w:t>
            </w:r>
          </w:p>
        </w:tc>
        <w:tc>
          <w:tcPr>
            <w:tcW w:w="479" w:type="pct"/>
            <w:shd w:val="clear" w:color="auto" w:fill="auto"/>
            <w:noWrap/>
            <w:vAlign w:val="bottom"/>
            <w:hideMark/>
          </w:tcPr>
          <w:p w14:paraId="4DA1E25A" w14:textId="068DDC17"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13,772</w:t>
            </w:r>
          </w:p>
        </w:tc>
        <w:tc>
          <w:tcPr>
            <w:tcW w:w="479" w:type="pct"/>
            <w:shd w:val="clear" w:color="auto" w:fill="auto"/>
            <w:noWrap/>
            <w:vAlign w:val="bottom"/>
            <w:hideMark/>
          </w:tcPr>
          <w:p w14:paraId="56756BBD" w14:textId="4EEA1E01"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13,249</w:t>
            </w:r>
          </w:p>
        </w:tc>
        <w:tc>
          <w:tcPr>
            <w:tcW w:w="531" w:type="pct"/>
            <w:shd w:val="clear" w:color="auto" w:fill="auto"/>
            <w:noWrap/>
            <w:vAlign w:val="bottom"/>
            <w:hideMark/>
          </w:tcPr>
          <w:p w14:paraId="71B311B7" w14:textId="1B4205ED" w:rsidR="00B01A3E" w:rsidRPr="0077490E" w:rsidRDefault="00B01A3E" w:rsidP="00967737">
            <w:pPr>
              <w:pStyle w:val="ExhibitText"/>
              <w:jc w:val="right"/>
              <w:rPr>
                <w:color w:val="000000"/>
                <w:spacing w:val="-2"/>
                <w:sz w:val="19"/>
                <w:szCs w:val="19"/>
                <w:lang w:val="en-GB" w:eastAsia="en-GB"/>
              </w:rPr>
            </w:pPr>
            <w:r w:rsidRPr="0077490E">
              <w:rPr>
                <w:color w:val="000000"/>
                <w:spacing w:val="-2"/>
                <w:sz w:val="19"/>
                <w:szCs w:val="19"/>
                <w:lang w:val="en-GB" w:eastAsia="en-GB"/>
              </w:rPr>
              <w:t>13,022</w:t>
            </w:r>
          </w:p>
        </w:tc>
      </w:tr>
    </w:tbl>
    <w:p w14:paraId="203A6960" w14:textId="77777777" w:rsidR="00B01A3E" w:rsidRPr="0077490E" w:rsidRDefault="00B01A3E" w:rsidP="00B01A3E">
      <w:pPr>
        <w:pStyle w:val="ExhibitText"/>
        <w:rPr>
          <w:lang w:val="en-GB"/>
        </w:rPr>
      </w:pPr>
    </w:p>
    <w:p w14:paraId="7BE955DF" w14:textId="167038BF" w:rsidR="00B01A3E" w:rsidRPr="0077490E" w:rsidRDefault="00B01A3E" w:rsidP="00B01A3E">
      <w:pPr>
        <w:pStyle w:val="Footnote"/>
        <w:rPr>
          <w:lang w:val="en-GB"/>
        </w:rPr>
      </w:pPr>
      <w:r w:rsidRPr="0077490E">
        <w:rPr>
          <w:lang w:val="en-GB"/>
        </w:rPr>
        <w:t>Note</w:t>
      </w:r>
      <w:r w:rsidR="00B807EF" w:rsidRPr="0077490E">
        <w:rPr>
          <w:lang w:val="en-GB"/>
        </w:rPr>
        <w:t>s</w:t>
      </w:r>
      <w:r w:rsidRPr="0077490E">
        <w:rPr>
          <w:lang w:val="en-GB"/>
        </w:rPr>
        <w:t xml:space="preserve">: NA = </w:t>
      </w:r>
      <w:r w:rsidR="00BD2640">
        <w:rPr>
          <w:lang w:val="en-GB"/>
        </w:rPr>
        <w:t>n</w:t>
      </w:r>
      <w:r w:rsidRPr="0077490E">
        <w:rPr>
          <w:lang w:val="en-GB"/>
        </w:rPr>
        <w:t>ot available</w:t>
      </w:r>
      <w:r w:rsidR="00B807EF" w:rsidRPr="0077490E">
        <w:rPr>
          <w:lang w:val="en-GB"/>
        </w:rPr>
        <w:t>; NPS = net promoter sco</w:t>
      </w:r>
      <w:r w:rsidR="004D38F4">
        <w:rPr>
          <w:lang w:val="en-GB"/>
        </w:rPr>
        <w:t>re; FTE = full-time equivalents; 4G = fourth generation of mobile technology; SME = small and medium-sized enterprises</w:t>
      </w:r>
      <w:r w:rsidR="000017B2">
        <w:rPr>
          <w:lang w:val="en-GB"/>
        </w:rPr>
        <w:t xml:space="preserve">; </w:t>
      </w:r>
      <w:proofErr w:type="spellStart"/>
      <w:r w:rsidR="000017B2" w:rsidRPr="00BC429C">
        <w:rPr>
          <w:lang w:val="en-GB"/>
        </w:rPr>
        <w:t>RepTrak</w:t>
      </w:r>
      <w:proofErr w:type="spellEnd"/>
      <w:r w:rsidR="000017B2" w:rsidRPr="00BC429C">
        <w:rPr>
          <w:lang w:val="en-GB"/>
        </w:rPr>
        <w:t xml:space="preserve"> =</w:t>
      </w:r>
      <w:r w:rsidR="00DD3ACF" w:rsidRPr="00BC429C">
        <w:rPr>
          <w:lang w:val="en-GB"/>
        </w:rPr>
        <w:t xml:space="preserve"> method</w:t>
      </w:r>
      <w:r w:rsidR="001C602B" w:rsidRPr="00BC429C">
        <w:rPr>
          <w:lang w:val="en-GB"/>
        </w:rPr>
        <w:t>ology</w:t>
      </w:r>
      <w:r w:rsidR="00DD3ACF" w:rsidRPr="00BC429C">
        <w:rPr>
          <w:lang w:val="en-GB"/>
        </w:rPr>
        <w:t xml:space="preserve"> to measure reputation by Reput</w:t>
      </w:r>
      <w:r w:rsidR="001C602B" w:rsidRPr="00BC429C">
        <w:rPr>
          <w:lang w:val="en-GB"/>
        </w:rPr>
        <w:t xml:space="preserve">ation Institute; Pulse score of </w:t>
      </w:r>
      <w:r w:rsidR="001C602B" w:rsidRPr="00BC429C">
        <w:rPr>
          <w:bCs/>
          <w:lang w:val="en-GB"/>
        </w:rPr>
        <w:t>70-79</w:t>
      </w:r>
      <w:r w:rsidR="001C602B" w:rsidRPr="00BC429C">
        <w:rPr>
          <w:lang w:val="en-GB"/>
        </w:rPr>
        <w:t xml:space="preserve"> is considered “strong,” while 60- 69 is “average.”</w:t>
      </w:r>
    </w:p>
    <w:p w14:paraId="2ACE9C24" w14:textId="77777777" w:rsidR="00B01A3E" w:rsidRPr="0077490E" w:rsidRDefault="00B01A3E" w:rsidP="00B01A3E">
      <w:pPr>
        <w:pStyle w:val="Footnote"/>
        <w:rPr>
          <w:lang w:val="en-GB"/>
        </w:rPr>
      </w:pPr>
      <w:r w:rsidRPr="0077490E">
        <w:rPr>
          <w:lang w:val="en-GB"/>
        </w:rPr>
        <w:t>Source: Company documents.</w:t>
      </w:r>
    </w:p>
    <w:p w14:paraId="597A0F1A" w14:textId="77777777" w:rsidR="00B01A3E" w:rsidRPr="00AA52D6" w:rsidRDefault="00B01A3E" w:rsidP="008A4D62">
      <w:pPr>
        <w:pStyle w:val="ExhibitText"/>
        <w:rPr>
          <w:sz w:val="18"/>
          <w:lang w:val="en-GB"/>
        </w:rPr>
      </w:pPr>
    </w:p>
    <w:p w14:paraId="1D88CEEB" w14:textId="0BB94D3C" w:rsidR="00B01A3E" w:rsidRPr="00AA52D6" w:rsidRDefault="00B01A3E" w:rsidP="008A4D62">
      <w:pPr>
        <w:pStyle w:val="ExhibitText"/>
        <w:rPr>
          <w:sz w:val="18"/>
          <w:lang w:val="en-GB"/>
        </w:rPr>
      </w:pPr>
    </w:p>
    <w:p w14:paraId="3AA23EDF" w14:textId="025F672C" w:rsidR="00B01A3E" w:rsidRDefault="008A4D62" w:rsidP="008A4D62">
      <w:pPr>
        <w:pStyle w:val="ExhibitHeading"/>
        <w:rPr>
          <w:lang w:val="en-GB"/>
        </w:rPr>
      </w:pPr>
      <w:r w:rsidRPr="0077490E">
        <w:rPr>
          <w:lang w:val="en-GB"/>
        </w:rPr>
        <w:t>EXHIBIT 4: KPN</w:t>
      </w:r>
      <w:r w:rsidR="00B807EF" w:rsidRPr="0077490E">
        <w:rPr>
          <w:lang w:val="en-GB"/>
        </w:rPr>
        <w:t>,</w:t>
      </w:r>
      <w:r w:rsidRPr="0077490E">
        <w:rPr>
          <w:lang w:val="en-GB"/>
        </w:rPr>
        <w:t xml:space="preserve"> NEW TARGET OPERATING MODEL</w:t>
      </w:r>
    </w:p>
    <w:p w14:paraId="2105B590" w14:textId="77777777" w:rsidR="002523E2" w:rsidRPr="00AA52D6" w:rsidRDefault="002523E2" w:rsidP="002523E2">
      <w:pPr>
        <w:pStyle w:val="ExhibitText"/>
        <w:rPr>
          <w:sz w:val="18"/>
          <w:lang w:val="en-GB"/>
        </w:rPr>
      </w:pPr>
    </w:p>
    <w:p w14:paraId="46E09D87" w14:textId="133C50E0" w:rsidR="00B01A3E" w:rsidRPr="0077490E" w:rsidRDefault="00BF7D0E" w:rsidP="00B01A3E">
      <w:pPr>
        <w:pStyle w:val="ExhibitText"/>
        <w:jc w:val="center"/>
        <w:rPr>
          <w:lang w:val="en-GB"/>
        </w:rPr>
      </w:pPr>
      <w:r w:rsidRPr="0077490E">
        <w:rPr>
          <w:noProof/>
          <w:lang w:val="en-CA" w:eastAsia="en-CA"/>
        </w:rPr>
        <w:drawing>
          <wp:inline distT="0" distB="0" distL="0" distR="0" wp14:anchorId="3BD80B30" wp14:editId="6F7421D0">
            <wp:extent cx="5581291" cy="2450549"/>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3545" cy="2460320"/>
                    </a:xfrm>
                    <a:prstGeom prst="rect">
                      <a:avLst/>
                    </a:prstGeom>
                  </pic:spPr>
                </pic:pic>
              </a:graphicData>
            </a:graphic>
          </wp:inline>
        </w:drawing>
      </w:r>
      <w:r w:rsidRPr="0077490E">
        <w:rPr>
          <w:lang w:val="en-GB" w:eastAsia="en-CA"/>
        </w:rPr>
        <w:t xml:space="preserve"> </w:t>
      </w:r>
    </w:p>
    <w:p w14:paraId="60495C09" w14:textId="77777777" w:rsidR="00B807EF" w:rsidRPr="0077490E" w:rsidRDefault="00B807EF" w:rsidP="00B807EF">
      <w:pPr>
        <w:pStyle w:val="BodyTextMain"/>
        <w:rPr>
          <w:rStyle w:val="FootnoteChar"/>
          <w:lang w:val="en-GB"/>
        </w:rPr>
      </w:pPr>
    </w:p>
    <w:p w14:paraId="070ECE90" w14:textId="2EEA8BEF" w:rsidR="00B807EF" w:rsidRPr="00AA52D6" w:rsidRDefault="00B807EF" w:rsidP="00B807EF">
      <w:pPr>
        <w:pStyle w:val="BodyTextMain"/>
        <w:rPr>
          <w:rStyle w:val="FootnoteChar"/>
          <w:spacing w:val="-2"/>
          <w:lang w:val="en-GB"/>
        </w:rPr>
      </w:pPr>
      <w:r w:rsidRPr="00AA52D6">
        <w:rPr>
          <w:rStyle w:val="FootnoteChar"/>
          <w:spacing w:val="-2"/>
          <w:lang w:val="en-GB"/>
        </w:rPr>
        <w:t xml:space="preserve">Notes: B2B = business to business; </w:t>
      </w:r>
      <w:r w:rsidR="008128D1" w:rsidRPr="00AA52D6">
        <w:rPr>
          <w:rStyle w:val="FootnoteChar"/>
          <w:spacing w:val="-2"/>
          <w:lang w:val="en-GB"/>
        </w:rPr>
        <w:t>OTT</w:t>
      </w:r>
      <w:r w:rsidRPr="00AA52D6">
        <w:rPr>
          <w:rStyle w:val="FootnoteChar"/>
          <w:spacing w:val="-2"/>
          <w:lang w:val="en-GB"/>
        </w:rPr>
        <w:t xml:space="preserve"> = </w:t>
      </w:r>
      <w:r w:rsidR="008128D1" w:rsidRPr="00AA52D6">
        <w:rPr>
          <w:rStyle w:val="FootnoteChar"/>
          <w:spacing w:val="-2"/>
          <w:lang w:val="en-GB"/>
        </w:rPr>
        <w:t>over the top</w:t>
      </w:r>
      <w:r w:rsidR="00D205D3" w:rsidRPr="00AA52D6">
        <w:rPr>
          <w:rStyle w:val="FootnoteChar"/>
          <w:spacing w:val="-2"/>
          <w:lang w:val="en-GB"/>
        </w:rPr>
        <w:t>;</w:t>
      </w:r>
      <w:r w:rsidR="00AA52D6" w:rsidRPr="00AA52D6">
        <w:rPr>
          <w:rStyle w:val="FootnoteChar"/>
          <w:spacing w:val="-2"/>
          <w:lang w:val="en-GB"/>
        </w:rPr>
        <w:t xml:space="preserve"> BSS =</w:t>
      </w:r>
      <w:r w:rsidR="00D205D3" w:rsidRPr="00AA52D6">
        <w:rPr>
          <w:rStyle w:val="FootnoteChar"/>
          <w:spacing w:val="-2"/>
          <w:lang w:val="en-GB"/>
        </w:rPr>
        <w:t xml:space="preserve"> </w:t>
      </w:r>
      <w:r w:rsidR="007229F7">
        <w:rPr>
          <w:rStyle w:val="FootnoteChar"/>
          <w:spacing w:val="-2"/>
          <w:lang w:val="en-GB"/>
        </w:rPr>
        <w:t>b</w:t>
      </w:r>
      <w:r w:rsidR="00AA52D6" w:rsidRPr="00AA52D6">
        <w:rPr>
          <w:rStyle w:val="FootnoteChar"/>
          <w:spacing w:val="-2"/>
          <w:lang w:val="en-GB"/>
        </w:rPr>
        <w:t xml:space="preserve">usiness </w:t>
      </w:r>
      <w:r w:rsidR="007229F7">
        <w:rPr>
          <w:rStyle w:val="FootnoteChar"/>
          <w:spacing w:val="-2"/>
          <w:lang w:val="en-GB"/>
        </w:rPr>
        <w:t>s</w:t>
      </w:r>
      <w:r w:rsidR="00AA52D6" w:rsidRPr="00AA52D6">
        <w:rPr>
          <w:rStyle w:val="FootnoteChar"/>
          <w:spacing w:val="-2"/>
          <w:lang w:val="en-GB"/>
        </w:rPr>
        <w:t xml:space="preserve">upport </w:t>
      </w:r>
      <w:r w:rsidR="007229F7">
        <w:rPr>
          <w:rStyle w:val="FootnoteChar"/>
          <w:spacing w:val="-2"/>
          <w:lang w:val="en-GB"/>
        </w:rPr>
        <w:t>s</w:t>
      </w:r>
      <w:r w:rsidR="00AA52D6" w:rsidRPr="00AA52D6">
        <w:rPr>
          <w:rStyle w:val="FootnoteChar"/>
          <w:spacing w:val="-2"/>
          <w:lang w:val="en-GB"/>
        </w:rPr>
        <w:t xml:space="preserve">ystems; OSS = </w:t>
      </w:r>
      <w:r w:rsidR="007229F7">
        <w:rPr>
          <w:rStyle w:val="FootnoteChar"/>
          <w:spacing w:val="-2"/>
          <w:lang w:val="en-GB"/>
        </w:rPr>
        <w:t>o</w:t>
      </w:r>
      <w:r w:rsidR="00AA52D6" w:rsidRPr="00AA52D6">
        <w:rPr>
          <w:rStyle w:val="FootnoteChar"/>
          <w:spacing w:val="-2"/>
          <w:lang w:val="en-GB"/>
        </w:rPr>
        <w:t xml:space="preserve">perations </w:t>
      </w:r>
      <w:r w:rsidR="007229F7">
        <w:rPr>
          <w:rStyle w:val="FootnoteChar"/>
          <w:spacing w:val="-2"/>
          <w:lang w:val="en-GB"/>
        </w:rPr>
        <w:t>s</w:t>
      </w:r>
      <w:r w:rsidR="00AA52D6" w:rsidRPr="00AA52D6">
        <w:rPr>
          <w:rStyle w:val="FootnoteChar"/>
          <w:spacing w:val="-2"/>
          <w:lang w:val="en-GB"/>
        </w:rPr>
        <w:t xml:space="preserve">upport </w:t>
      </w:r>
      <w:r w:rsidR="007229F7">
        <w:rPr>
          <w:rStyle w:val="FootnoteChar"/>
          <w:spacing w:val="-2"/>
          <w:lang w:val="en-GB"/>
        </w:rPr>
        <w:t>s</w:t>
      </w:r>
      <w:r w:rsidR="00AA52D6" w:rsidRPr="00AA52D6">
        <w:rPr>
          <w:rStyle w:val="FootnoteChar"/>
          <w:spacing w:val="-2"/>
          <w:lang w:val="en-GB"/>
        </w:rPr>
        <w:t>ystems</w:t>
      </w:r>
      <w:r w:rsidR="008128D1" w:rsidRPr="00AA52D6">
        <w:rPr>
          <w:rStyle w:val="FootnoteChar"/>
          <w:spacing w:val="-2"/>
          <w:lang w:val="en-GB"/>
        </w:rPr>
        <w:t>.</w:t>
      </w:r>
    </w:p>
    <w:p w14:paraId="199CDAEE" w14:textId="7EE78DE4" w:rsidR="00F157D2" w:rsidRPr="0077490E" w:rsidRDefault="00F157D2">
      <w:pPr>
        <w:spacing w:after="200" w:line="276" w:lineRule="auto"/>
        <w:rPr>
          <w:rFonts w:ascii="Arial" w:hAnsi="Arial" w:cs="Arial"/>
          <w:lang w:val="en-GB"/>
        </w:rPr>
      </w:pPr>
      <w:r w:rsidRPr="00AA52D6">
        <w:rPr>
          <w:rStyle w:val="FootnoteChar"/>
          <w:spacing w:val="-2"/>
          <w:lang w:val="en-GB"/>
        </w:rPr>
        <w:t>Source: Company documents</w:t>
      </w:r>
      <w:r w:rsidRPr="0077490E">
        <w:rPr>
          <w:rStyle w:val="FootnoteChar"/>
          <w:lang w:val="en-GB"/>
        </w:rPr>
        <w:t>.</w:t>
      </w:r>
      <w:r w:rsidRPr="0077490E">
        <w:rPr>
          <w:lang w:val="en-GB"/>
        </w:rPr>
        <w:br w:type="page"/>
      </w:r>
    </w:p>
    <w:p w14:paraId="12F46EE7" w14:textId="77777777" w:rsidR="00DD7CD7" w:rsidRDefault="00DD7CD7" w:rsidP="00F157D2">
      <w:pPr>
        <w:pStyle w:val="ExhibitHeading"/>
        <w:rPr>
          <w:lang w:val="en-GB"/>
        </w:rPr>
        <w:sectPr w:rsidR="00DD7CD7" w:rsidSect="00751E0B">
          <w:headerReference w:type="default" r:id="rId15"/>
          <w:pgSz w:w="12240" w:h="15840" w:code="1"/>
          <w:pgMar w:top="1080" w:right="1440" w:bottom="1440" w:left="1440" w:header="1080" w:footer="720" w:gutter="0"/>
          <w:cols w:space="720"/>
          <w:titlePg/>
          <w:docGrid w:linePitch="360"/>
        </w:sectPr>
      </w:pPr>
    </w:p>
    <w:p w14:paraId="3CDCCB7E" w14:textId="717C4AB2" w:rsidR="00F157D2" w:rsidRPr="0077490E" w:rsidRDefault="008701F0" w:rsidP="00DD7CD7">
      <w:pPr>
        <w:pStyle w:val="ExhibitHeading"/>
        <w:rPr>
          <w:lang w:val="en-GB"/>
        </w:rPr>
      </w:pPr>
      <w:r w:rsidRPr="0077490E">
        <w:rPr>
          <w:lang w:val="en-GB"/>
        </w:rPr>
        <w:lastRenderedPageBreak/>
        <w:t>EXHIBIT 5</w:t>
      </w:r>
      <w:r w:rsidR="00F157D2" w:rsidRPr="0077490E">
        <w:rPr>
          <w:lang w:val="en-GB"/>
        </w:rPr>
        <w:t xml:space="preserve">: KPN CUSTOMER JOBS-TO-BE-DONE AND OMNI-CHANNEL </w:t>
      </w:r>
      <w:r w:rsidR="00F157D2" w:rsidRPr="00DD7CD7">
        <w:t>JOURNEY</w:t>
      </w:r>
      <w:r w:rsidR="00F157D2" w:rsidRPr="0077490E">
        <w:rPr>
          <w:lang w:val="en-GB"/>
        </w:rPr>
        <w:t xml:space="preserve"> (</w:t>
      </w:r>
      <w:r w:rsidR="00F157D2" w:rsidRPr="00DD7CD7">
        <w:t>ILLUSTRATIVE</w:t>
      </w:r>
      <w:r w:rsidR="00F157D2" w:rsidRPr="0077490E">
        <w:rPr>
          <w:lang w:val="en-GB"/>
        </w:rPr>
        <w:t>)</w:t>
      </w:r>
    </w:p>
    <w:p w14:paraId="467D9F5A" w14:textId="27D85C69" w:rsidR="00F157D2" w:rsidRPr="0077490E" w:rsidRDefault="002523E2" w:rsidP="00F157D2">
      <w:pPr>
        <w:pStyle w:val="ExhibitText"/>
        <w:rPr>
          <w:lang w:val="en-GB"/>
        </w:rPr>
      </w:pPr>
      <w:r w:rsidRPr="0077490E">
        <w:rPr>
          <w:noProof/>
          <w:lang w:val="en-CA" w:eastAsia="en-CA"/>
        </w:rPr>
        <mc:AlternateContent>
          <mc:Choice Requires="wps">
            <w:drawing>
              <wp:anchor distT="0" distB="0" distL="114300" distR="114300" simplePos="0" relativeHeight="251664384" behindDoc="1" locked="0" layoutInCell="1" allowOverlap="1" wp14:anchorId="5EB71DEB" wp14:editId="5AAFFB87">
                <wp:simplePos x="0" y="0"/>
                <wp:positionH relativeFrom="margin">
                  <wp:posOffset>3538847</wp:posOffset>
                </wp:positionH>
                <wp:positionV relativeFrom="paragraph">
                  <wp:posOffset>1484886</wp:posOffset>
                </wp:positionV>
                <wp:extent cx="502178" cy="298450"/>
                <wp:effectExtent l="0" t="19050" r="31750" b="44450"/>
                <wp:wrapNone/>
                <wp:docPr id="72" name="Right Arrow 72"/>
                <wp:cNvGraphicFramePr/>
                <a:graphic xmlns:a="http://schemas.openxmlformats.org/drawingml/2006/main">
                  <a:graphicData uri="http://schemas.microsoft.com/office/word/2010/wordprocessingShape">
                    <wps:wsp>
                      <wps:cNvSpPr/>
                      <wps:spPr>
                        <a:xfrm>
                          <a:off x="0" y="0"/>
                          <a:ext cx="502178" cy="298450"/>
                        </a:xfrm>
                        <a:prstGeom prst="rightArrow">
                          <a:avLst/>
                        </a:prstGeom>
                        <a:no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8ACF3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2" o:spid="_x0000_s1026" type="#_x0000_t13" style="position:absolute;margin-left:278.65pt;margin-top:116.9pt;width:39.55pt;height:23.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" adj="15181" filled="f" strokecolor="black [1600]">
                <w10:wrap anchorx="margin"/>
              </v:shape>
            </w:pict>
          </mc:Fallback>
        </mc:AlternateContent>
      </w:r>
      <w:r w:rsidR="00DD7CD7" w:rsidRPr="0077490E">
        <w:rPr>
          <w:noProof/>
          <w:lang w:val="en-CA" w:eastAsia="en-CA"/>
        </w:rPr>
        <w:drawing>
          <wp:anchor distT="0" distB="0" distL="114300" distR="114300" simplePos="0" relativeHeight="251661312" behindDoc="1" locked="0" layoutInCell="1" allowOverlap="1" wp14:anchorId="40DEE873" wp14:editId="23DBC2E8">
            <wp:simplePos x="0" y="0"/>
            <wp:positionH relativeFrom="margin">
              <wp:posOffset>0</wp:posOffset>
            </wp:positionH>
            <wp:positionV relativeFrom="paragraph">
              <wp:posOffset>292736</wp:posOffset>
            </wp:positionV>
            <wp:extent cx="3803359" cy="2988858"/>
            <wp:effectExtent l="0" t="0" r="0" b="2540"/>
            <wp:wrapTight wrapText="bothSides">
              <wp:wrapPolygon edited="0">
                <wp:start x="9197" y="0"/>
                <wp:lineTo x="8656" y="275"/>
                <wp:lineTo x="7357" y="1928"/>
                <wp:lineTo x="5302" y="2754"/>
                <wp:lineTo x="4653" y="3305"/>
                <wp:lineTo x="4653" y="4406"/>
                <wp:lineTo x="4220" y="5095"/>
                <wp:lineTo x="3354" y="6609"/>
                <wp:lineTo x="1623" y="8813"/>
                <wp:lineTo x="1082" y="10190"/>
                <wp:lineTo x="974" y="11429"/>
                <wp:lineTo x="1623" y="13219"/>
                <wp:lineTo x="3030" y="15422"/>
                <wp:lineTo x="1623" y="16248"/>
                <wp:lineTo x="866" y="16937"/>
                <wp:lineTo x="866" y="17625"/>
                <wp:lineTo x="216" y="18864"/>
                <wp:lineTo x="216" y="20241"/>
                <wp:lineTo x="7249" y="21481"/>
                <wp:lineTo x="9197" y="21481"/>
                <wp:lineTo x="11144" y="21481"/>
                <wp:lineTo x="11253" y="21481"/>
                <wp:lineTo x="13525" y="19828"/>
                <wp:lineTo x="14499" y="19828"/>
                <wp:lineTo x="16013" y="18451"/>
                <wp:lineTo x="15905" y="17625"/>
                <wp:lineTo x="21207" y="17212"/>
                <wp:lineTo x="21423" y="16110"/>
                <wp:lineTo x="19908" y="15422"/>
                <wp:lineTo x="20449" y="15147"/>
                <wp:lineTo x="20233" y="13494"/>
                <wp:lineTo x="18827" y="13219"/>
                <wp:lineTo x="19584" y="11016"/>
                <wp:lineTo x="18935" y="9363"/>
                <wp:lineTo x="17312" y="6196"/>
                <wp:lineTo x="16879" y="5508"/>
                <wp:lineTo x="15797" y="4269"/>
                <wp:lineTo x="14066" y="2892"/>
                <wp:lineTo x="11902" y="413"/>
                <wp:lineTo x="11144" y="0"/>
                <wp:lineTo x="9197"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0218" cy="3002106"/>
                    </a:xfrm>
                    <a:prstGeom prst="rect">
                      <a:avLst/>
                    </a:prstGeom>
                    <a:noFill/>
                  </pic:spPr>
                </pic:pic>
              </a:graphicData>
            </a:graphic>
            <wp14:sizeRelH relativeFrom="margin">
              <wp14:pctWidth>0</wp14:pctWidth>
            </wp14:sizeRelH>
            <wp14:sizeRelV relativeFrom="margin">
              <wp14:pctHeight>0</wp14:pctHeight>
            </wp14:sizeRelV>
          </wp:anchor>
        </w:drawing>
      </w:r>
    </w:p>
    <w:p w14:paraId="4439515B" w14:textId="3BEEAABD" w:rsidR="00F157D2" w:rsidRPr="0077490E" w:rsidRDefault="00F157D2" w:rsidP="00702725">
      <w:pPr>
        <w:pStyle w:val="ExhibitText"/>
        <w:jc w:val="center"/>
        <w:rPr>
          <w:lang w:val="en-GB"/>
        </w:rPr>
      </w:pPr>
    </w:p>
    <w:p w14:paraId="0DFE5ADD" w14:textId="45E83652" w:rsidR="00702725" w:rsidRPr="0077490E" w:rsidRDefault="00D97103" w:rsidP="00D97103">
      <w:pPr>
        <w:pStyle w:val="ExhibitText"/>
        <w:jc w:val="right"/>
        <w:rPr>
          <w:lang w:val="en-GB"/>
        </w:rPr>
      </w:pPr>
      <w:r w:rsidRPr="00D97103">
        <w:rPr>
          <w:noProof/>
          <w:lang w:val="en-CA" w:eastAsia="en-CA"/>
        </w:rPr>
        <w:drawing>
          <wp:inline distT="0" distB="0" distL="0" distR="0" wp14:anchorId="7878C2D3" wp14:editId="43E22259">
            <wp:extent cx="4011930" cy="3367384"/>
            <wp:effectExtent l="0" t="0" r="7620" b="5080"/>
            <wp:docPr id="5" name="Picture 4">
              <a:extLst xmlns:a="http://schemas.openxmlformats.org/drawingml/2006/main">
                <a:ext uri="{FF2B5EF4-FFF2-40B4-BE49-F238E27FC236}">
                  <a16:creationId xmlns:a16="http://schemas.microsoft.com/office/drawing/2014/main" id="{DC762226-6044-4766-AEEC-558267449D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C762226-6044-4766-AEEC-558267449D92}"/>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l="5571"/>
                    <a:stretch/>
                  </pic:blipFill>
                  <pic:spPr bwMode="auto">
                    <a:xfrm>
                      <a:off x="0" y="0"/>
                      <a:ext cx="4076358" cy="3421461"/>
                    </a:xfrm>
                    <a:prstGeom prst="rect">
                      <a:avLst/>
                    </a:prstGeom>
                    <a:ln>
                      <a:noFill/>
                    </a:ln>
                    <a:extLst>
                      <a:ext uri="{53640926-AAD7-44D8-BBD7-CCE9431645EC}">
                        <a14:shadowObscured xmlns:a14="http://schemas.microsoft.com/office/drawing/2010/main"/>
                      </a:ext>
                    </a:extLst>
                  </pic:spPr>
                </pic:pic>
              </a:graphicData>
            </a:graphic>
          </wp:inline>
        </w:drawing>
      </w:r>
    </w:p>
    <w:p w14:paraId="02D05F58" w14:textId="77777777" w:rsidR="00CB52AF" w:rsidRDefault="00CB52AF" w:rsidP="00974816">
      <w:pPr>
        <w:pStyle w:val="Footnote"/>
        <w:rPr>
          <w:lang w:val="en-GB"/>
        </w:rPr>
      </w:pPr>
    </w:p>
    <w:p w14:paraId="1A604184" w14:textId="77777777" w:rsidR="00CB52AF" w:rsidRDefault="00CB52AF" w:rsidP="00974816">
      <w:pPr>
        <w:pStyle w:val="Footnote"/>
        <w:rPr>
          <w:lang w:val="en-GB"/>
        </w:rPr>
      </w:pPr>
    </w:p>
    <w:p w14:paraId="686340D7" w14:textId="77777777" w:rsidR="00CB52AF" w:rsidRDefault="00CB52AF" w:rsidP="00974816">
      <w:pPr>
        <w:pStyle w:val="Footnote"/>
        <w:rPr>
          <w:lang w:val="en-GB"/>
        </w:rPr>
      </w:pPr>
    </w:p>
    <w:p w14:paraId="1305C7A2" w14:textId="4EA53AFA" w:rsidR="00974816" w:rsidRPr="0077490E" w:rsidRDefault="00974816" w:rsidP="00974816">
      <w:pPr>
        <w:pStyle w:val="Footnote"/>
        <w:rPr>
          <w:lang w:val="en-GB"/>
        </w:rPr>
      </w:pPr>
      <w:r w:rsidRPr="0077490E">
        <w:rPr>
          <w:lang w:val="en-GB"/>
        </w:rPr>
        <w:t>Source: Company Documents</w:t>
      </w:r>
      <w:r w:rsidR="005A287B">
        <w:rPr>
          <w:lang w:val="en-GB"/>
        </w:rPr>
        <w:t>.</w:t>
      </w:r>
    </w:p>
    <w:p w14:paraId="5FC8561C" w14:textId="77777777" w:rsidR="00974816" w:rsidRPr="0077490E" w:rsidRDefault="00974816" w:rsidP="00974816">
      <w:pPr>
        <w:pStyle w:val="ExhibitText"/>
        <w:rPr>
          <w:lang w:val="en-GB"/>
        </w:rPr>
      </w:pPr>
    </w:p>
    <w:p w14:paraId="408AA756" w14:textId="7114FC30" w:rsidR="00DD7CD7" w:rsidRDefault="00DD7CD7">
      <w:pPr>
        <w:spacing w:after="200" w:line="276" w:lineRule="auto"/>
        <w:rPr>
          <w:rFonts w:ascii="Arial" w:hAnsi="Arial" w:cs="Arial"/>
          <w:lang w:val="en-GB"/>
        </w:rPr>
      </w:pPr>
      <w:r>
        <w:rPr>
          <w:rFonts w:ascii="Arial" w:hAnsi="Arial" w:cs="Arial"/>
          <w:lang w:val="en-GB"/>
        </w:rPr>
        <w:br w:type="page"/>
      </w:r>
    </w:p>
    <w:p w14:paraId="78A2B5B5" w14:textId="77777777" w:rsidR="00DD7CD7" w:rsidRDefault="00DD7CD7" w:rsidP="00974816">
      <w:pPr>
        <w:pStyle w:val="ExhibitHeading"/>
        <w:rPr>
          <w:lang w:val="en-GB"/>
        </w:rPr>
        <w:sectPr w:rsidR="00DD7CD7" w:rsidSect="00DD7CD7">
          <w:headerReference w:type="default" r:id="rId18"/>
          <w:pgSz w:w="15840" w:h="12240" w:orient="landscape" w:code="1"/>
          <w:pgMar w:top="1440" w:right="1440" w:bottom="1440" w:left="1440" w:header="1080" w:footer="720" w:gutter="0"/>
          <w:cols w:space="720"/>
          <w:docGrid w:linePitch="360"/>
        </w:sectPr>
      </w:pPr>
    </w:p>
    <w:p w14:paraId="3CFA50F7" w14:textId="5ED0CF98" w:rsidR="00974816" w:rsidRDefault="00974816" w:rsidP="00DD7CD7">
      <w:pPr>
        <w:pStyle w:val="ExhibitHeading"/>
        <w:rPr>
          <w:lang w:val="en-GB"/>
        </w:rPr>
      </w:pPr>
      <w:r w:rsidRPr="0077490E">
        <w:rPr>
          <w:lang w:val="en-GB"/>
        </w:rPr>
        <w:lastRenderedPageBreak/>
        <w:t xml:space="preserve">EXHIBIT 6: </w:t>
      </w:r>
      <w:r w:rsidRPr="00DD7CD7">
        <w:t>KPN</w:t>
      </w:r>
      <w:r w:rsidRPr="0077490E">
        <w:rPr>
          <w:lang w:val="en-GB"/>
        </w:rPr>
        <w:t xml:space="preserve"> ORGANIZATIONAL PIVOT (PARTIAL VIEW)</w:t>
      </w:r>
    </w:p>
    <w:p w14:paraId="0BB8F10F" w14:textId="77777777" w:rsidR="00DD7CD7" w:rsidRPr="0077490E" w:rsidRDefault="00DD7CD7" w:rsidP="00DD7CD7">
      <w:pPr>
        <w:pStyle w:val="ExhibitHeading"/>
        <w:jc w:val="both"/>
        <w:rPr>
          <w:lang w:val="en-GB"/>
        </w:rPr>
      </w:pPr>
    </w:p>
    <w:p w14:paraId="2A5F290F" w14:textId="2F87478C" w:rsidR="00974816" w:rsidRPr="0077490E" w:rsidRDefault="00203B46" w:rsidP="00974816">
      <w:pPr>
        <w:pStyle w:val="ExhibitText"/>
        <w:jc w:val="center"/>
        <w:rPr>
          <w:lang w:val="en-GB"/>
        </w:rPr>
      </w:pPr>
      <w:r>
        <w:rPr>
          <w:noProof/>
          <w:lang w:val="en-CA" w:eastAsia="en-CA"/>
        </w:rPr>
        <w:drawing>
          <wp:inline distT="0" distB="0" distL="0" distR="0" wp14:anchorId="645DC6E6" wp14:editId="1E121D04">
            <wp:extent cx="5759355" cy="2974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6342" cy="2982902"/>
                    </a:xfrm>
                    <a:prstGeom prst="rect">
                      <a:avLst/>
                    </a:prstGeom>
                    <a:noFill/>
                  </pic:spPr>
                </pic:pic>
              </a:graphicData>
            </a:graphic>
          </wp:inline>
        </w:drawing>
      </w:r>
    </w:p>
    <w:p w14:paraId="6BF76588" w14:textId="77777777" w:rsidR="00974816" w:rsidRPr="0077490E" w:rsidRDefault="00974816" w:rsidP="00974816">
      <w:pPr>
        <w:pStyle w:val="ExhibitText"/>
        <w:rPr>
          <w:lang w:val="en-GB"/>
        </w:rPr>
      </w:pPr>
    </w:p>
    <w:p w14:paraId="293B99B6" w14:textId="2792D4D4" w:rsidR="00151F33" w:rsidRDefault="00151F33" w:rsidP="00974816">
      <w:pPr>
        <w:pStyle w:val="Footnote"/>
        <w:rPr>
          <w:lang w:val="en-GB"/>
        </w:rPr>
      </w:pPr>
      <w:r>
        <w:rPr>
          <w:lang w:val="en-GB"/>
        </w:rPr>
        <w:t xml:space="preserve">Notes: CEO = chief executive officer; CFO = chief financial officer; COO = chief operations officer; incl. S&amp;I = </w:t>
      </w:r>
      <w:r w:rsidR="00047664">
        <w:rPr>
          <w:lang w:val="en-GB"/>
        </w:rPr>
        <w:t>simplification and innovation</w:t>
      </w:r>
      <w:r>
        <w:rPr>
          <w:lang w:val="en-GB"/>
        </w:rPr>
        <w:t>; CX = customer experience</w:t>
      </w:r>
      <w:r w:rsidRPr="00BC429C">
        <w:rPr>
          <w:lang w:val="en-GB"/>
        </w:rPr>
        <w:t xml:space="preserve">; DNA = </w:t>
      </w:r>
      <w:r w:rsidR="00DE5FB1" w:rsidRPr="00BC429C">
        <w:rPr>
          <w:lang w:val="en-GB"/>
        </w:rPr>
        <w:t>master blueprint</w:t>
      </w:r>
      <w:r w:rsidR="00BC429C">
        <w:rPr>
          <w:lang w:val="en-GB"/>
        </w:rPr>
        <w:t>.</w:t>
      </w:r>
    </w:p>
    <w:p w14:paraId="13D4ED6D" w14:textId="16B141F2" w:rsidR="00974816" w:rsidRPr="0077490E" w:rsidRDefault="00974816" w:rsidP="00974816">
      <w:pPr>
        <w:pStyle w:val="Footnote"/>
        <w:rPr>
          <w:lang w:val="en-GB"/>
        </w:rPr>
      </w:pPr>
      <w:r w:rsidRPr="0077490E">
        <w:rPr>
          <w:lang w:val="en-GB"/>
        </w:rPr>
        <w:t xml:space="preserve">Source: Company </w:t>
      </w:r>
      <w:r w:rsidR="00B807EF" w:rsidRPr="0077490E">
        <w:rPr>
          <w:lang w:val="en-GB"/>
        </w:rPr>
        <w:t>d</w:t>
      </w:r>
      <w:r w:rsidRPr="0077490E">
        <w:rPr>
          <w:lang w:val="en-GB"/>
        </w:rPr>
        <w:t>ocuments</w:t>
      </w:r>
      <w:r w:rsidR="005A287B">
        <w:rPr>
          <w:lang w:val="en-GB"/>
        </w:rPr>
        <w:t>.</w:t>
      </w:r>
    </w:p>
    <w:p w14:paraId="6AA52C7C" w14:textId="6E12CF24" w:rsidR="00974816" w:rsidRDefault="00974816" w:rsidP="00DD7CD7">
      <w:pPr>
        <w:pStyle w:val="ExhibitText"/>
        <w:rPr>
          <w:lang w:val="en-GB"/>
        </w:rPr>
      </w:pPr>
    </w:p>
    <w:p w14:paraId="62A18EEA" w14:textId="77777777" w:rsidR="00DD7CD7" w:rsidRPr="0077490E" w:rsidRDefault="00DD7CD7" w:rsidP="00DD7CD7">
      <w:pPr>
        <w:pStyle w:val="ExhibitText"/>
        <w:rPr>
          <w:lang w:val="en-GB"/>
        </w:rPr>
      </w:pPr>
    </w:p>
    <w:p w14:paraId="64D51F94" w14:textId="77777777" w:rsidR="00974816" w:rsidRPr="0077490E" w:rsidRDefault="00974816" w:rsidP="00974816">
      <w:pPr>
        <w:pStyle w:val="ExhibitHeading"/>
        <w:rPr>
          <w:lang w:val="en-GB"/>
        </w:rPr>
      </w:pPr>
      <w:r w:rsidRPr="0077490E">
        <w:rPr>
          <w:lang w:val="en-GB"/>
        </w:rPr>
        <w:t>Exhibit 7: KPN Vision 2020</w:t>
      </w:r>
    </w:p>
    <w:p w14:paraId="68D9030F" w14:textId="77777777" w:rsidR="008B17D9" w:rsidRPr="0077490E" w:rsidRDefault="008B17D9" w:rsidP="00DD7CD7">
      <w:pPr>
        <w:pStyle w:val="ExhibitText"/>
        <w:jc w:val="center"/>
        <w:rPr>
          <w:lang w:val="en-GB"/>
        </w:rPr>
      </w:pPr>
    </w:p>
    <w:p w14:paraId="5F29614E" w14:textId="08C122A5" w:rsidR="00974816" w:rsidRPr="0077490E" w:rsidRDefault="00226E43" w:rsidP="00DD7CD7">
      <w:pPr>
        <w:pStyle w:val="ExhibitText"/>
        <w:jc w:val="center"/>
        <w:rPr>
          <w:lang w:val="en-GB"/>
        </w:rPr>
      </w:pPr>
      <w:r w:rsidRPr="0077490E">
        <w:rPr>
          <w:noProof/>
          <w:lang w:val="en-CA" w:eastAsia="en-CA"/>
        </w:rPr>
        <w:drawing>
          <wp:anchor distT="0" distB="0" distL="114300" distR="114300" simplePos="0" relativeHeight="251660288" behindDoc="1" locked="0" layoutInCell="1" allowOverlap="1" wp14:anchorId="10129A0F" wp14:editId="3CF89E26">
            <wp:simplePos x="0" y="0"/>
            <wp:positionH relativeFrom="margin">
              <wp:align>center</wp:align>
            </wp:positionH>
            <wp:positionV relativeFrom="paragraph">
              <wp:posOffset>27305</wp:posOffset>
            </wp:positionV>
            <wp:extent cx="5215890" cy="2774950"/>
            <wp:effectExtent l="0" t="19050" r="0" b="6350"/>
            <wp:wrapTight wrapText="bothSides">
              <wp:wrapPolygon edited="0">
                <wp:start x="5443" y="-148"/>
                <wp:lineTo x="5128" y="1186"/>
                <wp:lineTo x="5128" y="7266"/>
                <wp:lineTo x="158" y="9342"/>
                <wp:lineTo x="0" y="9638"/>
                <wp:lineTo x="0" y="21205"/>
                <wp:lineTo x="9703" y="21501"/>
                <wp:lineTo x="9703" y="21501"/>
                <wp:lineTo x="11360" y="21501"/>
                <wp:lineTo x="19091" y="21501"/>
                <wp:lineTo x="21221" y="21056"/>
                <wp:lineTo x="21221" y="9787"/>
                <wp:lineTo x="20827" y="9638"/>
                <wp:lineTo x="16882" y="9490"/>
                <wp:lineTo x="16804" y="1779"/>
                <wp:lineTo x="16567" y="148"/>
                <wp:lineTo x="16409" y="-148"/>
                <wp:lineTo x="5443" y="-148"/>
              </wp:wrapPolygon>
            </wp:wrapTight>
            <wp:docPr id="4" name="Diagram 4">
              <a:extLst xmlns:a="http://schemas.openxmlformats.org/drawingml/2006/main">
                <a:ext uri="{FF2B5EF4-FFF2-40B4-BE49-F238E27FC236}">
                  <a16:creationId xmlns:a16="http://schemas.microsoft.com/office/drawing/2014/main" id="{B3F2A79A-F211-4AD4-B019-3EA1A1BE66D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5186E6CB" w14:textId="1658FBFB" w:rsidR="00974816" w:rsidRPr="0077490E" w:rsidRDefault="00974816" w:rsidP="00DD7CD7">
      <w:pPr>
        <w:pStyle w:val="ExhibitText"/>
        <w:jc w:val="center"/>
        <w:rPr>
          <w:lang w:val="en-GB"/>
        </w:rPr>
      </w:pPr>
    </w:p>
    <w:p w14:paraId="3F50E472" w14:textId="77777777" w:rsidR="00974816" w:rsidRPr="0077490E" w:rsidRDefault="00974816" w:rsidP="00DD7CD7">
      <w:pPr>
        <w:pStyle w:val="BodyTextMain"/>
        <w:jc w:val="center"/>
        <w:rPr>
          <w:lang w:val="en-GB"/>
        </w:rPr>
      </w:pPr>
    </w:p>
    <w:p w14:paraId="5C0A7D2C" w14:textId="77777777" w:rsidR="00226E43" w:rsidRPr="0077490E" w:rsidRDefault="00226E43" w:rsidP="00DD7CD7">
      <w:pPr>
        <w:pStyle w:val="BodyTextMain"/>
        <w:jc w:val="center"/>
        <w:rPr>
          <w:lang w:val="en-GB"/>
        </w:rPr>
      </w:pPr>
    </w:p>
    <w:p w14:paraId="1970F739" w14:textId="77777777" w:rsidR="00226E43" w:rsidRPr="0077490E" w:rsidRDefault="00226E43" w:rsidP="00DD7CD7">
      <w:pPr>
        <w:pStyle w:val="BodyTextMain"/>
        <w:jc w:val="center"/>
        <w:rPr>
          <w:lang w:val="en-GB"/>
        </w:rPr>
      </w:pPr>
    </w:p>
    <w:p w14:paraId="1DC91150" w14:textId="77777777" w:rsidR="00226E43" w:rsidRPr="0077490E" w:rsidRDefault="00226E43" w:rsidP="00DD7CD7">
      <w:pPr>
        <w:pStyle w:val="BodyTextMain"/>
        <w:jc w:val="center"/>
        <w:rPr>
          <w:lang w:val="en-GB"/>
        </w:rPr>
      </w:pPr>
    </w:p>
    <w:p w14:paraId="45A9E81A" w14:textId="77777777" w:rsidR="00226E43" w:rsidRPr="0077490E" w:rsidRDefault="00226E43" w:rsidP="00DD7CD7">
      <w:pPr>
        <w:pStyle w:val="BodyTextMain"/>
        <w:jc w:val="center"/>
        <w:rPr>
          <w:lang w:val="en-GB"/>
        </w:rPr>
      </w:pPr>
    </w:p>
    <w:p w14:paraId="223A1692" w14:textId="77777777" w:rsidR="00226E43" w:rsidRPr="0077490E" w:rsidRDefault="00226E43" w:rsidP="00DD7CD7">
      <w:pPr>
        <w:pStyle w:val="BodyTextMain"/>
        <w:jc w:val="center"/>
        <w:rPr>
          <w:lang w:val="en-GB"/>
        </w:rPr>
      </w:pPr>
    </w:p>
    <w:p w14:paraId="2980B2D0" w14:textId="77777777" w:rsidR="00226E43" w:rsidRPr="0077490E" w:rsidRDefault="00226E43" w:rsidP="00DD7CD7">
      <w:pPr>
        <w:pStyle w:val="BodyTextMain"/>
        <w:jc w:val="center"/>
        <w:rPr>
          <w:lang w:val="en-GB"/>
        </w:rPr>
      </w:pPr>
    </w:p>
    <w:p w14:paraId="49588BE3" w14:textId="77777777" w:rsidR="00226E43" w:rsidRPr="0077490E" w:rsidRDefault="00226E43" w:rsidP="00DD7CD7">
      <w:pPr>
        <w:pStyle w:val="BodyTextMain"/>
        <w:jc w:val="center"/>
        <w:rPr>
          <w:lang w:val="en-GB"/>
        </w:rPr>
      </w:pPr>
    </w:p>
    <w:p w14:paraId="64FB5163" w14:textId="77777777" w:rsidR="00226E43" w:rsidRPr="0077490E" w:rsidRDefault="00226E43" w:rsidP="00DD7CD7">
      <w:pPr>
        <w:pStyle w:val="BodyTextMain"/>
        <w:jc w:val="center"/>
        <w:rPr>
          <w:lang w:val="en-GB"/>
        </w:rPr>
      </w:pPr>
    </w:p>
    <w:p w14:paraId="186E3F93" w14:textId="77777777" w:rsidR="00226E43" w:rsidRPr="0077490E" w:rsidRDefault="00226E43" w:rsidP="00DD7CD7">
      <w:pPr>
        <w:pStyle w:val="BodyTextMain"/>
        <w:jc w:val="center"/>
        <w:rPr>
          <w:lang w:val="en-GB"/>
        </w:rPr>
      </w:pPr>
    </w:p>
    <w:p w14:paraId="5889A080" w14:textId="77777777" w:rsidR="00226E43" w:rsidRPr="0077490E" w:rsidRDefault="00226E43" w:rsidP="00974816">
      <w:pPr>
        <w:pStyle w:val="BodyTextMain"/>
        <w:rPr>
          <w:lang w:val="en-GB"/>
        </w:rPr>
      </w:pPr>
    </w:p>
    <w:p w14:paraId="32DF2DE3" w14:textId="77777777" w:rsidR="00226E43" w:rsidRPr="0077490E" w:rsidRDefault="00226E43" w:rsidP="00974816">
      <w:pPr>
        <w:pStyle w:val="BodyTextMain"/>
        <w:rPr>
          <w:lang w:val="en-GB"/>
        </w:rPr>
      </w:pPr>
    </w:p>
    <w:p w14:paraId="36F019B5" w14:textId="77777777" w:rsidR="00226E43" w:rsidRPr="0077490E" w:rsidRDefault="00226E43" w:rsidP="00974816">
      <w:pPr>
        <w:pStyle w:val="BodyTextMain"/>
        <w:rPr>
          <w:lang w:val="en-GB"/>
        </w:rPr>
      </w:pPr>
    </w:p>
    <w:p w14:paraId="34171018" w14:textId="77777777" w:rsidR="00226E43" w:rsidRPr="0077490E" w:rsidRDefault="00226E43" w:rsidP="00974816">
      <w:pPr>
        <w:pStyle w:val="BodyTextMain"/>
        <w:rPr>
          <w:lang w:val="en-GB"/>
        </w:rPr>
      </w:pPr>
    </w:p>
    <w:p w14:paraId="73D12C4D" w14:textId="77777777" w:rsidR="00226E43" w:rsidRPr="0077490E" w:rsidRDefault="00226E43" w:rsidP="00974816">
      <w:pPr>
        <w:pStyle w:val="BodyTextMain"/>
        <w:rPr>
          <w:lang w:val="en-GB"/>
        </w:rPr>
      </w:pPr>
    </w:p>
    <w:p w14:paraId="3A9D8008" w14:textId="77777777" w:rsidR="00226E43" w:rsidRPr="0077490E" w:rsidRDefault="00226E43" w:rsidP="00226E43">
      <w:pPr>
        <w:pStyle w:val="ExhibitText"/>
        <w:rPr>
          <w:lang w:val="en-GB"/>
        </w:rPr>
      </w:pPr>
    </w:p>
    <w:p w14:paraId="7C307530" w14:textId="6A392791" w:rsidR="00967806" w:rsidRDefault="00967806" w:rsidP="00226E43">
      <w:pPr>
        <w:pStyle w:val="ExhibitText"/>
        <w:rPr>
          <w:lang w:val="en-GB"/>
        </w:rPr>
      </w:pPr>
    </w:p>
    <w:p w14:paraId="2DAFC968" w14:textId="4360E317" w:rsidR="00151F33" w:rsidRPr="00151F33" w:rsidRDefault="00151F33" w:rsidP="00151F33">
      <w:pPr>
        <w:pStyle w:val="Footnote"/>
      </w:pPr>
      <w:r w:rsidRPr="00151F33">
        <w:t xml:space="preserve">Notes: </w:t>
      </w:r>
      <w:r>
        <w:t>IT = information technology; ROI = return on investment.</w:t>
      </w:r>
    </w:p>
    <w:p w14:paraId="1D58B611" w14:textId="77777777" w:rsidR="00974816" w:rsidRPr="0077490E" w:rsidRDefault="00974816" w:rsidP="00226E43">
      <w:pPr>
        <w:pStyle w:val="Footnote"/>
        <w:rPr>
          <w:lang w:val="en-GB"/>
        </w:rPr>
      </w:pPr>
      <w:r w:rsidRPr="0077490E">
        <w:rPr>
          <w:lang w:val="en-GB"/>
        </w:rPr>
        <w:t>Source: Company documents.</w:t>
      </w:r>
    </w:p>
    <w:p w14:paraId="6F4D7D0B" w14:textId="77777777" w:rsidR="00974816" w:rsidRPr="0077490E" w:rsidRDefault="00974816" w:rsidP="00226E43">
      <w:pPr>
        <w:pStyle w:val="ExhibitText"/>
        <w:rPr>
          <w:lang w:val="en-GB"/>
        </w:rPr>
      </w:pPr>
    </w:p>
    <w:p w14:paraId="0AC30B28" w14:textId="682D8A21" w:rsidR="00DD7CD7" w:rsidRDefault="00DD7CD7">
      <w:pPr>
        <w:spacing w:after="200" w:line="276" w:lineRule="auto"/>
        <w:rPr>
          <w:rFonts w:ascii="Arial" w:hAnsi="Arial" w:cs="Arial"/>
          <w:lang w:val="en-GB"/>
        </w:rPr>
      </w:pPr>
      <w:r>
        <w:rPr>
          <w:lang w:val="en-GB"/>
        </w:rPr>
        <w:br w:type="page"/>
      </w:r>
    </w:p>
    <w:p w14:paraId="778FB041" w14:textId="77777777" w:rsidR="00974816" w:rsidRPr="0077490E" w:rsidRDefault="00974816" w:rsidP="00226E43">
      <w:pPr>
        <w:pStyle w:val="ExhibitHeading"/>
        <w:rPr>
          <w:lang w:val="en-GB"/>
        </w:rPr>
      </w:pPr>
      <w:r w:rsidRPr="0077490E">
        <w:rPr>
          <w:lang w:val="en-GB"/>
        </w:rPr>
        <w:lastRenderedPageBreak/>
        <w:t>Exhibit 8: KPN Kompas agile principles</w:t>
      </w:r>
    </w:p>
    <w:p w14:paraId="5E69ACB1" w14:textId="77777777" w:rsidR="00974816" w:rsidRPr="0077490E" w:rsidRDefault="00974816" w:rsidP="00226E43">
      <w:pPr>
        <w:pStyle w:val="ExhibitText"/>
        <w:rPr>
          <w:lang w:val="en-GB"/>
        </w:rPr>
      </w:pPr>
    </w:p>
    <w:p w14:paraId="77281365" w14:textId="5818270B" w:rsidR="00967806" w:rsidRPr="0077490E" w:rsidRDefault="00967806" w:rsidP="008B17D9">
      <w:pPr>
        <w:pStyle w:val="ExhibitText"/>
        <w:numPr>
          <w:ilvl w:val="0"/>
          <w:numId w:val="21"/>
        </w:numPr>
        <w:rPr>
          <w:rFonts w:eastAsiaTheme="minorHAnsi"/>
          <w:spacing w:val="-4"/>
          <w:lang w:val="en-GB"/>
        </w:rPr>
      </w:pPr>
      <w:r w:rsidRPr="0077490E">
        <w:rPr>
          <w:rFonts w:eastAsiaTheme="minorHAnsi"/>
          <w:b/>
          <w:spacing w:val="-4"/>
          <w:lang w:val="en-GB"/>
        </w:rPr>
        <w:t>PURPOSE</w:t>
      </w:r>
      <w:r w:rsidRPr="00D81685">
        <w:rPr>
          <w:rFonts w:eastAsiaTheme="minorHAnsi"/>
          <w:b/>
          <w:spacing w:val="-4"/>
          <w:lang w:val="en-GB"/>
        </w:rPr>
        <w:t xml:space="preserve">: </w:t>
      </w:r>
      <w:r w:rsidRPr="0077490E">
        <w:rPr>
          <w:rFonts w:eastAsiaTheme="minorHAnsi"/>
          <w:spacing w:val="-4"/>
          <w:lang w:val="en-GB"/>
        </w:rPr>
        <w:t>Our shared purpose</w:t>
      </w:r>
      <w:r w:rsidR="00B807EF" w:rsidRPr="0077490E">
        <w:rPr>
          <w:rFonts w:eastAsiaTheme="minorHAnsi"/>
          <w:spacing w:val="-4"/>
          <w:lang w:val="en-GB"/>
        </w:rPr>
        <w:t>—</w:t>
      </w:r>
      <w:r w:rsidRPr="0077490E">
        <w:rPr>
          <w:rFonts w:eastAsiaTheme="minorHAnsi"/>
          <w:spacing w:val="-4"/>
          <w:lang w:val="en-GB"/>
        </w:rPr>
        <w:t>derived from KPN strategy and KPN experience</w:t>
      </w:r>
      <w:r w:rsidR="00B807EF" w:rsidRPr="0077490E">
        <w:rPr>
          <w:rFonts w:eastAsiaTheme="minorHAnsi"/>
          <w:spacing w:val="-4"/>
          <w:lang w:val="en-GB"/>
        </w:rPr>
        <w:t>—</w:t>
      </w:r>
      <w:r w:rsidRPr="0077490E">
        <w:rPr>
          <w:rFonts w:eastAsiaTheme="minorHAnsi"/>
          <w:spacing w:val="-4"/>
          <w:lang w:val="en-GB"/>
        </w:rPr>
        <w:t>inspires us to navigate to our future KPN.</w:t>
      </w:r>
    </w:p>
    <w:p w14:paraId="256B999F" w14:textId="4E41DCED" w:rsidR="00967806" w:rsidRPr="0077490E" w:rsidRDefault="00967806" w:rsidP="008B17D9">
      <w:pPr>
        <w:pStyle w:val="ExhibitText"/>
        <w:numPr>
          <w:ilvl w:val="0"/>
          <w:numId w:val="21"/>
        </w:numPr>
        <w:rPr>
          <w:rFonts w:eastAsiaTheme="minorHAnsi"/>
          <w:spacing w:val="-4"/>
          <w:lang w:val="en-GB"/>
        </w:rPr>
      </w:pPr>
      <w:r w:rsidRPr="0077490E">
        <w:rPr>
          <w:rFonts w:eastAsiaTheme="minorHAnsi"/>
          <w:b/>
          <w:spacing w:val="-4"/>
          <w:lang w:val="en-GB"/>
        </w:rPr>
        <w:t>TRANSPARENCY:</w:t>
      </w:r>
      <w:r w:rsidRPr="0077490E">
        <w:rPr>
          <w:rFonts w:eastAsiaTheme="minorHAnsi"/>
          <w:spacing w:val="-4"/>
          <w:lang w:val="en-GB"/>
        </w:rPr>
        <w:t xml:space="preserve"> We strive for maximum transparency in everything we do</w:t>
      </w:r>
      <w:r w:rsidR="00B807EF" w:rsidRPr="0077490E">
        <w:rPr>
          <w:rFonts w:eastAsiaTheme="minorHAnsi"/>
          <w:spacing w:val="-4"/>
          <w:lang w:val="en-GB"/>
        </w:rPr>
        <w:t xml:space="preserve"> and</w:t>
      </w:r>
      <w:r w:rsidRPr="0077490E">
        <w:rPr>
          <w:rFonts w:eastAsiaTheme="minorHAnsi"/>
          <w:spacing w:val="-4"/>
          <w:lang w:val="en-GB"/>
        </w:rPr>
        <w:t xml:space="preserve"> in our strategy, which is clear and understandable.</w:t>
      </w:r>
    </w:p>
    <w:p w14:paraId="2A5CDCDA" w14:textId="03D8F212" w:rsidR="00967806" w:rsidRPr="0077490E" w:rsidRDefault="00967806" w:rsidP="008B17D9">
      <w:pPr>
        <w:pStyle w:val="ExhibitText"/>
        <w:numPr>
          <w:ilvl w:val="0"/>
          <w:numId w:val="21"/>
        </w:numPr>
        <w:rPr>
          <w:spacing w:val="-4"/>
          <w:lang w:val="en-GB"/>
        </w:rPr>
      </w:pPr>
      <w:r w:rsidRPr="0077490E">
        <w:rPr>
          <w:rFonts w:eastAsiaTheme="minorHAnsi"/>
          <w:b/>
          <w:spacing w:val="-4"/>
          <w:lang w:val="en-GB"/>
        </w:rPr>
        <w:t>WHOLE OVER PARTS</w:t>
      </w:r>
      <w:r w:rsidRPr="00D81685">
        <w:rPr>
          <w:rFonts w:eastAsiaTheme="minorHAnsi"/>
          <w:b/>
          <w:spacing w:val="-4"/>
          <w:lang w:val="en-GB"/>
        </w:rPr>
        <w:t>:</w:t>
      </w:r>
      <w:r w:rsidRPr="0077490E">
        <w:rPr>
          <w:rFonts w:eastAsiaTheme="minorHAnsi"/>
          <w:spacing w:val="-4"/>
          <w:lang w:val="en-GB"/>
        </w:rPr>
        <w:t xml:space="preserve"> Our approach is holistic. We believe the whole is greater than the sum of its parts.</w:t>
      </w:r>
    </w:p>
    <w:p w14:paraId="7B8E323A" w14:textId="34CB3D82" w:rsidR="00967806" w:rsidRPr="0077490E" w:rsidRDefault="00967806" w:rsidP="008B17D9">
      <w:pPr>
        <w:pStyle w:val="ExhibitText"/>
        <w:numPr>
          <w:ilvl w:val="0"/>
          <w:numId w:val="21"/>
        </w:numPr>
        <w:rPr>
          <w:rFonts w:eastAsiaTheme="minorHAnsi"/>
          <w:spacing w:val="-4"/>
          <w:lang w:val="en-GB"/>
        </w:rPr>
      </w:pPr>
      <w:r w:rsidRPr="0077490E">
        <w:rPr>
          <w:rFonts w:eastAsiaTheme="minorHAnsi"/>
          <w:b/>
          <w:spacing w:val="-4"/>
          <w:lang w:val="en-GB"/>
        </w:rPr>
        <w:t>CONNECTION:</w:t>
      </w:r>
      <w:r w:rsidRPr="0077490E">
        <w:rPr>
          <w:rFonts w:eastAsiaTheme="minorHAnsi"/>
          <w:spacing w:val="-4"/>
          <w:lang w:val="en-GB"/>
        </w:rPr>
        <w:t xml:space="preserve"> Every employee and each team </w:t>
      </w:r>
      <w:proofErr w:type="gramStart"/>
      <w:r w:rsidRPr="0077490E">
        <w:rPr>
          <w:rFonts w:eastAsiaTheme="minorHAnsi"/>
          <w:spacing w:val="-4"/>
          <w:lang w:val="en-GB"/>
        </w:rPr>
        <w:t>is connected</w:t>
      </w:r>
      <w:proofErr w:type="gramEnd"/>
      <w:r w:rsidRPr="0077490E">
        <w:rPr>
          <w:rFonts w:eastAsiaTheme="minorHAnsi"/>
          <w:spacing w:val="-4"/>
          <w:lang w:val="en-GB"/>
        </w:rPr>
        <w:t xml:space="preserve"> to a purpose underpinned by the KPN strategy.</w:t>
      </w:r>
    </w:p>
    <w:p w14:paraId="5A3B84B4" w14:textId="74037B11" w:rsidR="00967806" w:rsidRPr="0077490E" w:rsidRDefault="00967806" w:rsidP="008B17D9">
      <w:pPr>
        <w:pStyle w:val="ExhibitText"/>
        <w:numPr>
          <w:ilvl w:val="0"/>
          <w:numId w:val="21"/>
        </w:numPr>
        <w:rPr>
          <w:rFonts w:eastAsiaTheme="minorHAnsi"/>
          <w:spacing w:val="-4"/>
          <w:lang w:val="en-GB"/>
        </w:rPr>
      </w:pPr>
      <w:proofErr w:type="gramStart"/>
      <w:r w:rsidRPr="0077490E">
        <w:rPr>
          <w:rFonts w:eastAsiaTheme="minorHAnsi"/>
          <w:b/>
          <w:spacing w:val="-4"/>
          <w:lang w:val="en-GB"/>
        </w:rPr>
        <w:t>CROSS-FUNCTIONAL</w:t>
      </w:r>
      <w:proofErr w:type="gramEnd"/>
      <w:r w:rsidRPr="0077490E">
        <w:rPr>
          <w:rFonts w:eastAsiaTheme="minorHAnsi"/>
          <w:b/>
          <w:spacing w:val="-4"/>
          <w:lang w:val="en-GB"/>
        </w:rPr>
        <w:t>:</w:t>
      </w:r>
      <w:r w:rsidRPr="0077490E">
        <w:rPr>
          <w:rFonts w:eastAsiaTheme="minorHAnsi"/>
          <w:spacing w:val="-4"/>
          <w:lang w:val="en-GB"/>
        </w:rPr>
        <w:t xml:space="preserve"> Targets are achieved by cross-functional multidisciplinary teams working in close proximity.</w:t>
      </w:r>
    </w:p>
    <w:p w14:paraId="56D3F55B" w14:textId="44952905" w:rsidR="00967806" w:rsidRPr="0077490E" w:rsidRDefault="00967806" w:rsidP="008B17D9">
      <w:pPr>
        <w:pStyle w:val="ExhibitText"/>
        <w:numPr>
          <w:ilvl w:val="0"/>
          <w:numId w:val="21"/>
        </w:numPr>
        <w:rPr>
          <w:spacing w:val="-4"/>
          <w:lang w:val="en-GB"/>
        </w:rPr>
      </w:pPr>
      <w:r w:rsidRPr="0077490E">
        <w:rPr>
          <w:rFonts w:eastAsiaTheme="minorHAnsi"/>
          <w:b/>
          <w:spacing w:val="-4"/>
          <w:lang w:val="en-GB"/>
        </w:rPr>
        <w:t>CUSTOMER VALUE:</w:t>
      </w:r>
      <w:r w:rsidRPr="0077490E">
        <w:rPr>
          <w:rFonts w:eastAsiaTheme="minorHAnsi"/>
          <w:spacing w:val="-4"/>
          <w:lang w:val="en-GB"/>
        </w:rPr>
        <w:t xml:space="preserve"> We make fact-based decisions focused on maximum customer value.</w:t>
      </w:r>
    </w:p>
    <w:p w14:paraId="0CD441E6" w14:textId="295389BF" w:rsidR="00967806" w:rsidRPr="0077490E" w:rsidRDefault="00967806" w:rsidP="008B17D9">
      <w:pPr>
        <w:pStyle w:val="ExhibitText"/>
        <w:numPr>
          <w:ilvl w:val="0"/>
          <w:numId w:val="21"/>
        </w:numPr>
        <w:rPr>
          <w:rFonts w:eastAsiaTheme="minorHAnsi"/>
          <w:spacing w:val="-4"/>
          <w:lang w:val="en-GB"/>
        </w:rPr>
      </w:pPr>
      <w:r w:rsidRPr="0077490E">
        <w:rPr>
          <w:rFonts w:eastAsiaTheme="minorHAnsi"/>
          <w:b/>
          <w:spacing w:val="-4"/>
          <w:lang w:val="en-GB"/>
        </w:rPr>
        <w:t>AUTONOMY:</w:t>
      </w:r>
      <w:r w:rsidRPr="0077490E">
        <w:rPr>
          <w:rFonts w:eastAsiaTheme="minorHAnsi"/>
          <w:spacing w:val="-4"/>
          <w:lang w:val="en-GB"/>
        </w:rPr>
        <w:t xml:space="preserve"> Teams/squads operate with the greatest autonomy and experience minimal dependency.</w:t>
      </w:r>
    </w:p>
    <w:p w14:paraId="32669E15" w14:textId="04AE5F15" w:rsidR="00967806" w:rsidRPr="0077490E" w:rsidRDefault="00967806" w:rsidP="008B17D9">
      <w:pPr>
        <w:pStyle w:val="ExhibitText"/>
        <w:numPr>
          <w:ilvl w:val="0"/>
          <w:numId w:val="21"/>
        </w:numPr>
        <w:rPr>
          <w:spacing w:val="-6"/>
          <w:lang w:val="en-GB"/>
        </w:rPr>
      </w:pPr>
      <w:r w:rsidRPr="0077490E">
        <w:rPr>
          <w:rFonts w:eastAsiaTheme="minorHAnsi"/>
          <w:b/>
          <w:spacing w:val="-6"/>
          <w:lang w:val="en-GB"/>
        </w:rPr>
        <w:t>HEARTBEAT</w:t>
      </w:r>
      <w:r w:rsidR="008B17D9" w:rsidRPr="0077490E">
        <w:rPr>
          <w:rFonts w:eastAsiaTheme="minorHAnsi"/>
          <w:b/>
          <w:spacing w:val="-6"/>
          <w:lang w:val="en-GB"/>
        </w:rPr>
        <w:t>:</w:t>
      </w:r>
      <w:r w:rsidR="008B17D9" w:rsidRPr="0077490E">
        <w:rPr>
          <w:rFonts w:eastAsiaTheme="minorHAnsi"/>
          <w:spacing w:val="-6"/>
          <w:lang w:val="en-GB"/>
        </w:rPr>
        <w:t> We work in a harmonious rhythm </w:t>
      </w:r>
      <w:r w:rsidRPr="0077490E">
        <w:rPr>
          <w:rFonts w:eastAsiaTheme="minorHAnsi"/>
          <w:spacing w:val="-6"/>
          <w:lang w:val="en-GB"/>
        </w:rPr>
        <w:t>to minimize coordination and dependency.</w:t>
      </w:r>
    </w:p>
    <w:p w14:paraId="4937BB83" w14:textId="2738CF9B" w:rsidR="00967806" w:rsidRPr="0077490E" w:rsidRDefault="00967806" w:rsidP="008B17D9">
      <w:pPr>
        <w:pStyle w:val="ExhibitText"/>
        <w:numPr>
          <w:ilvl w:val="0"/>
          <w:numId w:val="21"/>
        </w:numPr>
        <w:rPr>
          <w:rFonts w:eastAsiaTheme="minorHAnsi"/>
          <w:spacing w:val="-4"/>
          <w:lang w:val="en-GB"/>
        </w:rPr>
      </w:pPr>
      <w:r w:rsidRPr="0077490E">
        <w:rPr>
          <w:rFonts w:eastAsiaTheme="minorHAnsi"/>
          <w:b/>
          <w:spacing w:val="-4"/>
          <w:lang w:val="en-GB"/>
        </w:rPr>
        <w:t>LEARNING ORGANIZATION:</w:t>
      </w:r>
      <w:r w:rsidRPr="0077490E">
        <w:rPr>
          <w:rFonts w:eastAsiaTheme="minorHAnsi"/>
          <w:spacing w:val="-4"/>
          <w:lang w:val="en-GB"/>
        </w:rPr>
        <w:t xml:space="preserve"> We experiment and learn</w:t>
      </w:r>
      <w:r w:rsidR="00B807EF" w:rsidRPr="0077490E">
        <w:rPr>
          <w:rFonts w:eastAsiaTheme="minorHAnsi"/>
          <w:spacing w:val="-4"/>
          <w:lang w:val="en-GB"/>
        </w:rPr>
        <w:t>—t</w:t>
      </w:r>
      <w:r w:rsidRPr="0077490E">
        <w:rPr>
          <w:rFonts w:eastAsiaTheme="minorHAnsi"/>
          <w:spacing w:val="-4"/>
          <w:lang w:val="en-GB"/>
        </w:rPr>
        <w:t>he basis for continuous improvement.</w:t>
      </w:r>
    </w:p>
    <w:p w14:paraId="1383A4E0" w14:textId="0C5852E5" w:rsidR="00967806" w:rsidRPr="0077490E" w:rsidRDefault="00967806" w:rsidP="008B17D9">
      <w:pPr>
        <w:pStyle w:val="ExhibitText"/>
        <w:numPr>
          <w:ilvl w:val="0"/>
          <w:numId w:val="21"/>
        </w:numPr>
        <w:rPr>
          <w:spacing w:val="-4"/>
          <w:lang w:val="en-GB"/>
        </w:rPr>
      </w:pPr>
      <w:r w:rsidRPr="0077490E">
        <w:rPr>
          <w:rFonts w:eastAsiaTheme="minorHAnsi"/>
          <w:b/>
          <w:spacing w:val="-4"/>
          <w:lang w:val="en-GB"/>
        </w:rPr>
        <w:t>RESPONSIBILITY:</w:t>
      </w:r>
      <w:r w:rsidRPr="0077490E">
        <w:rPr>
          <w:rFonts w:eastAsiaTheme="minorHAnsi"/>
          <w:spacing w:val="-4"/>
          <w:lang w:val="en-GB"/>
        </w:rPr>
        <w:t xml:space="preserve"> The mandate lies with the people with the knowledge and information.</w:t>
      </w:r>
    </w:p>
    <w:p w14:paraId="6209ADDC" w14:textId="3370D077" w:rsidR="00967806" w:rsidRPr="0077490E" w:rsidRDefault="00967806" w:rsidP="008B17D9">
      <w:pPr>
        <w:pStyle w:val="ExhibitText"/>
        <w:numPr>
          <w:ilvl w:val="0"/>
          <w:numId w:val="21"/>
        </w:numPr>
        <w:rPr>
          <w:rFonts w:eastAsiaTheme="minorHAnsi"/>
          <w:spacing w:val="-4"/>
          <w:lang w:val="en-GB"/>
        </w:rPr>
      </w:pPr>
      <w:r w:rsidRPr="0077490E">
        <w:rPr>
          <w:rFonts w:eastAsiaTheme="minorHAnsi"/>
          <w:b/>
          <w:spacing w:val="-4"/>
          <w:lang w:val="en-GB"/>
        </w:rPr>
        <w:t>MASTERY:</w:t>
      </w:r>
      <w:r w:rsidRPr="0077490E">
        <w:rPr>
          <w:rFonts w:eastAsiaTheme="minorHAnsi"/>
          <w:spacing w:val="-4"/>
          <w:lang w:val="en-GB"/>
        </w:rPr>
        <w:t xml:space="preserve"> We facilitate in exchanging knowledge and strengthening professional skills.</w:t>
      </w:r>
    </w:p>
    <w:p w14:paraId="7C3B9433" w14:textId="09FA44B1" w:rsidR="00967806" w:rsidRPr="0077490E" w:rsidRDefault="00967806" w:rsidP="008B17D9">
      <w:pPr>
        <w:pStyle w:val="ExhibitText"/>
        <w:numPr>
          <w:ilvl w:val="0"/>
          <w:numId w:val="21"/>
        </w:numPr>
        <w:rPr>
          <w:spacing w:val="-4"/>
          <w:lang w:val="en-GB"/>
        </w:rPr>
      </w:pPr>
      <w:r w:rsidRPr="0077490E">
        <w:rPr>
          <w:rFonts w:eastAsiaTheme="minorHAnsi"/>
          <w:b/>
          <w:spacing w:val="-4"/>
          <w:lang w:val="en-GB"/>
        </w:rPr>
        <w:t>TRUST:</w:t>
      </w:r>
      <w:r w:rsidRPr="0077490E">
        <w:rPr>
          <w:rFonts w:eastAsiaTheme="minorHAnsi"/>
          <w:spacing w:val="-4"/>
          <w:lang w:val="en-GB"/>
        </w:rPr>
        <w:t xml:space="preserve"> We work </w:t>
      </w:r>
      <w:proofErr w:type="gramStart"/>
      <w:r w:rsidRPr="0077490E">
        <w:rPr>
          <w:rFonts w:eastAsiaTheme="minorHAnsi"/>
          <w:spacing w:val="-4"/>
          <w:lang w:val="en-GB"/>
        </w:rPr>
        <w:t>on the basis of</w:t>
      </w:r>
      <w:proofErr w:type="gramEnd"/>
      <w:r w:rsidRPr="0077490E">
        <w:rPr>
          <w:rFonts w:eastAsiaTheme="minorHAnsi"/>
          <w:spacing w:val="-4"/>
          <w:lang w:val="en-GB"/>
        </w:rPr>
        <w:t xml:space="preserve"> trust rather than keeping tabs on each other.</w:t>
      </w:r>
    </w:p>
    <w:p w14:paraId="75D5F9D9" w14:textId="77777777" w:rsidR="00974816" w:rsidRPr="0077490E" w:rsidRDefault="00974816" w:rsidP="00967806">
      <w:pPr>
        <w:pStyle w:val="ExhibitText"/>
        <w:rPr>
          <w:lang w:val="en-GB"/>
        </w:rPr>
      </w:pPr>
    </w:p>
    <w:p w14:paraId="2CDEFE62" w14:textId="77777777" w:rsidR="00974816" w:rsidRPr="0077490E" w:rsidRDefault="00974816" w:rsidP="00974816">
      <w:pPr>
        <w:pStyle w:val="BodyTextMain"/>
        <w:rPr>
          <w:lang w:val="en-GB"/>
        </w:rPr>
      </w:pPr>
      <w:r w:rsidRPr="0077490E">
        <w:rPr>
          <w:rStyle w:val="FootnoteChar"/>
          <w:lang w:val="en-GB"/>
        </w:rPr>
        <w:t>Source: Company documents</w:t>
      </w:r>
      <w:r w:rsidRPr="0077490E">
        <w:rPr>
          <w:lang w:val="en-GB"/>
        </w:rPr>
        <w:t>.</w:t>
      </w:r>
    </w:p>
    <w:p w14:paraId="01D1B585" w14:textId="5AABAE75" w:rsidR="008B17D9" w:rsidRDefault="008B17D9" w:rsidP="00DD7CD7">
      <w:pPr>
        <w:pStyle w:val="ExhibitText"/>
        <w:rPr>
          <w:lang w:val="en-GB"/>
        </w:rPr>
      </w:pPr>
    </w:p>
    <w:p w14:paraId="0750A024" w14:textId="77777777" w:rsidR="00DD7CD7" w:rsidRPr="0077490E" w:rsidRDefault="00DD7CD7" w:rsidP="00DD7CD7">
      <w:pPr>
        <w:pStyle w:val="ExhibitText"/>
        <w:rPr>
          <w:lang w:val="en-GB"/>
        </w:rPr>
      </w:pPr>
    </w:p>
    <w:p w14:paraId="4C6238B8" w14:textId="77777777" w:rsidR="00974816" w:rsidRPr="0077490E" w:rsidRDefault="00974816" w:rsidP="00967806">
      <w:pPr>
        <w:pStyle w:val="ExhibitHeading"/>
        <w:rPr>
          <w:lang w:val="en-GB"/>
        </w:rPr>
      </w:pPr>
      <w:r w:rsidRPr="0077490E">
        <w:rPr>
          <w:lang w:val="en-GB"/>
        </w:rPr>
        <w:t>Exhibit 9: 100% digital KPN</w:t>
      </w:r>
    </w:p>
    <w:p w14:paraId="6F26C9C6" w14:textId="77777777" w:rsidR="00974816" w:rsidRPr="0077490E" w:rsidRDefault="00974816" w:rsidP="00967806">
      <w:pPr>
        <w:pStyle w:val="ExhibitText"/>
        <w:rPr>
          <w:lang w:val="en-GB"/>
        </w:rPr>
      </w:pPr>
    </w:p>
    <w:p w14:paraId="06891B2D" w14:textId="24BBDDE4" w:rsidR="00967806" w:rsidRPr="0077490E" w:rsidRDefault="00967806" w:rsidP="008B17D9">
      <w:pPr>
        <w:pStyle w:val="ExhibitText"/>
        <w:numPr>
          <w:ilvl w:val="0"/>
          <w:numId w:val="24"/>
        </w:numPr>
        <w:rPr>
          <w:lang w:val="en-GB"/>
        </w:rPr>
      </w:pPr>
      <w:r w:rsidRPr="0077490E">
        <w:rPr>
          <w:lang w:val="en-GB"/>
        </w:rPr>
        <w:t xml:space="preserve">Digital </w:t>
      </w:r>
      <w:r w:rsidR="008128D1" w:rsidRPr="0077490E">
        <w:rPr>
          <w:lang w:val="en-GB"/>
        </w:rPr>
        <w:t xml:space="preserve">transformation </w:t>
      </w:r>
      <w:r w:rsidRPr="0077490E">
        <w:rPr>
          <w:lang w:val="en-GB"/>
        </w:rPr>
        <w:t>leads to better customer experience and cost reduction.</w:t>
      </w:r>
    </w:p>
    <w:p w14:paraId="50F9EE75" w14:textId="0C9CE2FB" w:rsidR="00967806" w:rsidRPr="0077490E" w:rsidRDefault="007229F7" w:rsidP="008B17D9">
      <w:pPr>
        <w:pStyle w:val="ExhibitText"/>
        <w:numPr>
          <w:ilvl w:val="0"/>
          <w:numId w:val="24"/>
        </w:numPr>
        <w:rPr>
          <w:lang w:val="en-GB"/>
        </w:rPr>
      </w:pPr>
      <w:r>
        <w:rPr>
          <w:lang w:val="en-GB"/>
        </w:rPr>
        <w:t>“</w:t>
      </w:r>
      <w:r w:rsidR="00967806" w:rsidRPr="0077490E">
        <w:rPr>
          <w:lang w:val="en-GB"/>
        </w:rPr>
        <w:t xml:space="preserve">100% </w:t>
      </w:r>
      <w:r w:rsidR="008128D1" w:rsidRPr="0077490E">
        <w:rPr>
          <w:lang w:val="en-GB"/>
        </w:rPr>
        <w:t>digital</w:t>
      </w:r>
      <w:r>
        <w:rPr>
          <w:lang w:val="en-GB"/>
        </w:rPr>
        <w:t>”</w:t>
      </w:r>
      <w:r w:rsidR="008128D1" w:rsidRPr="0077490E">
        <w:rPr>
          <w:lang w:val="en-GB"/>
        </w:rPr>
        <w:t xml:space="preserve"> </w:t>
      </w:r>
      <w:r w:rsidR="00967806" w:rsidRPr="0077490E">
        <w:rPr>
          <w:lang w:val="en-GB"/>
        </w:rPr>
        <w:t xml:space="preserve">means that all interaction with KPN </w:t>
      </w:r>
      <w:proofErr w:type="gramStart"/>
      <w:r w:rsidR="00967806" w:rsidRPr="0077490E">
        <w:rPr>
          <w:lang w:val="en-GB"/>
        </w:rPr>
        <w:t>can be done</w:t>
      </w:r>
      <w:proofErr w:type="gramEnd"/>
      <w:r w:rsidR="00967806" w:rsidRPr="0077490E">
        <w:rPr>
          <w:lang w:val="en-GB"/>
        </w:rPr>
        <w:t xml:space="preserve"> via digital channels. </w:t>
      </w:r>
      <w:r>
        <w:rPr>
          <w:lang w:val="en-GB"/>
        </w:rPr>
        <w:t>“</w:t>
      </w:r>
      <w:r w:rsidR="00967806" w:rsidRPr="0077490E">
        <w:rPr>
          <w:lang w:val="en-GB"/>
        </w:rPr>
        <w:t>Mobile</w:t>
      </w:r>
      <w:r w:rsidR="008128D1" w:rsidRPr="0077490E">
        <w:rPr>
          <w:lang w:val="en-GB"/>
        </w:rPr>
        <w:t xml:space="preserve"> first</w:t>
      </w:r>
      <w:r>
        <w:rPr>
          <w:lang w:val="en-GB"/>
        </w:rPr>
        <w:t>”</w:t>
      </w:r>
      <w:r w:rsidR="008128D1" w:rsidRPr="0077490E">
        <w:rPr>
          <w:lang w:val="en-GB"/>
        </w:rPr>
        <w:t xml:space="preserve"> </w:t>
      </w:r>
      <w:r w:rsidR="00967806" w:rsidRPr="0077490E">
        <w:rPr>
          <w:lang w:val="en-GB"/>
        </w:rPr>
        <w:t xml:space="preserve">means that all interaction with KPN </w:t>
      </w:r>
      <w:proofErr w:type="gramStart"/>
      <w:r w:rsidR="00967806" w:rsidRPr="0077490E">
        <w:rPr>
          <w:lang w:val="en-GB"/>
        </w:rPr>
        <w:t>can be done</w:t>
      </w:r>
      <w:proofErr w:type="gramEnd"/>
      <w:r w:rsidR="00967806" w:rsidRPr="0077490E">
        <w:rPr>
          <w:lang w:val="en-GB"/>
        </w:rPr>
        <w:t xml:space="preserve"> via a mobile device.</w:t>
      </w:r>
    </w:p>
    <w:p w14:paraId="22BB587B" w14:textId="2ACBC947" w:rsidR="00967806" w:rsidRPr="0077490E" w:rsidRDefault="008128D1" w:rsidP="008B17D9">
      <w:pPr>
        <w:pStyle w:val="ExhibitText"/>
        <w:numPr>
          <w:ilvl w:val="0"/>
          <w:numId w:val="24"/>
        </w:numPr>
        <w:rPr>
          <w:lang w:val="en-GB"/>
        </w:rPr>
      </w:pPr>
      <w:r w:rsidRPr="0077490E">
        <w:rPr>
          <w:lang w:val="en-GB"/>
        </w:rPr>
        <w:t>I</w:t>
      </w:r>
      <w:r w:rsidR="00967806" w:rsidRPr="0077490E">
        <w:rPr>
          <w:lang w:val="en-GB"/>
        </w:rPr>
        <w:t>n a 100% Digital KPN</w:t>
      </w:r>
      <w:r w:rsidRPr="0077490E">
        <w:rPr>
          <w:lang w:val="en-GB"/>
        </w:rPr>
        <w:t>,</w:t>
      </w:r>
      <w:r w:rsidR="00967806" w:rsidRPr="0077490E">
        <w:rPr>
          <w:lang w:val="en-GB"/>
        </w:rPr>
        <w:t xml:space="preserve"> we will have non-digital customer interaction.</w:t>
      </w:r>
    </w:p>
    <w:p w14:paraId="083E1AFD" w14:textId="79D57584" w:rsidR="00967806" w:rsidRPr="0077490E" w:rsidRDefault="008128D1" w:rsidP="008B17D9">
      <w:pPr>
        <w:pStyle w:val="ExhibitText"/>
        <w:numPr>
          <w:ilvl w:val="0"/>
          <w:numId w:val="24"/>
        </w:numPr>
        <w:rPr>
          <w:lang w:val="en-GB"/>
        </w:rPr>
      </w:pPr>
      <w:r w:rsidRPr="0077490E">
        <w:rPr>
          <w:lang w:val="en-GB"/>
        </w:rPr>
        <w:t xml:space="preserve">The most </w:t>
      </w:r>
      <w:r w:rsidR="00967806" w:rsidRPr="0077490E">
        <w:rPr>
          <w:lang w:val="en-GB"/>
        </w:rPr>
        <w:t>important challenge for KPN is employees’ mind-shift from “</w:t>
      </w:r>
      <w:r w:rsidRPr="0077490E">
        <w:rPr>
          <w:lang w:val="en-GB"/>
        </w:rPr>
        <w:t>telco</w:t>
      </w:r>
      <w:r w:rsidR="00967806" w:rsidRPr="0077490E">
        <w:rPr>
          <w:lang w:val="en-GB"/>
        </w:rPr>
        <w:t>” to “</w:t>
      </w:r>
      <w:r w:rsidRPr="0077490E">
        <w:rPr>
          <w:lang w:val="en-GB"/>
        </w:rPr>
        <w:t>digital</w:t>
      </w:r>
      <w:r w:rsidR="00967806" w:rsidRPr="0077490E">
        <w:rPr>
          <w:lang w:val="en-GB"/>
        </w:rPr>
        <w:t>.”</w:t>
      </w:r>
    </w:p>
    <w:p w14:paraId="519E0725" w14:textId="3145CCB6" w:rsidR="00967806" w:rsidRPr="0077490E" w:rsidRDefault="00967806" w:rsidP="008B17D9">
      <w:pPr>
        <w:pStyle w:val="ExhibitText"/>
        <w:numPr>
          <w:ilvl w:val="0"/>
          <w:numId w:val="24"/>
        </w:numPr>
        <w:rPr>
          <w:lang w:val="en-GB"/>
        </w:rPr>
      </w:pPr>
      <w:r w:rsidRPr="0077490E">
        <w:rPr>
          <w:lang w:val="en-GB"/>
        </w:rPr>
        <w:t xml:space="preserve">Digital </w:t>
      </w:r>
      <w:r w:rsidR="008128D1" w:rsidRPr="0077490E">
        <w:rPr>
          <w:lang w:val="en-GB"/>
        </w:rPr>
        <w:t>t</w:t>
      </w:r>
      <w:r w:rsidRPr="0077490E">
        <w:rPr>
          <w:lang w:val="en-GB"/>
        </w:rPr>
        <w:t xml:space="preserve">ransformation will guide us to </w:t>
      </w:r>
      <w:r w:rsidR="008128D1" w:rsidRPr="0077490E">
        <w:rPr>
          <w:lang w:val="en-GB"/>
        </w:rPr>
        <w:t xml:space="preserve">become </w:t>
      </w:r>
      <w:r w:rsidRPr="0077490E">
        <w:rPr>
          <w:lang w:val="en-GB"/>
        </w:rPr>
        <w:t>a smaller and simplified organization.</w:t>
      </w:r>
    </w:p>
    <w:p w14:paraId="3684E8DD" w14:textId="5E06B112" w:rsidR="00967806" w:rsidRPr="0077490E" w:rsidRDefault="00967806" w:rsidP="008B17D9">
      <w:pPr>
        <w:pStyle w:val="ExhibitText"/>
        <w:numPr>
          <w:ilvl w:val="0"/>
          <w:numId w:val="24"/>
        </w:numPr>
        <w:rPr>
          <w:lang w:val="en-GB"/>
        </w:rPr>
      </w:pPr>
      <w:r w:rsidRPr="0077490E">
        <w:rPr>
          <w:lang w:val="en-GB"/>
        </w:rPr>
        <w:t>Agile working is not a goal in itself, but will be a vehicle to simplify the company.</w:t>
      </w:r>
    </w:p>
    <w:p w14:paraId="6F5EA0C5" w14:textId="2F3C8C1B" w:rsidR="00974816" w:rsidRPr="0077490E" w:rsidRDefault="00967806" w:rsidP="008B17D9">
      <w:pPr>
        <w:pStyle w:val="ExhibitText"/>
        <w:numPr>
          <w:ilvl w:val="0"/>
          <w:numId w:val="24"/>
        </w:numPr>
        <w:rPr>
          <w:lang w:val="en-GB"/>
        </w:rPr>
      </w:pPr>
      <w:r w:rsidRPr="0077490E">
        <w:rPr>
          <w:lang w:val="en-GB"/>
        </w:rPr>
        <w:t xml:space="preserve">Digital </w:t>
      </w:r>
      <w:r w:rsidR="008128D1" w:rsidRPr="0077490E">
        <w:rPr>
          <w:lang w:val="en-GB"/>
        </w:rPr>
        <w:t>t</w:t>
      </w:r>
      <w:r w:rsidRPr="0077490E">
        <w:rPr>
          <w:lang w:val="en-GB"/>
        </w:rPr>
        <w:t xml:space="preserve">ransformation </w:t>
      </w:r>
      <w:proofErr w:type="gramStart"/>
      <w:r w:rsidRPr="0077490E">
        <w:rPr>
          <w:lang w:val="en-GB"/>
        </w:rPr>
        <w:t>has not been given</w:t>
      </w:r>
      <w:proofErr w:type="gramEnd"/>
      <w:r w:rsidRPr="0077490E">
        <w:rPr>
          <w:lang w:val="en-GB"/>
        </w:rPr>
        <w:t xml:space="preserve"> enough priority, but we clearly feel a sense of urgency now.</w:t>
      </w:r>
    </w:p>
    <w:p w14:paraId="141D9164" w14:textId="77777777" w:rsidR="00967806" w:rsidRPr="0077490E" w:rsidRDefault="00967806" w:rsidP="008B17D9">
      <w:pPr>
        <w:pStyle w:val="ExhibitText"/>
        <w:rPr>
          <w:lang w:val="en-GB"/>
        </w:rPr>
      </w:pPr>
    </w:p>
    <w:p w14:paraId="2A7BA77D" w14:textId="1C4AA3E6" w:rsidR="00974816" w:rsidRPr="0077490E" w:rsidRDefault="00974816" w:rsidP="00967806">
      <w:pPr>
        <w:pStyle w:val="Footnote"/>
        <w:rPr>
          <w:lang w:val="en-GB"/>
        </w:rPr>
      </w:pPr>
      <w:r w:rsidRPr="0077490E">
        <w:rPr>
          <w:lang w:val="en-GB"/>
        </w:rPr>
        <w:t>Source: Company documents.</w:t>
      </w:r>
    </w:p>
    <w:p w14:paraId="6EB31174" w14:textId="7942EE62" w:rsidR="00DD7CD7" w:rsidRDefault="00DD7CD7">
      <w:pPr>
        <w:spacing w:after="200" w:line="276" w:lineRule="auto"/>
        <w:rPr>
          <w:rFonts w:ascii="Arial" w:hAnsi="Arial" w:cs="Arial"/>
          <w:lang w:val="en-GB"/>
        </w:rPr>
      </w:pPr>
      <w:r>
        <w:rPr>
          <w:lang w:val="en-GB"/>
        </w:rPr>
        <w:br w:type="page"/>
      </w:r>
    </w:p>
    <w:p w14:paraId="66B17ABC" w14:textId="780DEAB6" w:rsidR="008B17D9" w:rsidRDefault="008B17D9" w:rsidP="008B17D9">
      <w:pPr>
        <w:pStyle w:val="ExhibitHeading"/>
        <w:rPr>
          <w:lang w:val="en-GB"/>
        </w:rPr>
      </w:pPr>
      <w:r w:rsidRPr="0077490E">
        <w:rPr>
          <w:lang w:val="en-GB"/>
        </w:rPr>
        <w:lastRenderedPageBreak/>
        <w:t>EXHIBIT 10: KPN OPERATING MODEL</w:t>
      </w:r>
      <w:r w:rsidR="008128D1" w:rsidRPr="0077490E">
        <w:rPr>
          <w:lang w:val="en-GB"/>
        </w:rPr>
        <w:t>—</w:t>
      </w:r>
      <w:r w:rsidRPr="0077490E">
        <w:rPr>
          <w:lang w:val="en-GB"/>
        </w:rPr>
        <w:t xml:space="preserve">STATUS </w:t>
      </w:r>
      <w:r w:rsidR="008128D1" w:rsidRPr="0077490E">
        <w:rPr>
          <w:lang w:val="en-GB"/>
        </w:rPr>
        <w:t xml:space="preserve">at </w:t>
      </w:r>
      <w:r w:rsidRPr="0077490E">
        <w:rPr>
          <w:lang w:val="en-GB"/>
        </w:rPr>
        <w:t>MID-2018</w:t>
      </w:r>
    </w:p>
    <w:p w14:paraId="48F233CA" w14:textId="77777777" w:rsidR="00DD7CD7" w:rsidRPr="0077490E" w:rsidRDefault="00DD7CD7" w:rsidP="00DD7CD7">
      <w:pPr>
        <w:pStyle w:val="ExhibitText"/>
        <w:rPr>
          <w:lang w:val="en-GB"/>
        </w:rPr>
      </w:pPr>
    </w:p>
    <w:p w14:paraId="77624135" w14:textId="1463A9E8" w:rsidR="008B17D9" w:rsidRPr="0077490E" w:rsidRDefault="00E05A44" w:rsidP="008B17D9">
      <w:pPr>
        <w:pStyle w:val="ExhibitText"/>
        <w:jc w:val="center"/>
        <w:rPr>
          <w:lang w:val="en-GB"/>
        </w:rPr>
      </w:pPr>
      <w:r w:rsidRPr="0077490E">
        <w:rPr>
          <w:noProof/>
          <w:lang w:val="en-CA" w:eastAsia="en-CA"/>
        </w:rPr>
        <w:drawing>
          <wp:inline distT="0" distB="0" distL="0" distR="0" wp14:anchorId="5F5009C6" wp14:editId="1C93D5EF">
            <wp:extent cx="5943600" cy="2526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26665"/>
                    </a:xfrm>
                    <a:prstGeom prst="rect">
                      <a:avLst/>
                    </a:prstGeom>
                  </pic:spPr>
                </pic:pic>
              </a:graphicData>
            </a:graphic>
          </wp:inline>
        </w:drawing>
      </w:r>
      <w:r w:rsidRPr="0077490E">
        <w:rPr>
          <w:lang w:val="en-GB" w:eastAsia="en-CA"/>
        </w:rPr>
        <w:t xml:space="preserve"> </w:t>
      </w:r>
    </w:p>
    <w:p w14:paraId="12126CB3" w14:textId="77777777" w:rsidR="008B6F11" w:rsidRPr="0077490E" w:rsidRDefault="008B6F11" w:rsidP="008B6F11">
      <w:pPr>
        <w:pStyle w:val="ExhibitText"/>
        <w:rPr>
          <w:lang w:val="en-GB"/>
        </w:rPr>
      </w:pPr>
    </w:p>
    <w:p w14:paraId="25D93500" w14:textId="1BE1A743" w:rsidR="008128D1" w:rsidRPr="0077490E" w:rsidRDefault="008128D1" w:rsidP="008B6F11">
      <w:pPr>
        <w:pStyle w:val="Footnote"/>
        <w:rPr>
          <w:lang w:val="en-GB"/>
        </w:rPr>
      </w:pPr>
      <w:r w:rsidRPr="0077490E">
        <w:rPr>
          <w:lang w:val="en-GB"/>
        </w:rPr>
        <w:t xml:space="preserve">Notes: B2B = business to business; OTT = over the top; </w:t>
      </w:r>
      <w:r w:rsidR="00B22C99">
        <w:rPr>
          <w:lang w:val="en-GB"/>
        </w:rPr>
        <w:t xml:space="preserve">BSS = </w:t>
      </w:r>
      <w:r w:rsidR="007229F7">
        <w:rPr>
          <w:rStyle w:val="FootnoteChar"/>
          <w:lang w:val="en-GB"/>
        </w:rPr>
        <w:t>b</w:t>
      </w:r>
      <w:r w:rsidR="00AA52D6">
        <w:rPr>
          <w:rStyle w:val="FootnoteChar"/>
          <w:lang w:val="en-GB"/>
        </w:rPr>
        <w:t xml:space="preserve">usiness </w:t>
      </w:r>
      <w:r w:rsidR="007229F7">
        <w:rPr>
          <w:rStyle w:val="FootnoteChar"/>
          <w:lang w:val="en-GB"/>
        </w:rPr>
        <w:t>s</w:t>
      </w:r>
      <w:r w:rsidR="00AA52D6">
        <w:rPr>
          <w:rStyle w:val="FootnoteChar"/>
          <w:lang w:val="en-GB"/>
        </w:rPr>
        <w:t xml:space="preserve">upport </w:t>
      </w:r>
      <w:r w:rsidR="007229F7">
        <w:rPr>
          <w:rStyle w:val="FootnoteChar"/>
          <w:lang w:val="en-GB"/>
        </w:rPr>
        <w:t>s</w:t>
      </w:r>
      <w:r w:rsidR="00AA52D6">
        <w:rPr>
          <w:rStyle w:val="FootnoteChar"/>
          <w:lang w:val="en-GB"/>
        </w:rPr>
        <w:t xml:space="preserve">ystems; </w:t>
      </w:r>
      <w:r w:rsidR="00AA52D6" w:rsidRPr="0077490E">
        <w:rPr>
          <w:rStyle w:val="FootnoteChar"/>
          <w:lang w:val="en-GB"/>
        </w:rPr>
        <w:t>OSS =</w:t>
      </w:r>
      <w:r w:rsidR="00AA52D6">
        <w:rPr>
          <w:rStyle w:val="FootnoteChar"/>
          <w:lang w:val="en-GB"/>
        </w:rPr>
        <w:t xml:space="preserve"> </w:t>
      </w:r>
      <w:r w:rsidR="007229F7">
        <w:rPr>
          <w:rStyle w:val="FootnoteChar"/>
          <w:lang w:val="en-GB"/>
        </w:rPr>
        <w:t>o</w:t>
      </w:r>
      <w:r w:rsidR="00AA52D6">
        <w:rPr>
          <w:rStyle w:val="FootnoteChar"/>
          <w:lang w:val="en-GB"/>
        </w:rPr>
        <w:t xml:space="preserve">perations </w:t>
      </w:r>
      <w:r w:rsidR="007229F7">
        <w:rPr>
          <w:rStyle w:val="FootnoteChar"/>
          <w:lang w:val="en-GB"/>
        </w:rPr>
        <w:t>s</w:t>
      </w:r>
      <w:r w:rsidR="00AA52D6">
        <w:rPr>
          <w:rStyle w:val="FootnoteChar"/>
          <w:lang w:val="en-GB"/>
        </w:rPr>
        <w:t xml:space="preserve">upport </w:t>
      </w:r>
      <w:r w:rsidR="007229F7">
        <w:rPr>
          <w:rStyle w:val="FootnoteChar"/>
          <w:lang w:val="en-GB"/>
        </w:rPr>
        <w:t>s</w:t>
      </w:r>
      <w:r w:rsidR="00AA52D6">
        <w:rPr>
          <w:rStyle w:val="FootnoteChar"/>
          <w:lang w:val="en-GB"/>
        </w:rPr>
        <w:t>ystems</w:t>
      </w:r>
      <w:r w:rsidR="007229F7">
        <w:rPr>
          <w:rStyle w:val="FootnoteChar"/>
          <w:lang w:val="en-GB"/>
        </w:rPr>
        <w:t>.</w:t>
      </w:r>
    </w:p>
    <w:p w14:paraId="67E0D3A9" w14:textId="703EBAE3" w:rsidR="008B6F11" w:rsidRPr="0077490E" w:rsidRDefault="008B6F11" w:rsidP="008B6F11">
      <w:pPr>
        <w:pStyle w:val="Footnote"/>
        <w:rPr>
          <w:lang w:val="en-GB"/>
        </w:rPr>
      </w:pPr>
      <w:r w:rsidRPr="0077490E">
        <w:rPr>
          <w:lang w:val="en-GB"/>
        </w:rPr>
        <w:t>Source: Company documents</w:t>
      </w:r>
      <w:r w:rsidR="008128D1" w:rsidRPr="0077490E">
        <w:rPr>
          <w:lang w:val="en-GB"/>
        </w:rPr>
        <w:t>.</w:t>
      </w:r>
    </w:p>
    <w:p w14:paraId="1D223A20" w14:textId="77777777" w:rsidR="008B6F11" w:rsidRPr="0077490E" w:rsidRDefault="008B6F11" w:rsidP="008B6F11">
      <w:pPr>
        <w:pStyle w:val="ExhibitText"/>
        <w:rPr>
          <w:lang w:val="en-GB"/>
        </w:rPr>
      </w:pPr>
    </w:p>
    <w:sectPr w:rsidR="008B6F11" w:rsidRPr="0077490E" w:rsidSect="00DD7CD7">
      <w:headerReference w:type="default" r:id="rId26"/>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6D7B5E" w16cid:durableId="209B6CA4"/>
  <w16cid:commentId w16cid:paraId="1D0FB8B7" w16cid:durableId="209B7750"/>
  <w16cid:commentId w16cid:paraId="5B7F3B3E" w16cid:durableId="209B8091"/>
  <w16cid:commentId w16cid:paraId="507F74F8" w16cid:durableId="209B6CA5"/>
  <w16cid:commentId w16cid:paraId="2420CEB1" w16cid:durableId="209B6E8B"/>
  <w16cid:commentId w16cid:paraId="5D09FE63" w16cid:durableId="209B6ED8"/>
  <w16cid:commentId w16cid:paraId="78968161" w16cid:durableId="209B705F"/>
  <w16cid:commentId w16cid:paraId="46A0845B" w16cid:durableId="209B6CA6"/>
  <w16cid:commentId w16cid:paraId="109E0D68" w16cid:durableId="209B714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8EB41" w14:textId="77777777" w:rsidR="0054603A" w:rsidRDefault="0054603A" w:rsidP="00D75295">
      <w:r>
        <w:separator/>
      </w:r>
    </w:p>
  </w:endnote>
  <w:endnote w:type="continuationSeparator" w:id="0">
    <w:p w14:paraId="569A8FBE" w14:textId="77777777" w:rsidR="0054603A" w:rsidRDefault="0054603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algun Gothic Semilight"/>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KPN Metric Light">
    <w:altName w:val="Calibri"/>
    <w:panose1 w:val="00000000000000000000"/>
    <w:charset w:val="00"/>
    <w:family w:val="swiss"/>
    <w:notTrueType/>
    <w:pitch w:val="default"/>
    <w:sig w:usb0="00000003" w:usb1="00000000" w:usb2="00000000" w:usb3="00000000" w:csb0="00000001" w:csb1="00000000"/>
  </w:font>
  <w:font w:name="KPN Accent">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9AF3C" w14:textId="77777777" w:rsidR="0054603A" w:rsidRDefault="0054603A" w:rsidP="00D75295">
      <w:r>
        <w:separator/>
      </w:r>
    </w:p>
  </w:footnote>
  <w:footnote w:type="continuationSeparator" w:id="0">
    <w:p w14:paraId="21846AE7" w14:textId="77777777" w:rsidR="0054603A" w:rsidRDefault="0054603A" w:rsidP="00D75295">
      <w:r>
        <w:continuationSeparator/>
      </w:r>
    </w:p>
  </w:footnote>
  <w:footnote w:id="1">
    <w:p w14:paraId="70CD4C3A" w14:textId="1F19DCB8" w:rsidR="00BD2640" w:rsidRPr="00243A10" w:rsidRDefault="00BD2640" w:rsidP="00243A10">
      <w:pPr>
        <w:pStyle w:val="Footnote"/>
        <w:rPr>
          <w:lang w:val="en-CA"/>
        </w:rPr>
      </w:pPr>
      <w:r>
        <w:rPr>
          <w:rStyle w:val="FootnoteReference"/>
        </w:rPr>
        <w:footnoteRef/>
      </w:r>
      <w:r>
        <w:t xml:space="preserve"> </w:t>
      </w:r>
      <w:r w:rsidRPr="008847A0">
        <w:t>€</w:t>
      </w:r>
      <w:r>
        <w:t xml:space="preserve"> = euro; </w:t>
      </w:r>
      <w:r w:rsidRPr="008847A0">
        <w:t>€</w:t>
      </w:r>
      <w:r>
        <w:t>1 = US$1.1693 as of June 1, 2018</w:t>
      </w:r>
      <w:r w:rsidR="006647C3">
        <w:t>;</w:t>
      </w:r>
      <w:r w:rsidR="006647C3" w:rsidRPr="006647C3">
        <w:t xml:space="preserve"> All currency amounts are in </w:t>
      </w:r>
      <w:r w:rsidR="006647C3" w:rsidRPr="008847A0">
        <w:t>€</w:t>
      </w:r>
      <w:r w:rsidR="006647C3">
        <w:t xml:space="preserve"> </w:t>
      </w:r>
      <w:r w:rsidR="006647C3" w:rsidRPr="006647C3">
        <w:t>unless otherwise specified.</w:t>
      </w:r>
      <w:r w:rsidR="006647C3">
        <w:t xml:space="preserve"> </w:t>
      </w:r>
    </w:p>
  </w:footnote>
  <w:footnote w:id="2">
    <w:p w14:paraId="3AA1C63E" w14:textId="7434D42F" w:rsidR="00BD2640" w:rsidRDefault="00BD2640" w:rsidP="00920CC0">
      <w:pPr>
        <w:pStyle w:val="FootnoteText"/>
        <w:jc w:val="both"/>
      </w:pPr>
      <w:r w:rsidRPr="001C4402">
        <w:rPr>
          <w:rStyle w:val="FootnoteChar"/>
          <w:vertAlign w:val="superscript"/>
        </w:rPr>
        <w:footnoteRef/>
      </w:r>
      <w:r w:rsidRPr="001C4402">
        <w:rPr>
          <w:rStyle w:val="FootnoteChar"/>
          <w:vertAlign w:val="superscript"/>
        </w:rPr>
        <w:t xml:space="preserve"> </w:t>
      </w:r>
      <w:r w:rsidRPr="00920CC0">
        <w:rPr>
          <w:rStyle w:val="FootnoteChar"/>
        </w:rPr>
        <w:t>Industry 4.0 was a paradigm referring to the transformation of industrial manufacturing and supply chains through exploitation of the potential of new technologies.</w:t>
      </w:r>
    </w:p>
  </w:footnote>
  <w:footnote w:id="3">
    <w:p w14:paraId="5E277984" w14:textId="3CA71173" w:rsidR="003F725D" w:rsidRDefault="003F725D" w:rsidP="003F725D">
      <w:pPr>
        <w:pStyle w:val="Footnote"/>
      </w:pPr>
      <w:r>
        <w:rPr>
          <w:rStyle w:val="FootnoteReference"/>
        </w:rPr>
        <w:footnoteRef/>
      </w:r>
      <w:r>
        <w:t xml:space="preserve"> </w:t>
      </w:r>
      <w:r w:rsidR="00272710">
        <w:t xml:space="preserve">Google, “FAQ What is an </w:t>
      </w:r>
      <w:proofErr w:type="spellStart"/>
      <w:r w:rsidR="00272710">
        <w:t>eSIM</w:t>
      </w:r>
      <w:proofErr w:type="spellEnd"/>
      <w:r w:rsidR="00272710">
        <w:t xml:space="preserve">,” Google FI, accessed May 31 2019, </w:t>
      </w:r>
      <w:r w:rsidR="00272710" w:rsidRPr="00272710">
        <w:t>https://</w:t>
      </w:r>
      <w:r w:rsidR="00272710" w:rsidRPr="00BC41B1">
        <w:t>fi.google.com/about/faq/#devices-10</w:t>
      </w:r>
      <w:r w:rsidR="00272710">
        <w:t>.</w:t>
      </w:r>
      <w:r w:rsidR="00272710">
        <w:t>;</w:t>
      </w:r>
      <w:r w:rsidR="00272710" w:rsidRPr="00272710">
        <w:t xml:space="preserve"> </w:t>
      </w:r>
      <w:r w:rsidR="00272710">
        <w:t xml:space="preserve">Apple Inc., “Using a Dual SIM with an </w:t>
      </w:r>
      <w:proofErr w:type="spellStart"/>
      <w:r w:rsidR="00272710">
        <w:t>eSIM</w:t>
      </w:r>
      <w:proofErr w:type="spellEnd"/>
      <w:r w:rsidR="00272710">
        <w:t xml:space="preserve">,” Apple Inc., accessed May 31 2019, </w:t>
      </w:r>
      <w:r w:rsidR="00272710" w:rsidRPr="00272710">
        <w:t>https</w:t>
      </w:r>
      <w:proofErr w:type="gramStart"/>
      <w:r w:rsidR="00272710" w:rsidRPr="00272710">
        <w:t>:/</w:t>
      </w:r>
      <w:proofErr w:type="gramEnd"/>
      <w:r w:rsidR="00272710" w:rsidRPr="00272710">
        <w:t>/</w:t>
      </w:r>
      <w:r w:rsidR="00272710" w:rsidRPr="00BC41B1">
        <w:t>support.apple.com/en-ca/HT209044</w:t>
      </w:r>
      <w:r w:rsidR="00272710">
        <w:t>.</w:t>
      </w:r>
      <w:r w:rsidR="00272710">
        <w:t xml:space="preserve">; </w:t>
      </w:r>
      <w:r>
        <w:t>GSMA, “</w:t>
      </w:r>
      <w:proofErr w:type="spellStart"/>
      <w:r>
        <w:t>eSIM</w:t>
      </w:r>
      <w:proofErr w:type="spellEnd"/>
      <w:r>
        <w:t>,” GSMA, accessed May 31 2019,</w:t>
      </w:r>
      <w:r w:rsidRPr="003F725D">
        <w:t xml:space="preserve"> www.gsma.com/esim/</w:t>
      </w:r>
      <w:r>
        <w:t>.</w:t>
      </w:r>
    </w:p>
  </w:footnote>
  <w:footnote w:id="4">
    <w:p w14:paraId="5D85FF23" w14:textId="46505305" w:rsidR="00BC429C" w:rsidRDefault="00BC429C" w:rsidP="00BC429C">
      <w:pPr>
        <w:pStyle w:val="Footnote"/>
      </w:pPr>
      <w:r>
        <w:rPr>
          <w:rStyle w:val="FootnoteReference"/>
        </w:rPr>
        <w:footnoteRef/>
      </w:r>
      <w:r>
        <w:t xml:space="preserve"> </w:t>
      </w:r>
      <w:r w:rsidRPr="00BC429C">
        <w:t xml:space="preserve">Jürgen </w:t>
      </w:r>
      <w:proofErr w:type="spellStart"/>
      <w:r w:rsidRPr="00BC429C">
        <w:t>Meffert</w:t>
      </w:r>
      <w:proofErr w:type="spellEnd"/>
      <w:r w:rsidRPr="00BC429C">
        <w:t xml:space="preserve"> and Niko Mohr, “Overwhelming OTT: Telco’s Growth Strategy in a Digital World,” McK</w:t>
      </w:r>
      <w:bookmarkStart w:id="1" w:name="_GoBack"/>
      <w:bookmarkEnd w:id="1"/>
      <w:r w:rsidRPr="00BC429C">
        <w:t>insey &amp; Company, January 2017, accessed December 23, 2018, www.mckinsey.com/industries/telecommunications/our-insights/overwhelming-ott-telcos-growth-strategy-in-a-digital-world</w:t>
      </w:r>
      <w:r>
        <w:t>.</w:t>
      </w:r>
    </w:p>
  </w:footnote>
  <w:footnote w:id="5">
    <w:p w14:paraId="18B90293" w14:textId="23CB5F9B" w:rsidR="00BD2640" w:rsidRPr="00412273" w:rsidRDefault="00BD2640" w:rsidP="00F11C91">
      <w:pPr>
        <w:pStyle w:val="Footnote"/>
        <w:rPr>
          <w:lang w:val="en-GB"/>
        </w:rPr>
      </w:pPr>
      <w:r w:rsidRPr="00412273">
        <w:rPr>
          <w:rStyle w:val="FootnoteReference"/>
        </w:rPr>
        <w:footnoteRef/>
      </w:r>
      <w:r w:rsidRPr="00412273">
        <w:t xml:space="preserve"> The n</w:t>
      </w:r>
      <w:r w:rsidRPr="00412273">
        <w:rPr>
          <w:lang w:val="en-GB"/>
        </w:rPr>
        <w:t xml:space="preserve">et promoter score (NPS) </w:t>
      </w:r>
      <w:r>
        <w:rPr>
          <w:lang w:val="en-GB"/>
        </w:rPr>
        <w:t>wa</w:t>
      </w:r>
      <w:r w:rsidRPr="00412273">
        <w:rPr>
          <w:lang w:val="en-GB"/>
        </w:rPr>
        <w:t xml:space="preserve">s a metric ranging from </w:t>
      </w:r>
      <w:r>
        <w:rPr>
          <w:lang w:val="en-GB"/>
        </w:rPr>
        <w:t>−</w:t>
      </w:r>
      <w:r w:rsidRPr="00412273">
        <w:rPr>
          <w:lang w:val="en-GB"/>
        </w:rPr>
        <w:t>100 to 100 that measure</w:t>
      </w:r>
      <w:r>
        <w:rPr>
          <w:lang w:val="en-GB"/>
        </w:rPr>
        <w:t>d</w:t>
      </w:r>
      <w:r w:rsidRPr="00412273">
        <w:rPr>
          <w:lang w:val="en-GB"/>
        </w:rPr>
        <w:t xml:space="preserve"> the willingness of customers to recommend a company</w:t>
      </w:r>
      <w:r>
        <w:rPr>
          <w:lang w:val="en-GB"/>
        </w:rPr>
        <w:t>’</w:t>
      </w:r>
      <w:r w:rsidRPr="00412273">
        <w:rPr>
          <w:lang w:val="en-GB"/>
        </w:rPr>
        <w:t>s products or services to others. Companies use</w:t>
      </w:r>
      <w:r>
        <w:rPr>
          <w:lang w:val="en-GB"/>
        </w:rPr>
        <w:t>d</w:t>
      </w:r>
      <w:r w:rsidRPr="00412273">
        <w:rPr>
          <w:lang w:val="en-GB"/>
        </w:rPr>
        <w:t xml:space="preserve"> it to measure customer satisfaction with a product or service and loyalty to </w:t>
      </w:r>
      <w:r>
        <w:rPr>
          <w:lang w:val="en-GB"/>
        </w:rPr>
        <w:t>a</w:t>
      </w:r>
      <w:r w:rsidRPr="00412273">
        <w:rPr>
          <w:lang w:val="en-GB"/>
        </w:rPr>
        <w:t xml:space="preserve"> brand.</w:t>
      </w:r>
    </w:p>
  </w:footnote>
  <w:footnote w:id="6">
    <w:p w14:paraId="0CA477E1" w14:textId="10970956" w:rsidR="00BD2640" w:rsidRPr="00850330" w:rsidRDefault="00BD2640" w:rsidP="00F11C91">
      <w:pPr>
        <w:pStyle w:val="Footnote"/>
        <w:rPr>
          <w:lang w:val="en-GB"/>
        </w:rPr>
      </w:pPr>
      <w:r>
        <w:rPr>
          <w:rStyle w:val="FootnoteReference"/>
        </w:rPr>
        <w:footnoteRef/>
      </w:r>
      <w:r>
        <w:t xml:space="preserve"> An </w:t>
      </w:r>
      <w:proofErr w:type="gramStart"/>
      <w:r>
        <w:t>application programming</w:t>
      </w:r>
      <w:proofErr w:type="gramEnd"/>
      <w:r>
        <w:t xml:space="preserve"> interface (API) provided access</w:t>
      </w:r>
      <w:r>
        <w:rPr>
          <w:lang w:val="en-GB"/>
        </w:rPr>
        <w:t xml:space="preserve"> to an information system component through a</w:t>
      </w:r>
      <w:r w:rsidRPr="00850330">
        <w:rPr>
          <w:lang w:val="en-GB"/>
        </w:rPr>
        <w:t xml:space="preserve"> set of routines, protocols</w:t>
      </w:r>
      <w:r>
        <w:rPr>
          <w:lang w:val="en-GB"/>
        </w:rPr>
        <w:t>,</w:t>
      </w:r>
      <w:r w:rsidRPr="00850330">
        <w:rPr>
          <w:lang w:val="en-GB"/>
        </w:rPr>
        <w:t xml:space="preserve"> and tools</w:t>
      </w:r>
      <w:r>
        <w:rPr>
          <w:lang w:val="en-GB"/>
        </w:rPr>
        <w:t>, making it easier for developers to use the component as building blocks to create</w:t>
      </w:r>
      <w:r w:rsidRPr="00850330">
        <w:rPr>
          <w:lang w:val="en-GB"/>
        </w:rPr>
        <w:t xml:space="preserve"> software applications</w:t>
      </w:r>
      <w:r>
        <w:rPr>
          <w:lang w:val="en-GB"/>
        </w:rPr>
        <w:t>.</w:t>
      </w:r>
    </w:p>
  </w:footnote>
  <w:footnote w:id="7">
    <w:p w14:paraId="1C97A83D" w14:textId="2EF14BB9" w:rsidR="00BD2640" w:rsidRPr="00412273" w:rsidRDefault="00BD2640" w:rsidP="00F11C91">
      <w:pPr>
        <w:pStyle w:val="Footnote"/>
        <w:rPr>
          <w:lang w:val="en-GB"/>
        </w:rPr>
      </w:pPr>
      <w:r w:rsidRPr="00412273">
        <w:rPr>
          <w:rStyle w:val="FootnoteReference"/>
        </w:rPr>
        <w:footnoteRef/>
      </w:r>
      <w:r w:rsidRPr="00412273">
        <w:t xml:space="preserve"> </w:t>
      </w:r>
      <w:r>
        <w:t xml:space="preserve">Scrum was a popular agile project </w:t>
      </w:r>
      <w:r w:rsidRPr="00F72515">
        <w:rPr>
          <w:lang w:val="en-GB"/>
        </w:rPr>
        <w:t xml:space="preserve">management method used primarily for software development projects with the goal of delivering new software </w:t>
      </w:r>
      <w:r>
        <w:rPr>
          <w:lang w:val="en-GB"/>
        </w:rPr>
        <w:t>in short cycles called sprints. Development methods labelled “agile” subscribed to the agile manifesto’s values</w:t>
      </w:r>
      <w:proofErr w:type="gramStart"/>
      <w:r>
        <w:rPr>
          <w:lang w:val="en-GB"/>
        </w:rPr>
        <w:t>;</w:t>
      </w:r>
      <w:proofErr w:type="gramEnd"/>
      <w:r>
        <w:rPr>
          <w:lang w:val="en-GB"/>
        </w:rPr>
        <w:t xml:space="preserve"> </w:t>
      </w:r>
      <w:r w:rsidRPr="00A33CC7">
        <w:rPr>
          <w:lang w:val="en-GB"/>
        </w:rPr>
        <w:t>see K</w:t>
      </w:r>
      <w:r>
        <w:rPr>
          <w:lang w:val="en-GB"/>
        </w:rPr>
        <w:t>ent</w:t>
      </w:r>
      <w:r w:rsidRPr="00A33CC7">
        <w:rPr>
          <w:lang w:val="en-GB"/>
        </w:rPr>
        <w:t xml:space="preserve"> Beck et al., “Manifesto for Agile Software Development,” Agile Manifesto, February 2001, accessed December 23, 2018, </w:t>
      </w:r>
      <w:r>
        <w:rPr>
          <w:lang w:val="en-GB"/>
        </w:rPr>
        <w:t>https://</w:t>
      </w:r>
      <w:r w:rsidRPr="00A33CC7">
        <w:rPr>
          <w:lang w:val="en-GB"/>
        </w:rPr>
        <w:t>agilemanifesto.org.</w:t>
      </w:r>
      <w:r>
        <w:rPr>
          <w:lang w:val="en-GB"/>
        </w:rPr>
        <w:t xml:space="preserve"> </w:t>
      </w:r>
    </w:p>
  </w:footnote>
  <w:footnote w:id="8">
    <w:p w14:paraId="0E13C813" w14:textId="77777777" w:rsidR="00BD2640" w:rsidRPr="00B40A72" w:rsidRDefault="00BD2640" w:rsidP="0085035B">
      <w:pPr>
        <w:pStyle w:val="Footnote"/>
        <w:rPr>
          <w:lang w:val="en-GB"/>
        </w:rPr>
      </w:pPr>
      <w:r>
        <w:rPr>
          <w:rStyle w:val="FootnoteReference"/>
        </w:rPr>
        <w:footnoteRef/>
      </w:r>
      <w:r>
        <w:t xml:space="preserve"> </w:t>
      </w:r>
      <w:r w:rsidRPr="00B40A72">
        <w:rPr>
          <w:lang w:val="en-GB"/>
        </w:rPr>
        <w:t xml:space="preserve">TM Forum </w:t>
      </w:r>
      <w:r>
        <w:rPr>
          <w:lang w:val="en-GB"/>
        </w:rPr>
        <w:t>was</w:t>
      </w:r>
      <w:r w:rsidRPr="00B40A72">
        <w:rPr>
          <w:lang w:val="en-GB"/>
        </w:rPr>
        <w:t xml:space="preserve"> a non-profit industry association for service providers</w:t>
      </w:r>
      <w:r>
        <w:rPr>
          <w:lang w:val="en-GB"/>
        </w:rPr>
        <w:t xml:space="preserve"> </w:t>
      </w:r>
      <w:r w:rsidRPr="00B40A72">
        <w:rPr>
          <w:lang w:val="en-GB"/>
        </w:rPr>
        <w:t>and their suppliers in the telecommunications industry</w:t>
      </w:r>
      <w:r>
        <w:rPr>
          <w:lang w:val="en-GB"/>
        </w:rPr>
        <w:t xml:space="preserve"> (e.g., </w:t>
      </w:r>
      <w:r w:rsidRPr="00B40A72">
        <w:rPr>
          <w:lang w:val="en-GB"/>
        </w:rPr>
        <w:t xml:space="preserve">network operators, software suppliers, </w:t>
      </w:r>
      <w:r>
        <w:rPr>
          <w:lang w:val="en-GB"/>
        </w:rPr>
        <w:t xml:space="preserve">and </w:t>
      </w:r>
      <w:r w:rsidRPr="00B40A72">
        <w:rPr>
          <w:lang w:val="en-GB"/>
        </w:rPr>
        <w:t>management consultan</w:t>
      </w:r>
      <w:r>
        <w:rPr>
          <w:lang w:val="en-GB"/>
        </w:rPr>
        <w:t>t</w:t>
      </w:r>
      <w:r w:rsidRPr="00B40A72">
        <w:rPr>
          <w:lang w:val="en-GB"/>
        </w:rPr>
        <w:t>s</w:t>
      </w:r>
      <w:r>
        <w:rPr>
          <w:lang w:val="en-GB"/>
        </w:rPr>
        <w:t>)</w:t>
      </w:r>
      <w:r w:rsidRPr="00B40A72">
        <w:rPr>
          <w:lang w:val="en-GB"/>
        </w:rPr>
        <w:t xml:space="preserve">. As of June 2017, the </w:t>
      </w:r>
      <w:r>
        <w:rPr>
          <w:lang w:val="en-GB"/>
        </w:rPr>
        <w:t>f</w:t>
      </w:r>
      <w:r w:rsidRPr="00B40A72">
        <w:rPr>
          <w:lang w:val="en-GB"/>
        </w:rPr>
        <w:t>orum had over 850 member companies that collectively generate</w:t>
      </w:r>
      <w:r>
        <w:rPr>
          <w:lang w:val="en-GB"/>
        </w:rPr>
        <w:t>d</w:t>
      </w:r>
      <w:r w:rsidRPr="00B40A72">
        <w:rPr>
          <w:lang w:val="en-GB"/>
        </w:rPr>
        <w:t xml:space="preserve"> </w:t>
      </w:r>
      <w:r>
        <w:rPr>
          <w:lang w:val="en-GB"/>
        </w:rPr>
        <w:t>US$2</w:t>
      </w:r>
      <w:r w:rsidRPr="00B40A72">
        <w:rPr>
          <w:lang w:val="en-GB"/>
        </w:rPr>
        <w:t xml:space="preserve"> </w:t>
      </w:r>
      <w:r>
        <w:rPr>
          <w:lang w:val="en-GB"/>
        </w:rPr>
        <w:t xml:space="preserve">trillion </w:t>
      </w:r>
      <w:r w:rsidRPr="00B40A72">
        <w:rPr>
          <w:lang w:val="en-GB"/>
        </w:rPr>
        <w:t>in revenue and serve</w:t>
      </w:r>
      <w:r>
        <w:rPr>
          <w:lang w:val="en-GB"/>
        </w:rPr>
        <w:t>d</w:t>
      </w:r>
      <w:r w:rsidRPr="00B40A72">
        <w:rPr>
          <w:lang w:val="en-GB"/>
        </w:rPr>
        <w:t xml:space="preserve"> </w:t>
      </w:r>
      <w:r>
        <w:rPr>
          <w:lang w:val="en-GB"/>
        </w:rPr>
        <w:t>5 billion</w:t>
      </w:r>
      <w:r w:rsidRPr="00B40A72">
        <w:rPr>
          <w:lang w:val="en-GB"/>
        </w:rPr>
        <w:t xml:space="preserve"> customers across 180 countries.</w:t>
      </w:r>
    </w:p>
  </w:footnote>
  <w:footnote w:id="9">
    <w:p w14:paraId="7612D41A" w14:textId="717879F7" w:rsidR="00BD2640" w:rsidRPr="00D309C7" w:rsidRDefault="00BD2640" w:rsidP="00F11C91">
      <w:pPr>
        <w:pStyle w:val="Footnote"/>
        <w:rPr>
          <w:lang w:val="en-GB"/>
        </w:rPr>
      </w:pPr>
      <w:r w:rsidRPr="00412273">
        <w:rPr>
          <w:rStyle w:val="FootnoteReference"/>
        </w:rPr>
        <w:footnoteRef/>
      </w:r>
      <w:r w:rsidRPr="00920CC0">
        <w:rPr>
          <w:spacing w:val="-4"/>
        </w:rPr>
        <w:t xml:space="preserve"> </w:t>
      </w:r>
      <w:r w:rsidRPr="00920CC0">
        <w:rPr>
          <w:spacing w:val="-4"/>
          <w:lang w:val="en-GB"/>
        </w:rPr>
        <w:t xml:space="preserve">In 2014, Henrik </w:t>
      </w:r>
      <w:proofErr w:type="spellStart"/>
      <w:r w:rsidRPr="00920CC0">
        <w:rPr>
          <w:spacing w:val="-4"/>
          <w:lang w:val="en-GB"/>
        </w:rPr>
        <w:t>Kniberg</w:t>
      </w:r>
      <w:proofErr w:type="spellEnd"/>
      <w:r w:rsidRPr="00920CC0">
        <w:rPr>
          <w:spacing w:val="-4"/>
          <w:lang w:val="en-GB"/>
        </w:rPr>
        <w:t xml:space="preserve">, an agile/lean coach working mostly with Lego and Spotify, explained the engineering culture at Spotify in two videos on the Spotify Labs blog. See Henrik </w:t>
      </w:r>
      <w:proofErr w:type="spellStart"/>
      <w:r w:rsidRPr="00920CC0">
        <w:rPr>
          <w:spacing w:val="-4"/>
          <w:lang w:val="en-GB"/>
        </w:rPr>
        <w:t>Kniberg</w:t>
      </w:r>
      <w:proofErr w:type="spellEnd"/>
      <w:r w:rsidRPr="00920CC0">
        <w:rPr>
          <w:spacing w:val="-4"/>
          <w:lang w:val="en-GB"/>
        </w:rPr>
        <w:t>, “Spotify Engineering Culture (Part 1),” Spotify Labs, March 27, 2014, accessed December 23, 2018, https://labs.spotify.com/2014/03/27/spotify-engineering-culture-part-1/.</w:t>
      </w:r>
    </w:p>
  </w:footnote>
  <w:footnote w:id="10">
    <w:p w14:paraId="4B5FE826" w14:textId="79F2BBB7" w:rsidR="00BD2640" w:rsidRPr="00BE6709" w:rsidRDefault="00BD2640" w:rsidP="00F11C91">
      <w:pPr>
        <w:pStyle w:val="Footnote"/>
      </w:pPr>
      <w:r>
        <w:rPr>
          <w:rStyle w:val="FootnoteReference"/>
        </w:rPr>
        <w:footnoteRef/>
      </w:r>
      <w:r>
        <w:t xml:space="preserve"> For an illustration of the WeChat Go Europe offering, </w:t>
      </w:r>
      <w:r w:rsidRPr="00A33CC7">
        <w:t xml:space="preserve">see “WeChat Go Europe,” </w:t>
      </w:r>
      <w:r>
        <w:t>YouTube video, 1:11, posted by “</w:t>
      </w:r>
      <w:proofErr w:type="spellStart"/>
      <w:r>
        <w:t>WeGoEU</w:t>
      </w:r>
      <w:proofErr w:type="spellEnd"/>
      <w:r>
        <w:t xml:space="preserve"> KPN</w:t>
      </w:r>
      <w:r w:rsidRPr="00A33CC7">
        <w:t>,</w:t>
      </w:r>
      <w:r>
        <w:t>”</w:t>
      </w:r>
      <w:r w:rsidRPr="00A33CC7">
        <w:t xml:space="preserve"> July 11, 2018, accessed December 23, 2018, </w:t>
      </w:r>
      <w:r>
        <w:t>www.</w:t>
      </w:r>
      <w:r w:rsidRPr="00A33CC7">
        <w:t>youtu.be/J2UB2sJvZ60.</w:t>
      </w:r>
      <w:r>
        <w:t xml:space="preserve"> </w:t>
      </w:r>
    </w:p>
  </w:footnote>
  <w:footnote w:id="11">
    <w:p w14:paraId="3959E52D" w14:textId="017EFA98" w:rsidR="00BD2640" w:rsidRPr="009A5C35" w:rsidRDefault="00BD2640" w:rsidP="00F11C91">
      <w:pPr>
        <w:pStyle w:val="Footnote"/>
      </w:pPr>
      <w:r>
        <w:rPr>
          <w:rStyle w:val="FootnoteReference"/>
        </w:rPr>
        <w:footnoteRef/>
      </w:r>
      <w:r>
        <w:t xml:space="preserve"> </w:t>
      </w:r>
      <w:r w:rsidRPr="00BA233E">
        <w:t xml:space="preserve">Sarah Wray, “KPN: Business Transformation of the Year,” </w:t>
      </w:r>
      <w:proofErr w:type="spellStart"/>
      <w:r w:rsidRPr="00BA233E">
        <w:t>TMForum</w:t>
      </w:r>
      <w:proofErr w:type="spellEnd"/>
      <w:r w:rsidRPr="00BA233E">
        <w:t>, May 2016, accessed April 12, 2019, https://inform.tmforum.org/features-and-analysis/2016/05/kpn-business-transformation-of-the-year/</w:t>
      </w:r>
      <w:proofErr w:type="gramStart"/>
      <w:r w:rsidRPr="00BA233E">
        <w:t>;</w:t>
      </w:r>
      <w:proofErr w:type="gramEnd"/>
      <w:r w:rsidRPr="00BA233E">
        <w:t xml:space="preserve"> “The 2018 European CIO of the Year Winners,” European CIO of the Year, accessed April 12, 2019, https://ecoty.eu/.</w:t>
      </w:r>
      <w:r>
        <w:t xml:space="preserve"> </w:t>
      </w:r>
      <w:r>
        <w:rPr>
          <w:lang w:val="en-GB"/>
        </w:rPr>
        <w:t xml:space="preserve">CIONET </w:t>
      </w:r>
      <w:r w:rsidRPr="009A5C35">
        <w:t xml:space="preserve">was </w:t>
      </w:r>
      <w:r>
        <w:t>a community</w:t>
      </w:r>
      <w:r w:rsidRPr="009A5C35">
        <w:t xml:space="preserve"> of </w:t>
      </w:r>
      <w:r>
        <w:t xml:space="preserve">senior IT people </w:t>
      </w:r>
      <w:r w:rsidRPr="00C11684">
        <w:rPr>
          <w:lang w:val="en-GB"/>
        </w:rPr>
        <w:t xml:space="preserve">focused on IT, </w:t>
      </w:r>
      <w:r>
        <w:rPr>
          <w:lang w:val="en-GB"/>
        </w:rPr>
        <w:t>i</w:t>
      </w:r>
      <w:r w:rsidRPr="00C11684">
        <w:rPr>
          <w:lang w:val="en-GB"/>
        </w:rPr>
        <w:t>nnovation</w:t>
      </w:r>
      <w:r>
        <w:rPr>
          <w:lang w:val="en-GB"/>
        </w:rPr>
        <w:t>,</w:t>
      </w:r>
      <w:r w:rsidRPr="00C11684">
        <w:rPr>
          <w:lang w:val="en-GB"/>
        </w:rPr>
        <w:t xml:space="preserve"> and </w:t>
      </w:r>
      <w:r>
        <w:rPr>
          <w:lang w:val="en-GB"/>
        </w:rPr>
        <w:t>d</w:t>
      </w:r>
      <w:r w:rsidRPr="00C11684">
        <w:rPr>
          <w:lang w:val="en-GB"/>
        </w:rPr>
        <w:t xml:space="preserve">igital </w:t>
      </w:r>
      <w:r>
        <w:rPr>
          <w:lang w:val="en-GB"/>
        </w:rPr>
        <w:t>t</w:t>
      </w:r>
      <w:r w:rsidRPr="00C11684">
        <w:rPr>
          <w:lang w:val="en-GB"/>
        </w:rPr>
        <w:t>ransformation topics</w:t>
      </w:r>
      <w:r w:rsidRPr="000927E1">
        <w:rPr>
          <w:lang w:val="en-GB"/>
        </w:rPr>
        <w:t xml:space="preserve"> </w:t>
      </w:r>
      <w:r w:rsidRPr="00C11684">
        <w:rPr>
          <w:lang w:val="en-GB"/>
        </w:rPr>
        <w:t>from all industries. As of December 2017, it had over</w:t>
      </w:r>
      <w:r>
        <w:t xml:space="preserve"> 7,000 members across Europe and Latin America.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70F8E98" w:rsidR="00BD2640" w:rsidRPr="00C92CC4" w:rsidRDefault="00BD264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72710">
      <w:rPr>
        <w:rFonts w:ascii="Arial" w:hAnsi="Arial"/>
        <w:b/>
        <w:noProof/>
      </w:rPr>
      <w:t>11</w:t>
    </w:r>
    <w:r>
      <w:rPr>
        <w:rFonts w:ascii="Arial" w:hAnsi="Arial"/>
        <w:b/>
      </w:rPr>
      <w:fldChar w:fldCharType="end"/>
    </w:r>
    <w:r>
      <w:rPr>
        <w:rFonts w:ascii="Arial" w:hAnsi="Arial"/>
        <w:b/>
      </w:rPr>
      <w:tab/>
    </w:r>
    <w:r w:rsidR="002A3713" w:rsidRPr="002A3713">
      <w:rPr>
        <w:rFonts w:ascii="Arial" w:hAnsi="Arial"/>
        <w:b/>
      </w:rPr>
      <w:t>9B19M046</w:t>
    </w:r>
  </w:p>
  <w:p w14:paraId="2B53C0A0" w14:textId="77777777" w:rsidR="00BD2640" w:rsidRDefault="00BD2640" w:rsidP="00D13667">
    <w:pPr>
      <w:pStyle w:val="Header"/>
      <w:tabs>
        <w:tab w:val="clear" w:pos="4680"/>
      </w:tabs>
      <w:rPr>
        <w:sz w:val="18"/>
        <w:szCs w:val="18"/>
      </w:rPr>
    </w:pPr>
  </w:p>
  <w:p w14:paraId="47119730" w14:textId="77777777" w:rsidR="00BD2640" w:rsidRPr="00C92CC4" w:rsidRDefault="00BD2640"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4D9BA" w14:textId="352B0A95" w:rsidR="00BD2640" w:rsidRPr="00C92CC4" w:rsidRDefault="00BD2640" w:rsidP="00DD7CD7">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72710">
      <w:rPr>
        <w:rFonts w:ascii="Arial" w:hAnsi="Arial"/>
        <w:b/>
        <w:noProof/>
      </w:rPr>
      <w:t>12</w:t>
    </w:r>
    <w:r>
      <w:rPr>
        <w:rFonts w:ascii="Arial" w:hAnsi="Arial"/>
        <w:b/>
      </w:rPr>
      <w:fldChar w:fldCharType="end"/>
    </w:r>
    <w:r>
      <w:rPr>
        <w:rFonts w:ascii="Arial" w:hAnsi="Arial"/>
        <w:b/>
      </w:rPr>
      <w:tab/>
    </w:r>
    <w:r w:rsidR="0070088F" w:rsidRPr="0070088F">
      <w:rPr>
        <w:rFonts w:ascii="Arial" w:hAnsi="Arial"/>
        <w:b/>
      </w:rPr>
      <w:t>9B19M046</w:t>
    </w:r>
  </w:p>
  <w:p w14:paraId="6881AF4D" w14:textId="77777777" w:rsidR="00BD2640" w:rsidRDefault="00BD2640" w:rsidP="00DD7CD7">
    <w:pPr>
      <w:pStyle w:val="Header"/>
      <w:tabs>
        <w:tab w:val="clear" w:pos="4680"/>
        <w:tab w:val="clear" w:pos="9360"/>
        <w:tab w:val="right" w:pos="12960"/>
      </w:tabs>
      <w:rPr>
        <w:sz w:val="18"/>
        <w:szCs w:val="18"/>
      </w:rPr>
    </w:pPr>
  </w:p>
  <w:p w14:paraId="522F0B31" w14:textId="77777777" w:rsidR="00BD2640" w:rsidRPr="00C92CC4" w:rsidRDefault="00BD2640" w:rsidP="00DD7CD7">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DE64" w14:textId="30FB44AC" w:rsidR="00BD2640" w:rsidRPr="00C92CC4" w:rsidRDefault="00BD2640" w:rsidP="00DD7CD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72710">
      <w:rPr>
        <w:rFonts w:ascii="Arial" w:hAnsi="Arial"/>
        <w:b/>
        <w:noProof/>
      </w:rPr>
      <w:t>15</w:t>
    </w:r>
    <w:r>
      <w:rPr>
        <w:rFonts w:ascii="Arial" w:hAnsi="Arial"/>
        <w:b/>
      </w:rPr>
      <w:fldChar w:fldCharType="end"/>
    </w:r>
    <w:r>
      <w:rPr>
        <w:rFonts w:ascii="Arial" w:hAnsi="Arial"/>
        <w:b/>
      </w:rPr>
      <w:tab/>
    </w:r>
    <w:r w:rsidR="0070088F" w:rsidRPr="0070088F">
      <w:rPr>
        <w:rFonts w:ascii="Arial" w:hAnsi="Arial"/>
        <w:b/>
      </w:rPr>
      <w:t>9B19M046</w:t>
    </w:r>
  </w:p>
  <w:p w14:paraId="23A3708E" w14:textId="77777777" w:rsidR="00BD2640" w:rsidRDefault="00BD2640" w:rsidP="00DD7CD7">
    <w:pPr>
      <w:pStyle w:val="Header"/>
      <w:tabs>
        <w:tab w:val="clear" w:pos="4680"/>
      </w:tabs>
      <w:rPr>
        <w:sz w:val="18"/>
        <w:szCs w:val="18"/>
      </w:rPr>
    </w:pPr>
  </w:p>
  <w:p w14:paraId="5021C356" w14:textId="77777777" w:rsidR="00BD2640" w:rsidRPr="00C92CC4" w:rsidRDefault="00BD2640" w:rsidP="00DD7CD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123"/>
    <w:multiLevelType w:val="hybridMultilevel"/>
    <w:tmpl w:val="D94E43A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D3440E"/>
    <w:multiLevelType w:val="hybridMultilevel"/>
    <w:tmpl w:val="3912CF1E"/>
    <w:lvl w:ilvl="0" w:tplc="0809000F">
      <w:start w:val="1"/>
      <w:numFmt w:val="decimal"/>
      <w:lvlText w:val="%1."/>
      <w:lvlJc w:val="left"/>
      <w:pPr>
        <w:ind w:left="54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8F50858"/>
    <w:multiLevelType w:val="hybridMultilevel"/>
    <w:tmpl w:val="AB4C2C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E1412"/>
    <w:multiLevelType w:val="hybridMultilevel"/>
    <w:tmpl w:val="E16C9D4C"/>
    <w:lvl w:ilvl="0" w:tplc="28AE13E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6F22F3E"/>
    <w:multiLevelType w:val="hybridMultilevel"/>
    <w:tmpl w:val="42CA9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5E6220"/>
    <w:multiLevelType w:val="hybridMultilevel"/>
    <w:tmpl w:val="9634E52C"/>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1243E3"/>
    <w:multiLevelType w:val="hybridMultilevel"/>
    <w:tmpl w:val="3B8255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5565EF7"/>
    <w:multiLevelType w:val="hybridMultilevel"/>
    <w:tmpl w:val="C4CC4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E6419"/>
    <w:multiLevelType w:val="hybridMultilevel"/>
    <w:tmpl w:val="F56CD598"/>
    <w:lvl w:ilvl="0" w:tplc="DBF6F9B8">
      <w:start w:val="1"/>
      <w:numFmt w:val="decimal"/>
      <w:lvlText w:val="%1."/>
      <w:lvlJc w:val="left"/>
      <w:pPr>
        <w:ind w:left="720" w:hanging="360"/>
      </w:pPr>
      <w:rPr>
        <w:rFonts w:eastAsia="+mn-ea" w:hint="default"/>
        <w:b/>
        <w:color w:val="42424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1569C5"/>
    <w:multiLevelType w:val="hybridMultilevel"/>
    <w:tmpl w:val="18F0F602"/>
    <w:lvl w:ilvl="0" w:tplc="C600883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174FD9"/>
    <w:multiLevelType w:val="hybridMultilevel"/>
    <w:tmpl w:val="E5CC7E32"/>
    <w:lvl w:ilvl="0" w:tplc="C600883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551047"/>
    <w:multiLevelType w:val="hybridMultilevel"/>
    <w:tmpl w:val="3CD4FBE0"/>
    <w:lvl w:ilvl="0" w:tplc="28AE13E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0"/>
  </w:num>
  <w:num w:numId="3">
    <w:abstractNumId w:val="7"/>
  </w:num>
  <w:num w:numId="4">
    <w:abstractNumId w:val="19"/>
  </w:num>
  <w:num w:numId="5">
    <w:abstractNumId w:val="8"/>
  </w:num>
  <w:num w:numId="6">
    <w:abstractNumId w:val="15"/>
  </w:num>
  <w:num w:numId="7">
    <w:abstractNumId w:val="1"/>
  </w:num>
  <w:num w:numId="8">
    <w:abstractNumId w:val="22"/>
  </w:num>
  <w:num w:numId="9">
    <w:abstractNumId w:val="16"/>
  </w:num>
  <w:num w:numId="10">
    <w:abstractNumId w:val="4"/>
  </w:num>
  <w:num w:numId="11">
    <w:abstractNumId w:val="13"/>
  </w:num>
  <w:num w:numId="12">
    <w:abstractNumId w:val="14"/>
  </w:num>
  <w:num w:numId="13">
    <w:abstractNumId w:val="17"/>
  </w:num>
  <w:num w:numId="14">
    <w:abstractNumId w:val="11"/>
  </w:num>
  <w:num w:numId="15">
    <w:abstractNumId w:val="12"/>
  </w:num>
  <w:num w:numId="16">
    <w:abstractNumId w:val="5"/>
  </w:num>
  <w:num w:numId="17">
    <w:abstractNumId w:val="23"/>
  </w:num>
  <w:num w:numId="18">
    <w:abstractNumId w:val="18"/>
  </w:num>
  <w:num w:numId="19">
    <w:abstractNumId w:val="9"/>
  </w:num>
  <w:num w:numId="20">
    <w:abstractNumId w:val="20"/>
  </w:num>
  <w:num w:numId="21">
    <w:abstractNumId w:val="2"/>
  </w:num>
  <w:num w:numId="22">
    <w:abstractNumId w:val="3"/>
  </w:num>
  <w:num w:numId="23">
    <w:abstractNumId w:val="6"/>
  </w:num>
  <w:num w:numId="2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7B2"/>
    <w:rsid w:val="00010308"/>
    <w:rsid w:val="00013360"/>
    <w:rsid w:val="00016759"/>
    <w:rsid w:val="00017D9D"/>
    <w:rsid w:val="000216CE"/>
    <w:rsid w:val="000233BA"/>
    <w:rsid w:val="00024ED4"/>
    <w:rsid w:val="00025DC7"/>
    <w:rsid w:val="00035F09"/>
    <w:rsid w:val="00044ECC"/>
    <w:rsid w:val="00047664"/>
    <w:rsid w:val="0005001D"/>
    <w:rsid w:val="000531D3"/>
    <w:rsid w:val="0005646B"/>
    <w:rsid w:val="000615D1"/>
    <w:rsid w:val="0007462B"/>
    <w:rsid w:val="00076364"/>
    <w:rsid w:val="0008102D"/>
    <w:rsid w:val="0008644F"/>
    <w:rsid w:val="00086B26"/>
    <w:rsid w:val="00094C0E"/>
    <w:rsid w:val="000955C4"/>
    <w:rsid w:val="000A0B55"/>
    <w:rsid w:val="000A146D"/>
    <w:rsid w:val="000A1720"/>
    <w:rsid w:val="000A7D48"/>
    <w:rsid w:val="000B0FFB"/>
    <w:rsid w:val="000D2A2F"/>
    <w:rsid w:val="000D7091"/>
    <w:rsid w:val="000E478B"/>
    <w:rsid w:val="000F0C22"/>
    <w:rsid w:val="000F6B09"/>
    <w:rsid w:val="000F6FDC"/>
    <w:rsid w:val="001003BB"/>
    <w:rsid w:val="00104567"/>
    <w:rsid w:val="00104916"/>
    <w:rsid w:val="001049AB"/>
    <w:rsid w:val="00104AA7"/>
    <w:rsid w:val="00114C7A"/>
    <w:rsid w:val="00114EC9"/>
    <w:rsid w:val="00116EA8"/>
    <w:rsid w:val="0012732D"/>
    <w:rsid w:val="00143F25"/>
    <w:rsid w:val="00151F33"/>
    <w:rsid w:val="00152062"/>
    <w:rsid w:val="00152682"/>
    <w:rsid w:val="00154FC9"/>
    <w:rsid w:val="00162D91"/>
    <w:rsid w:val="00183568"/>
    <w:rsid w:val="001901C0"/>
    <w:rsid w:val="00190464"/>
    <w:rsid w:val="0019241A"/>
    <w:rsid w:val="00192A18"/>
    <w:rsid w:val="00196B64"/>
    <w:rsid w:val="00197074"/>
    <w:rsid w:val="001A22D1"/>
    <w:rsid w:val="001A3377"/>
    <w:rsid w:val="001A752D"/>
    <w:rsid w:val="001A757E"/>
    <w:rsid w:val="001B5032"/>
    <w:rsid w:val="001C4402"/>
    <w:rsid w:val="001C602B"/>
    <w:rsid w:val="001C7777"/>
    <w:rsid w:val="001D344B"/>
    <w:rsid w:val="001E2B18"/>
    <w:rsid w:val="001E364F"/>
    <w:rsid w:val="001F4222"/>
    <w:rsid w:val="00203AA1"/>
    <w:rsid w:val="00203B46"/>
    <w:rsid w:val="00213E23"/>
    <w:rsid w:val="00213E98"/>
    <w:rsid w:val="002212CC"/>
    <w:rsid w:val="00226E43"/>
    <w:rsid w:val="00230150"/>
    <w:rsid w:val="0023081A"/>
    <w:rsid w:val="00233111"/>
    <w:rsid w:val="00243A10"/>
    <w:rsid w:val="00243C2F"/>
    <w:rsid w:val="002523E2"/>
    <w:rsid w:val="00254B02"/>
    <w:rsid w:val="00265FA8"/>
    <w:rsid w:val="00266769"/>
    <w:rsid w:val="00272710"/>
    <w:rsid w:val="002A039E"/>
    <w:rsid w:val="002A0C7B"/>
    <w:rsid w:val="002A3713"/>
    <w:rsid w:val="002A3E11"/>
    <w:rsid w:val="002B15F4"/>
    <w:rsid w:val="002B40FF"/>
    <w:rsid w:val="002C4E29"/>
    <w:rsid w:val="002C5FBB"/>
    <w:rsid w:val="002D139E"/>
    <w:rsid w:val="002D3B16"/>
    <w:rsid w:val="002E4E0B"/>
    <w:rsid w:val="002E4E77"/>
    <w:rsid w:val="002E5313"/>
    <w:rsid w:val="002F460C"/>
    <w:rsid w:val="002F48D6"/>
    <w:rsid w:val="00315C44"/>
    <w:rsid w:val="00317391"/>
    <w:rsid w:val="003176CF"/>
    <w:rsid w:val="00317F57"/>
    <w:rsid w:val="00326216"/>
    <w:rsid w:val="00327BDB"/>
    <w:rsid w:val="00336187"/>
    <w:rsid w:val="00336580"/>
    <w:rsid w:val="00341FD7"/>
    <w:rsid w:val="00354899"/>
    <w:rsid w:val="00355FD6"/>
    <w:rsid w:val="00356AF1"/>
    <w:rsid w:val="00364A5C"/>
    <w:rsid w:val="00373FB1"/>
    <w:rsid w:val="0039253F"/>
    <w:rsid w:val="00396C76"/>
    <w:rsid w:val="003A1ED4"/>
    <w:rsid w:val="003A24E4"/>
    <w:rsid w:val="003A419B"/>
    <w:rsid w:val="003B30D8"/>
    <w:rsid w:val="003B7EF2"/>
    <w:rsid w:val="003C325F"/>
    <w:rsid w:val="003C3FA4"/>
    <w:rsid w:val="003D0BA1"/>
    <w:rsid w:val="003D48E1"/>
    <w:rsid w:val="003F2B0C"/>
    <w:rsid w:val="003F725D"/>
    <w:rsid w:val="004037CA"/>
    <w:rsid w:val="00405BB5"/>
    <w:rsid w:val="0040792B"/>
    <w:rsid w:val="004105B2"/>
    <w:rsid w:val="0041145A"/>
    <w:rsid w:val="00412900"/>
    <w:rsid w:val="00415D83"/>
    <w:rsid w:val="004221E4"/>
    <w:rsid w:val="004273F8"/>
    <w:rsid w:val="004355A3"/>
    <w:rsid w:val="00446546"/>
    <w:rsid w:val="00451985"/>
    <w:rsid w:val="00452769"/>
    <w:rsid w:val="004541FE"/>
    <w:rsid w:val="00454FA7"/>
    <w:rsid w:val="00461240"/>
    <w:rsid w:val="00465348"/>
    <w:rsid w:val="00465A9F"/>
    <w:rsid w:val="00475AA4"/>
    <w:rsid w:val="00486982"/>
    <w:rsid w:val="00490E5C"/>
    <w:rsid w:val="00493252"/>
    <w:rsid w:val="004979A5"/>
    <w:rsid w:val="004A25E0"/>
    <w:rsid w:val="004B1CCB"/>
    <w:rsid w:val="004B4B06"/>
    <w:rsid w:val="004B632F"/>
    <w:rsid w:val="004C7AA1"/>
    <w:rsid w:val="004D38F4"/>
    <w:rsid w:val="004D3FB1"/>
    <w:rsid w:val="004D6F21"/>
    <w:rsid w:val="004D73A5"/>
    <w:rsid w:val="004E1DE0"/>
    <w:rsid w:val="004E515D"/>
    <w:rsid w:val="00500DA8"/>
    <w:rsid w:val="005160F1"/>
    <w:rsid w:val="00520B63"/>
    <w:rsid w:val="005246D6"/>
    <w:rsid w:val="00524F2F"/>
    <w:rsid w:val="00527E5C"/>
    <w:rsid w:val="005316C3"/>
    <w:rsid w:val="00532CF5"/>
    <w:rsid w:val="00536AF7"/>
    <w:rsid w:val="0053794F"/>
    <w:rsid w:val="0054603A"/>
    <w:rsid w:val="005528CB"/>
    <w:rsid w:val="00553351"/>
    <w:rsid w:val="00566771"/>
    <w:rsid w:val="00572387"/>
    <w:rsid w:val="00577906"/>
    <w:rsid w:val="00581E2E"/>
    <w:rsid w:val="00584F15"/>
    <w:rsid w:val="00592871"/>
    <w:rsid w:val="0059514B"/>
    <w:rsid w:val="005A1B0F"/>
    <w:rsid w:val="005A287B"/>
    <w:rsid w:val="005A61EF"/>
    <w:rsid w:val="005B4CE6"/>
    <w:rsid w:val="005B5EFE"/>
    <w:rsid w:val="005D5D8C"/>
    <w:rsid w:val="006018D7"/>
    <w:rsid w:val="006151D0"/>
    <w:rsid w:val="006163F7"/>
    <w:rsid w:val="00625DC6"/>
    <w:rsid w:val="0062662D"/>
    <w:rsid w:val="00627C63"/>
    <w:rsid w:val="0063350B"/>
    <w:rsid w:val="00635834"/>
    <w:rsid w:val="00652606"/>
    <w:rsid w:val="00654FE6"/>
    <w:rsid w:val="006570C9"/>
    <w:rsid w:val="006647C3"/>
    <w:rsid w:val="00671194"/>
    <w:rsid w:val="006759DA"/>
    <w:rsid w:val="0068220F"/>
    <w:rsid w:val="00691932"/>
    <w:rsid w:val="00692294"/>
    <w:rsid w:val="006946EE"/>
    <w:rsid w:val="006A58A9"/>
    <w:rsid w:val="006A606D"/>
    <w:rsid w:val="006A6B86"/>
    <w:rsid w:val="006C0371"/>
    <w:rsid w:val="006C08B6"/>
    <w:rsid w:val="006C0B1A"/>
    <w:rsid w:val="006C6065"/>
    <w:rsid w:val="006C7F9F"/>
    <w:rsid w:val="006D1C80"/>
    <w:rsid w:val="006D6747"/>
    <w:rsid w:val="006E2F6D"/>
    <w:rsid w:val="006E58F6"/>
    <w:rsid w:val="006E77E1"/>
    <w:rsid w:val="006F131D"/>
    <w:rsid w:val="0070088F"/>
    <w:rsid w:val="00702725"/>
    <w:rsid w:val="00704F4A"/>
    <w:rsid w:val="00711642"/>
    <w:rsid w:val="007229F7"/>
    <w:rsid w:val="00744F21"/>
    <w:rsid w:val="007507C6"/>
    <w:rsid w:val="00751E0B"/>
    <w:rsid w:val="00752BCD"/>
    <w:rsid w:val="00755CB1"/>
    <w:rsid w:val="00766DA1"/>
    <w:rsid w:val="0077490E"/>
    <w:rsid w:val="0077497D"/>
    <w:rsid w:val="00780D94"/>
    <w:rsid w:val="00784729"/>
    <w:rsid w:val="007866A6"/>
    <w:rsid w:val="00787B5F"/>
    <w:rsid w:val="007A08D4"/>
    <w:rsid w:val="007A130D"/>
    <w:rsid w:val="007A223A"/>
    <w:rsid w:val="007B3675"/>
    <w:rsid w:val="007B637B"/>
    <w:rsid w:val="007C4065"/>
    <w:rsid w:val="007D1A2D"/>
    <w:rsid w:val="007D32E6"/>
    <w:rsid w:val="007D3548"/>
    <w:rsid w:val="007D4102"/>
    <w:rsid w:val="007E54A7"/>
    <w:rsid w:val="007F43B7"/>
    <w:rsid w:val="008128D1"/>
    <w:rsid w:val="0082182B"/>
    <w:rsid w:val="00821FFC"/>
    <w:rsid w:val="008271CA"/>
    <w:rsid w:val="00842A8D"/>
    <w:rsid w:val="008467D5"/>
    <w:rsid w:val="0085035B"/>
    <w:rsid w:val="00850D37"/>
    <w:rsid w:val="00854208"/>
    <w:rsid w:val="008701F0"/>
    <w:rsid w:val="008847A0"/>
    <w:rsid w:val="008950B0"/>
    <w:rsid w:val="008A4092"/>
    <w:rsid w:val="008A4D62"/>
    <w:rsid w:val="008A4DC4"/>
    <w:rsid w:val="008B17D9"/>
    <w:rsid w:val="008B438C"/>
    <w:rsid w:val="008B6F11"/>
    <w:rsid w:val="008D06CA"/>
    <w:rsid w:val="008D3A46"/>
    <w:rsid w:val="008E040F"/>
    <w:rsid w:val="008E26B6"/>
    <w:rsid w:val="008F2385"/>
    <w:rsid w:val="008F27D2"/>
    <w:rsid w:val="009067A4"/>
    <w:rsid w:val="0090775D"/>
    <w:rsid w:val="0091664E"/>
    <w:rsid w:val="009207C7"/>
    <w:rsid w:val="00920CC0"/>
    <w:rsid w:val="009241BF"/>
    <w:rsid w:val="00930885"/>
    <w:rsid w:val="00933D68"/>
    <w:rsid w:val="009340DB"/>
    <w:rsid w:val="00934176"/>
    <w:rsid w:val="0094618C"/>
    <w:rsid w:val="0095684B"/>
    <w:rsid w:val="00961BE5"/>
    <w:rsid w:val="00967737"/>
    <w:rsid w:val="00967806"/>
    <w:rsid w:val="009722EE"/>
    <w:rsid w:val="00972498"/>
    <w:rsid w:val="00974816"/>
    <w:rsid w:val="0097481F"/>
    <w:rsid w:val="00974CC6"/>
    <w:rsid w:val="00976AD4"/>
    <w:rsid w:val="00976FEA"/>
    <w:rsid w:val="009869D8"/>
    <w:rsid w:val="009908ED"/>
    <w:rsid w:val="00995547"/>
    <w:rsid w:val="009A312F"/>
    <w:rsid w:val="009A5348"/>
    <w:rsid w:val="009B0AB7"/>
    <w:rsid w:val="009B2D3A"/>
    <w:rsid w:val="009C76D5"/>
    <w:rsid w:val="009E66FD"/>
    <w:rsid w:val="009F7AA4"/>
    <w:rsid w:val="00A10AD7"/>
    <w:rsid w:val="00A116BF"/>
    <w:rsid w:val="00A14DBB"/>
    <w:rsid w:val="00A21658"/>
    <w:rsid w:val="00A323B0"/>
    <w:rsid w:val="00A33CC7"/>
    <w:rsid w:val="00A500EE"/>
    <w:rsid w:val="00A51688"/>
    <w:rsid w:val="00A559DB"/>
    <w:rsid w:val="00A569EA"/>
    <w:rsid w:val="00A6495B"/>
    <w:rsid w:val="00A676A0"/>
    <w:rsid w:val="00A84186"/>
    <w:rsid w:val="00A93F9A"/>
    <w:rsid w:val="00AA2C5A"/>
    <w:rsid w:val="00AA52D6"/>
    <w:rsid w:val="00AA7902"/>
    <w:rsid w:val="00AD2882"/>
    <w:rsid w:val="00AE4DEE"/>
    <w:rsid w:val="00AF35FC"/>
    <w:rsid w:val="00AF4759"/>
    <w:rsid w:val="00AF5556"/>
    <w:rsid w:val="00AF6C08"/>
    <w:rsid w:val="00B01A3E"/>
    <w:rsid w:val="00B03639"/>
    <w:rsid w:val="00B0652A"/>
    <w:rsid w:val="00B066D1"/>
    <w:rsid w:val="00B22C99"/>
    <w:rsid w:val="00B260A6"/>
    <w:rsid w:val="00B40937"/>
    <w:rsid w:val="00B423EF"/>
    <w:rsid w:val="00B453DE"/>
    <w:rsid w:val="00B5659D"/>
    <w:rsid w:val="00B56FB2"/>
    <w:rsid w:val="00B62497"/>
    <w:rsid w:val="00B72597"/>
    <w:rsid w:val="00B807EF"/>
    <w:rsid w:val="00B87DC0"/>
    <w:rsid w:val="00B901F9"/>
    <w:rsid w:val="00BA233E"/>
    <w:rsid w:val="00BB026C"/>
    <w:rsid w:val="00BB37C8"/>
    <w:rsid w:val="00BB3D6A"/>
    <w:rsid w:val="00BB5E0C"/>
    <w:rsid w:val="00BC41B1"/>
    <w:rsid w:val="00BC429C"/>
    <w:rsid w:val="00BC4D98"/>
    <w:rsid w:val="00BD2640"/>
    <w:rsid w:val="00BD6EFB"/>
    <w:rsid w:val="00BE0603"/>
    <w:rsid w:val="00BE3DF5"/>
    <w:rsid w:val="00BF171B"/>
    <w:rsid w:val="00BF1B12"/>
    <w:rsid w:val="00BF2747"/>
    <w:rsid w:val="00BF5EAB"/>
    <w:rsid w:val="00BF7D0E"/>
    <w:rsid w:val="00C02410"/>
    <w:rsid w:val="00C069AC"/>
    <w:rsid w:val="00C1584D"/>
    <w:rsid w:val="00C15BE2"/>
    <w:rsid w:val="00C233D8"/>
    <w:rsid w:val="00C27A0F"/>
    <w:rsid w:val="00C3447F"/>
    <w:rsid w:val="00C408DA"/>
    <w:rsid w:val="00C43876"/>
    <w:rsid w:val="00C44714"/>
    <w:rsid w:val="00C67102"/>
    <w:rsid w:val="00C74BB5"/>
    <w:rsid w:val="00C81491"/>
    <w:rsid w:val="00C81676"/>
    <w:rsid w:val="00C85C5D"/>
    <w:rsid w:val="00C92CC4"/>
    <w:rsid w:val="00CA0AFB"/>
    <w:rsid w:val="00CA2CE1"/>
    <w:rsid w:val="00CA3976"/>
    <w:rsid w:val="00CA50E3"/>
    <w:rsid w:val="00CA757B"/>
    <w:rsid w:val="00CB52AF"/>
    <w:rsid w:val="00CC1787"/>
    <w:rsid w:val="00CC182C"/>
    <w:rsid w:val="00CD0824"/>
    <w:rsid w:val="00CD2908"/>
    <w:rsid w:val="00CD4C66"/>
    <w:rsid w:val="00CD749E"/>
    <w:rsid w:val="00CE505F"/>
    <w:rsid w:val="00CE7C07"/>
    <w:rsid w:val="00D03A82"/>
    <w:rsid w:val="00D123B6"/>
    <w:rsid w:val="00D133D2"/>
    <w:rsid w:val="00D13667"/>
    <w:rsid w:val="00D15344"/>
    <w:rsid w:val="00D205D3"/>
    <w:rsid w:val="00D23F57"/>
    <w:rsid w:val="00D23FD3"/>
    <w:rsid w:val="00D31BEC"/>
    <w:rsid w:val="00D334FF"/>
    <w:rsid w:val="00D578D8"/>
    <w:rsid w:val="00D63150"/>
    <w:rsid w:val="00D636BA"/>
    <w:rsid w:val="00D64A32"/>
    <w:rsid w:val="00D64EFC"/>
    <w:rsid w:val="00D75295"/>
    <w:rsid w:val="00D76CE9"/>
    <w:rsid w:val="00D773D7"/>
    <w:rsid w:val="00D81685"/>
    <w:rsid w:val="00D82098"/>
    <w:rsid w:val="00D97103"/>
    <w:rsid w:val="00D97F12"/>
    <w:rsid w:val="00DA03D3"/>
    <w:rsid w:val="00DA6095"/>
    <w:rsid w:val="00DB42E7"/>
    <w:rsid w:val="00DB5DC9"/>
    <w:rsid w:val="00DC09D8"/>
    <w:rsid w:val="00DC359E"/>
    <w:rsid w:val="00DC7593"/>
    <w:rsid w:val="00DD3ACF"/>
    <w:rsid w:val="00DD6A36"/>
    <w:rsid w:val="00DD7CD7"/>
    <w:rsid w:val="00DE01A6"/>
    <w:rsid w:val="00DE0A01"/>
    <w:rsid w:val="00DE5FB1"/>
    <w:rsid w:val="00DE7A98"/>
    <w:rsid w:val="00DF32C2"/>
    <w:rsid w:val="00E05A44"/>
    <w:rsid w:val="00E1688B"/>
    <w:rsid w:val="00E25AA9"/>
    <w:rsid w:val="00E46D1F"/>
    <w:rsid w:val="00E471A7"/>
    <w:rsid w:val="00E55D29"/>
    <w:rsid w:val="00E635CF"/>
    <w:rsid w:val="00E729AC"/>
    <w:rsid w:val="00E81A94"/>
    <w:rsid w:val="00E851D1"/>
    <w:rsid w:val="00E86A07"/>
    <w:rsid w:val="00EB1E3B"/>
    <w:rsid w:val="00EC02FF"/>
    <w:rsid w:val="00EC6E0A"/>
    <w:rsid w:val="00EC7243"/>
    <w:rsid w:val="00ED4E18"/>
    <w:rsid w:val="00ED7922"/>
    <w:rsid w:val="00EE02C4"/>
    <w:rsid w:val="00EE1F37"/>
    <w:rsid w:val="00F0159C"/>
    <w:rsid w:val="00F105B7"/>
    <w:rsid w:val="00F11C91"/>
    <w:rsid w:val="00F13220"/>
    <w:rsid w:val="00F157D2"/>
    <w:rsid w:val="00F17A21"/>
    <w:rsid w:val="00F24CC3"/>
    <w:rsid w:val="00F333F8"/>
    <w:rsid w:val="00F36FC2"/>
    <w:rsid w:val="00F37B27"/>
    <w:rsid w:val="00F46556"/>
    <w:rsid w:val="00F50E91"/>
    <w:rsid w:val="00F56799"/>
    <w:rsid w:val="00F57796"/>
    <w:rsid w:val="00F57D29"/>
    <w:rsid w:val="00F60786"/>
    <w:rsid w:val="00F72702"/>
    <w:rsid w:val="00F91BC7"/>
    <w:rsid w:val="00F96201"/>
    <w:rsid w:val="00FA1BBC"/>
    <w:rsid w:val="00FB5405"/>
    <w:rsid w:val="00FD0B18"/>
    <w:rsid w:val="00FD2FAD"/>
    <w:rsid w:val="00FD44EB"/>
    <w:rsid w:val="00FE714F"/>
    <w:rsid w:val="00FE74AB"/>
    <w:rsid w:val="00FE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6587419A-26ED-4678-91C5-8A699693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9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uiPriority w:val="99"/>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F11C91"/>
  </w:style>
  <w:style w:type="paragraph" w:styleId="PlainText">
    <w:name w:val="Plain Text"/>
    <w:basedOn w:val="Normal"/>
    <w:link w:val="PlainTextChar"/>
    <w:uiPriority w:val="99"/>
    <w:rsid w:val="00F11C91"/>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11C91"/>
    <w:rPr>
      <w:rFonts w:ascii="Consolas" w:eastAsiaTheme="minorEastAsia" w:hAnsi="Consolas" w:cs="Consolas"/>
      <w:sz w:val="21"/>
      <w:szCs w:val="21"/>
      <w:lang w:eastAsia="zh-CN"/>
    </w:rPr>
  </w:style>
  <w:style w:type="character" w:customStyle="1" w:styleId="Title1">
    <w:name w:val="Title1"/>
    <w:basedOn w:val="DefaultParagraphFont"/>
    <w:uiPriority w:val="99"/>
    <w:rsid w:val="00F11C91"/>
  </w:style>
  <w:style w:type="table" w:customStyle="1" w:styleId="TableGrid1">
    <w:name w:val="Table Grid1"/>
    <w:basedOn w:val="TableNormal"/>
    <w:next w:val="TableGrid"/>
    <w:uiPriority w:val="59"/>
    <w:rsid w:val="00F11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11C91"/>
    <w:rPr>
      <w:color w:val="605E5C"/>
      <w:shd w:val="clear" w:color="auto" w:fill="E1DFDD"/>
    </w:rPr>
  </w:style>
  <w:style w:type="character" w:customStyle="1" w:styleId="caps">
    <w:name w:val="caps"/>
    <w:basedOn w:val="DefaultParagraphFont"/>
    <w:rsid w:val="00F11C91"/>
  </w:style>
  <w:style w:type="character" w:customStyle="1" w:styleId="A1">
    <w:name w:val="A1"/>
    <w:uiPriority w:val="99"/>
    <w:rsid w:val="00F11C91"/>
    <w:rPr>
      <w:rFonts w:cs="KPN Metric Light"/>
      <w:color w:val="39A934"/>
      <w:sz w:val="44"/>
      <w:szCs w:val="44"/>
    </w:rPr>
  </w:style>
  <w:style w:type="paragraph" w:customStyle="1" w:styleId="Pa11">
    <w:name w:val="Pa11"/>
    <w:basedOn w:val="Default"/>
    <w:next w:val="Default"/>
    <w:uiPriority w:val="99"/>
    <w:rsid w:val="00F11C91"/>
    <w:pPr>
      <w:widowControl/>
      <w:adjustRightInd w:val="0"/>
      <w:spacing w:line="271" w:lineRule="atLeast"/>
    </w:pPr>
    <w:rPr>
      <w:rFonts w:ascii="KPN Accent" w:eastAsiaTheme="minorHAnsi" w:hAnsi="KPN Accent" w:cstheme="minorBidi" w:hint="default"/>
      <w:color w:val="auto"/>
      <w:szCs w:val="24"/>
      <w:lang w:val="en-GB"/>
    </w:rPr>
  </w:style>
  <w:style w:type="paragraph" w:customStyle="1" w:styleId="Pa13">
    <w:name w:val="Pa13"/>
    <w:basedOn w:val="Default"/>
    <w:next w:val="Default"/>
    <w:uiPriority w:val="99"/>
    <w:rsid w:val="00F11C91"/>
    <w:pPr>
      <w:widowControl/>
      <w:adjustRightInd w:val="0"/>
      <w:spacing w:line="161" w:lineRule="atLeast"/>
    </w:pPr>
    <w:rPr>
      <w:rFonts w:ascii="KPN Accent" w:eastAsiaTheme="minorHAnsi" w:hAnsi="KPN Accent" w:cstheme="minorBidi" w:hint="default"/>
      <w:color w:val="auto"/>
      <w:szCs w:val="24"/>
      <w:lang w:val="en-GB"/>
    </w:rPr>
  </w:style>
  <w:style w:type="character" w:customStyle="1" w:styleId="UnresolvedMention2">
    <w:name w:val="Unresolved Mention2"/>
    <w:basedOn w:val="DefaultParagraphFont"/>
    <w:uiPriority w:val="99"/>
    <w:semiHidden/>
    <w:unhideWhenUsed/>
    <w:rsid w:val="00F11C91"/>
    <w:rPr>
      <w:color w:val="605E5C"/>
      <w:shd w:val="clear" w:color="auto" w:fill="E1DFDD"/>
    </w:rPr>
  </w:style>
  <w:style w:type="character" w:customStyle="1" w:styleId="UnresolvedMention3">
    <w:name w:val="Unresolved Mention3"/>
    <w:basedOn w:val="DefaultParagraphFont"/>
    <w:uiPriority w:val="99"/>
    <w:semiHidden/>
    <w:unhideWhenUsed/>
    <w:rsid w:val="00F11C91"/>
    <w:rPr>
      <w:color w:val="605E5C"/>
      <w:shd w:val="clear" w:color="auto" w:fill="E1DFDD"/>
    </w:rPr>
  </w:style>
  <w:style w:type="character" w:customStyle="1" w:styleId="UnresolvedMention4">
    <w:name w:val="Unresolved Mention4"/>
    <w:basedOn w:val="DefaultParagraphFont"/>
    <w:uiPriority w:val="99"/>
    <w:semiHidden/>
    <w:unhideWhenUsed/>
    <w:rsid w:val="00F72702"/>
    <w:rPr>
      <w:color w:val="605E5C"/>
      <w:shd w:val="clear" w:color="auto" w:fill="E1DFDD"/>
    </w:rPr>
  </w:style>
  <w:style w:type="character" w:customStyle="1" w:styleId="UnresolvedMention">
    <w:name w:val="Unresolved Mention"/>
    <w:basedOn w:val="DefaultParagraphFont"/>
    <w:uiPriority w:val="99"/>
    <w:semiHidden/>
    <w:unhideWhenUsed/>
    <w:rsid w:val="004E1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yperlink" Target="https://en.wikipedia.org/wiki/Golden_share" TargetMode="External"/><Relationship Id="rId17" Type="http://schemas.openxmlformats.org/officeDocument/2006/relationships/image" Target="media/image6.jpe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hyperlink" Target="mailto:cases@ivey.c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diagramQuickStyle" Target="diagrams/quickStyle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96428E-72F0-4145-BFAB-6737628452B9}" type="doc">
      <dgm:prSet loTypeId="urn:microsoft.com/office/officeart/2005/8/layout/radial4" loCatId="relationship" qsTypeId="urn:microsoft.com/office/officeart/2005/8/quickstyle/simple1" qsCatId="simple" csTypeId="urn:microsoft.com/office/officeart/2005/8/colors/accent0_1" csCatId="mainScheme" phldr="1"/>
      <dgm:spPr/>
      <dgm:t>
        <a:bodyPr/>
        <a:lstStyle/>
        <a:p>
          <a:endParaRPr lang="en-GB"/>
        </a:p>
      </dgm:t>
    </dgm:pt>
    <dgm:pt modelId="{66E9D91B-1E1C-424B-8A32-7D01CA4A84DF}">
      <dgm:prSet phldrT="[Text]" custT="1"/>
      <dgm:spPr>
        <a:xfrm>
          <a:off x="2111899" y="2193236"/>
          <a:ext cx="1872201" cy="1645920"/>
        </a:xfrm>
        <a:solidFill>
          <a:sysClr val="window" lastClr="FFFFFF">
            <a:hueOff val="0"/>
            <a:satOff val="0"/>
            <a:lumOff val="0"/>
            <a:alphaOff val="0"/>
          </a:sysClr>
        </a:solidFill>
        <a:ln w="9525" cap="flat" cmpd="sng" algn="ctr">
          <a:solidFill>
            <a:sysClr val="windowText" lastClr="000000">
              <a:shade val="80000"/>
              <a:hueOff val="0"/>
              <a:satOff val="0"/>
              <a:lumOff val="0"/>
              <a:alphaOff val="0"/>
            </a:sysClr>
          </a:solidFill>
          <a:prstDash val="solid"/>
        </a:ln>
        <a:effectLst/>
      </dgm:spPr>
      <dgm:t>
        <a:bodyPr/>
        <a:lstStyle/>
        <a:p>
          <a:pPr algn="ctr">
            <a:lnSpc>
              <a:spcPts val="2100"/>
            </a:lnSpc>
            <a:spcAft>
              <a:spcPts val="0"/>
            </a:spcAft>
            <a:buNone/>
          </a:pPr>
          <a:r>
            <a:rPr lang="en-GB" sz="1000" b="1"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KPN 2020</a:t>
          </a:r>
        </a:p>
        <a:p>
          <a:pPr algn="ctr">
            <a:lnSpc>
              <a:spcPts val="1000"/>
            </a:lnSpc>
            <a:spcAft>
              <a:spcPts val="0"/>
            </a:spcAft>
            <a:buNone/>
          </a:pPr>
          <a:r>
            <a:rPr lang="en-GB" sz="1000" b="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"We become</a:t>
          </a:r>
          <a:br>
            <a:rPr lang="en-GB" sz="1000" b="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b="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the best service provider."</a:t>
          </a:r>
        </a:p>
      </dgm:t>
    </dgm:pt>
    <dgm:pt modelId="{5AD2CE46-6E69-4967-BFAE-A6A3FA153B4A}" type="parTrans" cxnId="{8BE40F18-0A61-450F-BF53-27CAEF97E9CE}">
      <dgm:prSet/>
      <dgm:spPr/>
      <dgm:t>
        <a:bodyPr/>
        <a:lstStyle/>
        <a:p>
          <a:pPr algn="ctr"/>
          <a:endParaRPr lang="en-GB" sz="1200"/>
        </a:p>
      </dgm:t>
    </dgm:pt>
    <dgm:pt modelId="{F3A581A5-2D21-45E9-B511-4CDC5B1699E6}" type="sibTrans" cxnId="{8BE40F18-0A61-450F-BF53-27CAEF97E9CE}">
      <dgm:prSet/>
      <dgm:spPr/>
      <dgm:t>
        <a:bodyPr/>
        <a:lstStyle/>
        <a:p>
          <a:pPr algn="ctr"/>
          <a:endParaRPr lang="en-GB" sz="1200"/>
        </a:p>
      </dgm:t>
    </dgm:pt>
    <dgm:pt modelId="{A5D6A084-22FF-4EC5-AD98-93A9F6E75521}">
      <dgm:prSet phldrT="[Text]" custT="1"/>
      <dgm:spPr>
        <a:xfrm>
          <a:off x="1023" y="1620224"/>
          <a:ext cx="1563624" cy="1578046"/>
        </a:xfrm>
        <a:solidFill>
          <a:sysClr val="window" lastClr="FFFFFF">
            <a:hueOff val="0"/>
            <a:satOff val="0"/>
            <a:lumOff val="0"/>
            <a:alphaOff val="0"/>
          </a:sysClr>
        </a:solidFill>
        <a:ln w="9525" cap="flat" cmpd="sng" algn="ctr">
          <a:solidFill>
            <a:sysClr val="windowText" lastClr="000000">
              <a:shade val="80000"/>
              <a:hueOff val="0"/>
              <a:satOff val="0"/>
              <a:lumOff val="0"/>
              <a:alphaOff val="0"/>
            </a:sysClr>
          </a:solidFill>
          <a:prstDash val="solid"/>
        </a:ln>
        <a:effectLst/>
      </dgm:spPr>
      <dgm:t>
        <a:bodyPr/>
        <a:lstStyle/>
        <a:p>
          <a:pPr algn="ctr">
            <a:buNone/>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Organization</a:t>
          </a: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Simple, flexible products, processes, IT</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Simple, process-driven, with customer as only reason to differentiate</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In-house core competencies</a:t>
          </a:r>
          <a:endParaRPr lang="en-GB"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C82A05A8-CE27-4F20-848A-268343C211F5}" type="parTrans" cxnId="{1B36DBAF-F73B-409A-B6EB-5EEA3CE9F40A}">
      <dgm:prSet/>
      <dgm:spPr>
        <a:xfrm rot="11700000">
          <a:off x="760005" y="2348120"/>
          <a:ext cx="1340056" cy="469087"/>
        </a:xfrm>
        <a:solidFill>
          <a:schemeClr val="bg1"/>
        </a:solidFill>
        <a:ln>
          <a:solidFill>
            <a:schemeClr val="tx1"/>
          </a:solidFill>
        </a:ln>
        <a:effectLst/>
      </dgm:spPr>
      <dgm:t>
        <a:bodyPr/>
        <a:lstStyle/>
        <a:p>
          <a:pPr algn="ctr"/>
          <a:endParaRPr lang="en-GB" sz="1200"/>
        </a:p>
      </dgm:t>
    </dgm:pt>
    <dgm:pt modelId="{6456828C-8C42-4F6D-B77B-49BF028F748E}" type="sibTrans" cxnId="{1B36DBAF-F73B-409A-B6EB-5EEA3CE9F40A}">
      <dgm:prSet/>
      <dgm:spPr/>
      <dgm:t>
        <a:bodyPr/>
        <a:lstStyle/>
        <a:p>
          <a:pPr algn="ctr"/>
          <a:endParaRPr lang="en-GB" sz="1200"/>
        </a:p>
      </dgm:t>
    </dgm:pt>
    <dgm:pt modelId="{74997DA2-F767-4678-B100-2F307F8E96D2}">
      <dgm:prSet phldrT="[Text]"/>
      <dgm:spPr/>
      <dgm:t>
        <a:bodyPr/>
        <a:lstStyle/>
        <a:p>
          <a:pPr algn="ctr"/>
          <a:endParaRPr lang="en-GB" sz="1200"/>
        </a:p>
      </dgm:t>
    </dgm:pt>
    <dgm:pt modelId="{D495FB4B-B274-4A09-B978-8449DF12AE50}" type="parTrans" cxnId="{78EFCB60-7D40-49FA-B393-EBC65FAF2360}">
      <dgm:prSet/>
      <dgm:spPr/>
      <dgm:t>
        <a:bodyPr/>
        <a:lstStyle/>
        <a:p>
          <a:pPr algn="ctr"/>
          <a:endParaRPr lang="en-GB" sz="1200"/>
        </a:p>
      </dgm:t>
    </dgm:pt>
    <dgm:pt modelId="{D3796FA5-07AF-4E28-BDDD-17654A2FAB75}" type="sibTrans" cxnId="{78EFCB60-7D40-49FA-B393-EBC65FAF2360}">
      <dgm:prSet/>
      <dgm:spPr/>
      <dgm:t>
        <a:bodyPr/>
        <a:lstStyle/>
        <a:p>
          <a:pPr algn="ctr"/>
          <a:endParaRPr lang="en-GB" sz="1200"/>
        </a:p>
      </dgm:t>
    </dgm:pt>
    <dgm:pt modelId="{38E61ABB-BC79-43D5-8A56-DD733A767BE2}">
      <dgm:prSet phldrT="[Text]"/>
      <dgm:spPr/>
      <dgm:t>
        <a:bodyPr/>
        <a:lstStyle/>
        <a:p>
          <a:pPr algn="ctr"/>
          <a:endParaRPr lang="en-GB" sz="1200"/>
        </a:p>
      </dgm:t>
    </dgm:pt>
    <dgm:pt modelId="{E757781B-D6EB-4585-8BC3-62A2E1753AA4}" type="parTrans" cxnId="{8ECCC016-E1B4-4456-B2AD-93051D7260E9}">
      <dgm:prSet/>
      <dgm:spPr/>
      <dgm:t>
        <a:bodyPr/>
        <a:lstStyle/>
        <a:p>
          <a:pPr algn="ctr"/>
          <a:endParaRPr lang="en-GB" sz="1200"/>
        </a:p>
      </dgm:t>
    </dgm:pt>
    <dgm:pt modelId="{3F953FE9-DFF5-4A40-BA8C-0A4B4AD2B6B5}" type="sibTrans" cxnId="{8ECCC016-E1B4-4456-B2AD-93051D7260E9}">
      <dgm:prSet/>
      <dgm:spPr/>
      <dgm:t>
        <a:bodyPr/>
        <a:lstStyle/>
        <a:p>
          <a:pPr algn="ctr"/>
          <a:endParaRPr lang="en-GB" sz="1200"/>
        </a:p>
      </dgm:t>
    </dgm:pt>
    <dgm:pt modelId="{06A20B98-2B74-4474-B84B-E35E68994BD6}">
      <dgm:prSet phldrT="[Text]"/>
      <dgm:spPr/>
      <dgm:t>
        <a:bodyPr/>
        <a:lstStyle/>
        <a:p>
          <a:pPr algn="ctr"/>
          <a:endParaRPr lang="en-GB" sz="1200"/>
        </a:p>
      </dgm:t>
    </dgm:pt>
    <dgm:pt modelId="{36152E15-E427-457B-AC3B-4847B01407B2}" type="parTrans" cxnId="{6E281F5A-BEEA-4071-9329-9553E3923327}">
      <dgm:prSet/>
      <dgm:spPr/>
      <dgm:t>
        <a:bodyPr/>
        <a:lstStyle/>
        <a:p>
          <a:pPr algn="ctr"/>
          <a:endParaRPr lang="en-GB" sz="1200"/>
        </a:p>
      </dgm:t>
    </dgm:pt>
    <dgm:pt modelId="{36A9B403-C2A2-486D-BB89-90E3A3ABCAA3}" type="sibTrans" cxnId="{6E281F5A-BEEA-4071-9329-9553E3923327}">
      <dgm:prSet/>
      <dgm:spPr/>
      <dgm:t>
        <a:bodyPr/>
        <a:lstStyle/>
        <a:p>
          <a:pPr algn="ctr"/>
          <a:endParaRPr lang="en-GB" sz="1200"/>
        </a:p>
      </dgm:t>
    </dgm:pt>
    <dgm:pt modelId="{8376BC07-84AE-4045-89C5-6F6120C4C6AE}">
      <dgm:prSet phldrT="[Text]"/>
      <dgm:spPr/>
      <dgm:t>
        <a:bodyPr/>
        <a:lstStyle/>
        <a:p>
          <a:pPr algn="ctr"/>
          <a:endParaRPr lang="en-GB" sz="1200"/>
        </a:p>
      </dgm:t>
    </dgm:pt>
    <dgm:pt modelId="{9ED545B0-F835-441D-9B45-F63246374811}" type="parTrans" cxnId="{7A8D4CA2-2E37-4CCE-8D6A-EC1C0D263474}">
      <dgm:prSet/>
      <dgm:spPr/>
      <dgm:t>
        <a:bodyPr/>
        <a:lstStyle/>
        <a:p>
          <a:pPr algn="ctr"/>
          <a:endParaRPr lang="en-GB" sz="1200"/>
        </a:p>
      </dgm:t>
    </dgm:pt>
    <dgm:pt modelId="{AD012A1C-C045-4B62-8459-91A030B75746}" type="sibTrans" cxnId="{7A8D4CA2-2E37-4CCE-8D6A-EC1C0D263474}">
      <dgm:prSet/>
      <dgm:spPr/>
      <dgm:t>
        <a:bodyPr/>
        <a:lstStyle/>
        <a:p>
          <a:pPr algn="ctr"/>
          <a:endParaRPr lang="en-GB" sz="1200"/>
        </a:p>
      </dgm:t>
    </dgm:pt>
    <dgm:pt modelId="{1C5F87E5-CA5E-465C-83EE-B6A71437EDC4}">
      <dgm:prSet phldrT="[Text]"/>
      <dgm:spPr/>
      <dgm:t>
        <a:bodyPr/>
        <a:lstStyle/>
        <a:p>
          <a:pPr algn="ctr"/>
          <a:endParaRPr lang="en-GB" sz="1200"/>
        </a:p>
      </dgm:t>
    </dgm:pt>
    <dgm:pt modelId="{CD9D6A3D-1164-4602-A963-3F2F106B23D2}" type="parTrans" cxnId="{E455B5A0-AD8D-4C59-8807-1DB5AD07882C}">
      <dgm:prSet/>
      <dgm:spPr/>
      <dgm:t>
        <a:bodyPr/>
        <a:lstStyle/>
        <a:p>
          <a:pPr algn="ctr"/>
          <a:endParaRPr lang="en-GB" sz="1200"/>
        </a:p>
      </dgm:t>
    </dgm:pt>
    <dgm:pt modelId="{20CB9E06-687D-490B-AE2A-D5343B40F58A}" type="sibTrans" cxnId="{E455B5A0-AD8D-4C59-8807-1DB5AD07882C}">
      <dgm:prSet/>
      <dgm:spPr/>
      <dgm:t>
        <a:bodyPr/>
        <a:lstStyle/>
        <a:p>
          <a:pPr algn="ctr"/>
          <a:endParaRPr lang="en-GB" sz="1200"/>
        </a:p>
      </dgm:t>
    </dgm:pt>
    <dgm:pt modelId="{84F61E81-558A-476C-91A0-09BA97266317}">
      <dgm:prSet/>
      <dgm:spPr/>
      <dgm:t>
        <a:bodyPr/>
        <a:lstStyle/>
        <a:p>
          <a:pPr algn="ctr"/>
          <a:endParaRPr lang="en-GB"/>
        </a:p>
      </dgm:t>
    </dgm:pt>
    <dgm:pt modelId="{7AFA5B12-58E8-4993-A62E-4A7263186529}" type="parTrans" cxnId="{A57D08EC-BF76-487D-B5B9-7AC67326720F}">
      <dgm:prSet/>
      <dgm:spPr/>
      <dgm:t>
        <a:bodyPr/>
        <a:lstStyle/>
        <a:p>
          <a:pPr algn="ctr"/>
          <a:endParaRPr lang="en-GB" sz="1200"/>
        </a:p>
      </dgm:t>
    </dgm:pt>
    <dgm:pt modelId="{3EDDDED0-ED9F-468E-95A2-6FBDF4BCF867}" type="sibTrans" cxnId="{A57D08EC-BF76-487D-B5B9-7AC67326720F}">
      <dgm:prSet/>
      <dgm:spPr/>
      <dgm:t>
        <a:bodyPr/>
        <a:lstStyle/>
        <a:p>
          <a:pPr algn="ctr"/>
          <a:endParaRPr lang="en-GB" sz="1200"/>
        </a:p>
      </dgm:t>
    </dgm:pt>
    <dgm:pt modelId="{2734CE8C-4A36-4E1A-8713-8E2FFA9A7E71}">
      <dgm:prSet phldrT="[Text]"/>
      <dgm:spPr/>
      <dgm:t>
        <a:bodyPr/>
        <a:lstStyle/>
        <a:p>
          <a:pPr algn="ctr"/>
          <a:endParaRPr lang="en-GB" sz="1200" dirty="0"/>
        </a:p>
      </dgm:t>
    </dgm:pt>
    <dgm:pt modelId="{94F702DC-DA4B-47E2-B590-C73F8B148732}" type="sibTrans" cxnId="{B2C50FD7-19FC-4163-A41F-0218BBB15F15}">
      <dgm:prSet/>
      <dgm:spPr/>
      <dgm:t>
        <a:bodyPr/>
        <a:lstStyle/>
        <a:p>
          <a:pPr algn="ctr"/>
          <a:endParaRPr lang="en-GB" sz="1200"/>
        </a:p>
      </dgm:t>
    </dgm:pt>
    <dgm:pt modelId="{A1E1C54E-2B85-423A-A09F-D4D4584BAB1D}" type="parTrans" cxnId="{B2C50FD7-19FC-4163-A41F-0218BBB15F15}">
      <dgm:prSet/>
      <dgm:spPr/>
      <dgm:t>
        <a:bodyPr/>
        <a:lstStyle/>
        <a:p>
          <a:pPr algn="ctr"/>
          <a:endParaRPr lang="en-GB" sz="1200"/>
        </a:p>
      </dgm:t>
    </dgm:pt>
    <dgm:pt modelId="{E27279C9-457C-4B01-A36D-DD4136BC7D0A}">
      <dgm:prSet phldrT="[Text]" custT="1"/>
      <dgm:spPr>
        <a:xfrm>
          <a:off x="1275118" y="224843"/>
          <a:ext cx="1563624" cy="1331994"/>
        </a:xfrm>
        <a:solidFill>
          <a:sysClr val="window" lastClr="FFFFFF">
            <a:hueOff val="0"/>
            <a:satOff val="0"/>
            <a:lumOff val="0"/>
            <a:alphaOff val="0"/>
          </a:sysClr>
        </a:solidFill>
        <a:ln w="9525" cap="flat" cmpd="sng" algn="ctr">
          <a:solidFill>
            <a:sysClr val="windowText" lastClr="000000">
              <a:shade val="80000"/>
              <a:hueOff val="0"/>
              <a:satOff val="0"/>
              <a:lumOff val="0"/>
              <a:alphaOff val="0"/>
            </a:sysClr>
          </a:solidFill>
          <a:prstDash val="solid"/>
        </a:ln>
        <a:effectLst/>
      </dgm:spPr>
      <dgm:t>
        <a:bodyPr/>
        <a:lstStyle/>
        <a:p>
          <a:pPr marL="0" lvl="0" algn="ctr" defTabSz="666750">
            <a:lnSpc>
              <a:spcPct val="90000"/>
            </a:lnSpc>
            <a:spcBef>
              <a:spcPct val="0"/>
            </a:spcBef>
            <a:spcAft>
              <a:spcPct val="35000"/>
            </a:spcAft>
            <a:buNone/>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Employee</a:t>
          </a: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Craftsmanship</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Proud to be KPN</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One KPN culture based on "customer," "collaboration," and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"simplicity"</a:t>
          </a:r>
          <a:endParaRPr lang="en-GB"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9BB27C73-B104-487D-A0CE-7629B0F5FE32}" type="parTrans" cxnId="{F6795DE5-7835-46D3-8556-05E7F264CF8E}">
      <dgm:prSet/>
      <dgm:spPr>
        <a:xfrm rot="14700000">
          <a:off x="1646376" y="1300738"/>
          <a:ext cx="1422124" cy="469087"/>
        </a:xfrm>
        <a:solidFill>
          <a:schemeClr val="bg1"/>
        </a:solidFill>
        <a:ln>
          <a:solidFill>
            <a:schemeClr val="tx1"/>
          </a:solidFill>
        </a:ln>
        <a:effectLst/>
      </dgm:spPr>
      <dgm:t>
        <a:bodyPr/>
        <a:lstStyle/>
        <a:p>
          <a:pPr algn="ctr"/>
          <a:endParaRPr lang="en-GB" sz="1200"/>
        </a:p>
      </dgm:t>
    </dgm:pt>
    <dgm:pt modelId="{E449F0EA-9A3E-4F2F-B283-74271C63C6B3}" type="sibTrans" cxnId="{F6795DE5-7835-46D3-8556-05E7F264CF8E}">
      <dgm:prSet/>
      <dgm:spPr/>
      <dgm:t>
        <a:bodyPr/>
        <a:lstStyle/>
        <a:p>
          <a:pPr algn="ctr"/>
          <a:endParaRPr lang="en-GB" sz="1200"/>
        </a:p>
      </dgm:t>
    </dgm:pt>
    <dgm:pt modelId="{E533C7A2-6D90-43CA-A74F-82AAF000C665}">
      <dgm:prSet phldrT="[Text]" custT="1"/>
      <dgm:spPr>
        <a:xfrm>
          <a:off x="3257257" y="224843"/>
          <a:ext cx="1563624" cy="1331994"/>
        </a:xfrm>
        <a:solidFill>
          <a:sysClr val="window" lastClr="FFFFFF">
            <a:hueOff val="0"/>
            <a:satOff val="0"/>
            <a:lumOff val="0"/>
            <a:alphaOff val="0"/>
          </a:sysClr>
        </a:solidFill>
        <a:ln w="9525" cap="flat" cmpd="sng" algn="ctr">
          <a:solidFill>
            <a:sysClr val="windowText" lastClr="000000">
              <a:shade val="80000"/>
              <a:hueOff val="0"/>
              <a:satOff val="0"/>
              <a:lumOff val="0"/>
              <a:alphaOff val="0"/>
            </a:sysClr>
          </a:solidFill>
          <a:prstDash val="solid"/>
        </a:ln>
        <a:effectLst/>
      </dgm:spPr>
      <dgm:t>
        <a:bodyPr/>
        <a:lstStyle/>
        <a:p>
          <a:pPr algn="ctr">
            <a:buNone/>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Customer</a:t>
          </a: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Un-telco-like satisfaction</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Consistent experience</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Commercially responsive to changing customer needs</a:t>
          </a:r>
          <a:endParaRPr lang="en-GB"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5ECCFC6D-7EA7-4F28-BF6F-BEEC84EF51C8}" type="parTrans" cxnId="{F97E1E53-4557-4B55-8E20-AF359BA61523}">
      <dgm:prSet/>
      <dgm:spPr>
        <a:xfrm rot="17700000">
          <a:off x="3027499" y="1300738"/>
          <a:ext cx="1422124" cy="469087"/>
        </a:xfrm>
        <a:solidFill>
          <a:schemeClr val="bg1"/>
        </a:solidFill>
        <a:ln>
          <a:solidFill>
            <a:schemeClr val="tx1"/>
          </a:solidFill>
        </a:ln>
        <a:effectLst/>
      </dgm:spPr>
      <dgm:t>
        <a:bodyPr/>
        <a:lstStyle/>
        <a:p>
          <a:pPr algn="ctr"/>
          <a:endParaRPr lang="en-GB" sz="1200"/>
        </a:p>
      </dgm:t>
    </dgm:pt>
    <dgm:pt modelId="{09BC3124-7F74-4886-9600-CA80E5EB647A}" type="sibTrans" cxnId="{F97E1E53-4557-4B55-8E20-AF359BA61523}">
      <dgm:prSet/>
      <dgm:spPr/>
      <dgm:t>
        <a:bodyPr/>
        <a:lstStyle/>
        <a:p>
          <a:pPr algn="ctr"/>
          <a:endParaRPr lang="en-GB" sz="1200"/>
        </a:p>
      </dgm:t>
    </dgm:pt>
    <dgm:pt modelId="{3E6223B7-760D-4576-99ED-EFB87C4DEA3A}">
      <dgm:prSet phldrT="[Text]" custT="1"/>
      <dgm:spPr>
        <a:xfrm>
          <a:off x="4531352" y="1620849"/>
          <a:ext cx="1563624" cy="1576795"/>
        </a:xfrm>
        <a:solidFill>
          <a:sysClr val="window" lastClr="FFFFFF">
            <a:hueOff val="0"/>
            <a:satOff val="0"/>
            <a:lumOff val="0"/>
            <a:alphaOff val="0"/>
          </a:sysClr>
        </a:solidFill>
        <a:ln w="9525" cap="flat" cmpd="sng" algn="ctr">
          <a:solidFill>
            <a:sysClr val="windowText" lastClr="000000">
              <a:shade val="80000"/>
              <a:hueOff val="0"/>
              <a:satOff val="0"/>
              <a:lumOff val="0"/>
              <a:alphaOff val="0"/>
            </a:sysClr>
          </a:solidFill>
          <a:prstDash val="solid"/>
        </a:ln>
        <a:effectLst/>
      </dgm:spPr>
      <dgm:t>
        <a:bodyPr/>
        <a:lstStyle/>
        <a:p>
          <a:pPr algn="ctr">
            <a:buNone/>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Finances</a:t>
          </a: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Growing revenues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and profitability</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Above sector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average ROI</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Healthy company dividend policy</a:t>
          </a:r>
          <a:endParaRPr lang="en-GB"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A1581AEC-55FE-4990-85A5-4785971ECEAB}" type="parTrans" cxnId="{5CEC3FA3-3452-4FDA-8312-15AC923826F5}">
      <dgm:prSet/>
      <dgm:spPr>
        <a:xfrm rot="20700000">
          <a:off x="3995937" y="2348120"/>
          <a:ext cx="1340056" cy="469087"/>
        </a:xfrm>
        <a:solidFill>
          <a:schemeClr val="bg1"/>
        </a:solidFill>
        <a:ln>
          <a:solidFill>
            <a:schemeClr val="tx1">
              <a:lumMod val="95000"/>
              <a:lumOff val="5000"/>
            </a:schemeClr>
          </a:solidFill>
        </a:ln>
        <a:effectLst/>
      </dgm:spPr>
      <dgm:t>
        <a:bodyPr/>
        <a:lstStyle/>
        <a:p>
          <a:pPr algn="ctr"/>
          <a:endParaRPr lang="en-GB" sz="1200"/>
        </a:p>
      </dgm:t>
    </dgm:pt>
    <dgm:pt modelId="{98AC4990-2C7E-4422-BDA7-8CED63D51719}" type="sibTrans" cxnId="{5CEC3FA3-3452-4FDA-8312-15AC923826F5}">
      <dgm:prSet/>
      <dgm:spPr/>
      <dgm:t>
        <a:bodyPr/>
        <a:lstStyle/>
        <a:p>
          <a:pPr algn="ctr"/>
          <a:endParaRPr lang="en-GB" sz="1200"/>
        </a:p>
      </dgm:t>
    </dgm:pt>
    <dgm:pt modelId="{D9FFB883-8DF9-46DC-9920-24D38E297478}" type="pres">
      <dgm:prSet presAssocID="{2D96428E-72F0-4145-BFAB-6737628452B9}" presName="cycle" presStyleCnt="0">
        <dgm:presLayoutVars>
          <dgm:chMax val="1"/>
          <dgm:dir/>
          <dgm:animLvl val="ctr"/>
          <dgm:resizeHandles val="exact"/>
        </dgm:presLayoutVars>
      </dgm:prSet>
      <dgm:spPr/>
      <dgm:t>
        <a:bodyPr/>
        <a:lstStyle/>
        <a:p>
          <a:endParaRPr lang="en-US"/>
        </a:p>
      </dgm:t>
    </dgm:pt>
    <dgm:pt modelId="{A36071F5-DD43-45CF-8144-F4CBD959FB89}" type="pres">
      <dgm:prSet presAssocID="{66E9D91B-1E1C-424B-8A32-7D01CA4A84DF}" presName="centerShape" presStyleLbl="node0" presStyleIdx="0" presStyleCnt="1" custScaleX="99435" custScaleY="94137" custLinFactNeighborX="-2699" custLinFactNeighborY="-1434"/>
      <dgm:spPr>
        <a:prstGeom prst="ellipse">
          <a:avLst/>
        </a:prstGeom>
      </dgm:spPr>
      <dgm:t>
        <a:bodyPr/>
        <a:lstStyle/>
        <a:p>
          <a:endParaRPr lang="en-US"/>
        </a:p>
      </dgm:t>
    </dgm:pt>
    <dgm:pt modelId="{EE75BC21-6D46-4843-9C96-24DC8CBB414A}" type="pres">
      <dgm:prSet presAssocID="{C82A05A8-CE27-4F20-848A-268343C211F5}" presName="parTrans" presStyleLbl="bgSibTrans2D1" presStyleIdx="0" presStyleCnt="4" custLinFactNeighborX="3384" custLinFactNeighborY="11895"/>
      <dgm:spPr>
        <a:prstGeom prst="leftArrow">
          <a:avLst>
            <a:gd name="adj1" fmla="val 60000"/>
            <a:gd name="adj2" fmla="val 50000"/>
          </a:avLst>
        </a:prstGeom>
      </dgm:spPr>
      <dgm:t>
        <a:bodyPr/>
        <a:lstStyle/>
        <a:p>
          <a:endParaRPr lang="en-US"/>
        </a:p>
      </dgm:t>
    </dgm:pt>
    <dgm:pt modelId="{46DBCCD2-0D04-40F9-B1D0-8D242563E1B5}" type="pres">
      <dgm:prSet presAssocID="{A5D6A084-22FF-4EC5-AD98-93A9F6E75521}" presName="node" presStyleLbl="node1" presStyleIdx="0" presStyleCnt="4" custScaleX="109703" custScaleY="147614" custRadScaleRad="115903" custRadScaleInc="-22022">
        <dgm:presLayoutVars>
          <dgm:bulletEnabled val="1"/>
        </dgm:presLayoutVars>
      </dgm:prSet>
      <dgm:spPr>
        <a:prstGeom prst="roundRect">
          <a:avLst>
            <a:gd name="adj" fmla="val 10000"/>
          </a:avLst>
        </a:prstGeom>
      </dgm:spPr>
      <dgm:t>
        <a:bodyPr/>
        <a:lstStyle/>
        <a:p>
          <a:endParaRPr lang="en-US"/>
        </a:p>
      </dgm:t>
    </dgm:pt>
    <dgm:pt modelId="{ED05BF9B-0360-4BD6-955F-225DF7E429E3}" type="pres">
      <dgm:prSet presAssocID="{9BB27C73-B104-487D-A0CE-7629B0F5FE32}" presName="parTrans" presStyleLbl="bgSibTrans2D1" presStyleIdx="1" presStyleCnt="4" custLinFactNeighborX="392" custLinFactNeighborY="16653"/>
      <dgm:spPr>
        <a:prstGeom prst="leftArrow">
          <a:avLst>
            <a:gd name="adj1" fmla="val 60000"/>
            <a:gd name="adj2" fmla="val 50000"/>
          </a:avLst>
        </a:prstGeom>
      </dgm:spPr>
      <dgm:t>
        <a:bodyPr/>
        <a:lstStyle/>
        <a:p>
          <a:endParaRPr lang="en-US"/>
        </a:p>
      </dgm:t>
    </dgm:pt>
    <dgm:pt modelId="{88D83A42-B0BF-4805-8AF1-2893E32B4906}" type="pres">
      <dgm:prSet presAssocID="{E27279C9-457C-4B01-A36D-DD4136BC7D0A}" presName="node" presStyleLbl="node1" presStyleIdx="1" presStyleCnt="4" custScaleX="93193" custScaleY="116420" custRadScaleRad="99039" custRadScaleInc="-3246">
        <dgm:presLayoutVars>
          <dgm:bulletEnabled val="1"/>
        </dgm:presLayoutVars>
      </dgm:prSet>
      <dgm:spPr>
        <a:prstGeom prst="roundRect">
          <a:avLst>
            <a:gd name="adj" fmla="val 10000"/>
          </a:avLst>
        </a:prstGeom>
      </dgm:spPr>
      <dgm:t>
        <a:bodyPr/>
        <a:lstStyle/>
        <a:p>
          <a:endParaRPr lang="en-US"/>
        </a:p>
      </dgm:t>
    </dgm:pt>
    <dgm:pt modelId="{F193DCF0-11C4-4ED2-939A-C321BF9F69FD}" type="pres">
      <dgm:prSet presAssocID="{5ECCFC6D-7EA7-4F28-BF6F-BEEC84EF51C8}" presName="parTrans" presStyleLbl="bgSibTrans2D1" presStyleIdx="2" presStyleCnt="4" custScaleX="96799" custLinFactNeighborX="392" custLinFactNeighborY="20222"/>
      <dgm:spPr>
        <a:prstGeom prst="leftArrow">
          <a:avLst>
            <a:gd name="adj1" fmla="val 60000"/>
            <a:gd name="adj2" fmla="val 50000"/>
          </a:avLst>
        </a:prstGeom>
      </dgm:spPr>
      <dgm:t>
        <a:bodyPr/>
        <a:lstStyle/>
        <a:p>
          <a:endParaRPr lang="en-US"/>
        </a:p>
      </dgm:t>
    </dgm:pt>
    <dgm:pt modelId="{CF62F0BB-5004-429F-B0C2-5BE392AED44F}" type="pres">
      <dgm:prSet presAssocID="{E533C7A2-6D90-43CA-A74F-82AAF000C665}" presName="node" presStyleLbl="node1" presStyleIdx="2" presStyleCnt="4" custScaleX="103024" custScaleY="120906" custRadScaleRad="96520" custRadScaleInc="-1831">
        <dgm:presLayoutVars>
          <dgm:bulletEnabled val="1"/>
        </dgm:presLayoutVars>
      </dgm:prSet>
      <dgm:spPr>
        <a:prstGeom prst="roundRect">
          <a:avLst>
            <a:gd name="adj" fmla="val 10000"/>
          </a:avLst>
        </a:prstGeom>
      </dgm:spPr>
      <dgm:t>
        <a:bodyPr/>
        <a:lstStyle/>
        <a:p>
          <a:endParaRPr lang="en-US"/>
        </a:p>
      </dgm:t>
    </dgm:pt>
    <dgm:pt modelId="{B51446F2-D11B-4E87-ACFE-2755632FB6E8}" type="pres">
      <dgm:prSet presAssocID="{A1581AEC-55FE-4990-85A5-4785971ECEAB}" presName="parTrans" presStyleLbl="bgSibTrans2D1" presStyleIdx="3" presStyleCnt="4" custLinFactNeighborX="-4697" custLinFactNeighborY="14274"/>
      <dgm:spPr>
        <a:prstGeom prst="leftArrow">
          <a:avLst>
            <a:gd name="adj1" fmla="val 60000"/>
            <a:gd name="adj2" fmla="val 50000"/>
          </a:avLst>
        </a:prstGeom>
      </dgm:spPr>
      <dgm:t>
        <a:bodyPr/>
        <a:lstStyle/>
        <a:p>
          <a:endParaRPr lang="en-US"/>
        </a:p>
      </dgm:t>
    </dgm:pt>
    <dgm:pt modelId="{86438BC7-126E-4D9E-9EBC-16B57B8F0B52}" type="pres">
      <dgm:prSet presAssocID="{3E6223B7-760D-4576-99ED-EFB87C4DEA3A}" presName="node" presStyleLbl="node1" presStyleIdx="3" presStyleCnt="4" custScaleY="144169" custRadScaleRad="102122" custRadScaleInc="21450">
        <dgm:presLayoutVars>
          <dgm:bulletEnabled val="1"/>
        </dgm:presLayoutVars>
      </dgm:prSet>
      <dgm:spPr>
        <a:prstGeom prst="roundRect">
          <a:avLst>
            <a:gd name="adj" fmla="val 10000"/>
          </a:avLst>
        </a:prstGeom>
      </dgm:spPr>
      <dgm:t>
        <a:bodyPr/>
        <a:lstStyle/>
        <a:p>
          <a:endParaRPr lang="en-US"/>
        </a:p>
      </dgm:t>
    </dgm:pt>
  </dgm:ptLst>
  <dgm:cxnLst>
    <dgm:cxn modelId="{2C2EB794-6F22-4FF7-AF6E-C7899365FE70}" type="presOf" srcId="{9BB27C73-B104-487D-A0CE-7629B0F5FE32}" destId="{ED05BF9B-0360-4BD6-955F-225DF7E429E3}" srcOrd="0" destOrd="0" presId="urn:microsoft.com/office/officeart/2005/8/layout/radial4"/>
    <dgm:cxn modelId="{A57D08EC-BF76-487D-B5B9-7AC67326720F}" srcId="{2D96428E-72F0-4145-BFAB-6737628452B9}" destId="{84F61E81-558A-476C-91A0-09BA97266317}" srcOrd="4" destOrd="0" parTransId="{7AFA5B12-58E8-4993-A62E-4A7263186529}" sibTransId="{3EDDDED0-ED9F-468E-95A2-6FBDF4BCF867}"/>
    <dgm:cxn modelId="{8ECCC016-E1B4-4456-B2AD-93051D7260E9}" srcId="{74997DA2-F767-4678-B100-2F307F8E96D2}" destId="{38E61ABB-BC79-43D5-8A56-DD733A767BE2}" srcOrd="0" destOrd="0" parTransId="{E757781B-D6EB-4585-8BC3-62A2E1753AA4}" sibTransId="{3F953FE9-DFF5-4A40-BA8C-0A4B4AD2B6B5}"/>
    <dgm:cxn modelId="{8BE40F18-0A61-450F-BF53-27CAEF97E9CE}" srcId="{2D96428E-72F0-4145-BFAB-6737628452B9}" destId="{66E9D91B-1E1C-424B-8A32-7D01CA4A84DF}" srcOrd="0" destOrd="0" parTransId="{5AD2CE46-6E69-4967-BFAE-A6A3FA153B4A}" sibTransId="{F3A581A5-2D21-45E9-B511-4CDC5B1699E6}"/>
    <dgm:cxn modelId="{24158E73-4CF0-4CF4-9AA5-3E45A9B8E991}" type="presOf" srcId="{2D96428E-72F0-4145-BFAB-6737628452B9}" destId="{D9FFB883-8DF9-46DC-9920-24D38E297478}" srcOrd="0" destOrd="0" presId="urn:microsoft.com/office/officeart/2005/8/layout/radial4"/>
    <dgm:cxn modelId="{F6795DE5-7835-46D3-8556-05E7F264CF8E}" srcId="{66E9D91B-1E1C-424B-8A32-7D01CA4A84DF}" destId="{E27279C9-457C-4B01-A36D-DD4136BC7D0A}" srcOrd="1" destOrd="0" parTransId="{9BB27C73-B104-487D-A0CE-7629B0F5FE32}" sibTransId="{E449F0EA-9A3E-4F2F-B283-74271C63C6B3}"/>
    <dgm:cxn modelId="{F0A35931-026C-44EE-BD6D-376296C9BAF9}" type="presOf" srcId="{A5D6A084-22FF-4EC5-AD98-93A9F6E75521}" destId="{46DBCCD2-0D04-40F9-B1D0-8D242563E1B5}" srcOrd="0" destOrd="0" presId="urn:microsoft.com/office/officeart/2005/8/layout/radial4"/>
    <dgm:cxn modelId="{B6A65ADC-4918-4456-8B39-A808A162E1FE}" type="presOf" srcId="{E27279C9-457C-4B01-A36D-DD4136BC7D0A}" destId="{88D83A42-B0BF-4805-8AF1-2893E32B4906}" srcOrd="0" destOrd="0" presId="urn:microsoft.com/office/officeart/2005/8/layout/radial4"/>
    <dgm:cxn modelId="{B2C50FD7-19FC-4163-A41F-0218BBB15F15}" srcId="{2D96428E-72F0-4145-BFAB-6737628452B9}" destId="{2734CE8C-4A36-4E1A-8713-8E2FFA9A7E71}" srcOrd="1" destOrd="0" parTransId="{A1E1C54E-2B85-423A-A09F-D4D4584BAB1D}" sibTransId="{94F702DC-DA4B-47E2-B590-C73F8B148732}"/>
    <dgm:cxn modelId="{7A8D4CA2-2E37-4CCE-8D6A-EC1C0D263474}" srcId="{06A20B98-2B74-4474-B84B-E35E68994BD6}" destId="{8376BC07-84AE-4045-89C5-6F6120C4C6AE}" srcOrd="0" destOrd="0" parTransId="{9ED545B0-F835-441D-9B45-F63246374811}" sibTransId="{AD012A1C-C045-4B62-8459-91A030B75746}"/>
    <dgm:cxn modelId="{F746356E-1A7D-4B9D-A922-C13BC132D255}" type="presOf" srcId="{5ECCFC6D-7EA7-4F28-BF6F-BEEC84EF51C8}" destId="{F193DCF0-11C4-4ED2-939A-C321BF9F69FD}" srcOrd="0" destOrd="0" presId="urn:microsoft.com/office/officeart/2005/8/layout/radial4"/>
    <dgm:cxn modelId="{78EFCB60-7D40-49FA-B393-EBC65FAF2360}" srcId="{2D96428E-72F0-4145-BFAB-6737628452B9}" destId="{74997DA2-F767-4678-B100-2F307F8E96D2}" srcOrd="2" destOrd="0" parTransId="{D495FB4B-B274-4A09-B978-8449DF12AE50}" sibTransId="{D3796FA5-07AF-4E28-BDDD-17654A2FAB75}"/>
    <dgm:cxn modelId="{5CEC3FA3-3452-4FDA-8312-15AC923826F5}" srcId="{66E9D91B-1E1C-424B-8A32-7D01CA4A84DF}" destId="{3E6223B7-760D-4576-99ED-EFB87C4DEA3A}" srcOrd="3" destOrd="0" parTransId="{A1581AEC-55FE-4990-85A5-4785971ECEAB}" sibTransId="{98AC4990-2C7E-4422-BDA7-8CED63D51719}"/>
    <dgm:cxn modelId="{4D051DD4-8768-4D4D-8E76-AED78EF0A6DA}" type="presOf" srcId="{66E9D91B-1E1C-424B-8A32-7D01CA4A84DF}" destId="{A36071F5-DD43-45CF-8144-F4CBD959FB89}" srcOrd="0" destOrd="0" presId="urn:microsoft.com/office/officeart/2005/8/layout/radial4"/>
    <dgm:cxn modelId="{E455B5A0-AD8D-4C59-8807-1DB5AD07882C}" srcId="{06A20B98-2B74-4474-B84B-E35E68994BD6}" destId="{1C5F87E5-CA5E-465C-83EE-B6A71437EDC4}" srcOrd="1" destOrd="0" parTransId="{CD9D6A3D-1164-4602-A963-3F2F106B23D2}" sibTransId="{20CB9E06-687D-490B-AE2A-D5343B40F58A}"/>
    <dgm:cxn modelId="{F771BE2F-EECA-42BE-8A33-F896E0BD55FF}" type="presOf" srcId="{A1581AEC-55FE-4990-85A5-4785971ECEAB}" destId="{B51446F2-D11B-4E87-ACFE-2755632FB6E8}" srcOrd="0" destOrd="0" presId="urn:microsoft.com/office/officeart/2005/8/layout/radial4"/>
    <dgm:cxn modelId="{E8B6AAAC-05DB-4C34-9B49-EB2C2A53D264}" type="presOf" srcId="{C82A05A8-CE27-4F20-848A-268343C211F5}" destId="{EE75BC21-6D46-4843-9C96-24DC8CBB414A}" srcOrd="0" destOrd="0" presId="urn:microsoft.com/office/officeart/2005/8/layout/radial4"/>
    <dgm:cxn modelId="{1B36DBAF-F73B-409A-B6EB-5EEA3CE9F40A}" srcId="{66E9D91B-1E1C-424B-8A32-7D01CA4A84DF}" destId="{A5D6A084-22FF-4EC5-AD98-93A9F6E75521}" srcOrd="0" destOrd="0" parTransId="{C82A05A8-CE27-4F20-848A-268343C211F5}" sibTransId="{6456828C-8C42-4F6D-B77B-49BF028F748E}"/>
    <dgm:cxn modelId="{AD749EC7-BCE6-4D88-AC6C-8AC23CCAEE16}" type="presOf" srcId="{3E6223B7-760D-4576-99ED-EFB87C4DEA3A}" destId="{86438BC7-126E-4D9E-9EBC-16B57B8F0B52}" srcOrd="0" destOrd="0" presId="urn:microsoft.com/office/officeart/2005/8/layout/radial4"/>
    <dgm:cxn modelId="{6E281F5A-BEEA-4071-9329-9553E3923327}" srcId="{2D96428E-72F0-4145-BFAB-6737628452B9}" destId="{06A20B98-2B74-4474-B84B-E35E68994BD6}" srcOrd="3" destOrd="0" parTransId="{36152E15-E427-457B-AC3B-4847B01407B2}" sibTransId="{36A9B403-C2A2-486D-BB89-90E3A3ABCAA3}"/>
    <dgm:cxn modelId="{F97E1E53-4557-4B55-8E20-AF359BA61523}" srcId="{66E9D91B-1E1C-424B-8A32-7D01CA4A84DF}" destId="{E533C7A2-6D90-43CA-A74F-82AAF000C665}" srcOrd="2" destOrd="0" parTransId="{5ECCFC6D-7EA7-4F28-BF6F-BEEC84EF51C8}" sibTransId="{09BC3124-7F74-4886-9600-CA80E5EB647A}"/>
    <dgm:cxn modelId="{646D869E-08A6-4BB9-AD2F-4B40DC47BA33}" type="presOf" srcId="{E533C7A2-6D90-43CA-A74F-82AAF000C665}" destId="{CF62F0BB-5004-429F-B0C2-5BE392AED44F}" srcOrd="0" destOrd="0" presId="urn:microsoft.com/office/officeart/2005/8/layout/radial4"/>
    <dgm:cxn modelId="{15984DE8-CD9E-4C16-B58C-929B9BF224CB}" type="presParOf" srcId="{D9FFB883-8DF9-46DC-9920-24D38E297478}" destId="{A36071F5-DD43-45CF-8144-F4CBD959FB89}" srcOrd="0" destOrd="0" presId="urn:microsoft.com/office/officeart/2005/8/layout/radial4"/>
    <dgm:cxn modelId="{AB7686D7-F189-463E-803F-477BF2A13F0F}" type="presParOf" srcId="{D9FFB883-8DF9-46DC-9920-24D38E297478}" destId="{EE75BC21-6D46-4843-9C96-24DC8CBB414A}" srcOrd="1" destOrd="0" presId="urn:microsoft.com/office/officeart/2005/8/layout/radial4"/>
    <dgm:cxn modelId="{F2B45BB2-3018-4927-A334-29F8D2E0AD79}" type="presParOf" srcId="{D9FFB883-8DF9-46DC-9920-24D38E297478}" destId="{46DBCCD2-0D04-40F9-B1D0-8D242563E1B5}" srcOrd="2" destOrd="0" presId="urn:microsoft.com/office/officeart/2005/8/layout/radial4"/>
    <dgm:cxn modelId="{8F5811AF-C07E-4F44-82E3-CCC0CDC2CB76}" type="presParOf" srcId="{D9FFB883-8DF9-46DC-9920-24D38E297478}" destId="{ED05BF9B-0360-4BD6-955F-225DF7E429E3}" srcOrd="3" destOrd="0" presId="urn:microsoft.com/office/officeart/2005/8/layout/radial4"/>
    <dgm:cxn modelId="{75F34D25-9B5F-41AE-900A-654EEFE30896}" type="presParOf" srcId="{D9FFB883-8DF9-46DC-9920-24D38E297478}" destId="{88D83A42-B0BF-4805-8AF1-2893E32B4906}" srcOrd="4" destOrd="0" presId="urn:microsoft.com/office/officeart/2005/8/layout/radial4"/>
    <dgm:cxn modelId="{C4CF4225-6D29-4A8A-B3EA-AA16D68D5A01}" type="presParOf" srcId="{D9FFB883-8DF9-46DC-9920-24D38E297478}" destId="{F193DCF0-11C4-4ED2-939A-C321BF9F69FD}" srcOrd="5" destOrd="0" presId="urn:microsoft.com/office/officeart/2005/8/layout/radial4"/>
    <dgm:cxn modelId="{71915A23-80CE-4279-A3A1-4FBC06ED362A}" type="presParOf" srcId="{D9FFB883-8DF9-46DC-9920-24D38E297478}" destId="{CF62F0BB-5004-429F-B0C2-5BE392AED44F}" srcOrd="6" destOrd="0" presId="urn:microsoft.com/office/officeart/2005/8/layout/radial4"/>
    <dgm:cxn modelId="{80AEE6CB-252C-4421-99E5-3A3C66BC25C9}" type="presParOf" srcId="{D9FFB883-8DF9-46DC-9920-24D38E297478}" destId="{B51446F2-D11B-4E87-ACFE-2755632FB6E8}" srcOrd="7" destOrd="0" presId="urn:microsoft.com/office/officeart/2005/8/layout/radial4"/>
    <dgm:cxn modelId="{1C8C358B-6D25-4D7D-9836-E3B1F0FAE288}" type="presParOf" srcId="{D9FFB883-8DF9-46DC-9920-24D38E297478}" destId="{86438BC7-126E-4D9E-9EBC-16B57B8F0B52}" srcOrd="8" destOrd="0" presId="urn:microsoft.com/office/officeart/2005/8/layout/radial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071F5-DD43-45CF-8144-F4CBD959FB89}">
      <dsp:nvSpPr>
        <dsp:cNvPr id="0" name=""/>
        <dsp:cNvSpPr/>
      </dsp:nvSpPr>
      <dsp:spPr>
        <a:xfrm>
          <a:off x="1871432" y="1483223"/>
          <a:ext cx="1347000" cy="1275230"/>
        </a:xfrm>
        <a:prstGeom prst="ellipse">
          <a:avLst/>
        </a:prstGeom>
        <a:solidFill>
          <a:sysClr val="window" lastClr="FFFFFF">
            <a:hueOff val="0"/>
            <a:satOff val="0"/>
            <a:lumOff val="0"/>
            <a:alphaOff val="0"/>
          </a:sysClr>
        </a:solidFill>
        <a:ln w="9525"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ts val="2100"/>
            </a:lnSpc>
            <a:spcBef>
              <a:spcPct val="0"/>
            </a:spcBef>
            <a:spcAft>
              <a:spcPts val="0"/>
            </a:spcAft>
            <a:buNone/>
          </a:pPr>
          <a:r>
            <a:rPr lang="en-GB" sz="1000" b="1"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KPN 2020</a:t>
          </a:r>
        </a:p>
        <a:p>
          <a:pPr lvl="0" algn="ctr" defTabSz="444500">
            <a:lnSpc>
              <a:spcPts val="1000"/>
            </a:lnSpc>
            <a:spcBef>
              <a:spcPct val="0"/>
            </a:spcBef>
            <a:spcAft>
              <a:spcPts val="0"/>
            </a:spcAft>
            <a:buNone/>
          </a:pPr>
          <a:r>
            <a:rPr lang="en-GB" sz="1000" b="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"We become</a:t>
          </a:r>
          <a:br>
            <a:rPr lang="en-GB" sz="1000" b="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b="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the best service provider."</a:t>
          </a:r>
        </a:p>
      </dsp:txBody>
      <dsp:txXfrm>
        <a:off x="2068696" y="1669976"/>
        <a:ext cx="952472" cy="901724"/>
      </dsp:txXfrm>
    </dsp:sp>
    <dsp:sp modelId="{EE75BC21-6D46-4843-9C96-24DC8CBB414A}">
      <dsp:nvSpPr>
        <dsp:cNvPr id="0" name=""/>
        <dsp:cNvSpPr/>
      </dsp:nvSpPr>
      <dsp:spPr>
        <a:xfrm rot="11041570">
          <a:off x="741955" y="1883106"/>
          <a:ext cx="1105913" cy="386076"/>
        </a:xfrm>
        <a:prstGeom prst="lef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sp>
    <dsp:sp modelId="{46DBCCD2-0D04-40F9-B1D0-8D242563E1B5}">
      <dsp:nvSpPr>
        <dsp:cNvPr id="0" name=""/>
        <dsp:cNvSpPr/>
      </dsp:nvSpPr>
      <dsp:spPr>
        <a:xfrm>
          <a:off x="0" y="1231526"/>
          <a:ext cx="1411791" cy="1519741"/>
        </a:xfrm>
        <a:prstGeom prst="roundRect">
          <a:avLst>
            <a:gd name="adj" fmla="val 10000"/>
          </a:avLst>
        </a:prstGeom>
        <a:solidFill>
          <a:sysClr val="window" lastClr="FFFFFF">
            <a:hueOff val="0"/>
            <a:satOff val="0"/>
            <a:lumOff val="0"/>
            <a:alphaOff val="0"/>
          </a:sysClr>
        </a:solidFill>
        <a:ln w="9525"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buNone/>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Organization</a:t>
          </a: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Simple, flexible products, processes, IT</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Simple, process-driven, with customer as only reason to differentiate</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In-house core competencies</a:t>
          </a:r>
          <a:endParaRPr lang="en-GB"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41350" y="1272876"/>
        <a:ext cx="1329091" cy="1437041"/>
      </dsp:txXfrm>
    </dsp:sp>
    <dsp:sp modelId="{ED05BF9B-0360-4BD6-955F-225DF7E429E3}">
      <dsp:nvSpPr>
        <dsp:cNvPr id="0" name=""/>
        <dsp:cNvSpPr/>
      </dsp:nvSpPr>
      <dsp:spPr>
        <a:xfrm rot="14742202">
          <a:off x="1594443" y="925033"/>
          <a:ext cx="944944" cy="386076"/>
        </a:xfrm>
        <a:prstGeom prst="lef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sp>
    <dsp:sp modelId="{88D83A42-B0BF-4805-8AF1-2893E32B4906}">
      <dsp:nvSpPr>
        <dsp:cNvPr id="0" name=""/>
        <dsp:cNvSpPr/>
      </dsp:nvSpPr>
      <dsp:spPr>
        <a:xfrm>
          <a:off x="1269147" y="23861"/>
          <a:ext cx="1199320" cy="1198587"/>
        </a:xfrm>
        <a:prstGeom prst="roundRect">
          <a:avLst>
            <a:gd name="adj" fmla="val 10000"/>
          </a:avLst>
        </a:prstGeom>
        <a:solidFill>
          <a:sysClr val="window" lastClr="FFFFFF">
            <a:hueOff val="0"/>
            <a:satOff val="0"/>
            <a:lumOff val="0"/>
            <a:alphaOff val="0"/>
          </a:sysClr>
        </a:solidFill>
        <a:ln w="9525"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algn="ctr" defTabSz="666750">
            <a:lnSpc>
              <a:spcPct val="90000"/>
            </a:lnSpc>
            <a:spcBef>
              <a:spcPct val="0"/>
            </a:spcBef>
            <a:spcAft>
              <a:spcPct val="35000"/>
            </a:spcAft>
            <a:buNone/>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Employee</a:t>
          </a: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Craftsmanship</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Proud to be KPN</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One KPN culture based on "customer," "collaboration," and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"simplicity"</a:t>
          </a:r>
          <a:endParaRPr lang="en-GB"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1304252" y="58966"/>
        <a:ext cx="1129110" cy="1128377"/>
      </dsp:txXfrm>
    </dsp:sp>
    <dsp:sp modelId="{F193DCF0-11C4-4ED2-939A-C321BF9F69FD}">
      <dsp:nvSpPr>
        <dsp:cNvPr id="0" name=""/>
        <dsp:cNvSpPr/>
      </dsp:nvSpPr>
      <dsp:spPr>
        <a:xfrm rot="17868420">
          <a:off x="2630671" y="951912"/>
          <a:ext cx="947908" cy="386076"/>
        </a:xfrm>
        <a:prstGeom prst="lef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sp>
    <dsp:sp modelId="{CF62F0BB-5004-429F-B0C2-5BE392AED44F}">
      <dsp:nvSpPr>
        <dsp:cNvPr id="0" name=""/>
        <dsp:cNvSpPr/>
      </dsp:nvSpPr>
      <dsp:spPr>
        <a:xfrm>
          <a:off x="2666277" y="11405"/>
          <a:ext cx="1325838" cy="1244772"/>
        </a:xfrm>
        <a:prstGeom prst="roundRect">
          <a:avLst>
            <a:gd name="adj" fmla="val 10000"/>
          </a:avLst>
        </a:prstGeom>
        <a:solidFill>
          <a:sysClr val="window" lastClr="FFFFFF">
            <a:hueOff val="0"/>
            <a:satOff val="0"/>
            <a:lumOff val="0"/>
            <a:alphaOff val="0"/>
          </a:sysClr>
        </a:solidFill>
        <a:ln w="9525"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buNone/>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Customer</a:t>
          </a: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Un-telco-like satisfaction</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Consistent experience</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Commercially responsive to changing customer needs</a:t>
          </a:r>
          <a:endParaRPr lang="en-GB"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2702735" y="47863"/>
        <a:ext cx="1252922" cy="1171856"/>
      </dsp:txXfrm>
    </dsp:sp>
    <dsp:sp modelId="{B51446F2-D11B-4E87-ACFE-2755632FB6E8}">
      <dsp:nvSpPr>
        <dsp:cNvPr id="0" name=""/>
        <dsp:cNvSpPr/>
      </dsp:nvSpPr>
      <dsp:spPr>
        <a:xfrm rot="21386791">
          <a:off x="3228502" y="1901960"/>
          <a:ext cx="1133437" cy="386076"/>
        </a:xfrm>
        <a:prstGeom prst="leftArrow">
          <a:avLst>
            <a:gd name="adj1" fmla="val 60000"/>
            <a:gd name="adj2" fmla="val 50000"/>
          </a:avLst>
        </a:prstGeom>
        <a:solidFill>
          <a:schemeClr val="bg1"/>
        </a:solidFill>
        <a:ln>
          <a:solidFill>
            <a:schemeClr val="tx1">
              <a:lumMod val="95000"/>
              <a:lumOff val="5000"/>
            </a:schemeClr>
          </a:solidFill>
        </a:ln>
        <a:effectLst/>
      </dsp:spPr>
      <dsp:style>
        <a:lnRef idx="0">
          <a:scrgbClr r="0" g="0" b="0"/>
        </a:lnRef>
        <a:fillRef idx="1">
          <a:scrgbClr r="0" g="0" b="0"/>
        </a:fillRef>
        <a:effectRef idx="0">
          <a:scrgbClr r="0" g="0" b="0"/>
        </a:effectRef>
        <a:fontRef idx="minor">
          <a:schemeClr val="lt1"/>
        </a:fontRef>
      </dsp:style>
    </dsp:sp>
    <dsp:sp modelId="{86438BC7-126E-4D9E-9EBC-16B57B8F0B52}">
      <dsp:nvSpPr>
        <dsp:cNvPr id="0" name=""/>
        <dsp:cNvSpPr/>
      </dsp:nvSpPr>
      <dsp:spPr>
        <a:xfrm>
          <a:off x="3770626" y="1262628"/>
          <a:ext cx="1286921" cy="1484273"/>
        </a:xfrm>
        <a:prstGeom prst="roundRect">
          <a:avLst>
            <a:gd name="adj" fmla="val 10000"/>
          </a:avLst>
        </a:prstGeom>
        <a:solidFill>
          <a:sysClr val="window" lastClr="FFFFFF">
            <a:hueOff val="0"/>
            <a:satOff val="0"/>
            <a:lumOff val="0"/>
            <a:alphaOff val="0"/>
          </a:sysClr>
        </a:solidFill>
        <a:ln w="9525"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buNone/>
          </a:pPr>
          <a:r>
            <a:rPr lang="en-GB"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Finances</a:t>
          </a: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Growing revenues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and profitability</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Above sector </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average ROI</a:t>
          </a:r>
          <a:b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GB"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Healthy company dividend policy</a:t>
          </a:r>
          <a:endParaRPr lang="en-GB"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3808319" y="1300321"/>
        <a:ext cx="1211535" cy="1408887"/>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BF00729-5678-4360-8B1A-6ED4022038CB}">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5AD47C2-49EE-44D2-B0C7-B08285AEA9E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B0970-15F6-42C7-930B-95A2B61C3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5536</Words>
  <Characters>31558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Harnett, Kira</cp:lastModifiedBy>
  <cp:revision>8</cp:revision>
  <cp:lastPrinted>2019-05-29T15:07:00Z</cp:lastPrinted>
  <dcterms:created xsi:type="dcterms:W3CDTF">2019-05-31T13:20:00Z</dcterms:created>
  <dcterms:modified xsi:type="dcterms:W3CDTF">2019-05-31T14:14:00Z</dcterms:modified>
</cp:coreProperties>
</file>