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2C3EFD" w:rsidRPr="00830F16" w14:paraId="3DEC3EA7" w14:textId="77777777" w:rsidTr="003174CD">
        <w:tc>
          <w:tcPr>
            <w:tcW w:w="4788" w:type="dxa"/>
          </w:tcPr>
          <w:p w14:paraId="0C3EABDD" w14:textId="77777777" w:rsidR="002C3EFD" w:rsidRPr="00830F16" w:rsidRDefault="002C3EFD" w:rsidP="003174CD">
            <w:pPr>
              <w:tabs>
                <w:tab w:val="left" w:pos="-1440"/>
                <w:tab w:val="left" w:pos="-720"/>
                <w:tab w:val="left" w:pos="1"/>
              </w:tabs>
              <w:jc w:val="both"/>
              <w:rPr>
                <w:rFonts w:ascii="Arial" w:hAnsi="Arial"/>
                <w:b/>
                <w:sz w:val="24"/>
                <w:lang w:val="en-CA"/>
              </w:rPr>
            </w:pPr>
            <w:bookmarkStart w:id="0" w:name="_GoBack"/>
            <w:bookmarkEnd w:id="0"/>
            <w:r w:rsidRPr="00830F16">
              <w:rPr>
                <w:rFonts w:ascii="Arial" w:hAnsi="Arial"/>
                <w:b/>
                <w:noProof/>
                <w:sz w:val="24"/>
              </w:rPr>
              <w:drawing>
                <wp:inline distT="0" distB="0" distL="0" distR="0" wp14:anchorId="637F6716" wp14:editId="29A2B08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B53EE5D" w14:textId="77777777" w:rsidR="002C3EFD" w:rsidRPr="00830F16" w:rsidRDefault="002C3EFD" w:rsidP="003174CD">
            <w:pPr>
              <w:tabs>
                <w:tab w:val="left" w:pos="-1440"/>
                <w:tab w:val="left" w:pos="-720"/>
                <w:tab w:val="left" w:pos="1"/>
              </w:tabs>
              <w:jc w:val="both"/>
              <w:rPr>
                <w:rFonts w:ascii="Arial" w:hAnsi="Arial"/>
                <w:b/>
                <w:sz w:val="24"/>
                <w:lang w:val="en-CA"/>
              </w:rPr>
            </w:pPr>
            <w:r w:rsidRPr="00830F16">
              <w:rPr>
                <w:rFonts w:ascii="Arial" w:hAnsi="Arial"/>
                <w:b/>
                <w:noProof/>
                <w:sz w:val="24"/>
              </w:rPr>
              <w:drawing>
                <wp:anchor distT="0" distB="0" distL="114300" distR="114300" simplePos="0" relativeHeight="251663360" behindDoc="1" locked="0" layoutInCell="1" allowOverlap="1" wp14:anchorId="615AF658" wp14:editId="79A97CDC">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2C507B" w14:textId="77777777" w:rsidR="002C3EFD" w:rsidRPr="00830F16" w:rsidRDefault="002C3EFD" w:rsidP="002C3EFD">
      <w:pPr>
        <w:pBdr>
          <w:bottom w:val="single" w:sz="18" w:space="1" w:color="auto"/>
        </w:pBdr>
        <w:tabs>
          <w:tab w:val="left" w:pos="-1440"/>
          <w:tab w:val="left" w:pos="-720"/>
          <w:tab w:val="left" w:pos="1"/>
        </w:tabs>
        <w:jc w:val="both"/>
        <w:rPr>
          <w:rFonts w:ascii="Arial" w:hAnsi="Arial"/>
          <w:b/>
          <w:sz w:val="2"/>
          <w:szCs w:val="2"/>
          <w:lang w:val="en-CA"/>
        </w:rPr>
      </w:pPr>
    </w:p>
    <w:p w14:paraId="5E1840EB" w14:textId="2C7D0748" w:rsidR="002C3EFD" w:rsidRPr="00830F16" w:rsidRDefault="00F878FE" w:rsidP="002C3EFD">
      <w:pPr>
        <w:pStyle w:val="ProductNumber"/>
        <w:rPr>
          <w:lang w:val="en-CA"/>
        </w:rPr>
      </w:pPr>
      <w:r w:rsidRPr="00830F16">
        <w:rPr>
          <w:lang w:val="en-CA"/>
        </w:rPr>
        <w:t>9B19M</w:t>
      </w:r>
      <w:r>
        <w:rPr>
          <w:lang w:val="en-CA"/>
        </w:rPr>
        <w:t>048</w:t>
      </w:r>
    </w:p>
    <w:p w14:paraId="4E057522" w14:textId="7A113CB1" w:rsidR="00D75295" w:rsidRPr="00830F16" w:rsidRDefault="00D75295" w:rsidP="00D75295">
      <w:pPr>
        <w:jc w:val="right"/>
        <w:rPr>
          <w:rFonts w:ascii="Arial" w:hAnsi="Arial"/>
          <w:b/>
          <w:lang w:val="en-CA"/>
        </w:rPr>
      </w:pPr>
    </w:p>
    <w:p w14:paraId="02524312" w14:textId="77777777" w:rsidR="001901C0" w:rsidRPr="00830F16" w:rsidRDefault="001901C0" w:rsidP="00D75295">
      <w:pPr>
        <w:jc w:val="right"/>
        <w:rPr>
          <w:rFonts w:ascii="Arial" w:hAnsi="Arial"/>
          <w:b/>
          <w:lang w:val="en-CA"/>
        </w:rPr>
      </w:pPr>
    </w:p>
    <w:p w14:paraId="2F03D26A" w14:textId="1F99A0D5" w:rsidR="00013360" w:rsidRPr="00830F16" w:rsidRDefault="000B09AB" w:rsidP="00013360">
      <w:pPr>
        <w:pStyle w:val="CaseTitle"/>
        <w:spacing w:after="0" w:line="240" w:lineRule="auto"/>
        <w:rPr>
          <w:sz w:val="20"/>
          <w:szCs w:val="20"/>
          <w:lang w:val="en-CA"/>
        </w:rPr>
      </w:pPr>
      <w:proofErr w:type="spellStart"/>
      <w:r w:rsidRPr="00830F16">
        <w:rPr>
          <w:lang w:val="en-CA"/>
        </w:rPr>
        <w:t>STARHUB</w:t>
      </w:r>
      <w:proofErr w:type="spellEnd"/>
      <w:r w:rsidR="00EF47E7" w:rsidRPr="00830F16">
        <w:rPr>
          <w:lang w:val="en-CA"/>
        </w:rPr>
        <w:t xml:space="preserve"> LtD.</w:t>
      </w:r>
      <w:r w:rsidRPr="00830F16">
        <w:rPr>
          <w:lang w:val="en-CA"/>
        </w:rPr>
        <w:t>: PAVING THE WAY FOR INNOVATION</w:t>
      </w:r>
    </w:p>
    <w:p w14:paraId="40ABF6FD" w14:textId="77777777" w:rsidR="00CA3976" w:rsidRPr="00830F16" w:rsidRDefault="00CA3976" w:rsidP="00013360">
      <w:pPr>
        <w:pStyle w:val="CaseTitle"/>
        <w:spacing w:after="0" w:line="240" w:lineRule="auto"/>
        <w:rPr>
          <w:sz w:val="20"/>
          <w:szCs w:val="20"/>
          <w:lang w:val="en-CA"/>
        </w:rPr>
      </w:pPr>
    </w:p>
    <w:p w14:paraId="202F1085" w14:textId="77777777" w:rsidR="00013360" w:rsidRPr="00830F16" w:rsidRDefault="00013360" w:rsidP="00013360">
      <w:pPr>
        <w:pStyle w:val="CaseTitle"/>
        <w:spacing w:after="0" w:line="240" w:lineRule="auto"/>
        <w:rPr>
          <w:sz w:val="20"/>
          <w:szCs w:val="20"/>
          <w:lang w:val="en-CA"/>
        </w:rPr>
      </w:pPr>
    </w:p>
    <w:p w14:paraId="58B0C73F" w14:textId="56BA0A9E" w:rsidR="00086B26" w:rsidRPr="00830F16" w:rsidRDefault="000B09AB" w:rsidP="00086B26">
      <w:pPr>
        <w:pStyle w:val="StyleCopyrightStatementAfter0ptBottomSinglesolidline1"/>
        <w:rPr>
          <w:lang w:val="en-CA"/>
        </w:rPr>
      </w:pPr>
      <w:r w:rsidRPr="00830F16">
        <w:rPr>
          <w:lang w:val="en-CA"/>
        </w:rPr>
        <w:t>Sarah Lai-Yin Cheah and Maw</w:t>
      </w:r>
      <w:r w:rsidR="007D3D7E" w:rsidRPr="00830F16">
        <w:rPr>
          <w:lang w:val="en-CA"/>
        </w:rPr>
        <w:t>-</w:t>
      </w:r>
      <w:r w:rsidRPr="00830F16">
        <w:rPr>
          <w:lang w:val="en-CA"/>
        </w:rPr>
        <w:t>Der Foo</w:t>
      </w:r>
      <w:r w:rsidR="00ED7922" w:rsidRPr="00830F16">
        <w:rPr>
          <w:rFonts w:cs="Arial"/>
          <w:szCs w:val="16"/>
          <w:lang w:val="en-CA"/>
        </w:rPr>
        <w:t xml:space="preserve"> </w:t>
      </w:r>
      <w:r w:rsidR="00086B26" w:rsidRPr="00830F16">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830F16" w:rsidRDefault="00086B26" w:rsidP="00086B26">
      <w:pPr>
        <w:pStyle w:val="StyleCopyrightStatementAfter0ptBottomSinglesolidline1"/>
        <w:rPr>
          <w:lang w:val="en-CA"/>
        </w:rPr>
      </w:pPr>
    </w:p>
    <w:p w14:paraId="1488DD2D" w14:textId="77777777" w:rsidR="002C3EFD" w:rsidRPr="00830F16" w:rsidRDefault="002C3EFD" w:rsidP="002C3EFD">
      <w:pPr>
        <w:jc w:val="both"/>
        <w:rPr>
          <w:rFonts w:ascii="Arial" w:hAnsi="Arial" w:cs="Arial"/>
          <w:i/>
          <w:iCs/>
          <w:sz w:val="16"/>
          <w:szCs w:val="16"/>
          <w:lang w:val="en-CA"/>
        </w:rPr>
      </w:pPr>
      <w:r w:rsidRPr="00830F16">
        <w:rPr>
          <w:rFonts w:ascii="Arial" w:hAnsi="Arial" w:cs="Arial"/>
          <w:i/>
          <w:iCs/>
          <w:sz w:val="16"/>
          <w:szCs w:val="16"/>
          <w:lang w:val="en-CA"/>
        </w:rPr>
        <w:t xml:space="preserve">This publication </w:t>
      </w:r>
      <w:proofErr w:type="gramStart"/>
      <w:r w:rsidRPr="00830F16">
        <w:rPr>
          <w:rFonts w:ascii="Arial" w:hAnsi="Arial" w:cs="Arial"/>
          <w:i/>
          <w:iCs/>
          <w:sz w:val="16"/>
          <w:szCs w:val="16"/>
          <w:lang w:val="en-CA"/>
        </w:rPr>
        <w:t>may not be transmitted, photocopied, digitized or otherwise reproduced in any form or by any means without the permission of the copyright holder</w:t>
      </w:r>
      <w:proofErr w:type="gramEnd"/>
      <w:r w:rsidRPr="00830F16">
        <w:rPr>
          <w:rFonts w:ascii="Arial" w:hAnsi="Arial" w:cs="Arial"/>
          <w:i/>
          <w:iCs/>
          <w:sz w:val="16"/>
          <w:szCs w:val="16"/>
          <w:lang w:val="en-CA"/>
        </w:rPr>
        <w:t xml:space="preserve">. Reproduction of this material </w:t>
      </w:r>
      <w:proofErr w:type="gramStart"/>
      <w:r w:rsidRPr="00830F16">
        <w:rPr>
          <w:rFonts w:ascii="Arial" w:hAnsi="Arial" w:cs="Arial"/>
          <w:i/>
          <w:iCs/>
          <w:sz w:val="16"/>
          <w:szCs w:val="16"/>
          <w:lang w:val="en-CA"/>
        </w:rPr>
        <w:t>is not covered</w:t>
      </w:r>
      <w:proofErr w:type="gramEnd"/>
      <w:r w:rsidRPr="00830F16">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830F16">
          <w:rPr>
            <w:rFonts w:ascii="Arial" w:hAnsi="Arial" w:cs="Arial"/>
            <w:i/>
            <w:iCs/>
            <w:sz w:val="16"/>
            <w:szCs w:val="16"/>
            <w:lang w:val="en-CA"/>
          </w:rPr>
          <w:t>cases@ivey.ca</w:t>
        </w:r>
      </w:hyperlink>
      <w:r w:rsidRPr="00830F16">
        <w:rPr>
          <w:rFonts w:ascii="Arial" w:hAnsi="Arial" w:cs="Arial"/>
          <w:i/>
          <w:iCs/>
          <w:sz w:val="16"/>
          <w:szCs w:val="16"/>
          <w:lang w:val="en-CA"/>
        </w:rPr>
        <w:t xml:space="preserve">; </w:t>
      </w:r>
      <w:hyperlink r:id="rId11" w:history="1">
        <w:r w:rsidRPr="00830F16">
          <w:rPr>
            <w:rFonts w:ascii="Arial" w:hAnsi="Arial" w:cs="Arial"/>
            <w:i/>
            <w:iCs/>
            <w:sz w:val="16"/>
            <w:szCs w:val="16"/>
            <w:lang w:val="en-CA"/>
          </w:rPr>
          <w:t>www.iveycases.com</w:t>
        </w:r>
      </w:hyperlink>
      <w:r w:rsidRPr="00830F16">
        <w:rPr>
          <w:rFonts w:ascii="Arial" w:hAnsi="Arial" w:cs="Arial"/>
          <w:i/>
          <w:iCs/>
          <w:sz w:val="16"/>
          <w:szCs w:val="16"/>
          <w:lang w:val="en-CA"/>
        </w:rPr>
        <w:t>.</w:t>
      </w:r>
    </w:p>
    <w:p w14:paraId="6199B979" w14:textId="77777777" w:rsidR="002C3EFD" w:rsidRPr="00830F16" w:rsidRDefault="002C3EFD" w:rsidP="002C3EFD">
      <w:pPr>
        <w:pStyle w:val="StyleCopyrightStatementAfter0ptBottomSinglesolidline1"/>
        <w:pBdr>
          <w:top w:val="none" w:sz="0" w:space="0" w:color="auto"/>
        </w:pBdr>
        <w:rPr>
          <w:lang w:val="en-CA"/>
        </w:rPr>
      </w:pPr>
    </w:p>
    <w:p w14:paraId="3922E14F" w14:textId="339425F0" w:rsidR="00751E0B" w:rsidRPr="00830F16" w:rsidRDefault="002C3EFD" w:rsidP="002C3EFD">
      <w:pPr>
        <w:pStyle w:val="StyleStyleCopyrightStatementAfter0ptBottomSinglesolid"/>
        <w:rPr>
          <w:rFonts w:cs="Arial"/>
          <w:szCs w:val="16"/>
          <w:lang w:val="en-CA"/>
        </w:rPr>
      </w:pPr>
      <w:r w:rsidRPr="00830F16">
        <w:rPr>
          <w:lang w:val="en-CA"/>
        </w:rPr>
        <w:t>Copyright © 2019, National University of Singapore and Ivey School of Business Foundation</w:t>
      </w:r>
      <w:r w:rsidRPr="00830F16">
        <w:rPr>
          <w:lang w:val="en-CA"/>
        </w:rPr>
        <w:tab/>
      </w:r>
      <w:r w:rsidR="00A323B0" w:rsidRPr="00830F16">
        <w:rPr>
          <w:rFonts w:cs="Arial"/>
          <w:iCs w:val="0"/>
          <w:color w:val="auto"/>
          <w:szCs w:val="16"/>
          <w:lang w:val="en-CA"/>
        </w:rPr>
        <w:t>Version: 20</w:t>
      </w:r>
      <w:r w:rsidR="000B09AB" w:rsidRPr="00830F16">
        <w:rPr>
          <w:rFonts w:cs="Arial"/>
          <w:iCs w:val="0"/>
          <w:color w:val="auto"/>
          <w:szCs w:val="16"/>
          <w:lang w:val="en-CA"/>
        </w:rPr>
        <w:t>19</w:t>
      </w:r>
      <w:r w:rsidR="00A323B0" w:rsidRPr="00830F16">
        <w:rPr>
          <w:rFonts w:cs="Arial"/>
          <w:iCs w:val="0"/>
          <w:color w:val="auto"/>
          <w:szCs w:val="16"/>
          <w:lang w:val="en-CA"/>
        </w:rPr>
        <w:t>-</w:t>
      </w:r>
      <w:r w:rsidR="005E522A">
        <w:rPr>
          <w:rFonts w:cs="Arial"/>
          <w:iCs w:val="0"/>
          <w:color w:val="auto"/>
          <w:szCs w:val="16"/>
          <w:lang w:val="en-CA"/>
        </w:rPr>
        <w:t>06-0</w:t>
      </w:r>
      <w:r w:rsidR="008736FE">
        <w:rPr>
          <w:rFonts w:cs="Arial"/>
          <w:iCs w:val="0"/>
          <w:color w:val="auto"/>
          <w:szCs w:val="16"/>
          <w:lang w:val="en-CA"/>
        </w:rPr>
        <w:t>7</w:t>
      </w:r>
    </w:p>
    <w:p w14:paraId="0A2A54E4" w14:textId="77777777" w:rsidR="00751E0B" w:rsidRPr="00830F16" w:rsidRDefault="00751E0B" w:rsidP="00751E0B">
      <w:pPr>
        <w:pStyle w:val="StyleCopyrightStatementAfter0ptBottomSinglesolidline1"/>
        <w:rPr>
          <w:rFonts w:ascii="Times New Roman" w:hAnsi="Times New Roman"/>
          <w:i w:val="0"/>
          <w:sz w:val="20"/>
          <w:lang w:val="en-CA"/>
        </w:rPr>
      </w:pPr>
    </w:p>
    <w:p w14:paraId="2C183161" w14:textId="77777777" w:rsidR="00B87DC0" w:rsidRPr="00830F16" w:rsidRDefault="00B87DC0" w:rsidP="000B09AB">
      <w:pPr>
        <w:pStyle w:val="BodyTextMain"/>
        <w:rPr>
          <w:sz w:val="20"/>
          <w:szCs w:val="20"/>
          <w:lang w:val="en-CA"/>
        </w:rPr>
      </w:pPr>
    </w:p>
    <w:p w14:paraId="31BF892C" w14:textId="268D9461" w:rsidR="002A1AD4" w:rsidRPr="00830F16" w:rsidRDefault="000B09AB" w:rsidP="000B09AB">
      <w:pPr>
        <w:pStyle w:val="BodyTextMain"/>
        <w:rPr>
          <w:rFonts w:eastAsia="DengXian"/>
          <w:lang w:val="en-CA"/>
        </w:rPr>
      </w:pPr>
      <w:r w:rsidRPr="00830F16">
        <w:rPr>
          <w:rFonts w:eastAsia="DengXian"/>
          <w:lang w:val="en-CA"/>
        </w:rPr>
        <w:t xml:space="preserve">It was February 14, 2018. </w:t>
      </w:r>
      <w:proofErr w:type="spellStart"/>
      <w:r w:rsidR="00EF47E7" w:rsidRPr="00830F16">
        <w:rPr>
          <w:rFonts w:eastAsia="DengXian"/>
          <w:lang w:val="en-CA"/>
        </w:rPr>
        <w:t>StarHub</w:t>
      </w:r>
      <w:proofErr w:type="spellEnd"/>
      <w:r w:rsidR="00EF47E7" w:rsidRPr="00830F16">
        <w:rPr>
          <w:rFonts w:eastAsia="DengXian"/>
          <w:lang w:val="en-CA"/>
        </w:rPr>
        <w:t xml:space="preserve"> Ltd. (</w:t>
      </w:r>
      <w:proofErr w:type="spellStart"/>
      <w:r w:rsidRPr="00830F16">
        <w:rPr>
          <w:rFonts w:eastAsia="DengXian"/>
          <w:lang w:val="en-CA"/>
        </w:rPr>
        <w:t>StarHub</w:t>
      </w:r>
      <w:proofErr w:type="spellEnd"/>
      <w:r w:rsidR="00EF47E7" w:rsidRPr="00830F16">
        <w:rPr>
          <w:rFonts w:eastAsia="DengXian"/>
          <w:lang w:val="en-CA"/>
        </w:rPr>
        <w:t>)</w:t>
      </w:r>
      <w:r w:rsidRPr="00830F16">
        <w:rPr>
          <w:rFonts w:eastAsia="DengXian"/>
          <w:lang w:val="en-CA"/>
        </w:rPr>
        <w:t xml:space="preserve"> management had just finished presenting their </w:t>
      </w:r>
      <w:r w:rsidR="00A932B2" w:rsidRPr="00830F16">
        <w:rPr>
          <w:rFonts w:eastAsia="DengXian"/>
          <w:lang w:val="en-CA"/>
        </w:rPr>
        <w:t xml:space="preserve">company’s </w:t>
      </w:r>
      <w:r w:rsidRPr="00830F16">
        <w:rPr>
          <w:rFonts w:eastAsia="DengXian"/>
          <w:lang w:val="en-CA"/>
        </w:rPr>
        <w:t xml:space="preserve">2017 results to market research analysts in an open briefing at </w:t>
      </w:r>
      <w:proofErr w:type="spellStart"/>
      <w:r w:rsidRPr="00830F16">
        <w:rPr>
          <w:rFonts w:eastAsia="DengXian"/>
          <w:lang w:val="en-CA"/>
        </w:rPr>
        <w:t>StarHub</w:t>
      </w:r>
      <w:proofErr w:type="spellEnd"/>
      <w:r w:rsidRPr="00830F16">
        <w:rPr>
          <w:rFonts w:eastAsia="DengXian"/>
          <w:lang w:val="en-CA"/>
        </w:rPr>
        <w:t xml:space="preserve"> Green, the company’s headquarters in Singapore. </w:t>
      </w:r>
      <w:proofErr w:type="spellStart"/>
      <w:r w:rsidR="002064EA" w:rsidRPr="00830F16">
        <w:rPr>
          <w:rFonts w:eastAsia="DengXian"/>
          <w:lang w:val="en-CA"/>
        </w:rPr>
        <w:t>StarHub’s</w:t>
      </w:r>
      <w:proofErr w:type="spellEnd"/>
      <w:r w:rsidR="002064EA" w:rsidRPr="00830F16">
        <w:rPr>
          <w:rFonts w:eastAsia="DengXian"/>
          <w:lang w:val="en-CA"/>
        </w:rPr>
        <w:t xml:space="preserve"> c</w:t>
      </w:r>
      <w:r w:rsidRPr="00830F16">
        <w:rPr>
          <w:rFonts w:eastAsia="DengXian"/>
          <w:lang w:val="en-CA"/>
        </w:rPr>
        <w:t xml:space="preserve">hief </w:t>
      </w:r>
      <w:r w:rsidR="002064EA" w:rsidRPr="00830F16">
        <w:rPr>
          <w:rFonts w:eastAsia="DengXian"/>
          <w:lang w:val="en-CA"/>
        </w:rPr>
        <w:t>e</w:t>
      </w:r>
      <w:r w:rsidRPr="00830F16">
        <w:rPr>
          <w:rFonts w:eastAsia="DengXian"/>
          <w:lang w:val="en-CA"/>
        </w:rPr>
        <w:t xml:space="preserve">xecutive </w:t>
      </w:r>
      <w:r w:rsidR="002064EA" w:rsidRPr="00830F16">
        <w:rPr>
          <w:rFonts w:eastAsia="DengXian"/>
          <w:lang w:val="en-CA"/>
        </w:rPr>
        <w:t>o</w:t>
      </w:r>
      <w:r w:rsidRPr="00830F16">
        <w:rPr>
          <w:rFonts w:eastAsia="DengXian"/>
          <w:lang w:val="en-CA"/>
        </w:rPr>
        <w:t>fficer, Tong Hai Tan, acknowledged that</w:t>
      </w:r>
      <w:r w:rsidR="000942BC" w:rsidRPr="00830F16">
        <w:rPr>
          <w:rFonts w:eastAsia="DengXian"/>
          <w:lang w:val="en-CA"/>
        </w:rPr>
        <w:t>, in 2017,</w:t>
      </w:r>
      <w:r w:rsidRPr="00830F16">
        <w:rPr>
          <w:rFonts w:eastAsia="DengXian"/>
          <w:lang w:val="en-CA"/>
        </w:rPr>
        <w:t xml:space="preserve"> total revenue was relatively flat at about S</w:t>
      </w:r>
      <w:r w:rsidR="00544147" w:rsidRPr="00830F16">
        <w:rPr>
          <w:rFonts w:eastAsia="DengXian"/>
          <w:lang w:val="en-CA"/>
        </w:rPr>
        <w:t>G</w:t>
      </w:r>
      <w:r w:rsidRPr="00830F16">
        <w:rPr>
          <w:rFonts w:eastAsia="DengXian"/>
          <w:lang w:val="en-CA"/>
        </w:rPr>
        <w:t>$2.4 billion</w:t>
      </w:r>
      <w:r w:rsidR="00E03D2A" w:rsidRPr="00830F16">
        <w:rPr>
          <w:rFonts w:eastAsia="DengXian"/>
          <w:lang w:val="en-CA"/>
        </w:rPr>
        <w:t>,</w:t>
      </w:r>
      <w:r w:rsidRPr="00830F16">
        <w:rPr>
          <w:rFonts w:eastAsia="DengXian"/>
          <w:vertAlign w:val="superscript"/>
          <w:lang w:val="en-CA"/>
        </w:rPr>
        <w:endnoteReference w:id="1"/>
      </w:r>
      <w:r w:rsidRPr="00830F16">
        <w:rPr>
          <w:rFonts w:eastAsia="DengXian"/>
          <w:lang w:val="en-CA"/>
        </w:rPr>
        <w:t xml:space="preserve"> while net profit after tax saw a drop of 27 per</w:t>
      </w:r>
      <w:r w:rsidR="002A1AD4" w:rsidRPr="00830F16">
        <w:rPr>
          <w:rFonts w:eastAsia="DengXian"/>
          <w:lang w:val="en-CA"/>
        </w:rPr>
        <w:t xml:space="preserve"> </w:t>
      </w:r>
      <w:r w:rsidRPr="00830F16">
        <w:rPr>
          <w:rFonts w:eastAsia="DengXian"/>
          <w:lang w:val="en-CA"/>
        </w:rPr>
        <w:t>cent. However, he was upbeat about the recent growth in revenues from data</w:t>
      </w:r>
      <w:r w:rsidR="001245E0" w:rsidRPr="00830F16">
        <w:rPr>
          <w:rFonts w:eastAsia="DengXian"/>
          <w:lang w:val="en-CA"/>
        </w:rPr>
        <w:t>,</w:t>
      </w:r>
      <w:r w:rsidRPr="00830F16">
        <w:rPr>
          <w:rFonts w:eastAsia="DengXian"/>
          <w:lang w:val="en-CA"/>
        </w:rPr>
        <w:t xml:space="preserve"> </w:t>
      </w:r>
      <w:r w:rsidR="002064EA" w:rsidRPr="00830F16">
        <w:rPr>
          <w:rFonts w:eastAsia="DengXian"/>
          <w:lang w:val="en-CA"/>
        </w:rPr>
        <w:t>I</w:t>
      </w:r>
      <w:r w:rsidRPr="00830F16">
        <w:rPr>
          <w:rFonts w:eastAsia="DengXian"/>
          <w:lang w:val="en-CA"/>
        </w:rPr>
        <w:t>nternet</w:t>
      </w:r>
      <w:r w:rsidR="001245E0" w:rsidRPr="00830F16">
        <w:rPr>
          <w:rFonts w:eastAsia="DengXian"/>
          <w:lang w:val="en-CA"/>
        </w:rPr>
        <w:t>,</w:t>
      </w:r>
      <w:r w:rsidRPr="00830F16">
        <w:rPr>
          <w:rFonts w:eastAsia="DengXian"/>
          <w:lang w:val="en-CA"/>
        </w:rPr>
        <w:t xml:space="preserve"> </w:t>
      </w:r>
      <w:r w:rsidR="001245E0" w:rsidRPr="00830F16">
        <w:rPr>
          <w:rFonts w:eastAsia="DengXian"/>
          <w:lang w:val="en-CA"/>
        </w:rPr>
        <w:t>and</w:t>
      </w:r>
      <w:r w:rsidRPr="00830F16">
        <w:rPr>
          <w:rFonts w:eastAsia="DengXian"/>
          <w:lang w:val="en-CA"/>
        </w:rPr>
        <w:t xml:space="preserve"> voice services</w:t>
      </w:r>
      <w:r w:rsidR="00544147" w:rsidRPr="00830F16">
        <w:rPr>
          <w:rFonts w:eastAsia="DengXian"/>
          <w:lang w:val="en-CA"/>
        </w:rPr>
        <w:t>, which were up</w:t>
      </w:r>
      <w:r w:rsidRPr="00830F16">
        <w:rPr>
          <w:rFonts w:eastAsia="DengXian"/>
          <w:lang w:val="en-CA"/>
        </w:rPr>
        <w:t xml:space="preserve"> by 21 per</w:t>
      </w:r>
      <w:r w:rsidR="002A1AD4" w:rsidRPr="00830F16">
        <w:rPr>
          <w:rFonts w:eastAsia="DengXian"/>
          <w:lang w:val="en-CA"/>
        </w:rPr>
        <w:t xml:space="preserve"> </w:t>
      </w:r>
      <w:r w:rsidRPr="00830F16">
        <w:rPr>
          <w:rFonts w:eastAsia="DengXian"/>
          <w:lang w:val="en-CA"/>
        </w:rPr>
        <w:t>cent in the fourth quarter of 2017</w:t>
      </w:r>
      <w:r w:rsidR="00DA635A">
        <w:rPr>
          <w:rFonts w:eastAsia="DengXian"/>
          <w:lang w:val="en-CA"/>
        </w:rPr>
        <w:t>, compared to the same period in 2016</w:t>
      </w:r>
      <w:r w:rsidRPr="00830F16">
        <w:rPr>
          <w:rFonts w:eastAsia="DengXian"/>
          <w:lang w:val="en-CA"/>
        </w:rPr>
        <w:t xml:space="preserve">. A review of </w:t>
      </w:r>
      <w:proofErr w:type="spellStart"/>
      <w:r w:rsidRPr="00830F16">
        <w:rPr>
          <w:rFonts w:eastAsia="DengXian"/>
          <w:lang w:val="en-CA"/>
        </w:rPr>
        <w:t>StarHub’s</w:t>
      </w:r>
      <w:proofErr w:type="spellEnd"/>
      <w:r w:rsidRPr="00830F16">
        <w:rPr>
          <w:rFonts w:eastAsia="DengXian"/>
          <w:lang w:val="en-CA"/>
        </w:rPr>
        <w:t xml:space="preserve"> </w:t>
      </w:r>
      <w:r w:rsidR="00544147" w:rsidRPr="00830F16">
        <w:rPr>
          <w:rFonts w:eastAsia="DengXian"/>
          <w:lang w:val="en-CA"/>
        </w:rPr>
        <w:t xml:space="preserve">recent </w:t>
      </w:r>
      <w:r w:rsidRPr="00830F16">
        <w:rPr>
          <w:rFonts w:eastAsia="DengXian"/>
          <w:lang w:val="en-CA"/>
        </w:rPr>
        <w:t xml:space="preserve">business strategies indicated that the company had explored various areas of growth in search of new revenue sources. Among these areas, two seemed to have garnered strong interest from key industry stakeholders. </w:t>
      </w:r>
    </w:p>
    <w:p w14:paraId="019B7910" w14:textId="77777777" w:rsidR="002A1AD4" w:rsidRPr="00830F16" w:rsidRDefault="002A1AD4" w:rsidP="000B09AB">
      <w:pPr>
        <w:pStyle w:val="BodyTextMain"/>
        <w:rPr>
          <w:rFonts w:eastAsia="DengXian"/>
          <w:lang w:val="en-CA"/>
        </w:rPr>
      </w:pPr>
    </w:p>
    <w:p w14:paraId="03921212" w14:textId="7466C17A" w:rsidR="00544147" w:rsidRPr="00830F16" w:rsidRDefault="000B09AB" w:rsidP="000B09AB">
      <w:pPr>
        <w:pStyle w:val="BodyTextMain"/>
        <w:rPr>
          <w:rFonts w:eastAsia="DengXian"/>
          <w:lang w:val="en-CA"/>
        </w:rPr>
      </w:pPr>
      <w:r w:rsidRPr="00830F16">
        <w:rPr>
          <w:rFonts w:eastAsia="DengXian"/>
          <w:lang w:val="en-CA"/>
        </w:rPr>
        <w:t xml:space="preserve">The first area involved the launch of </w:t>
      </w:r>
      <w:r w:rsidR="00544147" w:rsidRPr="00830F16">
        <w:rPr>
          <w:rFonts w:eastAsia="DengXian"/>
          <w:lang w:val="en-CA"/>
        </w:rPr>
        <w:t xml:space="preserve">the </w:t>
      </w:r>
      <w:r w:rsidRPr="00830F16">
        <w:rPr>
          <w:rFonts w:eastAsia="DengXian"/>
          <w:lang w:val="en-CA"/>
        </w:rPr>
        <w:t xml:space="preserve">Smart Retail Solutions initiative in 2016, </w:t>
      </w:r>
      <w:r w:rsidR="00544147" w:rsidRPr="00830F16">
        <w:rPr>
          <w:rFonts w:eastAsia="DengXian"/>
          <w:lang w:val="en-CA"/>
        </w:rPr>
        <w:t>which</w:t>
      </w:r>
      <w:r w:rsidRPr="00830F16">
        <w:rPr>
          <w:rFonts w:eastAsia="DengXian"/>
          <w:lang w:val="en-CA"/>
        </w:rPr>
        <w:t xml:space="preserve"> offer</w:t>
      </w:r>
      <w:r w:rsidR="00544147" w:rsidRPr="00830F16">
        <w:rPr>
          <w:rFonts w:eastAsia="DengXian"/>
          <w:lang w:val="en-CA"/>
        </w:rPr>
        <w:t>ed</w:t>
      </w:r>
      <w:r w:rsidRPr="00830F16">
        <w:rPr>
          <w:rFonts w:eastAsia="DengXian"/>
          <w:lang w:val="en-CA"/>
        </w:rPr>
        <w:t xml:space="preserve"> bundled </w:t>
      </w:r>
      <w:proofErr w:type="gramStart"/>
      <w:r w:rsidRPr="00830F16">
        <w:rPr>
          <w:rFonts w:eastAsia="DengXian"/>
          <w:lang w:val="en-CA"/>
        </w:rPr>
        <w:t>services</w:t>
      </w:r>
      <w:proofErr w:type="gramEnd"/>
      <w:r w:rsidRPr="00830F16">
        <w:rPr>
          <w:rFonts w:eastAsia="DengXian"/>
          <w:lang w:val="en-CA"/>
        </w:rPr>
        <w:t xml:space="preserve"> </w:t>
      </w:r>
      <w:r w:rsidR="00544147" w:rsidRPr="00830F16">
        <w:rPr>
          <w:rFonts w:eastAsia="DengXian"/>
          <w:lang w:val="en-CA"/>
        </w:rPr>
        <w:t>of</w:t>
      </w:r>
      <w:r w:rsidRPr="00830F16">
        <w:rPr>
          <w:rFonts w:eastAsia="DengXian"/>
          <w:lang w:val="en-CA"/>
        </w:rPr>
        <w:t xml:space="preserve"> connectivity and smart</w:t>
      </w:r>
      <w:r w:rsidR="00544147" w:rsidRPr="00830F16">
        <w:rPr>
          <w:rFonts w:eastAsia="DengXian"/>
          <w:lang w:val="en-CA"/>
        </w:rPr>
        <w:t>-</w:t>
      </w:r>
      <w:r w:rsidRPr="00830F16">
        <w:rPr>
          <w:rFonts w:eastAsia="DengXian"/>
          <w:lang w:val="en-CA"/>
        </w:rPr>
        <w:t xml:space="preserve">retail analytics to small and medium enterprises (SMEs), as part of </w:t>
      </w:r>
      <w:proofErr w:type="spellStart"/>
      <w:r w:rsidRPr="00830F16">
        <w:rPr>
          <w:rFonts w:eastAsia="DengXian"/>
          <w:lang w:val="en-CA"/>
        </w:rPr>
        <w:t>StarHub’s</w:t>
      </w:r>
      <w:proofErr w:type="spellEnd"/>
      <w:r w:rsidRPr="00830F16">
        <w:rPr>
          <w:rFonts w:eastAsia="DengXian"/>
          <w:lang w:val="en-CA"/>
        </w:rPr>
        <w:t xml:space="preserve"> move</w:t>
      </w:r>
      <w:r w:rsidR="005C78C4" w:rsidRPr="00830F16">
        <w:rPr>
          <w:rFonts w:eastAsia="DengXian"/>
          <w:lang w:val="en-CA"/>
        </w:rPr>
        <w:t xml:space="preserve"> into</w:t>
      </w:r>
      <w:r w:rsidRPr="00830F16">
        <w:rPr>
          <w:rFonts w:eastAsia="DengXian"/>
          <w:lang w:val="en-CA"/>
        </w:rPr>
        <w:t xml:space="preserve"> the retail and food</w:t>
      </w:r>
      <w:r w:rsidR="00E03D2A" w:rsidRPr="00830F16">
        <w:rPr>
          <w:rFonts w:eastAsia="DengXian"/>
          <w:lang w:val="en-CA"/>
        </w:rPr>
        <w:t>-</w:t>
      </w:r>
      <w:r w:rsidRPr="00830F16">
        <w:rPr>
          <w:rFonts w:eastAsia="DengXian"/>
          <w:lang w:val="en-CA"/>
        </w:rPr>
        <w:t>and</w:t>
      </w:r>
      <w:r w:rsidR="00E03D2A" w:rsidRPr="00830F16">
        <w:rPr>
          <w:rFonts w:eastAsia="DengXian"/>
          <w:lang w:val="en-CA"/>
        </w:rPr>
        <w:t>-</w:t>
      </w:r>
      <w:r w:rsidRPr="00830F16">
        <w:rPr>
          <w:rFonts w:eastAsia="DengXian"/>
          <w:lang w:val="en-CA"/>
        </w:rPr>
        <w:t>beverages (</w:t>
      </w:r>
      <w:proofErr w:type="spellStart"/>
      <w:r w:rsidRPr="00830F16">
        <w:rPr>
          <w:rFonts w:eastAsia="DengXian"/>
          <w:lang w:val="en-CA"/>
        </w:rPr>
        <w:t>F&amp;B</w:t>
      </w:r>
      <w:proofErr w:type="spellEnd"/>
      <w:r w:rsidRPr="00830F16">
        <w:rPr>
          <w:rFonts w:eastAsia="DengXian"/>
          <w:lang w:val="en-CA"/>
        </w:rPr>
        <w:t>) industr</w:t>
      </w:r>
      <w:r w:rsidR="00544147" w:rsidRPr="00830F16">
        <w:rPr>
          <w:rFonts w:eastAsia="DengXian"/>
          <w:lang w:val="en-CA"/>
        </w:rPr>
        <w:t>ies</w:t>
      </w:r>
      <w:r w:rsidRPr="00830F16">
        <w:rPr>
          <w:rFonts w:eastAsia="DengXian"/>
          <w:lang w:val="en-CA"/>
        </w:rPr>
        <w:t xml:space="preserve">. The second </w:t>
      </w:r>
      <w:r w:rsidR="00B24E53" w:rsidRPr="00830F16">
        <w:rPr>
          <w:rFonts w:eastAsia="DengXian"/>
          <w:lang w:val="en-CA"/>
        </w:rPr>
        <w:t xml:space="preserve">area </w:t>
      </w:r>
      <w:r w:rsidR="00544147" w:rsidRPr="00830F16">
        <w:rPr>
          <w:rFonts w:eastAsia="DengXian"/>
          <w:lang w:val="en-CA"/>
        </w:rPr>
        <w:t>offered</w:t>
      </w:r>
      <w:r w:rsidRPr="00830F16">
        <w:rPr>
          <w:rFonts w:eastAsia="DengXian"/>
          <w:lang w:val="en-CA"/>
        </w:rPr>
        <w:t xml:space="preserve"> automation for the hospitality industry. </w:t>
      </w:r>
      <w:proofErr w:type="spellStart"/>
      <w:r w:rsidRPr="00830F16">
        <w:rPr>
          <w:rFonts w:eastAsia="DengXian"/>
          <w:lang w:val="en-CA"/>
        </w:rPr>
        <w:t>StarHub’s</w:t>
      </w:r>
      <w:proofErr w:type="spellEnd"/>
      <w:r w:rsidRPr="00830F16">
        <w:rPr>
          <w:rFonts w:eastAsia="DengXian"/>
          <w:lang w:val="en-CA"/>
        </w:rPr>
        <w:t xml:space="preserve"> Smart Retail Solutions initiative seemed promising in enabling the </w:t>
      </w:r>
      <w:proofErr w:type="spellStart"/>
      <w:r w:rsidRPr="00830F16">
        <w:rPr>
          <w:rFonts w:eastAsia="DengXian"/>
          <w:lang w:val="en-CA"/>
        </w:rPr>
        <w:t>F&amp;B</w:t>
      </w:r>
      <w:proofErr w:type="spellEnd"/>
      <w:r w:rsidRPr="00830F16">
        <w:rPr>
          <w:rFonts w:eastAsia="DengXian"/>
          <w:lang w:val="en-CA"/>
        </w:rPr>
        <w:t xml:space="preserve"> operators to increase their competitiveness. However, given </w:t>
      </w:r>
      <w:r w:rsidR="00B24E53" w:rsidRPr="00830F16">
        <w:rPr>
          <w:rFonts w:eastAsia="DengXian"/>
          <w:lang w:val="en-CA"/>
        </w:rPr>
        <w:t xml:space="preserve">it had </w:t>
      </w:r>
      <w:r w:rsidR="003F6F0E" w:rsidRPr="00830F16">
        <w:rPr>
          <w:rFonts w:eastAsia="DengXian"/>
          <w:lang w:val="en-CA"/>
        </w:rPr>
        <w:t>a</w:t>
      </w:r>
      <w:r w:rsidRPr="00830F16">
        <w:rPr>
          <w:rFonts w:eastAsia="DengXian"/>
          <w:lang w:val="en-CA"/>
        </w:rPr>
        <w:t xml:space="preserve"> high churn rate of between 20 and 30 per</w:t>
      </w:r>
      <w:r w:rsidR="00E03D2A" w:rsidRPr="00830F16">
        <w:rPr>
          <w:rFonts w:eastAsia="DengXian"/>
          <w:lang w:val="en-CA"/>
        </w:rPr>
        <w:t xml:space="preserve"> </w:t>
      </w:r>
      <w:r w:rsidRPr="00830F16">
        <w:rPr>
          <w:rFonts w:eastAsia="DengXian"/>
          <w:lang w:val="en-CA"/>
        </w:rPr>
        <w:t xml:space="preserve">cent, would the retail industry be able to appreciate the value of </w:t>
      </w:r>
      <w:proofErr w:type="spellStart"/>
      <w:r w:rsidRPr="00830F16">
        <w:rPr>
          <w:rFonts w:eastAsia="DengXian"/>
          <w:lang w:val="en-CA"/>
        </w:rPr>
        <w:t>StarHub’s</w:t>
      </w:r>
      <w:proofErr w:type="spellEnd"/>
      <w:r w:rsidRPr="00830F16">
        <w:rPr>
          <w:rFonts w:eastAsia="DengXian"/>
          <w:lang w:val="en-CA"/>
        </w:rPr>
        <w:t xml:space="preserve"> retail solutions? Would this </w:t>
      </w:r>
      <w:r w:rsidR="00917E88" w:rsidRPr="00830F16">
        <w:rPr>
          <w:rFonts w:eastAsia="DengXian"/>
          <w:lang w:val="en-CA"/>
        </w:rPr>
        <w:t xml:space="preserve">initiative </w:t>
      </w:r>
      <w:r w:rsidRPr="00830F16">
        <w:rPr>
          <w:rFonts w:eastAsia="DengXian"/>
          <w:lang w:val="en-CA"/>
        </w:rPr>
        <w:t xml:space="preserve">warrant </w:t>
      </w:r>
      <w:r w:rsidR="003F6F0E" w:rsidRPr="00830F16">
        <w:rPr>
          <w:rFonts w:eastAsia="DengXian"/>
          <w:lang w:val="en-CA"/>
        </w:rPr>
        <w:t>new</w:t>
      </w:r>
      <w:r w:rsidRPr="00830F16">
        <w:rPr>
          <w:rFonts w:eastAsia="DengXian"/>
          <w:lang w:val="en-CA"/>
        </w:rPr>
        <w:t xml:space="preserve"> investments in staff development? </w:t>
      </w:r>
    </w:p>
    <w:p w14:paraId="49035ACF" w14:textId="77777777" w:rsidR="00544147" w:rsidRPr="00830F16" w:rsidRDefault="00544147" w:rsidP="000B09AB">
      <w:pPr>
        <w:pStyle w:val="BodyTextMain"/>
        <w:rPr>
          <w:rFonts w:eastAsia="DengXian"/>
          <w:lang w:val="en-CA"/>
        </w:rPr>
      </w:pPr>
    </w:p>
    <w:p w14:paraId="6E6BF5A3" w14:textId="3556EC9C" w:rsidR="000B09AB" w:rsidRPr="00830F16" w:rsidRDefault="00E03D2A" w:rsidP="000B09AB">
      <w:pPr>
        <w:pStyle w:val="BodyTextMain"/>
        <w:rPr>
          <w:rFonts w:eastAsia="DengXian"/>
          <w:lang w:val="en-CA"/>
        </w:rPr>
      </w:pPr>
      <w:r w:rsidRPr="00830F16">
        <w:rPr>
          <w:rFonts w:eastAsia="DengXian"/>
          <w:lang w:val="en-CA"/>
        </w:rPr>
        <w:t xml:space="preserve">Although </w:t>
      </w:r>
      <w:proofErr w:type="spellStart"/>
      <w:r w:rsidR="000B09AB" w:rsidRPr="00830F16">
        <w:rPr>
          <w:rFonts w:eastAsia="DengXian"/>
          <w:lang w:val="en-CA"/>
        </w:rPr>
        <w:t>StarHub’s</w:t>
      </w:r>
      <w:proofErr w:type="spellEnd"/>
      <w:r w:rsidR="000B09AB" w:rsidRPr="00830F16">
        <w:rPr>
          <w:rFonts w:eastAsia="DengXian"/>
          <w:lang w:val="en-CA"/>
        </w:rPr>
        <w:t xml:space="preserve"> automation solution would address the </w:t>
      </w:r>
      <w:r w:rsidR="002064EA" w:rsidRPr="00830F16">
        <w:rPr>
          <w:rFonts w:eastAsia="DengXian"/>
          <w:lang w:val="en-CA"/>
        </w:rPr>
        <w:t xml:space="preserve">staffing </w:t>
      </w:r>
      <w:r w:rsidR="000B09AB" w:rsidRPr="00830F16">
        <w:rPr>
          <w:rFonts w:eastAsia="DengXian"/>
          <w:lang w:val="en-CA"/>
        </w:rPr>
        <w:t>crunch problem and improve the efficiency of the hotels, the</w:t>
      </w:r>
      <w:r w:rsidR="00917E88" w:rsidRPr="00830F16">
        <w:rPr>
          <w:rFonts w:eastAsia="DengXian"/>
          <w:lang w:val="en-CA"/>
        </w:rPr>
        <w:t xml:space="preserve"> hospitality</w:t>
      </w:r>
      <w:r w:rsidR="000B09AB" w:rsidRPr="00830F16">
        <w:rPr>
          <w:rFonts w:eastAsia="DengXian"/>
          <w:lang w:val="en-CA"/>
        </w:rPr>
        <w:t xml:space="preserve"> industry was suffering from an oversupply of properties, which </w:t>
      </w:r>
      <w:r w:rsidR="003F6F0E" w:rsidRPr="00830F16">
        <w:rPr>
          <w:rFonts w:eastAsia="DengXian"/>
          <w:lang w:val="en-CA"/>
        </w:rPr>
        <w:t>c</w:t>
      </w:r>
      <w:r w:rsidR="000B09AB" w:rsidRPr="00830F16">
        <w:rPr>
          <w:rFonts w:eastAsia="DengXian"/>
          <w:lang w:val="en-CA"/>
        </w:rPr>
        <w:t xml:space="preserve">ould lead to </w:t>
      </w:r>
      <w:r w:rsidR="003F6F0E" w:rsidRPr="00830F16">
        <w:rPr>
          <w:rFonts w:eastAsia="DengXian"/>
          <w:lang w:val="en-CA"/>
        </w:rPr>
        <w:t xml:space="preserve">industry </w:t>
      </w:r>
      <w:r w:rsidR="000B09AB" w:rsidRPr="00830F16">
        <w:rPr>
          <w:rFonts w:eastAsia="DengXian"/>
          <w:lang w:val="en-CA"/>
        </w:rPr>
        <w:t>consolidation</w:t>
      </w:r>
      <w:r w:rsidR="003F6F0E" w:rsidRPr="00830F16">
        <w:rPr>
          <w:rFonts w:eastAsia="DengXian"/>
          <w:lang w:val="en-CA"/>
        </w:rPr>
        <w:t>s</w:t>
      </w:r>
      <w:r w:rsidR="000B09AB" w:rsidRPr="00830F16">
        <w:rPr>
          <w:rFonts w:eastAsia="DengXian"/>
          <w:lang w:val="en-CA"/>
        </w:rPr>
        <w:t xml:space="preserve"> and exits</w:t>
      </w:r>
      <w:r w:rsidR="003F6F0E" w:rsidRPr="00830F16">
        <w:rPr>
          <w:rFonts w:eastAsia="DengXian"/>
          <w:lang w:val="en-CA"/>
        </w:rPr>
        <w:t xml:space="preserve"> over time</w:t>
      </w:r>
      <w:r w:rsidR="000B09AB" w:rsidRPr="00830F16">
        <w:rPr>
          <w:rFonts w:eastAsia="DengXian"/>
          <w:lang w:val="en-CA"/>
        </w:rPr>
        <w:t xml:space="preserve">. </w:t>
      </w:r>
      <w:r w:rsidR="002064EA" w:rsidRPr="00830F16">
        <w:rPr>
          <w:rFonts w:eastAsia="DengXian"/>
          <w:lang w:val="en-CA"/>
        </w:rPr>
        <w:t>Was it</w:t>
      </w:r>
      <w:r w:rsidR="000B09AB" w:rsidRPr="00830F16">
        <w:rPr>
          <w:rFonts w:eastAsia="DengXian"/>
          <w:lang w:val="en-CA"/>
        </w:rPr>
        <w:t xml:space="preserve"> the right time for </w:t>
      </w:r>
      <w:proofErr w:type="spellStart"/>
      <w:r w:rsidR="000B09AB" w:rsidRPr="00830F16">
        <w:rPr>
          <w:rFonts w:eastAsia="DengXian"/>
          <w:lang w:val="en-CA"/>
        </w:rPr>
        <w:t>StarHub</w:t>
      </w:r>
      <w:proofErr w:type="spellEnd"/>
      <w:r w:rsidR="000B09AB" w:rsidRPr="00830F16">
        <w:rPr>
          <w:rFonts w:eastAsia="DengXian"/>
          <w:lang w:val="en-CA"/>
        </w:rPr>
        <w:t xml:space="preserve"> to </w:t>
      </w:r>
      <w:r w:rsidR="009038C6" w:rsidRPr="00830F16">
        <w:rPr>
          <w:rFonts w:eastAsia="DengXian"/>
          <w:lang w:val="en-CA"/>
        </w:rPr>
        <w:t xml:space="preserve">invest </w:t>
      </w:r>
      <w:r w:rsidR="000B09AB" w:rsidRPr="00830F16">
        <w:rPr>
          <w:rFonts w:eastAsia="DengXian"/>
          <w:lang w:val="en-CA"/>
        </w:rPr>
        <w:t xml:space="preserve">time and resources on not only building its knowledge base but also developing and customizing </w:t>
      </w:r>
      <w:r w:rsidR="003F6F0E" w:rsidRPr="00830F16">
        <w:rPr>
          <w:rFonts w:eastAsia="DengXian"/>
          <w:lang w:val="en-CA"/>
        </w:rPr>
        <w:t>its</w:t>
      </w:r>
      <w:r w:rsidR="000B09AB" w:rsidRPr="00830F16">
        <w:rPr>
          <w:rFonts w:eastAsia="DengXian"/>
          <w:lang w:val="en-CA"/>
        </w:rPr>
        <w:t xml:space="preserve"> automation solutions to cater to </w:t>
      </w:r>
      <w:r w:rsidR="00917E88" w:rsidRPr="00830F16">
        <w:rPr>
          <w:rFonts w:eastAsia="DengXian"/>
          <w:lang w:val="en-CA"/>
        </w:rPr>
        <w:t xml:space="preserve">a variety of </w:t>
      </w:r>
      <w:r w:rsidR="000B09AB" w:rsidRPr="00830F16">
        <w:rPr>
          <w:rFonts w:eastAsia="DengXian"/>
          <w:lang w:val="en-CA"/>
        </w:rPr>
        <w:t>hotels</w:t>
      </w:r>
      <w:r w:rsidR="00917E88" w:rsidRPr="00830F16">
        <w:rPr>
          <w:rFonts w:eastAsia="DengXian"/>
          <w:lang w:val="en-CA"/>
        </w:rPr>
        <w:t>—</w:t>
      </w:r>
      <w:r w:rsidR="003F6F0E" w:rsidRPr="00830F16">
        <w:rPr>
          <w:rFonts w:eastAsia="DengXian"/>
          <w:lang w:val="en-CA"/>
        </w:rPr>
        <w:t xml:space="preserve">with </w:t>
      </w:r>
      <w:r w:rsidR="000B09AB" w:rsidRPr="00830F16">
        <w:rPr>
          <w:rFonts w:eastAsia="DengXian"/>
          <w:lang w:val="en-CA"/>
        </w:rPr>
        <w:t>vastly different operational routines</w:t>
      </w:r>
      <w:r w:rsidR="00917E88" w:rsidRPr="00830F16">
        <w:rPr>
          <w:rFonts w:eastAsia="DengXian"/>
          <w:lang w:val="en-CA"/>
        </w:rPr>
        <w:t xml:space="preserve">, </w:t>
      </w:r>
      <w:r w:rsidR="00016C2D" w:rsidRPr="00830F16">
        <w:rPr>
          <w:rFonts w:eastAsia="DengXian"/>
          <w:lang w:val="en-CA"/>
        </w:rPr>
        <w:t xml:space="preserve">floor layouts, and </w:t>
      </w:r>
      <w:r w:rsidR="00917E88" w:rsidRPr="00830F16">
        <w:rPr>
          <w:rFonts w:eastAsia="DengXian"/>
          <w:lang w:val="en-CA"/>
        </w:rPr>
        <w:t xml:space="preserve">building styles (e.g., elevators, stairs, number of floors, </w:t>
      </w:r>
      <w:r w:rsidR="002064EA" w:rsidRPr="00830F16">
        <w:rPr>
          <w:rFonts w:eastAsia="DengXian"/>
          <w:lang w:val="en-CA"/>
        </w:rPr>
        <w:t xml:space="preserve">and </w:t>
      </w:r>
      <w:r w:rsidR="00917E88" w:rsidRPr="00830F16">
        <w:rPr>
          <w:rFonts w:eastAsia="DengXian"/>
          <w:lang w:val="en-CA"/>
        </w:rPr>
        <w:t>number of rooms)</w:t>
      </w:r>
      <w:r w:rsidR="000B09AB" w:rsidRPr="00830F16">
        <w:rPr>
          <w:rFonts w:eastAsia="DengXian"/>
          <w:lang w:val="en-CA"/>
        </w:rPr>
        <w:t>?</w:t>
      </w:r>
      <w:r w:rsidR="008736FE">
        <w:rPr>
          <w:rFonts w:eastAsia="DengXian"/>
          <w:lang w:val="en-CA"/>
        </w:rPr>
        <w:t xml:space="preserve"> </w:t>
      </w:r>
      <w:proofErr w:type="spellStart"/>
      <w:r w:rsidR="008736FE">
        <w:rPr>
          <w:rFonts w:eastAsia="DengXian"/>
          <w:lang w:val="en-CA"/>
        </w:rPr>
        <w:t>Star</w:t>
      </w:r>
      <w:r w:rsidR="00120D86">
        <w:rPr>
          <w:rFonts w:eastAsia="DengXian"/>
          <w:lang w:val="en-CA"/>
        </w:rPr>
        <w:t>H</w:t>
      </w:r>
      <w:r w:rsidR="008736FE">
        <w:rPr>
          <w:rFonts w:eastAsia="DengXian"/>
          <w:lang w:val="en-CA"/>
        </w:rPr>
        <w:t>ub</w:t>
      </w:r>
      <w:proofErr w:type="spellEnd"/>
      <w:r w:rsidR="008736FE">
        <w:rPr>
          <w:rFonts w:eastAsia="DengXian"/>
          <w:lang w:val="en-CA"/>
        </w:rPr>
        <w:t xml:space="preserve"> needed to decide whether to focus these resources and efforts on either the hospitality or food and beverage industry.</w:t>
      </w:r>
    </w:p>
    <w:p w14:paraId="3EBB60EE" w14:textId="77777777" w:rsidR="000B09AB" w:rsidRPr="00830F16" w:rsidRDefault="000B09AB" w:rsidP="000B09AB">
      <w:pPr>
        <w:jc w:val="both"/>
        <w:rPr>
          <w:rFonts w:eastAsia="DengXian"/>
          <w:sz w:val="22"/>
          <w:szCs w:val="22"/>
          <w:lang w:val="en-CA"/>
        </w:rPr>
      </w:pPr>
    </w:p>
    <w:p w14:paraId="358267E6" w14:textId="77777777" w:rsidR="000B09AB" w:rsidRPr="00830F16" w:rsidRDefault="000B09AB" w:rsidP="000B09AB">
      <w:pPr>
        <w:jc w:val="both"/>
        <w:rPr>
          <w:rFonts w:eastAsia="DengXian"/>
          <w:sz w:val="22"/>
          <w:szCs w:val="22"/>
          <w:lang w:val="en-CA"/>
        </w:rPr>
      </w:pPr>
    </w:p>
    <w:p w14:paraId="66D8A96F" w14:textId="3CB4419C" w:rsidR="000B09AB" w:rsidRPr="00830F16" w:rsidRDefault="000B09AB" w:rsidP="000B09AB">
      <w:pPr>
        <w:pStyle w:val="Casehead1"/>
        <w:rPr>
          <w:rFonts w:eastAsia="DengXian"/>
          <w:lang w:val="en-CA"/>
        </w:rPr>
      </w:pPr>
      <w:proofErr w:type="spellStart"/>
      <w:r w:rsidRPr="00830F16" w:rsidDel="00615ACE">
        <w:rPr>
          <w:rFonts w:eastAsia="DengXian"/>
          <w:lang w:val="en-CA"/>
        </w:rPr>
        <w:t>STARHUB</w:t>
      </w:r>
      <w:proofErr w:type="spellEnd"/>
      <w:r w:rsidRPr="00830F16" w:rsidDel="00615ACE">
        <w:rPr>
          <w:rFonts w:eastAsia="DengXian"/>
          <w:lang w:val="en-CA"/>
        </w:rPr>
        <w:t xml:space="preserve"> AND SINGAPORE’S TELECOMMUNICATION</w:t>
      </w:r>
      <w:r w:rsidR="00D90E00" w:rsidRPr="00830F16">
        <w:rPr>
          <w:rFonts w:eastAsia="DengXian"/>
          <w:lang w:val="en-CA"/>
        </w:rPr>
        <w:t>s</w:t>
      </w:r>
      <w:r w:rsidRPr="00830F16" w:rsidDel="00615ACE">
        <w:rPr>
          <w:rFonts w:eastAsia="DengXian"/>
          <w:lang w:val="en-CA"/>
        </w:rPr>
        <w:t xml:space="preserve"> INDUSTRY</w:t>
      </w:r>
    </w:p>
    <w:p w14:paraId="20E90116" w14:textId="77777777" w:rsidR="000B09AB" w:rsidRPr="00830F16" w:rsidRDefault="000B09AB" w:rsidP="000B09AB">
      <w:pPr>
        <w:jc w:val="both"/>
        <w:rPr>
          <w:rFonts w:eastAsia="DengXian"/>
          <w:sz w:val="22"/>
          <w:szCs w:val="22"/>
          <w:lang w:val="en-CA"/>
        </w:rPr>
      </w:pPr>
    </w:p>
    <w:p w14:paraId="25DB62D7" w14:textId="126BC989" w:rsidR="000B09AB" w:rsidRPr="00830F16" w:rsidRDefault="000B09AB" w:rsidP="000B09AB">
      <w:pPr>
        <w:pStyle w:val="BodyTextMain"/>
        <w:rPr>
          <w:rFonts w:eastAsia="DengXian"/>
          <w:b/>
          <w:lang w:val="en-CA"/>
        </w:rPr>
      </w:pPr>
      <w:r w:rsidRPr="00830F16">
        <w:rPr>
          <w:rFonts w:eastAsia="DengXian"/>
          <w:lang w:val="en-CA"/>
        </w:rPr>
        <w:t xml:space="preserve">Established in 2000, </w:t>
      </w:r>
      <w:proofErr w:type="spellStart"/>
      <w:r w:rsidRPr="00830F16">
        <w:rPr>
          <w:rFonts w:eastAsia="DengXian"/>
          <w:lang w:val="en-CA"/>
        </w:rPr>
        <w:t>StarHub</w:t>
      </w:r>
      <w:proofErr w:type="spellEnd"/>
      <w:r w:rsidRPr="00830F16">
        <w:rPr>
          <w:rFonts w:eastAsia="DengXian"/>
          <w:lang w:val="en-CA"/>
        </w:rPr>
        <w:t xml:space="preserve"> was the </w:t>
      </w:r>
      <w:proofErr w:type="gramStart"/>
      <w:r w:rsidRPr="00830F16">
        <w:rPr>
          <w:rFonts w:eastAsia="DengXian"/>
          <w:lang w:val="en-CA"/>
        </w:rPr>
        <w:t>second</w:t>
      </w:r>
      <w:r w:rsidR="002064EA" w:rsidRPr="00830F16">
        <w:rPr>
          <w:rFonts w:eastAsia="DengXian"/>
          <w:lang w:val="en-CA"/>
        </w:rPr>
        <w:t>-</w:t>
      </w:r>
      <w:r w:rsidRPr="00830F16">
        <w:rPr>
          <w:rFonts w:eastAsia="DengXian"/>
          <w:lang w:val="en-CA"/>
        </w:rPr>
        <w:t>largest</w:t>
      </w:r>
      <w:proofErr w:type="gramEnd"/>
      <w:r w:rsidRPr="00830F16">
        <w:rPr>
          <w:rFonts w:eastAsia="DengXian"/>
          <w:lang w:val="en-CA"/>
        </w:rPr>
        <w:t xml:space="preserve"> of three telecommunications operators (</w:t>
      </w:r>
      <w:proofErr w:type="spellStart"/>
      <w:r w:rsidRPr="00830F16">
        <w:rPr>
          <w:rFonts w:eastAsia="DengXian"/>
          <w:lang w:val="en-CA"/>
        </w:rPr>
        <w:t>telcos</w:t>
      </w:r>
      <w:proofErr w:type="spellEnd"/>
      <w:r w:rsidRPr="00830F16">
        <w:rPr>
          <w:rFonts w:eastAsia="DengXian"/>
          <w:lang w:val="en-CA"/>
        </w:rPr>
        <w:t xml:space="preserve">) in Singapore. </w:t>
      </w:r>
      <w:proofErr w:type="spellStart"/>
      <w:r w:rsidRPr="00830F16">
        <w:rPr>
          <w:rFonts w:eastAsia="DengXian"/>
          <w:lang w:val="en-CA"/>
        </w:rPr>
        <w:t>StarHub</w:t>
      </w:r>
      <w:proofErr w:type="spellEnd"/>
      <w:r w:rsidRPr="00830F16">
        <w:rPr>
          <w:rFonts w:eastAsia="DengXian"/>
          <w:lang w:val="en-CA"/>
        </w:rPr>
        <w:t xml:space="preserve"> provided mobile services, </w:t>
      </w:r>
      <w:proofErr w:type="gramStart"/>
      <w:r w:rsidRPr="00830F16">
        <w:rPr>
          <w:rFonts w:eastAsia="DengXian"/>
          <w:lang w:val="en-CA"/>
        </w:rPr>
        <w:t>pay-</w:t>
      </w:r>
      <w:r w:rsidR="008736FE">
        <w:rPr>
          <w:rFonts w:eastAsia="DengXian"/>
          <w:lang w:val="en-CA"/>
        </w:rPr>
        <w:t>television</w:t>
      </w:r>
      <w:proofErr w:type="gramEnd"/>
      <w:r w:rsidR="008736FE">
        <w:rPr>
          <w:rFonts w:eastAsia="DengXian"/>
          <w:lang w:val="en-CA"/>
        </w:rPr>
        <w:t xml:space="preserve"> (</w:t>
      </w:r>
      <w:r w:rsidRPr="00830F16">
        <w:rPr>
          <w:rFonts w:eastAsia="DengXian"/>
          <w:lang w:val="en-CA"/>
        </w:rPr>
        <w:t>TV</w:t>
      </w:r>
      <w:r w:rsidR="008736FE">
        <w:rPr>
          <w:rFonts w:eastAsia="DengXian"/>
          <w:lang w:val="en-CA"/>
        </w:rPr>
        <w:t>)</w:t>
      </w:r>
      <w:r w:rsidRPr="00830F16">
        <w:rPr>
          <w:rFonts w:eastAsia="DengXian"/>
          <w:lang w:val="en-CA"/>
        </w:rPr>
        <w:t>, fixed broadband services</w:t>
      </w:r>
      <w:r w:rsidR="000028DD" w:rsidRPr="00830F16">
        <w:rPr>
          <w:rFonts w:eastAsia="DengXian"/>
          <w:lang w:val="en-CA"/>
        </w:rPr>
        <w:t>,</w:t>
      </w:r>
      <w:r w:rsidRPr="00830F16">
        <w:rPr>
          <w:rFonts w:eastAsia="DengXian"/>
          <w:lang w:val="en-CA"/>
        </w:rPr>
        <w:t xml:space="preserve"> and fixed voice services for </w:t>
      </w:r>
      <w:r w:rsidR="00F44521" w:rsidRPr="00830F16">
        <w:rPr>
          <w:rFonts w:eastAsia="DengXian"/>
          <w:lang w:val="en-CA"/>
        </w:rPr>
        <w:t xml:space="preserve">the </w:t>
      </w:r>
      <w:r w:rsidRPr="00830F16">
        <w:rPr>
          <w:rFonts w:eastAsia="DengXian"/>
          <w:lang w:val="en-CA"/>
        </w:rPr>
        <w:t>consumer and corporate markets. A pioneer for “</w:t>
      </w:r>
      <w:proofErr w:type="spellStart"/>
      <w:r w:rsidRPr="00830F16">
        <w:rPr>
          <w:rFonts w:eastAsia="DengXian"/>
          <w:lang w:val="en-CA"/>
        </w:rPr>
        <w:t>hubbing</w:t>
      </w:r>
      <w:proofErr w:type="spellEnd"/>
      <w:r w:rsidRPr="00830F16">
        <w:rPr>
          <w:rFonts w:eastAsia="DengXian"/>
          <w:lang w:val="en-CA"/>
        </w:rPr>
        <w:t>”—the ability to deliver integrated, converged services to its customers</w:t>
      </w:r>
      <w:r w:rsidR="000028DD" w:rsidRPr="00830F16">
        <w:rPr>
          <w:rFonts w:eastAsia="DengXian"/>
          <w:lang w:val="en-CA"/>
        </w:rPr>
        <w:t>—</w:t>
      </w:r>
      <w:proofErr w:type="spellStart"/>
      <w:r w:rsidRPr="00830F16">
        <w:rPr>
          <w:rFonts w:eastAsia="DengXian"/>
          <w:lang w:val="en-CA"/>
        </w:rPr>
        <w:t>StarHub</w:t>
      </w:r>
      <w:proofErr w:type="spellEnd"/>
      <w:r w:rsidRPr="00830F16">
        <w:rPr>
          <w:rFonts w:eastAsia="DengXian"/>
          <w:lang w:val="en-CA"/>
        </w:rPr>
        <w:t xml:space="preserve"> </w:t>
      </w:r>
      <w:proofErr w:type="gramStart"/>
      <w:r w:rsidR="000028DD" w:rsidRPr="00830F16">
        <w:rPr>
          <w:rFonts w:eastAsia="DengXian"/>
          <w:lang w:val="en-CA"/>
        </w:rPr>
        <w:t>was known</w:t>
      </w:r>
      <w:proofErr w:type="gramEnd"/>
      <w:r w:rsidR="000028DD" w:rsidRPr="00830F16">
        <w:rPr>
          <w:rFonts w:eastAsia="DengXian"/>
          <w:lang w:val="en-CA"/>
        </w:rPr>
        <w:t xml:space="preserve"> for </w:t>
      </w:r>
      <w:r w:rsidRPr="00830F16">
        <w:rPr>
          <w:rFonts w:eastAsia="DengXian"/>
          <w:lang w:val="en-CA"/>
        </w:rPr>
        <w:t xml:space="preserve">innovation in the region. </w:t>
      </w:r>
      <w:r w:rsidR="000028DD" w:rsidRPr="00830F16">
        <w:rPr>
          <w:rFonts w:eastAsia="DengXian"/>
          <w:lang w:val="en-CA"/>
        </w:rPr>
        <w:t xml:space="preserve">With its </w:t>
      </w:r>
      <w:r w:rsidR="000028DD" w:rsidRPr="00830F16">
        <w:rPr>
          <w:rFonts w:eastAsia="DengXian"/>
          <w:lang w:val="en-CA"/>
        </w:rPr>
        <w:lastRenderedPageBreak/>
        <w:t xml:space="preserve">swift implementation of the latest products and services to keep abreast of new developments, </w:t>
      </w:r>
      <w:r w:rsidRPr="00830F16">
        <w:rPr>
          <w:rFonts w:eastAsia="DengXian"/>
          <w:lang w:val="en-CA"/>
        </w:rPr>
        <w:t xml:space="preserve">Singapore’s telecommunications industry had outperformed many of its counterparts in the Southeast Asian region. Partly because of </w:t>
      </w:r>
      <w:r w:rsidR="000028DD" w:rsidRPr="00830F16">
        <w:rPr>
          <w:rFonts w:eastAsia="DengXian"/>
          <w:lang w:val="en-CA"/>
        </w:rPr>
        <w:t xml:space="preserve">the </w:t>
      </w:r>
      <w:r w:rsidRPr="00830F16">
        <w:rPr>
          <w:rFonts w:eastAsia="DengXian"/>
          <w:lang w:val="en-CA"/>
        </w:rPr>
        <w:t>country’s relatively small population and land area</w:t>
      </w:r>
      <w:r w:rsidR="002064EA" w:rsidRPr="00830F16">
        <w:rPr>
          <w:rFonts w:eastAsia="DengXian"/>
          <w:lang w:val="en-CA"/>
        </w:rPr>
        <w:t>,</w:t>
      </w:r>
      <w:r w:rsidR="004C4DB5" w:rsidRPr="00830F16">
        <w:rPr>
          <w:rStyle w:val="EndnoteReference"/>
          <w:rFonts w:eastAsia="DengXian"/>
          <w:lang w:val="en-CA"/>
        </w:rPr>
        <w:endnoteReference w:id="2"/>
      </w:r>
      <w:r w:rsidRPr="00830F16">
        <w:rPr>
          <w:rFonts w:eastAsia="DengXian"/>
          <w:lang w:val="en-CA"/>
        </w:rPr>
        <w:t xml:space="preserve"> the expeditious growth of the telecommunications sector meant that it was fast approaching saturation. From 2012 to 2016, the mobile phone penetration rate hovered between </w:t>
      </w:r>
      <w:r w:rsidR="002064EA" w:rsidRPr="00830F16">
        <w:rPr>
          <w:rFonts w:eastAsia="DengXian"/>
          <w:lang w:val="en-CA"/>
        </w:rPr>
        <w:t xml:space="preserve">151.8 </w:t>
      </w:r>
      <w:r w:rsidRPr="00830F16">
        <w:rPr>
          <w:rFonts w:eastAsia="DengXian"/>
          <w:lang w:val="en-CA"/>
        </w:rPr>
        <w:t>per</w:t>
      </w:r>
      <w:r w:rsidR="000028DD" w:rsidRPr="00830F16">
        <w:rPr>
          <w:rFonts w:eastAsia="DengXian"/>
          <w:lang w:val="en-CA"/>
        </w:rPr>
        <w:t xml:space="preserve"> </w:t>
      </w:r>
      <w:r w:rsidRPr="00830F16">
        <w:rPr>
          <w:rFonts w:eastAsia="DengXian"/>
          <w:lang w:val="en-CA"/>
        </w:rPr>
        <w:t xml:space="preserve">cent in 2012 and </w:t>
      </w:r>
      <w:r w:rsidR="002064EA" w:rsidRPr="00830F16">
        <w:rPr>
          <w:rFonts w:eastAsia="DengXian"/>
          <w:lang w:val="en-CA"/>
        </w:rPr>
        <w:t xml:space="preserve">149.8 </w:t>
      </w:r>
      <w:r w:rsidRPr="00830F16">
        <w:rPr>
          <w:rFonts w:eastAsia="DengXian"/>
          <w:lang w:val="en-CA"/>
        </w:rPr>
        <w:t>per</w:t>
      </w:r>
      <w:r w:rsidR="000028DD" w:rsidRPr="00830F16">
        <w:rPr>
          <w:rFonts w:eastAsia="DengXian"/>
          <w:lang w:val="en-CA"/>
        </w:rPr>
        <w:t xml:space="preserve"> </w:t>
      </w:r>
      <w:r w:rsidRPr="00830F16">
        <w:rPr>
          <w:rFonts w:eastAsia="DengXian"/>
          <w:lang w:val="en-CA"/>
        </w:rPr>
        <w:t>cent in 2016.</w:t>
      </w:r>
      <w:r w:rsidRPr="00830F16">
        <w:rPr>
          <w:rFonts w:eastAsia="DengXian"/>
          <w:vertAlign w:val="superscript"/>
          <w:lang w:val="en-CA"/>
        </w:rPr>
        <w:endnoteReference w:id="3"/>
      </w:r>
      <w:r w:rsidRPr="00830F16">
        <w:rPr>
          <w:rFonts w:eastAsia="DengXian"/>
          <w:lang w:val="en-CA"/>
        </w:rPr>
        <w:t xml:space="preserve"> Eventually, growth in mobile subscribers had level</w:t>
      </w:r>
      <w:r w:rsidR="002064EA" w:rsidRPr="00830F16">
        <w:rPr>
          <w:rFonts w:eastAsia="DengXian"/>
          <w:lang w:val="en-CA"/>
        </w:rPr>
        <w:t>l</w:t>
      </w:r>
      <w:r w:rsidRPr="00830F16">
        <w:rPr>
          <w:rFonts w:eastAsia="DengXian"/>
          <w:lang w:val="en-CA"/>
        </w:rPr>
        <w:t>ed (see Exhibit 1)</w:t>
      </w:r>
      <w:r w:rsidRPr="00830F16">
        <w:rPr>
          <w:rFonts w:eastAsia="DengXian"/>
          <w:szCs w:val="24"/>
          <w:lang w:val="en-CA"/>
        </w:rPr>
        <w:t>.</w:t>
      </w:r>
      <w:r w:rsidRPr="00830F16">
        <w:rPr>
          <w:rFonts w:eastAsia="DengXian"/>
          <w:b/>
          <w:lang w:val="en-CA"/>
        </w:rPr>
        <w:t xml:space="preserve"> </w:t>
      </w:r>
    </w:p>
    <w:p w14:paraId="71073F88" w14:textId="77777777" w:rsidR="00BE1CF1" w:rsidRPr="00830F16" w:rsidRDefault="00BE1CF1" w:rsidP="000B09AB">
      <w:pPr>
        <w:pStyle w:val="BodyTextMain"/>
        <w:rPr>
          <w:rFonts w:eastAsia="DengXian"/>
          <w:lang w:val="en-CA"/>
        </w:rPr>
      </w:pPr>
    </w:p>
    <w:p w14:paraId="753DE7CC" w14:textId="20822030" w:rsidR="000B09AB" w:rsidRPr="00830F16" w:rsidRDefault="000B09AB" w:rsidP="000B09AB">
      <w:pPr>
        <w:pStyle w:val="BodyTextMain"/>
        <w:rPr>
          <w:rFonts w:eastAsia="DengXian"/>
          <w:lang w:val="en-CA"/>
        </w:rPr>
      </w:pPr>
      <w:r w:rsidRPr="00830F16">
        <w:rPr>
          <w:rFonts w:eastAsia="DengXian"/>
          <w:lang w:val="en-CA"/>
        </w:rPr>
        <w:t xml:space="preserve">To maintain its market share, </w:t>
      </w:r>
      <w:proofErr w:type="spellStart"/>
      <w:r w:rsidRPr="00830F16">
        <w:rPr>
          <w:rFonts w:eastAsia="DengXian"/>
          <w:lang w:val="en-CA"/>
        </w:rPr>
        <w:t>StarHub</w:t>
      </w:r>
      <w:proofErr w:type="spellEnd"/>
      <w:r w:rsidRPr="00830F16">
        <w:rPr>
          <w:rFonts w:eastAsia="DengXian"/>
          <w:lang w:val="en-CA"/>
        </w:rPr>
        <w:t xml:space="preserve"> adopted the </w:t>
      </w:r>
      <w:proofErr w:type="spellStart"/>
      <w:r w:rsidR="001354A3" w:rsidRPr="00830F16">
        <w:rPr>
          <w:rFonts w:eastAsia="DengXian"/>
          <w:lang w:val="en-CA"/>
        </w:rPr>
        <w:t>h</w:t>
      </w:r>
      <w:r w:rsidRPr="00830F16">
        <w:rPr>
          <w:rFonts w:eastAsia="DengXian"/>
          <w:lang w:val="en-CA"/>
        </w:rPr>
        <w:t>ubbing</w:t>
      </w:r>
      <w:proofErr w:type="spellEnd"/>
      <w:r w:rsidRPr="00830F16">
        <w:rPr>
          <w:rFonts w:eastAsia="DengXian"/>
          <w:lang w:val="en-CA"/>
        </w:rPr>
        <w:t xml:space="preserve"> strategy</w:t>
      </w:r>
      <w:r w:rsidR="001354A3" w:rsidRPr="00830F16">
        <w:rPr>
          <w:rFonts w:eastAsia="DengXian"/>
          <w:lang w:val="en-CA"/>
        </w:rPr>
        <w:t>, which</w:t>
      </w:r>
      <w:r w:rsidRPr="00830F16">
        <w:rPr>
          <w:rFonts w:eastAsia="DengXian"/>
          <w:lang w:val="en-CA"/>
        </w:rPr>
        <w:t xml:space="preserve"> involved bundling television, home </w:t>
      </w:r>
      <w:proofErr w:type="gramStart"/>
      <w:r w:rsidRPr="00830F16">
        <w:rPr>
          <w:rFonts w:eastAsia="DengXian"/>
          <w:lang w:val="en-CA"/>
        </w:rPr>
        <w:t>broadband</w:t>
      </w:r>
      <w:r w:rsidR="001354A3" w:rsidRPr="00830F16">
        <w:rPr>
          <w:rFonts w:eastAsia="DengXian"/>
          <w:lang w:val="en-CA"/>
        </w:rPr>
        <w:t>,</w:t>
      </w:r>
      <w:proofErr w:type="gramEnd"/>
      <w:r w:rsidRPr="00830F16">
        <w:rPr>
          <w:rFonts w:eastAsia="DengXian"/>
          <w:lang w:val="en-CA"/>
        </w:rPr>
        <w:t xml:space="preserve"> and mobile services at a discount. This approach worked—the number of triple</w:t>
      </w:r>
      <w:r w:rsidR="00770CAD" w:rsidRPr="00830F16">
        <w:rPr>
          <w:rFonts w:eastAsia="DengXian"/>
          <w:lang w:val="en-CA"/>
        </w:rPr>
        <w:t>-</w:t>
      </w:r>
      <w:r w:rsidRPr="00830F16">
        <w:rPr>
          <w:rFonts w:eastAsia="DengXian"/>
          <w:lang w:val="en-CA"/>
        </w:rPr>
        <w:t>service households subscrib</w:t>
      </w:r>
      <w:r w:rsidR="001354A3" w:rsidRPr="00830F16">
        <w:rPr>
          <w:rFonts w:eastAsia="DengXian"/>
          <w:lang w:val="en-CA"/>
        </w:rPr>
        <w:t>ing</w:t>
      </w:r>
      <w:r w:rsidRPr="00830F16">
        <w:rPr>
          <w:rFonts w:eastAsia="DengXian"/>
          <w:lang w:val="en-CA"/>
        </w:rPr>
        <w:t xml:space="preserve"> to th</w:t>
      </w:r>
      <w:r w:rsidR="00770CAD" w:rsidRPr="00830F16">
        <w:rPr>
          <w:rFonts w:eastAsia="DengXian"/>
          <w:lang w:val="en-CA"/>
        </w:rPr>
        <w:t>e</w:t>
      </w:r>
      <w:r w:rsidRPr="00830F16">
        <w:rPr>
          <w:rFonts w:eastAsia="DengXian"/>
          <w:lang w:val="en-CA"/>
        </w:rPr>
        <w:t xml:space="preserve"> integrated service rose from 200,000 in 2010 to 214,000 in the span of two years. Competition remained strong among the three incumbent operators—</w:t>
      </w:r>
      <w:r w:rsidR="008736FE" w:rsidRPr="008736FE">
        <w:rPr>
          <w:rFonts w:eastAsia="DengXian"/>
          <w:lang w:val="en-CA"/>
        </w:rPr>
        <w:t xml:space="preserve"> </w:t>
      </w:r>
      <w:r w:rsidR="008736FE">
        <w:rPr>
          <w:rFonts w:eastAsia="DengXian"/>
          <w:lang w:val="en-CA"/>
        </w:rPr>
        <w:t>Singapore Telecommunications L</w:t>
      </w:r>
      <w:r w:rsidR="008736FE">
        <w:rPr>
          <w:rFonts w:eastAsia="DengXian"/>
          <w:lang w:val="en-CA"/>
        </w:rPr>
        <w:t>td.</w:t>
      </w:r>
      <w:r w:rsidR="008736FE">
        <w:rPr>
          <w:rFonts w:eastAsia="DengXian"/>
          <w:lang w:val="en-CA"/>
        </w:rPr>
        <w:t xml:space="preserve"> (</w:t>
      </w:r>
      <w:r w:rsidR="008736FE" w:rsidRPr="00830F16">
        <w:rPr>
          <w:rFonts w:eastAsia="DengXian"/>
          <w:lang w:val="en-CA"/>
        </w:rPr>
        <w:t>SingTel</w:t>
      </w:r>
      <w:r w:rsidR="008736FE">
        <w:rPr>
          <w:rFonts w:eastAsia="DengXian"/>
          <w:lang w:val="en-CA"/>
        </w:rPr>
        <w:t>)</w:t>
      </w:r>
      <w:r w:rsidRPr="00830F16">
        <w:rPr>
          <w:rFonts w:eastAsia="DengXian"/>
          <w:lang w:val="en-CA"/>
        </w:rPr>
        <w:t xml:space="preserve">, </w:t>
      </w:r>
      <w:proofErr w:type="spellStart"/>
      <w:r w:rsidRPr="00830F16">
        <w:rPr>
          <w:rFonts w:eastAsia="DengXian"/>
          <w:lang w:val="en-CA"/>
        </w:rPr>
        <w:t>StarHub</w:t>
      </w:r>
      <w:proofErr w:type="spellEnd"/>
      <w:r w:rsidRPr="00830F16">
        <w:rPr>
          <w:rFonts w:eastAsia="DengXian"/>
          <w:lang w:val="en-CA"/>
        </w:rPr>
        <w:t xml:space="preserve">, and </w:t>
      </w:r>
      <w:r w:rsidR="008736FE">
        <w:rPr>
          <w:rFonts w:eastAsia="DengXian"/>
          <w:lang w:val="en-CA"/>
        </w:rPr>
        <w:t>M1 Ltd. (</w:t>
      </w:r>
      <w:r w:rsidRPr="00830F16">
        <w:rPr>
          <w:rFonts w:eastAsia="DengXian"/>
          <w:lang w:val="en-CA"/>
        </w:rPr>
        <w:t>M1</w:t>
      </w:r>
      <w:r w:rsidR="008736FE">
        <w:rPr>
          <w:rFonts w:eastAsia="DengXian"/>
          <w:lang w:val="en-CA"/>
        </w:rPr>
        <w:t>)</w:t>
      </w:r>
      <w:r w:rsidR="00770CAD" w:rsidRPr="00830F16">
        <w:rPr>
          <w:rFonts w:eastAsia="DengXian"/>
          <w:lang w:val="en-CA"/>
        </w:rPr>
        <w:t>—</w:t>
      </w:r>
      <w:r w:rsidR="00F55B2E" w:rsidRPr="00830F16">
        <w:rPr>
          <w:rFonts w:eastAsia="DengXian"/>
          <w:lang w:val="en-CA"/>
        </w:rPr>
        <w:t xml:space="preserve">which </w:t>
      </w:r>
      <w:r w:rsidR="00770CAD" w:rsidRPr="00830F16">
        <w:rPr>
          <w:rFonts w:eastAsia="DengXian"/>
          <w:lang w:val="en-CA"/>
        </w:rPr>
        <w:t xml:space="preserve">had </w:t>
      </w:r>
      <w:r w:rsidRPr="00830F16">
        <w:rPr>
          <w:rFonts w:eastAsia="DengXian"/>
          <w:lang w:val="en-CA"/>
        </w:rPr>
        <w:t>invested billions of dollars in the maint</w:t>
      </w:r>
      <w:r w:rsidR="00770CAD" w:rsidRPr="00830F16">
        <w:rPr>
          <w:rFonts w:eastAsia="DengXian"/>
          <w:lang w:val="en-CA"/>
        </w:rPr>
        <w:t>aining</w:t>
      </w:r>
      <w:r w:rsidRPr="00830F16">
        <w:rPr>
          <w:rFonts w:eastAsia="DengXian"/>
          <w:lang w:val="en-CA"/>
        </w:rPr>
        <w:t xml:space="preserve"> and upgrading their mobile networks and infrastructure. As of 2016, </w:t>
      </w:r>
      <w:r w:rsidR="008736FE">
        <w:rPr>
          <w:rFonts w:eastAsia="DengXian"/>
          <w:lang w:val="en-CA"/>
        </w:rPr>
        <w:t>SingTel</w:t>
      </w:r>
      <w:r w:rsidRPr="00830F16">
        <w:rPr>
          <w:rFonts w:eastAsia="DengXian"/>
          <w:lang w:val="en-CA"/>
        </w:rPr>
        <w:t xml:space="preserve">, </w:t>
      </w:r>
      <w:proofErr w:type="spellStart"/>
      <w:r w:rsidRPr="00830F16">
        <w:rPr>
          <w:rFonts w:eastAsia="DengXian"/>
          <w:lang w:val="en-CA"/>
        </w:rPr>
        <w:t>StarHub</w:t>
      </w:r>
      <w:proofErr w:type="spellEnd"/>
      <w:r w:rsidRPr="00830F16">
        <w:rPr>
          <w:rFonts w:eastAsia="DengXian"/>
          <w:lang w:val="en-CA"/>
        </w:rPr>
        <w:t>, and M1 had spent a total of $1.6 billion, $1 billion, and $1.8 billion, respectively, to upgrade their mobile networks.</w:t>
      </w:r>
      <w:r w:rsidRPr="00830F16">
        <w:rPr>
          <w:rFonts w:eastAsia="DengXian"/>
          <w:vertAlign w:val="superscript"/>
          <w:lang w:val="en-CA"/>
        </w:rPr>
        <w:endnoteReference w:id="4"/>
      </w:r>
      <w:r w:rsidRPr="00830F16">
        <w:rPr>
          <w:rFonts w:eastAsia="DengXian"/>
          <w:lang w:val="en-CA"/>
        </w:rPr>
        <w:t xml:space="preserve"> These numbers remained consistent—and in some instances, increased—as the</w:t>
      </w:r>
      <w:r w:rsidR="00FF2D18" w:rsidRPr="00830F16">
        <w:rPr>
          <w:rFonts w:eastAsia="DengXian"/>
          <w:lang w:val="en-CA"/>
        </w:rPr>
        <w:t xml:space="preserve"> three competitors</w:t>
      </w:r>
      <w:r w:rsidRPr="00830F16">
        <w:rPr>
          <w:rFonts w:eastAsia="DengXian"/>
          <w:lang w:val="en-CA"/>
        </w:rPr>
        <w:t xml:space="preserve"> strove to outdo each other. However, the competition intensified when various over-the-top (OTT) players entered Singapore’s market with service offerings previously exclusive to the </w:t>
      </w:r>
      <w:proofErr w:type="spellStart"/>
      <w:r w:rsidRPr="00830F16">
        <w:rPr>
          <w:rFonts w:eastAsia="DengXian"/>
          <w:lang w:val="en-CA"/>
        </w:rPr>
        <w:t>telcos</w:t>
      </w:r>
      <w:proofErr w:type="spellEnd"/>
      <w:r w:rsidRPr="00830F16">
        <w:rPr>
          <w:rFonts w:eastAsia="DengXian"/>
          <w:lang w:val="en-CA"/>
        </w:rPr>
        <w:t xml:space="preserve">, such as </w:t>
      </w:r>
      <w:r w:rsidR="00FF2D18" w:rsidRPr="00830F16">
        <w:rPr>
          <w:rFonts w:eastAsia="DengXian"/>
          <w:lang w:val="en-CA"/>
        </w:rPr>
        <w:t>short message service (</w:t>
      </w:r>
      <w:r w:rsidRPr="00830F16">
        <w:rPr>
          <w:rFonts w:eastAsia="DengXian"/>
          <w:lang w:val="en-CA"/>
        </w:rPr>
        <w:t>SMS</w:t>
      </w:r>
      <w:r w:rsidR="00FF2D18" w:rsidRPr="00830F16">
        <w:rPr>
          <w:rFonts w:eastAsia="DengXian"/>
          <w:lang w:val="en-CA"/>
        </w:rPr>
        <w:t>)</w:t>
      </w:r>
      <w:r w:rsidRPr="00830F16">
        <w:rPr>
          <w:rFonts w:eastAsia="DengXian"/>
          <w:lang w:val="en-CA"/>
        </w:rPr>
        <w:t xml:space="preserve">, voice calls, and video and music services. According to the blended </w:t>
      </w:r>
      <w:r w:rsidR="00D819BC" w:rsidRPr="00830F16">
        <w:rPr>
          <w:rFonts w:eastAsia="DengXian"/>
          <w:lang w:val="en-CA"/>
        </w:rPr>
        <w:t>a</w:t>
      </w:r>
      <w:r w:rsidRPr="00830F16">
        <w:rPr>
          <w:rFonts w:eastAsia="DengXian"/>
          <w:lang w:val="en-CA"/>
        </w:rPr>
        <w:t xml:space="preserve">verage </w:t>
      </w:r>
      <w:r w:rsidR="00D819BC" w:rsidRPr="00830F16">
        <w:rPr>
          <w:rFonts w:eastAsia="DengXian"/>
          <w:lang w:val="en-CA"/>
        </w:rPr>
        <w:t>r</w:t>
      </w:r>
      <w:r w:rsidRPr="00830F16">
        <w:rPr>
          <w:rFonts w:eastAsia="DengXian"/>
          <w:lang w:val="en-CA"/>
        </w:rPr>
        <w:t xml:space="preserve">evenue </w:t>
      </w:r>
      <w:r w:rsidR="00D819BC" w:rsidRPr="00830F16">
        <w:rPr>
          <w:rFonts w:eastAsia="DengXian"/>
          <w:lang w:val="en-CA"/>
        </w:rPr>
        <w:t>p</w:t>
      </w:r>
      <w:r w:rsidRPr="00830F16">
        <w:rPr>
          <w:rFonts w:eastAsia="DengXian"/>
          <w:lang w:val="en-CA"/>
        </w:rPr>
        <w:t xml:space="preserve">er </w:t>
      </w:r>
      <w:r w:rsidR="00D819BC" w:rsidRPr="00830F16">
        <w:rPr>
          <w:rFonts w:eastAsia="DengXian"/>
          <w:lang w:val="en-CA"/>
        </w:rPr>
        <w:t>u</w:t>
      </w:r>
      <w:r w:rsidRPr="00830F16">
        <w:rPr>
          <w:rFonts w:eastAsia="DengXian"/>
          <w:lang w:val="en-CA"/>
        </w:rPr>
        <w:t>ser (</w:t>
      </w:r>
      <w:proofErr w:type="spellStart"/>
      <w:r w:rsidRPr="00830F16">
        <w:rPr>
          <w:rFonts w:eastAsia="DengXian"/>
          <w:lang w:val="en-CA"/>
        </w:rPr>
        <w:t>ARPU</w:t>
      </w:r>
      <w:proofErr w:type="spellEnd"/>
      <w:r w:rsidRPr="00830F16">
        <w:rPr>
          <w:rFonts w:eastAsia="DengXian"/>
          <w:lang w:val="en-CA"/>
        </w:rPr>
        <w:t>) figures</w:t>
      </w:r>
      <w:r w:rsidR="00BE1B82" w:rsidRPr="00830F16">
        <w:rPr>
          <w:rFonts w:eastAsia="DengXian"/>
          <w:lang w:val="en-CA"/>
        </w:rPr>
        <w:t>,</w:t>
      </w:r>
      <w:r w:rsidRPr="00830F16">
        <w:rPr>
          <w:rFonts w:eastAsia="DengXian"/>
          <w:lang w:val="en-CA"/>
        </w:rPr>
        <w:t xml:space="preserve"> which measured the income generated by businesses given the size of their customer base, there was a downward trend </w:t>
      </w:r>
      <w:r w:rsidR="00F55B2E" w:rsidRPr="00830F16">
        <w:rPr>
          <w:rFonts w:eastAsia="DengXian"/>
          <w:lang w:val="en-CA"/>
        </w:rPr>
        <w:t xml:space="preserve">among the incumbents </w:t>
      </w:r>
      <w:r w:rsidRPr="00830F16">
        <w:rPr>
          <w:rFonts w:eastAsia="DengXian"/>
          <w:lang w:val="en-CA"/>
        </w:rPr>
        <w:t xml:space="preserve">between 2014 </w:t>
      </w:r>
      <w:r w:rsidR="00523BD9" w:rsidRPr="00830F16">
        <w:rPr>
          <w:rFonts w:eastAsia="DengXian"/>
          <w:lang w:val="en-CA"/>
        </w:rPr>
        <w:t>and</w:t>
      </w:r>
      <w:r w:rsidRPr="00830F16">
        <w:rPr>
          <w:rFonts w:eastAsia="DengXian"/>
          <w:lang w:val="en-CA"/>
        </w:rPr>
        <w:t xml:space="preserve"> 2016</w:t>
      </w:r>
      <w:r w:rsidRPr="00830F16">
        <w:rPr>
          <w:rFonts w:eastAsia="DengXian"/>
          <w:vertAlign w:val="superscript"/>
          <w:lang w:val="en-CA"/>
        </w:rPr>
        <w:endnoteReference w:id="5"/>
      </w:r>
      <w:r w:rsidRPr="00830F16">
        <w:rPr>
          <w:rFonts w:eastAsia="DengXian"/>
          <w:lang w:val="en-CA"/>
        </w:rPr>
        <w:t xml:space="preserve"> (see Exhibit 2)</w:t>
      </w:r>
      <w:r w:rsidRPr="00830F16">
        <w:rPr>
          <w:rFonts w:eastAsia="DengXian"/>
          <w:szCs w:val="24"/>
          <w:lang w:val="en-CA"/>
        </w:rPr>
        <w:t>.</w:t>
      </w:r>
      <w:r w:rsidRPr="00830F16">
        <w:rPr>
          <w:rFonts w:eastAsia="DengXian"/>
          <w:lang w:val="en-CA"/>
        </w:rPr>
        <w:t xml:space="preserve"> To attract new subscribers, the </w:t>
      </w:r>
      <w:proofErr w:type="spellStart"/>
      <w:r w:rsidRPr="00830F16">
        <w:rPr>
          <w:rFonts w:eastAsia="DengXian"/>
          <w:lang w:val="en-CA"/>
        </w:rPr>
        <w:t>telcos</w:t>
      </w:r>
      <w:proofErr w:type="spellEnd"/>
      <w:r w:rsidRPr="00830F16">
        <w:rPr>
          <w:rFonts w:eastAsia="DengXian"/>
          <w:lang w:val="en-CA"/>
        </w:rPr>
        <w:t xml:space="preserve"> lowered tariffs, resulting in price wars for new subscribers that had </w:t>
      </w:r>
      <w:r w:rsidR="00990786" w:rsidRPr="00830F16">
        <w:rPr>
          <w:rFonts w:eastAsia="DengXian"/>
          <w:lang w:val="en-CA"/>
        </w:rPr>
        <w:t xml:space="preserve">negatively </w:t>
      </w:r>
      <w:r w:rsidRPr="00830F16">
        <w:rPr>
          <w:rFonts w:eastAsia="DengXian"/>
          <w:lang w:val="en-CA"/>
        </w:rPr>
        <w:t xml:space="preserve">affected </w:t>
      </w:r>
      <w:r w:rsidR="00BE1B82" w:rsidRPr="00830F16">
        <w:rPr>
          <w:rFonts w:eastAsia="DengXian"/>
          <w:lang w:val="en-CA"/>
        </w:rPr>
        <w:t xml:space="preserve">the </w:t>
      </w:r>
      <w:proofErr w:type="spellStart"/>
      <w:r w:rsidRPr="00830F16">
        <w:rPr>
          <w:rFonts w:eastAsia="DengXian"/>
          <w:lang w:val="en-CA"/>
        </w:rPr>
        <w:t>ARPUs</w:t>
      </w:r>
      <w:proofErr w:type="spellEnd"/>
      <w:r w:rsidRPr="00830F16">
        <w:rPr>
          <w:rFonts w:eastAsia="DengXian"/>
          <w:lang w:val="en-CA"/>
        </w:rPr>
        <w:t>.</w:t>
      </w:r>
      <w:r w:rsidRPr="00830F16">
        <w:rPr>
          <w:rFonts w:eastAsia="DengXian"/>
          <w:vertAlign w:val="superscript"/>
          <w:lang w:val="en-CA"/>
        </w:rPr>
        <w:endnoteReference w:id="6"/>
      </w:r>
    </w:p>
    <w:p w14:paraId="3350E84C" w14:textId="77777777" w:rsidR="000B09AB" w:rsidRPr="00830F16" w:rsidRDefault="000B09AB" w:rsidP="000B09AB">
      <w:pPr>
        <w:jc w:val="both"/>
        <w:rPr>
          <w:rFonts w:eastAsia="DengXian"/>
          <w:b/>
          <w:sz w:val="22"/>
          <w:szCs w:val="22"/>
          <w:lang w:val="en-CA"/>
        </w:rPr>
      </w:pPr>
    </w:p>
    <w:p w14:paraId="41EC695A" w14:textId="77777777" w:rsidR="000B09AB" w:rsidRPr="00830F16" w:rsidRDefault="000B09AB" w:rsidP="000B09AB">
      <w:pPr>
        <w:jc w:val="both"/>
        <w:rPr>
          <w:rFonts w:eastAsia="DengXian"/>
          <w:b/>
          <w:sz w:val="22"/>
          <w:szCs w:val="22"/>
          <w:lang w:val="en-CA"/>
        </w:rPr>
      </w:pPr>
    </w:p>
    <w:p w14:paraId="62F26B54" w14:textId="77777777" w:rsidR="000B09AB" w:rsidRPr="00830F16" w:rsidRDefault="000B09AB" w:rsidP="000B09AB">
      <w:pPr>
        <w:pStyle w:val="Casehead2"/>
        <w:rPr>
          <w:rFonts w:eastAsia="DengXian"/>
          <w:lang w:val="en-CA"/>
        </w:rPr>
      </w:pPr>
      <w:r w:rsidRPr="00830F16">
        <w:rPr>
          <w:rFonts w:eastAsia="DengXian"/>
          <w:lang w:val="en-CA"/>
        </w:rPr>
        <w:t>Mobile</w:t>
      </w:r>
    </w:p>
    <w:p w14:paraId="090C56DA" w14:textId="77777777" w:rsidR="000B09AB" w:rsidRPr="00830F16" w:rsidRDefault="000B09AB" w:rsidP="000B09AB">
      <w:pPr>
        <w:jc w:val="both"/>
        <w:rPr>
          <w:rFonts w:eastAsia="DengXian"/>
          <w:sz w:val="22"/>
          <w:szCs w:val="22"/>
          <w:lang w:val="en-CA"/>
        </w:rPr>
      </w:pPr>
    </w:p>
    <w:p w14:paraId="396C9ACC" w14:textId="2AD6868B" w:rsidR="000B09AB" w:rsidRPr="00830F16" w:rsidRDefault="000B09AB" w:rsidP="000B09AB">
      <w:pPr>
        <w:pStyle w:val="BodyTextMain"/>
        <w:rPr>
          <w:rFonts w:eastAsia="DengXian"/>
          <w:lang w:val="en-CA"/>
        </w:rPr>
      </w:pPr>
      <w:r w:rsidRPr="00830F16">
        <w:rPr>
          <w:rFonts w:eastAsia="DengXian"/>
          <w:lang w:val="en-CA"/>
        </w:rPr>
        <w:t xml:space="preserve">SingTel </w:t>
      </w:r>
      <w:r w:rsidR="00BE1B82" w:rsidRPr="00830F16">
        <w:rPr>
          <w:rFonts w:eastAsia="DengXian"/>
          <w:lang w:val="en-CA"/>
        </w:rPr>
        <w:t>became</w:t>
      </w:r>
      <w:r w:rsidRPr="00830F16">
        <w:rPr>
          <w:rFonts w:eastAsia="DengXian"/>
          <w:lang w:val="en-CA"/>
        </w:rPr>
        <w:t xml:space="preserve"> the dominant operator in Singapore’s mobile market. In the fourth quarter of 2016, it enjoyed </w:t>
      </w:r>
      <w:r w:rsidR="00C60D6D" w:rsidRPr="00830F16">
        <w:rPr>
          <w:rFonts w:eastAsia="DengXian"/>
          <w:lang w:val="en-CA"/>
        </w:rPr>
        <w:t xml:space="preserve">a </w:t>
      </w:r>
      <w:r w:rsidRPr="00830F16">
        <w:rPr>
          <w:rFonts w:eastAsia="DengXian"/>
          <w:lang w:val="en-CA"/>
        </w:rPr>
        <w:t>48.6 per</w:t>
      </w:r>
      <w:r w:rsidR="00594BBB" w:rsidRPr="00830F16">
        <w:rPr>
          <w:rFonts w:eastAsia="DengXian"/>
          <w:lang w:val="en-CA"/>
        </w:rPr>
        <w:t xml:space="preserve"> </w:t>
      </w:r>
      <w:r w:rsidRPr="00830F16">
        <w:rPr>
          <w:rFonts w:eastAsia="DengXian"/>
          <w:lang w:val="en-CA"/>
        </w:rPr>
        <w:t xml:space="preserve">cent mobile market share, with </w:t>
      </w:r>
      <w:proofErr w:type="spellStart"/>
      <w:r w:rsidRPr="00830F16">
        <w:rPr>
          <w:rFonts w:eastAsia="DengXian"/>
          <w:lang w:val="en-CA"/>
        </w:rPr>
        <w:t>StarHub</w:t>
      </w:r>
      <w:proofErr w:type="spellEnd"/>
      <w:r w:rsidRPr="00830F16">
        <w:rPr>
          <w:rFonts w:eastAsia="DengXian"/>
          <w:lang w:val="en-CA"/>
        </w:rPr>
        <w:t xml:space="preserve"> at 27.4 per</w:t>
      </w:r>
      <w:r w:rsidR="00594BBB" w:rsidRPr="00830F16">
        <w:rPr>
          <w:rFonts w:eastAsia="DengXian"/>
          <w:lang w:val="en-CA"/>
        </w:rPr>
        <w:t xml:space="preserve"> </w:t>
      </w:r>
      <w:r w:rsidRPr="00830F16">
        <w:rPr>
          <w:rFonts w:eastAsia="DengXian"/>
          <w:lang w:val="en-CA"/>
        </w:rPr>
        <w:t>cent, and M1 at 24.0 per</w:t>
      </w:r>
      <w:r w:rsidR="00594BBB" w:rsidRPr="00830F16">
        <w:rPr>
          <w:rFonts w:eastAsia="DengXian"/>
          <w:lang w:val="en-CA"/>
        </w:rPr>
        <w:t xml:space="preserve"> </w:t>
      </w:r>
      <w:r w:rsidRPr="00830F16">
        <w:rPr>
          <w:rFonts w:eastAsia="DengXian"/>
          <w:lang w:val="en-CA"/>
        </w:rPr>
        <w:t>cent</w:t>
      </w:r>
      <w:r w:rsidR="00594BBB" w:rsidRPr="00830F16">
        <w:rPr>
          <w:rFonts w:eastAsia="DengXian"/>
          <w:lang w:val="en-CA"/>
        </w:rPr>
        <w:t>.</w:t>
      </w:r>
      <w:r w:rsidRPr="00830F16">
        <w:rPr>
          <w:rFonts w:eastAsia="DengXian"/>
          <w:vertAlign w:val="superscript"/>
          <w:lang w:val="en-CA"/>
        </w:rPr>
        <w:endnoteReference w:id="7"/>
      </w:r>
      <w:r w:rsidRPr="00830F16">
        <w:rPr>
          <w:rFonts w:eastAsia="DengXian"/>
          <w:lang w:val="en-CA"/>
        </w:rPr>
        <w:t xml:space="preserve"> </w:t>
      </w:r>
      <w:r w:rsidR="00594BBB" w:rsidRPr="00830F16">
        <w:rPr>
          <w:rFonts w:eastAsia="DengXian"/>
          <w:lang w:val="en-CA"/>
        </w:rPr>
        <w:t xml:space="preserve">Given its strong brand name and bundled service offerings, </w:t>
      </w:r>
      <w:r w:rsidRPr="00830F16">
        <w:rPr>
          <w:rFonts w:eastAsia="DengXian"/>
          <w:lang w:val="en-CA"/>
        </w:rPr>
        <w:t xml:space="preserve">SingTel’s dominance in </w:t>
      </w:r>
      <w:r w:rsidR="00594BBB" w:rsidRPr="00830F16">
        <w:rPr>
          <w:rFonts w:eastAsia="DengXian"/>
          <w:lang w:val="en-CA"/>
        </w:rPr>
        <w:t xml:space="preserve">the </w:t>
      </w:r>
      <w:r w:rsidRPr="00830F16">
        <w:rPr>
          <w:rFonts w:eastAsia="DengXian"/>
          <w:lang w:val="en-CA"/>
        </w:rPr>
        <w:t xml:space="preserve">market persisted, which made </w:t>
      </w:r>
      <w:r w:rsidR="00FF2D18" w:rsidRPr="00830F16">
        <w:rPr>
          <w:rFonts w:eastAsia="DengXian"/>
          <w:lang w:val="en-CA"/>
        </w:rPr>
        <w:t xml:space="preserve">it difficult to </w:t>
      </w:r>
      <w:r w:rsidR="008A7812" w:rsidRPr="00830F16">
        <w:rPr>
          <w:rFonts w:eastAsia="DengXian"/>
          <w:lang w:val="en-CA"/>
        </w:rPr>
        <w:t>unseat</w:t>
      </w:r>
      <w:r w:rsidR="00594BBB" w:rsidRPr="00830F16">
        <w:rPr>
          <w:rFonts w:eastAsia="DengXian"/>
          <w:lang w:val="en-CA"/>
        </w:rPr>
        <w:t xml:space="preserve"> </w:t>
      </w:r>
      <w:r w:rsidRPr="00830F16">
        <w:rPr>
          <w:rFonts w:eastAsia="DengXian"/>
          <w:lang w:val="en-CA"/>
        </w:rPr>
        <w:t xml:space="preserve">its leading position in the market. This </w:t>
      </w:r>
      <w:r w:rsidR="00FF2D18" w:rsidRPr="00830F16">
        <w:rPr>
          <w:rFonts w:eastAsia="DengXian"/>
          <w:lang w:val="en-CA"/>
        </w:rPr>
        <w:t xml:space="preserve">trend </w:t>
      </w:r>
      <w:r w:rsidRPr="00830F16">
        <w:rPr>
          <w:rFonts w:eastAsia="DengXian"/>
          <w:lang w:val="en-CA"/>
        </w:rPr>
        <w:t xml:space="preserve">was worrying for the other operators, as SingTel continued to expand its lead market share at their expense. Although market growth continued from advanced telecommunications services, all three operators reported decreasing minutes of </w:t>
      </w:r>
      <w:r w:rsidR="00523BD9" w:rsidRPr="00830F16">
        <w:rPr>
          <w:rFonts w:eastAsia="DengXian"/>
          <w:lang w:val="en-CA"/>
        </w:rPr>
        <w:t>use—</w:t>
      </w:r>
      <w:r w:rsidRPr="00830F16">
        <w:rPr>
          <w:rFonts w:eastAsia="DengXian"/>
          <w:lang w:val="en-CA"/>
        </w:rPr>
        <w:t>a trend largely attributed to falling voice usage due to an increasing use of social media and free messaging applications.</w:t>
      </w:r>
      <w:r w:rsidRPr="00830F16">
        <w:rPr>
          <w:rFonts w:eastAsia="DengXian"/>
          <w:vertAlign w:val="superscript"/>
          <w:lang w:val="en-CA"/>
        </w:rPr>
        <w:endnoteReference w:id="8"/>
      </w:r>
      <w:r w:rsidRPr="00830F16">
        <w:rPr>
          <w:rFonts w:eastAsia="DengXian"/>
          <w:lang w:val="en-CA"/>
        </w:rPr>
        <w:t xml:space="preserve"> </w:t>
      </w:r>
    </w:p>
    <w:p w14:paraId="167B6764" w14:textId="77777777" w:rsidR="000B09AB" w:rsidRPr="00830F16" w:rsidRDefault="000B09AB" w:rsidP="000B09AB">
      <w:pPr>
        <w:pStyle w:val="BodyTextMain"/>
        <w:rPr>
          <w:rFonts w:eastAsia="DengXian"/>
          <w:lang w:val="en-CA"/>
        </w:rPr>
      </w:pPr>
    </w:p>
    <w:p w14:paraId="173A34A8" w14:textId="09341184" w:rsidR="000B09AB" w:rsidRPr="00830F16" w:rsidRDefault="000B09AB" w:rsidP="000B09AB">
      <w:pPr>
        <w:pStyle w:val="BodyTextMain"/>
        <w:rPr>
          <w:rFonts w:eastAsia="DengXian"/>
          <w:lang w:val="en-CA"/>
        </w:rPr>
      </w:pPr>
      <w:r w:rsidRPr="00830F16">
        <w:rPr>
          <w:rFonts w:eastAsia="DengXian"/>
          <w:lang w:val="en-CA"/>
        </w:rPr>
        <w:t xml:space="preserve">The </w:t>
      </w:r>
      <w:proofErr w:type="spellStart"/>
      <w:r w:rsidRPr="00830F16">
        <w:rPr>
          <w:rFonts w:eastAsia="DengXian"/>
          <w:lang w:val="en-CA"/>
        </w:rPr>
        <w:t>telcos</w:t>
      </w:r>
      <w:proofErr w:type="spellEnd"/>
      <w:r w:rsidRPr="00830F16">
        <w:rPr>
          <w:rFonts w:eastAsia="DengXian"/>
          <w:lang w:val="en-CA"/>
        </w:rPr>
        <w:t xml:space="preserve"> also faced external threats from the growing popularity of OTT service providers, which resulted in revenue </w:t>
      </w:r>
      <w:proofErr w:type="gramStart"/>
      <w:r w:rsidRPr="00830F16">
        <w:rPr>
          <w:rFonts w:eastAsia="DengXian"/>
          <w:lang w:val="en-CA"/>
        </w:rPr>
        <w:t>being diverted</w:t>
      </w:r>
      <w:proofErr w:type="gramEnd"/>
      <w:r w:rsidRPr="00830F16">
        <w:rPr>
          <w:rFonts w:eastAsia="DengXian"/>
          <w:lang w:val="en-CA"/>
        </w:rPr>
        <w:t xml:space="preserve"> from mobile services. Traditional SMS and voice calls </w:t>
      </w:r>
      <w:proofErr w:type="gramStart"/>
      <w:r w:rsidRPr="00830F16">
        <w:rPr>
          <w:rFonts w:eastAsia="DengXian"/>
          <w:lang w:val="en-CA"/>
        </w:rPr>
        <w:t>were increasingly substituted</w:t>
      </w:r>
      <w:proofErr w:type="gramEnd"/>
      <w:r w:rsidRPr="00830F16">
        <w:rPr>
          <w:rFonts w:eastAsia="DengXian"/>
          <w:lang w:val="en-CA"/>
        </w:rPr>
        <w:t xml:space="preserve"> by alternatives such as </w:t>
      </w:r>
      <w:r w:rsidR="006E63F3">
        <w:rPr>
          <w:rFonts w:eastAsia="DengXian"/>
          <w:lang w:val="en-CA"/>
        </w:rPr>
        <w:t>WhatsApp, Inc. (</w:t>
      </w:r>
      <w:r w:rsidRPr="00830F16">
        <w:rPr>
          <w:rFonts w:eastAsia="DengXian"/>
          <w:lang w:val="en-CA"/>
        </w:rPr>
        <w:t>WhatsApp</w:t>
      </w:r>
      <w:r w:rsidR="006E63F3">
        <w:rPr>
          <w:rFonts w:eastAsia="DengXian"/>
          <w:lang w:val="en-CA"/>
        </w:rPr>
        <w:t>)</w:t>
      </w:r>
      <w:r w:rsidRPr="00830F16">
        <w:rPr>
          <w:rFonts w:eastAsia="DengXian"/>
          <w:lang w:val="en-CA"/>
        </w:rPr>
        <w:t xml:space="preserve">, </w:t>
      </w:r>
      <w:r w:rsidR="006E63F3">
        <w:rPr>
          <w:rFonts w:eastAsia="DengXian"/>
          <w:lang w:val="en-CA"/>
        </w:rPr>
        <w:t>Line Corporation’s application (app) Line (LINE)</w:t>
      </w:r>
      <w:r w:rsidR="00344B5A" w:rsidRPr="00830F16">
        <w:rPr>
          <w:rFonts w:eastAsia="DengXian"/>
          <w:lang w:val="en-CA"/>
        </w:rPr>
        <w:t>,</w:t>
      </w:r>
      <w:r w:rsidR="006E63F3">
        <w:rPr>
          <w:rFonts w:eastAsia="DengXian"/>
          <w:lang w:val="en-CA"/>
        </w:rPr>
        <w:t xml:space="preserve"> </w:t>
      </w:r>
      <w:proofErr w:type="spellStart"/>
      <w:r w:rsidR="006E63F3">
        <w:rPr>
          <w:rFonts w:eastAsia="DengXian"/>
          <w:lang w:val="en-CA"/>
        </w:rPr>
        <w:t>Tencent</w:t>
      </w:r>
      <w:proofErr w:type="spellEnd"/>
      <w:r w:rsidR="006E63F3">
        <w:rPr>
          <w:rFonts w:eastAsia="DengXian"/>
          <w:lang w:val="en-CA"/>
        </w:rPr>
        <w:t xml:space="preserve"> Holdings’ </w:t>
      </w:r>
      <w:r w:rsidRPr="00830F16">
        <w:rPr>
          <w:rFonts w:eastAsia="DengXian"/>
          <w:lang w:val="en-CA"/>
        </w:rPr>
        <w:t xml:space="preserve">WeChat, and </w:t>
      </w:r>
      <w:r w:rsidR="008A7812" w:rsidRPr="00830F16">
        <w:rPr>
          <w:rFonts w:eastAsia="DengXian"/>
          <w:lang w:val="en-CA"/>
        </w:rPr>
        <w:t xml:space="preserve">by </w:t>
      </w:r>
      <w:r w:rsidRPr="00830F16">
        <w:rPr>
          <w:rFonts w:eastAsia="DengXian"/>
          <w:lang w:val="en-CA"/>
        </w:rPr>
        <w:t>social media such as Facebook</w:t>
      </w:r>
      <w:r w:rsidR="006E63F3">
        <w:rPr>
          <w:rFonts w:eastAsia="DengXian"/>
          <w:lang w:val="en-CA"/>
        </w:rPr>
        <w:t>, Inc. (Facebook)</w:t>
      </w:r>
      <w:r w:rsidRPr="00830F16">
        <w:rPr>
          <w:rFonts w:eastAsia="DengXian"/>
          <w:lang w:val="en-CA"/>
        </w:rPr>
        <w:t xml:space="preserve"> and Twitter</w:t>
      </w:r>
      <w:r w:rsidR="006E63F3">
        <w:rPr>
          <w:rFonts w:eastAsia="DengXian"/>
          <w:lang w:val="en-CA"/>
        </w:rPr>
        <w:t>, Inc. (Twitter)</w:t>
      </w:r>
      <w:r w:rsidRPr="00830F16">
        <w:rPr>
          <w:rFonts w:eastAsia="DengXian"/>
          <w:lang w:val="en-CA"/>
        </w:rPr>
        <w:t xml:space="preserve">, </w:t>
      </w:r>
      <w:r w:rsidR="00344B5A" w:rsidRPr="00830F16">
        <w:rPr>
          <w:rFonts w:eastAsia="DengXian"/>
          <w:lang w:val="en-CA"/>
        </w:rPr>
        <w:t>all of which resulted</w:t>
      </w:r>
      <w:r w:rsidRPr="00830F16">
        <w:rPr>
          <w:rFonts w:eastAsia="DengXian"/>
          <w:lang w:val="en-CA"/>
        </w:rPr>
        <w:t xml:space="preserve"> in a significant decline of SMS usage (see Exhibit </w:t>
      </w:r>
      <w:r w:rsidR="004A2D51" w:rsidRPr="00830F16">
        <w:rPr>
          <w:rFonts w:eastAsia="DengXian"/>
          <w:lang w:val="en-CA"/>
        </w:rPr>
        <w:t>3</w:t>
      </w:r>
      <w:r w:rsidRPr="00830F16">
        <w:rPr>
          <w:rFonts w:eastAsia="DengXian"/>
          <w:lang w:val="en-CA"/>
        </w:rPr>
        <w:t>).</w:t>
      </w:r>
      <w:r w:rsidRPr="00830F16">
        <w:rPr>
          <w:rFonts w:eastAsia="DengXian"/>
          <w:b/>
          <w:lang w:val="en-CA"/>
        </w:rPr>
        <w:t xml:space="preserve"> </w:t>
      </w:r>
      <w:proofErr w:type="gramStart"/>
      <w:r w:rsidRPr="00830F16">
        <w:rPr>
          <w:rFonts w:eastAsia="DengXian"/>
          <w:lang w:val="en-CA"/>
        </w:rPr>
        <w:t>To partly offset</w:t>
      </w:r>
      <w:proofErr w:type="gramEnd"/>
      <w:r w:rsidRPr="00830F16">
        <w:rPr>
          <w:rFonts w:eastAsia="DengXian"/>
          <w:lang w:val="en-CA"/>
        </w:rPr>
        <w:t xml:space="preserve"> the threat from OTT players and price competition, SingTel offer</w:t>
      </w:r>
      <w:r w:rsidR="00D3338B" w:rsidRPr="00830F16">
        <w:rPr>
          <w:rFonts w:eastAsia="DengXian"/>
          <w:lang w:val="en-CA"/>
        </w:rPr>
        <w:t>ed</w:t>
      </w:r>
      <w:r w:rsidRPr="00830F16">
        <w:rPr>
          <w:rFonts w:eastAsia="DengXian"/>
          <w:lang w:val="en-CA"/>
        </w:rPr>
        <w:t xml:space="preserve"> unlimited usage of services from Facebook, WhatsApp, L</w:t>
      </w:r>
      <w:r w:rsidR="006E63F3">
        <w:rPr>
          <w:rFonts w:eastAsia="DengXian"/>
          <w:lang w:val="en-CA"/>
        </w:rPr>
        <w:t>INE</w:t>
      </w:r>
      <w:r w:rsidRPr="00830F16">
        <w:rPr>
          <w:rFonts w:eastAsia="DengXian"/>
          <w:lang w:val="en-CA"/>
        </w:rPr>
        <w:t>, WeChat</w:t>
      </w:r>
      <w:r w:rsidR="00344B5A" w:rsidRPr="00830F16">
        <w:rPr>
          <w:rFonts w:eastAsia="DengXian"/>
          <w:lang w:val="en-CA"/>
        </w:rPr>
        <w:t>,</w:t>
      </w:r>
      <w:r w:rsidRPr="00830F16">
        <w:rPr>
          <w:rFonts w:eastAsia="DengXian"/>
          <w:lang w:val="en-CA"/>
        </w:rPr>
        <w:t xml:space="preserve"> and </w:t>
      </w:r>
      <w:r w:rsidR="006E63F3">
        <w:rPr>
          <w:rFonts w:eastAsia="DengXian"/>
          <w:lang w:val="en-CA"/>
        </w:rPr>
        <w:t xml:space="preserve">Opera Software AS’s </w:t>
      </w:r>
      <w:r w:rsidRPr="00830F16">
        <w:rPr>
          <w:rFonts w:eastAsia="DengXian"/>
          <w:lang w:val="en-CA"/>
        </w:rPr>
        <w:t>Opera Mini with</w:t>
      </w:r>
      <w:r w:rsidR="00C60D6D" w:rsidRPr="00830F16">
        <w:rPr>
          <w:rFonts w:eastAsia="DengXian"/>
          <w:lang w:val="en-CA"/>
        </w:rPr>
        <w:t xml:space="preserve"> no</w:t>
      </w:r>
      <w:r w:rsidRPr="00830F16">
        <w:rPr>
          <w:rFonts w:eastAsia="DengXian"/>
          <w:lang w:val="en-CA"/>
        </w:rPr>
        <w:t xml:space="preserve"> additional charges, while </w:t>
      </w:r>
      <w:proofErr w:type="spellStart"/>
      <w:r w:rsidRPr="00830F16">
        <w:rPr>
          <w:rFonts w:eastAsia="DengXian"/>
          <w:lang w:val="en-CA"/>
        </w:rPr>
        <w:t>StarHub</w:t>
      </w:r>
      <w:proofErr w:type="spellEnd"/>
      <w:r w:rsidRPr="00830F16">
        <w:rPr>
          <w:rFonts w:eastAsia="DengXian"/>
          <w:lang w:val="en-CA"/>
        </w:rPr>
        <w:t xml:space="preserve"> included WeChat and </w:t>
      </w:r>
      <w:r w:rsidR="006E63F3">
        <w:rPr>
          <w:rFonts w:eastAsia="DengXian"/>
          <w:lang w:val="en-CA"/>
        </w:rPr>
        <w:t>LINE</w:t>
      </w:r>
      <w:r w:rsidRPr="00830F16">
        <w:rPr>
          <w:rFonts w:eastAsia="DengXian"/>
          <w:lang w:val="en-CA"/>
        </w:rPr>
        <w:t xml:space="preserve"> social plans to its products. In 2014, </w:t>
      </w:r>
      <w:proofErr w:type="spellStart"/>
      <w:r w:rsidRPr="00830F16">
        <w:rPr>
          <w:rFonts w:eastAsia="DengXian"/>
          <w:lang w:val="en-CA"/>
        </w:rPr>
        <w:t>StarHub</w:t>
      </w:r>
      <w:proofErr w:type="spellEnd"/>
      <w:r w:rsidRPr="00830F16">
        <w:rPr>
          <w:rFonts w:eastAsia="DengXian"/>
          <w:lang w:val="en-CA"/>
        </w:rPr>
        <w:t xml:space="preserve"> also launched its Rich Communications Services</w:t>
      </w:r>
      <w:r w:rsidR="00C07939" w:rsidRPr="00830F16">
        <w:rPr>
          <w:rFonts w:eastAsia="DengXian"/>
          <w:lang w:val="en-CA"/>
        </w:rPr>
        <w:t xml:space="preserve">, </w:t>
      </w:r>
      <w:r w:rsidRPr="00830F16">
        <w:rPr>
          <w:rFonts w:eastAsia="DengXian"/>
          <w:lang w:val="en-CA"/>
        </w:rPr>
        <w:t>an all-in-one app that allowed its users to SMS, instant message, make calls</w:t>
      </w:r>
      <w:r w:rsidR="00344B5A" w:rsidRPr="00830F16">
        <w:rPr>
          <w:rFonts w:eastAsia="DengXian"/>
          <w:lang w:val="en-CA"/>
        </w:rPr>
        <w:t>,</w:t>
      </w:r>
      <w:r w:rsidRPr="00830F16">
        <w:rPr>
          <w:rFonts w:eastAsia="DengXian"/>
          <w:lang w:val="en-CA"/>
        </w:rPr>
        <w:t xml:space="preserve"> and </w:t>
      </w:r>
      <w:r w:rsidR="00563B8C" w:rsidRPr="00830F16">
        <w:rPr>
          <w:rFonts w:eastAsia="DengXian"/>
          <w:lang w:val="en-CA"/>
        </w:rPr>
        <w:t xml:space="preserve">easily </w:t>
      </w:r>
      <w:r w:rsidRPr="00830F16">
        <w:rPr>
          <w:rFonts w:eastAsia="DengXian"/>
          <w:lang w:val="en-CA"/>
        </w:rPr>
        <w:t xml:space="preserve">share multimedia. </w:t>
      </w:r>
    </w:p>
    <w:p w14:paraId="2F02D5E4" w14:textId="77777777" w:rsidR="000B09AB" w:rsidRPr="00830F16" w:rsidRDefault="000B09AB" w:rsidP="000B09AB">
      <w:pPr>
        <w:jc w:val="both"/>
        <w:rPr>
          <w:rFonts w:eastAsia="DengXian"/>
          <w:sz w:val="22"/>
          <w:szCs w:val="22"/>
          <w:lang w:val="en-CA"/>
        </w:rPr>
      </w:pPr>
    </w:p>
    <w:p w14:paraId="70B4D27F" w14:textId="77777777" w:rsidR="000B09AB" w:rsidRPr="00830F16" w:rsidRDefault="000B09AB" w:rsidP="000B09AB">
      <w:pPr>
        <w:jc w:val="both"/>
        <w:rPr>
          <w:rFonts w:eastAsia="DengXian"/>
          <w:sz w:val="22"/>
          <w:szCs w:val="22"/>
          <w:lang w:val="en-CA"/>
        </w:rPr>
      </w:pPr>
    </w:p>
    <w:p w14:paraId="1AD462E6" w14:textId="5EDBEEE0" w:rsidR="000B09AB" w:rsidRPr="00830F16" w:rsidRDefault="000B09AB" w:rsidP="006E63F3">
      <w:pPr>
        <w:pStyle w:val="Casehead2"/>
        <w:keepNext/>
        <w:rPr>
          <w:rFonts w:eastAsia="DengXian"/>
          <w:lang w:val="en-CA"/>
        </w:rPr>
      </w:pPr>
      <w:r w:rsidRPr="00830F16">
        <w:rPr>
          <w:rFonts w:eastAsia="DengXian"/>
          <w:lang w:val="en-CA"/>
        </w:rPr>
        <w:t xml:space="preserve">Broadband </w:t>
      </w:r>
      <w:r w:rsidR="00EB6D9C" w:rsidRPr="00830F16">
        <w:rPr>
          <w:rFonts w:eastAsia="DengXian"/>
          <w:lang w:val="en-CA"/>
        </w:rPr>
        <w:t>S</w:t>
      </w:r>
      <w:r w:rsidRPr="00830F16">
        <w:rPr>
          <w:rFonts w:eastAsia="DengXian"/>
          <w:lang w:val="en-CA"/>
        </w:rPr>
        <w:t>ervices</w:t>
      </w:r>
    </w:p>
    <w:p w14:paraId="60E2C794" w14:textId="77777777" w:rsidR="000B09AB" w:rsidRPr="00830F16" w:rsidRDefault="000B09AB" w:rsidP="006E63F3">
      <w:pPr>
        <w:keepNext/>
        <w:jc w:val="both"/>
        <w:rPr>
          <w:rFonts w:eastAsia="DengXian"/>
          <w:sz w:val="22"/>
          <w:szCs w:val="22"/>
          <w:lang w:val="en-CA"/>
        </w:rPr>
      </w:pPr>
    </w:p>
    <w:p w14:paraId="770F512E" w14:textId="36EB8A77" w:rsidR="000B09AB" w:rsidRPr="00D22AEC" w:rsidRDefault="000B09AB" w:rsidP="006E63F3">
      <w:pPr>
        <w:pStyle w:val="BodyTextMain"/>
        <w:keepNext/>
        <w:rPr>
          <w:rFonts w:eastAsia="DengXian"/>
          <w:spacing w:val="-4"/>
          <w:lang w:val="en-CA"/>
        </w:rPr>
      </w:pPr>
      <w:r w:rsidRPr="00830F16">
        <w:rPr>
          <w:rFonts w:eastAsia="DengXian"/>
          <w:lang w:val="en-CA"/>
        </w:rPr>
        <w:lastRenderedPageBreak/>
        <w:t>Singapore had the second</w:t>
      </w:r>
      <w:r w:rsidR="008A7812" w:rsidRPr="00830F16">
        <w:rPr>
          <w:rFonts w:eastAsia="DengXian"/>
          <w:lang w:val="en-CA"/>
        </w:rPr>
        <w:t>-</w:t>
      </w:r>
      <w:r w:rsidRPr="00830F16">
        <w:rPr>
          <w:rFonts w:eastAsia="DengXian"/>
          <w:lang w:val="en-CA"/>
        </w:rPr>
        <w:t xml:space="preserve">highest broadband penetration in </w:t>
      </w:r>
      <w:r w:rsidR="004C4DB5" w:rsidRPr="00830F16">
        <w:rPr>
          <w:rFonts w:eastAsia="DengXian"/>
          <w:lang w:val="en-CA"/>
        </w:rPr>
        <w:t>Southeast Asia</w:t>
      </w:r>
      <w:r w:rsidRPr="00830F16">
        <w:rPr>
          <w:rFonts w:eastAsia="DengXian"/>
          <w:lang w:val="en-CA"/>
        </w:rPr>
        <w:t>. By the end of the first quarter of 2016, the</w:t>
      </w:r>
      <w:r w:rsidR="00060028" w:rsidRPr="00830F16">
        <w:rPr>
          <w:rFonts w:eastAsia="DengXian"/>
          <w:lang w:val="en-CA"/>
        </w:rPr>
        <w:t xml:space="preserve"> city-state had</w:t>
      </w:r>
      <w:r w:rsidRPr="00830F16">
        <w:rPr>
          <w:rFonts w:eastAsia="DengXian"/>
          <w:lang w:val="en-CA"/>
        </w:rPr>
        <w:t xml:space="preserve"> 11.992 million broadband subscriptions, averaging two subscriptions per </w:t>
      </w:r>
      <w:r w:rsidRPr="00D22AEC">
        <w:rPr>
          <w:rFonts w:eastAsia="DengXian"/>
          <w:spacing w:val="-4"/>
          <w:lang w:val="en-CA"/>
        </w:rPr>
        <w:t>person.</w:t>
      </w:r>
      <w:r w:rsidRPr="00D22AEC">
        <w:rPr>
          <w:rFonts w:eastAsia="DengXian"/>
          <w:spacing w:val="-4"/>
          <w:vertAlign w:val="superscript"/>
          <w:lang w:val="en-CA"/>
        </w:rPr>
        <w:endnoteReference w:id="9"/>
      </w:r>
      <w:r w:rsidRPr="00D22AEC">
        <w:rPr>
          <w:rFonts w:eastAsia="DengXian"/>
          <w:spacing w:val="-4"/>
          <w:lang w:val="en-CA"/>
        </w:rPr>
        <w:t xml:space="preserve"> The 221 per</w:t>
      </w:r>
      <w:r w:rsidR="00EB6D9C" w:rsidRPr="00D22AEC">
        <w:rPr>
          <w:rFonts w:eastAsia="DengXian"/>
          <w:spacing w:val="-4"/>
          <w:lang w:val="en-CA"/>
        </w:rPr>
        <w:t xml:space="preserve"> </w:t>
      </w:r>
      <w:r w:rsidRPr="00D22AEC">
        <w:rPr>
          <w:rFonts w:eastAsia="DengXian"/>
          <w:spacing w:val="-4"/>
          <w:lang w:val="en-CA"/>
        </w:rPr>
        <w:t xml:space="preserve">cent broadband penetration rate suggested that Singapore’s broadband market was rapidly approaching saturation. According to the industry watchdog, the </w:t>
      </w:r>
      <w:r w:rsidR="00446476" w:rsidRPr="00D22AEC">
        <w:rPr>
          <w:rFonts w:eastAsia="DengXian"/>
          <w:spacing w:val="-4"/>
          <w:lang w:val="en-CA"/>
        </w:rPr>
        <w:t>Info-communications (</w:t>
      </w:r>
      <w:proofErr w:type="spellStart"/>
      <w:r w:rsidRPr="00D22AEC">
        <w:rPr>
          <w:rFonts w:eastAsia="DengXian"/>
          <w:spacing w:val="-4"/>
          <w:lang w:val="en-CA"/>
        </w:rPr>
        <w:t>Infocomm</w:t>
      </w:r>
      <w:proofErr w:type="spellEnd"/>
      <w:r w:rsidR="00446476" w:rsidRPr="00D22AEC">
        <w:rPr>
          <w:rFonts w:eastAsia="DengXian"/>
          <w:spacing w:val="-4"/>
          <w:lang w:val="en-CA"/>
        </w:rPr>
        <w:t>)</w:t>
      </w:r>
      <w:r w:rsidRPr="00D22AEC">
        <w:rPr>
          <w:rFonts w:eastAsia="DengXian"/>
          <w:spacing w:val="-4"/>
          <w:lang w:val="en-CA"/>
        </w:rPr>
        <w:t xml:space="preserve"> Media Development Authority </w:t>
      </w:r>
      <w:r w:rsidR="0080385D" w:rsidRPr="00D22AEC">
        <w:rPr>
          <w:rFonts w:eastAsia="DengXian"/>
          <w:spacing w:val="-4"/>
          <w:lang w:val="en-CA"/>
        </w:rPr>
        <w:t>(</w:t>
      </w:r>
      <w:proofErr w:type="spellStart"/>
      <w:r w:rsidR="0080385D" w:rsidRPr="00D22AEC">
        <w:rPr>
          <w:rFonts w:eastAsia="DengXian"/>
          <w:spacing w:val="-4"/>
          <w:lang w:val="en-CA"/>
        </w:rPr>
        <w:t>IMDA</w:t>
      </w:r>
      <w:proofErr w:type="spellEnd"/>
      <w:r w:rsidR="0080385D" w:rsidRPr="00D22AEC">
        <w:rPr>
          <w:rFonts w:eastAsia="DengXian"/>
          <w:spacing w:val="-4"/>
          <w:lang w:val="en-CA"/>
        </w:rPr>
        <w:t xml:space="preserve">) </w:t>
      </w:r>
      <w:r w:rsidRPr="00D22AEC">
        <w:rPr>
          <w:rFonts w:eastAsia="DengXian"/>
          <w:spacing w:val="-4"/>
          <w:lang w:val="en-CA"/>
        </w:rPr>
        <w:t>of Singapore, the number of fixed-line subscribers total</w:t>
      </w:r>
      <w:r w:rsidR="008A7812" w:rsidRPr="00D22AEC">
        <w:rPr>
          <w:rFonts w:eastAsia="DengXian"/>
          <w:spacing w:val="-4"/>
          <w:lang w:val="en-CA"/>
        </w:rPr>
        <w:t>l</w:t>
      </w:r>
      <w:r w:rsidRPr="00D22AEC">
        <w:rPr>
          <w:rFonts w:eastAsia="DengXian"/>
          <w:spacing w:val="-4"/>
          <w:lang w:val="en-CA"/>
        </w:rPr>
        <w:t>ed 2.02 million in December 2015</w:t>
      </w:r>
      <w:r w:rsidR="008A7812" w:rsidRPr="00D22AEC">
        <w:rPr>
          <w:rFonts w:eastAsia="DengXian"/>
          <w:spacing w:val="-4"/>
          <w:lang w:val="en-CA"/>
        </w:rPr>
        <w:t>,</w:t>
      </w:r>
      <w:r w:rsidR="00A85F60" w:rsidRPr="00D22AEC">
        <w:rPr>
          <w:rFonts w:eastAsia="DengXian"/>
          <w:spacing w:val="-4"/>
          <w:lang w:val="en-CA"/>
        </w:rPr>
        <w:t xml:space="preserve"> </w:t>
      </w:r>
      <w:r w:rsidRPr="00D22AEC">
        <w:rPr>
          <w:rFonts w:eastAsia="DengXian"/>
          <w:spacing w:val="-4"/>
          <w:lang w:val="en-CA"/>
        </w:rPr>
        <w:t>a mere 1.2 per</w:t>
      </w:r>
      <w:r w:rsidR="00A85F60" w:rsidRPr="00D22AEC">
        <w:rPr>
          <w:rFonts w:eastAsia="DengXian"/>
          <w:spacing w:val="-4"/>
          <w:lang w:val="en-CA"/>
        </w:rPr>
        <w:t xml:space="preserve"> </w:t>
      </w:r>
      <w:r w:rsidRPr="00D22AEC">
        <w:rPr>
          <w:rFonts w:eastAsia="DengXian"/>
          <w:spacing w:val="-4"/>
          <w:lang w:val="en-CA"/>
        </w:rPr>
        <w:t>cent increase from 2014.</w:t>
      </w:r>
      <w:r w:rsidR="00FF12D4" w:rsidRPr="00D22AEC">
        <w:rPr>
          <w:rFonts w:eastAsia="DengXian"/>
          <w:spacing w:val="-4"/>
          <w:vertAlign w:val="superscript"/>
          <w:lang w:val="en-CA"/>
        </w:rPr>
        <w:endnoteReference w:id="10"/>
      </w:r>
      <w:r w:rsidRPr="00D22AEC">
        <w:rPr>
          <w:rFonts w:eastAsia="DengXian"/>
          <w:spacing w:val="-4"/>
          <w:lang w:val="en-CA"/>
        </w:rPr>
        <w:t xml:space="preserve"> </w:t>
      </w:r>
      <w:r w:rsidR="008A7812" w:rsidRPr="00D22AEC">
        <w:rPr>
          <w:rFonts w:eastAsia="DengXian"/>
          <w:spacing w:val="-4"/>
          <w:lang w:val="en-CA"/>
        </w:rPr>
        <w:t xml:space="preserve">The </w:t>
      </w:r>
      <w:proofErr w:type="spellStart"/>
      <w:r w:rsidR="008A7812" w:rsidRPr="00D22AEC">
        <w:rPr>
          <w:rFonts w:eastAsia="DengXian"/>
          <w:spacing w:val="-4"/>
          <w:lang w:val="en-CA"/>
        </w:rPr>
        <w:t>IMDA</w:t>
      </w:r>
      <w:proofErr w:type="spellEnd"/>
      <w:r w:rsidR="008A7812" w:rsidRPr="00D22AEC">
        <w:rPr>
          <w:rFonts w:eastAsia="DengXian"/>
          <w:spacing w:val="-4"/>
          <w:lang w:val="en-CA"/>
        </w:rPr>
        <w:t xml:space="preserve"> </w:t>
      </w:r>
      <w:r w:rsidRPr="00D22AEC">
        <w:rPr>
          <w:rFonts w:eastAsia="DengXian"/>
          <w:spacing w:val="-4"/>
          <w:lang w:val="en-CA"/>
        </w:rPr>
        <w:t xml:space="preserve">also reported a sustained decline for fixed-line services after reaching </w:t>
      </w:r>
      <w:r w:rsidR="00060028" w:rsidRPr="00D22AEC">
        <w:rPr>
          <w:rFonts w:eastAsia="DengXian"/>
          <w:spacing w:val="-4"/>
          <w:lang w:val="en-CA"/>
        </w:rPr>
        <w:t>a</w:t>
      </w:r>
      <w:r w:rsidRPr="00D22AEC">
        <w:rPr>
          <w:rFonts w:eastAsia="DengXian"/>
          <w:spacing w:val="-4"/>
          <w:lang w:val="en-CA"/>
        </w:rPr>
        <w:t xml:space="preserve"> peak of 2.017 million subscribers since the second quarter of 2012. SingTel, </w:t>
      </w:r>
      <w:proofErr w:type="spellStart"/>
      <w:r w:rsidRPr="00D22AEC">
        <w:rPr>
          <w:rFonts w:eastAsia="DengXian"/>
          <w:spacing w:val="-4"/>
          <w:lang w:val="en-CA"/>
        </w:rPr>
        <w:t>StarHub</w:t>
      </w:r>
      <w:proofErr w:type="spellEnd"/>
      <w:r w:rsidR="00EB6D9C" w:rsidRPr="00D22AEC">
        <w:rPr>
          <w:rFonts w:eastAsia="DengXian"/>
          <w:spacing w:val="-4"/>
          <w:lang w:val="en-CA"/>
        </w:rPr>
        <w:t>,</w:t>
      </w:r>
      <w:r w:rsidRPr="00D22AEC">
        <w:rPr>
          <w:rFonts w:eastAsia="DengXian"/>
          <w:spacing w:val="-4"/>
          <w:lang w:val="en-CA"/>
        </w:rPr>
        <w:t xml:space="preserve"> and M1 had dominated the broadband market</w:t>
      </w:r>
      <w:r w:rsidR="00AC4151" w:rsidRPr="00D22AEC">
        <w:rPr>
          <w:rFonts w:eastAsia="DengXian"/>
          <w:spacing w:val="-4"/>
          <w:lang w:val="en-CA"/>
        </w:rPr>
        <w:t xml:space="preserve"> until 2010, when t</w:t>
      </w:r>
      <w:r w:rsidRPr="00D22AEC">
        <w:rPr>
          <w:rFonts w:eastAsia="DengXian"/>
          <w:spacing w:val="-4"/>
          <w:lang w:val="en-CA"/>
        </w:rPr>
        <w:t>he emergence of new fib</w:t>
      </w:r>
      <w:r w:rsidR="00677E6D" w:rsidRPr="00D22AEC">
        <w:rPr>
          <w:rFonts w:eastAsia="DengXian"/>
          <w:spacing w:val="-4"/>
          <w:lang w:val="en-CA"/>
        </w:rPr>
        <w:t>re</w:t>
      </w:r>
      <w:r w:rsidRPr="00D22AEC">
        <w:rPr>
          <w:rFonts w:eastAsia="DengXian"/>
          <w:spacing w:val="-4"/>
          <w:lang w:val="en-CA"/>
        </w:rPr>
        <w:t xml:space="preserve"> broadband entrants such as </w:t>
      </w:r>
      <w:proofErr w:type="spellStart"/>
      <w:r w:rsidRPr="00D22AEC">
        <w:rPr>
          <w:rFonts w:eastAsia="DengXian"/>
          <w:spacing w:val="-4"/>
          <w:lang w:val="en-CA"/>
        </w:rPr>
        <w:t>MyRepublic</w:t>
      </w:r>
      <w:proofErr w:type="spellEnd"/>
      <w:r w:rsidRPr="00D22AEC">
        <w:rPr>
          <w:rFonts w:eastAsia="DengXian"/>
          <w:spacing w:val="-4"/>
          <w:lang w:val="en-CA"/>
        </w:rPr>
        <w:t xml:space="preserve"> and </w:t>
      </w:r>
      <w:proofErr w:type="spellStart"/>
      <w:r w:rsidRPr="00D22AEC">
        <w:rPr>
          <w:rFonts w:eastAsia="DengXian"/>
          <w:spacing w:val="-4"/>
          <w:lang w:val="en-CA"/>
        </w:rPr>
        <w:t>ViewQwest</w:t>
      </w:r>
      <w:proofErr w:type="spellEnd"/>
      <w:r w:rsidR="00963DE8">
        <w:rPr>
          <w:rFonts w:eastAsia="DengXian"/>
          <w:spacing w:val="-4"/>
          <w:lang w:val="en-CA"/>
        </w:rPr>
        <w:t xml:space="preserve"> Pvt. Ltd. (</w:t>
      </w:r>
      <w:proofErr w:type="spellStart"/>
      <w:r w:rsidR="00963DE8">
        <w:rPr>
          <w:rFonts w:eastAsia="DengXian"/>
          <w:spacing w:val="-4"/>
          <w:lang w:val="en-CA"/>
        </w:rPr>
        <w:t>ViewQwest</w:t>
      </w:r>
      <w:proofErr w:type="spellEnd"/>
      <w:r w:rsidR="00963DE8">
        <w:rPr>
          <w:rFonts w:eastAsia="DengXian"/>
          <w:spacing w:val="-4"/>
          <w:lang w:val="en-CA"/>
        </w:rPr>
        <w:t>)</w:t>
      </w:r>
      <w:r w:rsidR="00060028" w:rsidRPr="00D22AEC">
        <w:rPr>
          <w:rFonts w:eastAsia="DengXian"/>
          <w:spacing w:val="-4"/>
          <w:lang w:val="en-CA"/>
        </w:rPr>
        <w:t>,</w:t>
      </w:r>
      <w:r w:rsidRPr="00D22AEC">
        <w:rPr>
          <w:rFonts w:eastAsia="DengXian"/>
          <w:spacing w:val="-4"/>
          <w:lang w:val="en-CA"/>
        </w:rPr>
        <w:t xml:space="preserve"> in 2011 and 2012</w:t>
      </w:r>
      <w:r w:rsidR="00C07939" w:rsidRPr="00D22AEC">
        <w:rPr>
          <w:rFonts w:eastAsia="DengXian"/>
          <w:spacing w:val="-4"/>
          <w:lang w:val="en-CA"/>
        </w:rPr>
        <w:t>,</w:t>
      </w:r>
      <w:r w:rsidRPr="00D22AEC">
        <w:rPr>
          <w:rFonts w:eastAsia="DengXian"/>
          <w:spacing w:val="-4"/>
          <w:lang w:val="en-CA"/>
        </w:rPr>
        <w:t xml:space="preserve"> respectively</w:t>
      </w:r>
      <w:r w:rsidR="00060028" w:rsidRPr="00D22AEC">
        <w:rPr>
          <w:rFonts w:eastAsia="DengXian"/>
          <w:spacing w:val="-4"/>
          <w:lang w:val="en-CA"/>
        </w:rPr>
        <w:t>,</w:t>
      </w:r>
      <w:r w:rsidRPr="00D22AEC">
        <w:rPr>
          <w:rFonts w:eastAsia="DengXian"/>
          <w:spacing w:val="-4"/>
          <w:lang w:val="en-CA"/>
        </w:rPr>
        <w:t xml:space="preserve"> intensified competition and paved the way for price wars. </w:t>
      </w:r>
      <w:r w:rsidR="00A9118F" w:rsidRPr="00D22AEC">
        <w:rPr>
          <w:rFonts w:eastAsia="DengXian"/>
          <w:spacing w:val="-4"/>
          <w:lang w:val="en-CA"/>
        </w:rPr>
        <w:t xml:space="preserve">In 2012, </w:t>
      </w:r>
      <w:proofErr w:type="spellStart"/>
      <w:r w:rsidRPr="00D22AEC">
        <w:rPr>
          <w:rFonts w:eastAsia="DengXian"/>
          <w:spacing w:val="-4"/>
          <w:lang w:val="en-CA"/>
        </w:rPr>
        <w:t>StarHub’s</w:t>
      </w:r>
      <w:proofErr w:type="spellEnd"/>
      <w:r w:rsidRPr="00D22AEC">
        <w:rPr>
          <w:rFonts w:eastAsia="DengXian"/>
          <w:spacing w:val="-4"/>
          <w:lang w:val="en-CA"/>
        </w:rPr>
        <w:t xml:space="preserve"> broadband services recorded a </w:t>
      </w:r>
      <w:r w:rsidR="008A7812" w:rsidRPr="00D22AEC">
        <w:rPr>
          <w:rFonts w:eastAsia="DengXian"/>
          <w:spacing w:val="-4"/>
          <w:lang w:val="en-CA"/>
        </w:rPr>
        <w:t xml:space="preserve">1 </w:t>
      </w:r>
      <w:r w:rsidRPr="00D22AEC">
        <w:rPr>
          <w:rFonts w:eastAsia="DengXian"/>
          <w:spacing w:val="-4"/>
          <w:lang w:val="en-CA"/>
        </w:rPr>
        <w:t>per</w:t>
      </w:r>
      <w:r w:rsidR="008A7812" w:rsidRPr="00D22AEC">
        <w:rPr>
          <w:rFonts w:eastAsia="DengXian"/>
          <w:spacing w:val="-4"/>
          <w:lang w:val="en-CA"/>
        </w:rPr>
        <w:t xml:space="preserve"> </w:t>
      </w:r>
      <w:r w:rsidRPr="00D22AEC">
        <w:rPr>
          <w:rFonts w:eastAsia="DengXian"/>
          <w:spacing w:val="-4"/>
          <w:lang w:val="en-CA"/>
        </w:rPr>
        <w:t>cent fall in its subscribers</w:t>
      </w:r>
      <w:r w:rsidR="00A9118F" w:rsidRPr="00D22AEC">
        <w:rPr>
          <w:rFonts w:eastAsia="DengXian"/>
          <w:spacing w:val="-4"/>
          <w:lang w:val="en-CA"/>
        </w:rPr>
        <w:t xml:space="preserve"> since 2011</w:t>
      </w:r>
      <w:r w:rsidR="00A85F60" w:rsidRPr="00D22AEC">
        <w:rPr>
          <w:rFonts w:eastAsia="DengXian"/>
          <w:spacing w:val="-4"/>
          <w:lang w:val="en-CA"/>
        </w:rPr>
        <w:t>,</w:t>
      </w:r>
      <w:r w:rsidRPr="00D22AEC">
        <w:rPr>
          <w:rFonts w:eastAsia="DengXian"/>
          <w:spacing w:val="-4"/>
          <w:lang w:val="en-CA"/>
        </w:rPr>
        <w:t xml:space="preserve"> while SingTel maintained the upper hand with a </w:t>
      </w:r>
      <w:r w:rsidR="008A7812" w:rsidRPr="00D22AEC">
        <w:rPr>
          <w:rFonts w:eastAsia="DengXian"/>
          <w:spacing w:val="-4"/>
          <w:lang w:val="en-CA"/>
        </w:rPr>
        <w:t xml:space="preserve">2 </w:t>
      </w:r>
      <w:r w:rsidRPr="00D22AEC">
        <w:rPr>
          <w:rFonts w:eastAsia="DengXian"/>
          <w:spacing w:val="-4"/>
          <w:lang w:val="en-CA"/>
        </w:rPr>
        <w:t>per</w:t>
      </w:r>
      <w:r w:rsidR="008A7812" w:rsidRPr="00D22AEC">
        <w:rPr>
          <w:rFonts w:eastAsia="DengXian"/>
          <w:spacing w:val="-4"/>
          <w:lang w:val="en-CA"/>
        </w:rPr>
        <w:t xml:space="preserve"> </w:t>
      </w:r>
      <w:r w:rsidRPr="00D22AEC">
        <w:rPr>
          <w:rFonts w:eastAsia="DengXian"/>
          <w:spacing w:val="-4"/>
          <w:lang w:val="en-CA"/>
        </w:rPr>
        <w:t>cent increase in subscribers in 2012.</w:t>
      </w:r>
      <w:r w:rsidRPr="00D22AEC">
        <w:rPr>
          <w:rFonts w:eastAsia="DengXian"/>
          <w:spacing w:val="-4"/>
          <w:vertAlign w:val="superscript"/>
          <w:lang w:val="en-CA"/>
        </w:rPr>
        <w:endnoteReference w:id="11"/>
      </w:r>
      <w:r w:rsidRPr="00D22AEC">
        <w:rPr>
          <w:rFonts w:eastAsia="DengXian"/>
          <w:spacing w:val="-4"/>
          <w:lang w:val="en-CA"/>
        </w:rPr>
        <w:t xml:space="preserve"> </w:t>
      </w:r>
    </w:p>
    <w:p w14:paraId="21AA3871" w14:textId="77777777" w:rsidR="000B09AB" w:rsidRPr="00D22AEC" w:rsidRDefault="000B09AB" w:rsidP="000B09AB">
      <w:pPr>
        <w:pStyle w:val="BodyTextMain"/>
        <w:rPr>
          <w:rFonts w:eastAsia="DengXian"/>
          <w:spacing w:val="-4"/>
          <w:lang w:val="en-CA"/>
        </w:rPr>
      </w:pPr>
    </w:p>
    <w:p w14:paraId="1A43FBBA" w14:textId="72CF9F0A" w:rsidR="000B09AB" w:rsidRPr="00D22AEC" w:rsidRDefault="000B09AB" w:rsidP="000B09AB">
      <w:pPr>
        <w:pStyle w:val="BodyTextMain"/>
        <w:rPr>
          <w:rFonts w:eastAsia="DengXian"/>
          <w:spacing w:val="-4"/>
          <w:lang w:val="en-CA"/>
        </w:rPr>
      </w:pPr>
      <w:r w:rsidRPr="00D22AEC">
        <w:rPr>
          <w:rFonts w:eastAsia="DengXian"/>
          <w:spacing w:val="-4"/>
          <w:lang w:val="en-CA"/>
        </w:rPr>
        <w:t>Competition continued to heat up</w:t>
      </w:r>
      <w:r w:rsidR="003174CD" w:rsidRPr="00D22AEC">
        <w:rPr>
          <w:rFonts w:eastAsia="DengXian"/>
          <w:spacing w:val="-4"/>
          <w:lang w:val="en-CA"/>
        </w:rPr>
        <w:t>,</w:t>
      </w:r>
      <w:r w:rsidRPr="00D22AEC">
        <w:rPr>
          <w:rFonts w:eastAsia="DengXian"/>
          <w:spacing w:val="-4"/>
          <w:lang w:val="en-CA"/>
        </w:rPr>
        <w:t xml:space="preserve"> as new entrants decided to move away from offering</w:t>
      </w:r>
      <w:r w:rsidR="006C1B45" w:rsidRPr="00D22AEC">
        <w:rPr>
          <w:rFonts w:eastAsia="DengXian"/>
          <w:spacing w:val="-4"/>
          <w:lang w:val="en-CA"/>
        </w:rPr>
        <w:t xml:space="preserve"> only</w:t>
      </w:r>
      <w:r w:rsidRPr="00D22AEC">
        <w:rPr>
          <w:rFonts w:eastAsia="DengXian"/>
          <w:spacing w:val="-4"/>
          <w:lang w:val="en-CA"/>
        </w:rPr>
        <w:t xml:space="preserve"> broadband services. As of 2017, </w:t>
      </w:r>
      <w:proofErr w:type="spellStart"/>
      <w:r w:rsidRPr="00D22AEC">
        <w:rPr>
          <w:rFonts w:eastAsia="DengXian"/>
          <w:spacing w:val="-4"/>
          <w:lang w:val="en-CA"/>
        </w:rPr>
        <w:t>MyRepublic</w:t>
      </w:r>
      <w:proofErr w:type="spellEnd"/>
      <w:r w:rsidRPr="00D22AEC">
        <w:rPr>
          <w:rFonts w:eastAsia="DengXian"/>
          <w:spacing w:val="-4"/>
          <w:lang w:val="en-CA"/>
        </w:rPr>
        <w:t xml:space="preserve"> launched its mobile services, a move that aimed to leverage its 70,000 fib</w:t>
      </w:r>
      <w:r w:rsidR="00677E6D" w:rsidRPr="00D22AEC">
        <w:rPr>
          <w:rFonts w:eastAsia="DengXian"/>
          <w:spacing w:val="-4"/>
          <w:lang w:val="en-CA"/>
        </w:rPr>
        <w:t>re</w:t>
      </w:r>
      <w:r w:rsidRPr="00D22AEC">
        <w:rPr>
          <w:rFonts w:eastAsia="DengXian"/>
          <w:spacing w:val="-4"/>
          <w:lang w:val="en-CA"/>
        </w:rPr>
        <w:t xml:space="preserve"> broadband subscribers to garner a </w:t>
      </w:r>
      <w:r w:rsidR="003174CD" w:rsidRPr="00D22AEC">
        <w:rPr>
          <w:rFonts w:eastAsia="DengXian"/>
          <w:spacing w:val="-4"/>
          <w:lang w:val="en-CA"/>
        </w:rPr>
        <w:t>5</w:t>
      </w:r>
      <w:r w:rsidR="00C07939" w:rsidRPr="00D22AEC">
        <w:rPr>
          <w:rFonts w:eastAsia="DengXian"/>
          <w:spacing w:val="-4"/>
          <w:lang w:val="en-CA"/>
        </w:rPr>
        <w:t>–</w:t>
      </w:r>
      <w:r w:rsidR="003174CD" w:rsidRPr="00D22AEC">
        <w:rPr>
          <w:rFonts w:eastAsia="DengXian"/>
          <w:spacing w:val="-4"/>
          <w:lang w:val="en-CA"/>
        </w:rPr>
        <w:t xml:space="preserve">6 </w:t>
      </w:r>
      <w:r w:rsidRPr="00D22AEC">
        <w:rPr>
          <w:rFonts w:eastAsia="DengXian"/>
          <w:spacing w:val="-4"/>
          <w:lang w:val="en-CA"/>
        </w:rPr>
        <w:t>per</w:t>
      </w:r>
      <w:r w:rsidR="003174CD" w:rsidRPr="00D22AEC">
        <w:rPr>
          <w:rFonts w:eastAsia="DengXian"/>
          <w:spacing w:val="-4"/>
          <w:lang w:val="en-CA"/>
        </w:rPr>
        <w:t xml:space="preserve"> </w:t>
      </w:r>
      <w:r w:rsidRPr="00D22AEC">
        <w:rPr>
          <w:rFonts w:eastAsia="DengXian"/>
          <w:spacing w:val="-4"/>
          <w:lang w:val="en-CA"/>
        </w:rPr>
        <w:t>cent market share in five years.</w:t>
      </w:r>
      <w:r w:rsidRPr="00D22AEC">
        <w:rPr>
          <w:rFonts w:eastAsia="DengXian"/>
          <w:spacing w:val="-4"/>
          <w:vertAlign w:val="superscript"/>
          <w:lang w:val="en-CA"/>
        </w:rPr>
        <w:endnoteReference w:id="12"/>
      </w:r>
      <w:r w:rsidRPr="00D22AEC">
        <w:rPr>
          <w:rFonts w:eastAsia="DengXian"/>
          <w:spacing w:val="-4"/>
          <w:lang w:val="en-CA"/>
        </w:rPr>
        <w:t xml:space="preserve"> These plans worried the largely domestically established incumbents. Apart from offering fib</w:t>
      </w:r>
      <w:r w:rsidR="00677E6D" w:rsidRPr="00D22AEC">
        <w:rPr>
          <w:rFonts w:eastAsia="DengXian"/>
          <w:spacing w:val="-4"/>
          <w:lang w:val="en-CA"/>
        </w:rPr>
        <w:t>re</w:t>
      </w:r>
      <w:r w:rsidRPr="00D22AEC">
        <w:rPr>
          <w:rFonts w:eastAsia="DengXian"/>
          <w:spacing w:val="-4"/>
          <w:lang w:val="en-CA"/>
        </w:rPr>
        <w:t xml:space="preserve"> and </w:t>
      </w:r>
      <w:r w:rsidR="0072614B" w:rsidRPr="00D22AEC">
        <w:rPr>
          <w:rFonts w:eastAsia="DengXian"/>
          <w:spacing w:val="-4"/>
          <w:lang w:val="en-CA"/>
        </w:rPr>
        <w:t>voice</w:t>
      </w:r>
      <w:r w:rsidR="00C07939" w:rsidRPr="00D22AEC">
        <w:rPr>
          <w:rFonts w:eastAsia="DengXian"/>
          <w:spacing w:val="-4"/>
          <w:lang w:val="en-CA"/>
        </w:rPr>
        <w:t xml:space="preserve"> </w:t>
      </w:r>
      <w:r w:rsidR="0072614B" w:rsidRPr="00D22AEC">
        <w:rPr>
          <w:rFonts w:eastAsia="DengXian"/>
          <w:spacing w:val="-4"/>
          <w:lang w:val="en-CA"/>
        </w:rPr>
        <w:t>over</w:t>
      </w:r>
      <w:r w:rsidR="00C07939" w:rsidRPr="00D22AEC">
        <w:rPr>
          <w:rFonts w:eastAsia="DengXian"/>
          <w:spacing w:val="-4"/>
          <w:lang w:val="en-CA"/>
        </w:rPr>
        <w:t xml:space="preserve"> </w:t>
      </w:r>
      <w:r w:rsidR="0072614B" w:rsidRPr="00D22AEC">
        <w:rPr>
          <w:rFonts w:eastAsia="DengXian"/>
          <w:spacing w:val="-4"/>
          <w:lang w:val="en-CA"/>
        </w:rPr>
        <w:t>Internet protocol (</w:t>
      </w:r>
      <w:r w:rsidRPr="00D22AEC">
        <w:rPr>
          <w:rFonts w:eastAsia="DengXian"/>
          <w:spacing w:val="-4"/>
          <w:lang w:val="en-CA"/>
        </w:rPr>
        <w:t>VoIP</w:t>
      </w:r>
      <w:r w:rsidR="0072614B" w:rsidRPr="00D22AEC">
        <w:rPr>
          <w:rFonts w:eastAsia="DengXian"/>
          <w:spacing w:val="-4"/>
          <w:lang w:val="en-CA"/>
        </w:rPr>
        <w:t>)</w:t>
      </w:r>
      <w:r w:rsidRPr="00D22AEC">
        <w:rPr>
          <w:rFonts w:eastAsia="DengXian"/>
          <w:spacing w:val="-4"/>
          <w:lang w:val="en-CA"/>
        </w:rPr>
        <w:t xml:space="preserve"> services, </w:t>
      </w:r>
      <w:proofErr w:type="spellStart"/>
      <w:r w:rsidRPr="00D22AEC">
        <w:rPr>
          <w:rFonts w:eastAsia="DengXian"/>
          <w:spacing w:val="-4"/>
          <w:lang w:val="en-CA"/>
        </w:rPr>
        <w:t>ViewQwest</w:t>
      </w:r>
      <w:proofErr w:type="spellEnd"/>
      <w:r w:rsidRPr="00D22AEC">
        <w:rPr>
          <w:rFonts w:eastAsia="DengXian"/>
          <w:spacing w:val="-4"/>
          <w:lang w:val="en-CA"/>
        </w:rPr>
        <w:t xml:space="preserve"> had plans to enter the </w:t>
      </w:r>
      <w:r w:rsidR="006C1B45" w:rsidRPr="00D22AEC">
        <w:rPr>
          <w:rFonts w:eastAsia="DengXian"/>
          <w:spacing w:val="-4"/>
          <w:lang w:val="en-CA"/>
        </w:rPr>
        <w:t>“</w:t>
      </w:r>
      <w:r w:rsidRPr="00D22AEC">
        <w:rPr>
          <w:rFonts w:eastAsia="DengXian"/>
          <w:spacing w:val="-4"/>
          <w:lang w:val="en-CA"/>
        </w:rPr>
        <w:t>smart</w:t>
      </w:r>
      <w:r w:rsidR="006C1B45" w:rsidRPr="00D22AEC">
        <w:rPr>
          <w:rFonts w:eastAsia="DengXian"/>
          <w:spacing w:val="-4"/>
          <w:lang w:val="en-CA"/>
        </w:rPr>
        <w:t>-</w:t>
      </w:r>
      <w:r w:rsidRPr="00D22AEC">
        <w:rPr>
          <w:rFonts w:eastAsia="DengXian"/>
          <w:spacing w:val="-4"/>
          <w:lang w:val="en-CA"/>
        </w:rPr>
        <w:t>home</w:t>
      </w:r>
      <w:r w:rsidR="006C1B45" w:rsidRPr="00D22AEC">
        <w:rPr>
          <w:rFonts w:eastAsia="DengXian"/>
          <w:spacing w:val="-4"/>
          <w:lang w:val="en-CA"/>
        </w:rPr>
        <w:t>”</w:t>
      </w:r>
      <w:r w:rsidRPr="00D22AEC">
        <w:rPr>
          <w:rFonts w:eastAsia="DengXian"/>
          <w:spacing w:val="-4"/>
          <w:lang w:val="en-CA"/>
        </w:rPr>
        <w:t xml:space="preserve"> market.</w:t>
      </w:r>
      <w:r w:rsidR="006C35B4" w:rsidRPr="00D22AEC">
        <w:rPr>
          <w:rStyle w:val="EndnoteReference"/>
          <w:rFonts w:eastAsia="DengXian"/>
          <w:spacing w:val="-4"/>
          <w:lang w:val="en-CA"/>
        </w:rPr>
        <w:endnoteReference w:id="13"/>
      </w:r>
      <w:r w:rsidRPr="00D22AEC">
        <w:rPr>
          <w:rFonts w:eastAsia="DengXian"/>
          <w:spacing w:val="-4"/>
          <w:lang w:val="en-CA"/>
        </w:rPr>
        <w:t xml:space="preserve"> In 2017, </w:t>
      </w:r>
      <w:proofErr w:type="spellStart"/>
      <w:r w:rsidRPr="00D22AEC">
        <w:rPr>
          <w:rFonts w:eastAsia="DengXian"/>
          <w:spacing w:val="-4"/>
          <w:lang w:val="en-CA"/>
        </w:rPr>
        <w:t>ViewQwest</w:t>
      </w:r>
      <w:proofErr w:type="spellEnd"/>
      <w:r w:rsidRPr="00D22AEC">
        <w:rPr>
          <w:rFonts w:eastAsia="DengXian"/>
          <w:spacing w:val="-4"/>
          <w:lang w:val="en-CA"/>
        </w:rPr>
        <w:t xml:space="preserve"> set up its first security operations cent</w:t>
      </w:r>
      <w:r w:rsidR="00677E6D" w:rsidRPr="00D22AEC">
        <w:rPr>
          <w:rFonts w:eastAsia="DengXian"/>
          <w:spacing w:val="-4"/>
          <w:lang w:val="en-CA"/>
        </w:rPr>
        <w:t>re</w:t>
      </w:r>
      <w:r w:rsidRPr="00D22AEC">
        <w:rPr>
          <w:rFonts w:eastAsia="DengXian"/>
          <w:spacing w:val="-4"/>
          <w:lang w:val="en-CA"/>
        </w:rPr>
        <w:t xml:space="preserve"> (</w:t>
      </w:r>
      <w:proofErr w:type="spellStart"/>
      <w:r w:rsidRPr="00D22AEC">
        <w:rPr>
          <w:rFonts w:eastAsia="DengXian"/>
          <w:spacing w:val="-4"/>
          <w:lang w:val="en-CA"/>
        </w:rPr>
        <w:t>SOC</w:t>
      </w:r>
      <w:proofErr w:type="spellEnd"/>
      <w:r w:rsidRPr="00D22AEC">
        <w:rPr>
          <w:rFonts w:eastAsia="DengXian"/>
          <w:spacing w:val="-4"/>
          <w:lang w:val="en-CA"/>
        </w:rPr>
        <w:t xml:space="preserve">), a move </w:t>
      </w:r>
      <w:r w:rsidR="005C78C4" w:rsidRPr="00D22AEC">
        <w:rPr>
          <w:rFonts w:eastAsia="DengXian"/>
          <w:spacing w:val="-4"/>
          <w:lang w:val="en-CA"/>
        </w:rPr>
        <w:t>that</w:t>
      </w:r>
      <w:r w:rsidRPr="00D22AEC">
        <w:rPr>
          <w:rFonts w:eastAsia="DengXian"/>
          <w:spacing w:val="-4"/>
          <w:lang w:val="en-CA"/>
        </w:rPr>
        <w:t xml:space="preserve"> allowed it to go after bigger clients, thereby pitting itself directly against the </w:t>
      </w:r>
      <w:proofErr w:type="spellStart"/>
      <w:r w:rsidRPr="00D22AEC">
        <w:rPr>
          <w:rFonts w:eastAsia="DengXian"/>
          <w:spacing w:val="-4"/>
          <w:lang w:val="en-CA"/>
        </w:rPr>
        <w:t>telcos</w:t>
      </w:r>
      <w:proofErr w:type="spellEnd"/>
      <w:r w:rsidRPr="00D22AEC">
        <w:rPr>
          <w:rFonts w:eastAsia="DengXian"/>
          <w:spacing w:val="-4"/>
          <w:lang w:val="en-CA"/>
        </w:rPr>
        <w:t>.</w:t>
      </w:r>
      <w:r w:rsidRPr="00D22AEC">
        <w:rPr>
          <w:rFonts w:eastAsia="DengXian"/>
          <w:spacing w:val="-4"/>
          <w:vertAlign w:val="superscript"/>
          <w:lang w:val="en-CA"/>
        </w:rPr>
        <w:endnoteReference w:id="14"/>
      </w:r>
      <w:r w:rsidRPr="00D22AEC">
        <w:rPr>
          <w:rFonts w:eastAsia="DengXian"/>
          <w:spacing w:val="-4"/>
          <w:lang w:val="en-CA"/>
        </w:rPr>
        <w:t xml:space="preserve"> While SingTel, </w:t>
      </w:r>
      <w:proofErr w:type="spellStart"/>
      <w:r w:rsidRPr="00D22AEC">
        <w:rPr>
          <w:rFonts w:eastAsia="DengXian"/>
          <w:spacing w:val="-4"/>
          <w:lang w:val="en-CA"/>
        </w:rPr>
        <w:t>StarHub</w:t>
      </w:r>
      <w:proofErr w:type="spellEnd"/>
      <w:r w:rsidRPr="00D22AEC">
        <w:rPr>
          <w:rFonts w:eastAsia="DengXian"/>
          <w:spacing w:val="-4"/>
          <w:lang w:val="en-CA"/>
        </w:rPr>
        <w:t xml:space="preserve">, and M1 had already established their own local </w:t>
      </w:r>
      <w:proofErr w:type="spellStart"/>
      <w:r w:rsidRPr="00D22AEC">
        <w:rPr>
          <w:rFonts w:eastAsia="DengXian"/>
          <w:spacing w:val="-4"/>
          <w:lang w:val="en-CA"/>
        </w:rPr>
        <w:t>SOCs</w:t>
      </w:r>
      <w:proofErr w:type="spellEnd"/>
      <w:r w:rsidRPr="00D22AEC">
        <w:rPr>
          <w:rFonts w:eastAsia="DengXian"/>
          <w:spacing w:val="-4"/>
          <w:lang w:val="en-CA"/>
        </w:rPr>
        <w:t xml:space="preserve"> by then, </w:t>
      </w:r>
      <w:proofErr w:type="spellStart"/>
      <w:r w:rsidRPr="00D22AEC">
        <w:rPr>
          <w:rFonts w:eastAsia="DengXian"/>
          <w:spacing w:val="-4"/>
          <w:lang w:val="en-CA"/>
        </w:rPr>
        <w:t>ViewQwest’s</w:t>
      </w:r>
      <w:proofErr w:type="spellEnd"/>
      <w:r w:rsidRPr="00D22AEC">
        <w:rPr>
          <w:rFonts w:eastAsia="DengXian"/>
          <w:spacing w:val="-4"/>
          <w:lang w:val="en-CA"/>
        </w:rPr>
        <w:t xml:space="preserve"> new initiative heightened the competitive jostle for a share in the cyber</w:t>
      </w:r>
      <w:r w:rsidR="00F07C36" w:rsidRPr="00D22AEC">
        <w:rPr>
          <w:rFonts w:eastAsia="DengXian"/>
          <w:spacing w:val="-4"/>
          <w:lang w:val="en-CA"/>
        </w:rPr>
        <w:t>-</w:t>
      </w:r>
      <w:r w:rsidRPr="00D22AEC">
        <w:rPr>
          <w:rFonts w:eastAsia="DengXian"/>
          <w:spacing w:val="-4"/>
          <w:lang w:val="en-CA"/>
        </w:rPr>
        <w:t>security market.</w:t>
      </w:r>
      <w:r w:rsidR="006C35B4" w:rsidRPr="00D22AEC">
        <w:rPr>
          <w:rStyle w:val="EndnoteReference"/>
          <w:rFonts w:eastAsia="DengXian"/>
          <w:spacing w:val="-4"/>
          <w:lang w:val="en-CA"/>
        </w:rPr>
        <w:endnoteReference w:id="15"/>
      </w:r>
      <w:r w:rsidRPr="00D22AEC">
        <w:rPr>
          <w:rFonts w:eastAsia="DengXian"/>
          <w:spacing w:val="-4"/>
          <w:lang w:val="en-CA"/>
        </w:rPr>
        <w:t xml:space="preserve"> </w:t>
      </w:r>
    </w:p>
    <w:p w14:paraId="3D1CDCA5" w14:textId="77777777" w:rsidR="000B09AB" w:rsidRPr="00D22AEC" w:rsidRDefault="000B09AB" w:rsidP="000B09AB">
      <w:pPr>
        <w:jc w:val="both"/>
        <w:rPr>
          <w:rFonts w:eastAsia="DengXian"/>
          <w:spacing w:val="-4"/>
          <w:sz w:val="22"/>
          <w:szCs w:val="22"/>
          <w:lang w:val="en-CA"/>
        </w:rPr>
      </w:pPr>
    </w:p>
    <w:p w14:paraId="20374323" w14:textId="77777777" w:rsidR="000B09AB" w:rsidRPr="00D22AEC" w:rsidRDefault="000B09AB" w:rsidP="000B09AB">
      <w:pPr>
        <w:jc w:val="both"/>
        <w:rPr>
          <w:rFonts w:eastAsia="DengXian"/>
          <w:spacing w:val="-4"/>
          <w:sz w:val="22"/>
          <w:szCs w:val="22"/>
          <w:lang w:val="en-CA"/>
        </w:rPr>
      </w:pPr>
    </w:p>
    <w:p w14:paraId="17498A20" w14:textId="3E953B8F" w:rsidR="000B09AB" w:rsidRPr="00D22AEC" w:rsidRDefault="000B09AB" w:rsidP="000B09AB">
      <w:pPr>
        <w:pStyle w:val="Casehead2"/>
        <w:rPr>
          <w:rFonts w:eastAsia="DengXian"/>
          <w:spacing w:val="-4"/>
          <w:lang w:val="en-CA"/>
        </w:rPr>
      </w:pPr>
      <w:proofErr w:type="spellStart"/>
      <w:r w:rsidRPr="00D22AEC">
        <w:rPr>
          <w:rFonts w:eastAsia="DengXian"/>
          <w:spacing w:val="-4"/>
          <w:lang w:val="en-CA"/>
        </w:rPr>
        <w:t>Pay-TV</w:t>
      </w:r>
      <w:proofErr w:type="spellEnd"/>
      <w:r w:rsidRPr="00D22AEC">
        <w:rPr>
          <w:rFonts w:eastAsia="DengXian"/>
          <w:spacing w:val="-4"/>
          <w:lang w:val="en-CA"/>
        </w:rPr>
        <w:t xml:space="preserve"> </w:t>
      </w:r>
    </w:p>
    <w:p w14:paraId="7B449B7A" w14:textId="77777777" w:rsidR="000B09AB" w:rsidRPr="00D22AEC" w:rsidRDefault="000B09AB" w:rsidP="000B09AB">
      <w:pPr>
        <w:jc w:val="both"/>
        <w:rPr>
          <w:rFonts w:eastAsia="DengXian"/>
          <w:i/>
          <w:spacing w:val="-4"/>
          <w:sz w:val="22"/>
          <w:szCs w:val="22"/>
          <w:lang w:val="en-CA"/>
        </w:rPr>
      </w:pPr>
    </w:p>
    <w:p w14:paraId="120D9DD2" w14:textId="0E57807B" w:rsidR="000B09AB" w:rsidRPr="00D22AEC" w:rsidRDefault="003B1812" w:rsidP="000B09AB">
      <w:pPr>
        <w:pStyle w:val="BodyTextMain"/>
        <w:rPr>
          <w:rFonts w:eastAsia="DengXian"/>
          <w:spacing w:val="-4"/>
          <w:lang w:val="en-CA"/>
        </w:rPr>
      </w:pPr>
      <w:r w:rsidRPr="00D22AEC">
        <w:rPr>
          <w:rFonts w:eastAsia="DengXian"/>
          <w:spacing w:val="-4"/>
          <w:lang w:val="en-CA"/>
        </w:rPr>
        <w:t xml:space="preserve">After </w:t>
      </w:r>
      <w:r w:rsidR="00C07939" w:rsidRPr="00D22AEC">
        <w:rPr>
          <w:rFonts w:eastAsia="DengXian"/>
          <w:spacing w:val="-4"/>
          <w:lang w:val="en-CA"/>
        </w:rPr>
        <w:t xml:space="preserve">its </w:t>
      </w:r>
      <w:r w:rsidR="000B09AB" w:rsidRPr="00D22AEC">
        <w:rPr>
          <w:rFonts w:eastAsia="DengXian"/>
          <w:spacing w:val="-4"/>
          <w:lang w:val="en-CA"/>
        </w:rPr>
        <w:t>merger with Singapore Cable Vision in 2001</w:t>
      </w:r>
      <w:r w:rsidRPr="00D22AEC">
        <w:rPr>
          <w:rFonts w:eastAsia="DengXian"/>
          <w:spacing w:val="-4"/>
          <w:lang w:val="en-CA"/>
        </w:rPr>
        <w:t>,</w:t>
      </w:r>
      <w:r w:rsidR="000B09AB" w:rsidRPr="00D22AEC">
        <w:rPr>
          <w:rFonts w:eastAsia="DengXian"/>
          <w:spacing w:val="-4"/>
          <w:lang w:val="en-CA"/>
        </w:rPr>
        <w:t xml:space="preserve"> </w:t>
      </w:r>
      <w:proofErr w:type="spellStart"/>
      <w:r w:rsidRPr="00D22AEC">
        <w:rPr>
          <w:rFonts w:eastAsia="DengXian"/>
          <w:spacing w:val="-4"/>
          <w:lang w:val="en-CA"/>
        </w:rPr>
        <w:t>StarHub</w:t>
      </w:r>
      <w:proofErr w:type="spellEnd"/>
      <w:r w:rsidRPr="00D22AEC">
        <w:rPr>
          <w:rFonts w:eastAsia="DengXian"/>
          <w:spacing w:val="-4"/>
          <w:lang w:val="en-CA"/>
        </w:rPr>
        <w:t xml:space="preserve"> became</w:t>
      </w:r>
      <w:r w:rsidR="000B09AB" w:rsidRPr="00D22AEC">
        <w:rPr>
          <w:rFonts w:eastAsia="DengXian"/>
          <w:spacing w:val="-4"/>
          <w:lang w:val="en-CA"/>
        </w:rPr>
        <w:t xml:space="preserve"> Singapore’s only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provider. </w:t>
      </w:r>
      <w:proofErr w:type="spellStart"/>
      <w:r w:rsidR="001B295D" w:rsidRPr="00D22AEC">
        <w:rPr>
          <w:rFonts w:eastAsia="DengXian"/>
          <w:spacing w:val="-4"/>
          <w:lang w:val="en-CA"/>
        </w:rPr>
        <w:t>StarHub</w:t>
      </w:r>
      <w:proofErr w:type="spellEnd"/>
      <w:r w:rsidR="000B09AB" w:rsidRPr="00D22AEC">
        <w:rPr>
          <w:rFonts w:eastAsia="DengXian"/>
          <w:spacing w:val="-4"/>
          <w:lang w:val="en-CA"/>
        </w:rPr>
        <w:t xml:space="preserve"> maintain</w:t>
      </w:r>
      <w:r w:rsidR="001B295D" w:rsidRPr="00D22AEC">
        <w:rPr>
          <w:rFonts w:eastAsia="DengXian"/>
          <w:spacing w:val="-4"/>
          <w:lang w:val="en-CA"/>
        </w:rPr>
        <w:t>ed</w:t>
      </w:r>
      <w:r w:rsidR="000B09AB" w:rsidRPr="00D22AEC">
        <w:rPr>
          <w:rFonts w:eastAsia="DengXian"/>
          <w:spacing w:val="-4"/>
          <w:lang w:val="en-CA"/>
        </w:rPr>
        <w:t xml:space="preserve"> its leadership position in the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segment, but only until SingTel launched IPTV SingTel TV in January </w:t>
      </w:r>
      <w:r w:rsidR="00830F16" w:rsidRPr="00D22AEC">
        <w:rPr>
          <w:rFonts w:eastAsia="DengXian"/>
          <w:spacing w:val="-4"/>
          <w:lang w:val="en-CA"/>
        </w:rPr>
        <w:t>2007</w:t>
      </w:r>
      <w:r w:rsidR="000B09AB" w:rsidRPr="00D22AEC">
        <w:rPr>
          <w:rFonts w:eastAsia="DengXian"/>
          <w:spacing w:val="-4"/>
          <w:lang w:val="en-CA"/>
        </w:rPr>
        <w:t xml:space="preserve"> and M1 launched its online media entertainment </w:t>
      </w:r>
      <w:r w:rsidR="00E92998" w:rsidRPr="00D22AEC">
        <w:rPr>
          <w:rFonts w:eastAsia="DengXian"/>
          <w:spacing w:val="-4"/>
          <w:lang w:val="en-CA"/>
        </w:rPr>
        <w:t xml:space="preserve">service, </w:t>
      </w:r>
      <w:r w:rsidR="000B09AB" w:rsidRPr="00D22AEC">
        <w:rPr>
          <w:rFonts w:eastAsia="DengXian"/>
          <w:spacing w:val="-4"/>
          <w:lang w:val="en-CA"/>
        </w:rPr>
        <w:t>1box</w:t>
      </w:r>
      <w:r w:rsidR="00E92998" w:rsidRPr="00D22AEC">
        <w:rPr>
          <w:rFonts w:eastAsia="DengXian"/>
          <w:spacing w:val="-4"/>
          <w:lang w:val="en-CA"/>
        </w:rPr>
        <w:t>,</w:t>
      </w:r>
      <w:r w:rsidR="000B09AB" w:rsidRPr="00D22AEC">
        <w:rPr>
          <w:rFonts w:eastAsia="DengXian"/>
          <w:spacing w:val="-4"/>
          <w:lang w:val="en-CA"/>
        </w:rPr>
        <w:t xml:space="preserve"> in 2010. When SingTel obtained the rights to the highly </w:t>
      </w:r>
      <w:r w:rsidR="00E92998" w:rsidRPr="00D22AEC">
        <w:rPr>
          <w:rFonts w:eastAsia="DengXian"/>
          <w:spacing w:val="-4"/>
          <w:lang w:val="en-CA"/>
        </w:rPr>
        <w:t>popular</w:t>
      </w:r>
      <w:r w:rsidR="000B09AB" w:rsidRPr="00D22AEC">
        <w:rPr>
          <w:rFonts w:eastAsia="DengXian"/>
          <w:spacing w:val="-4"/>
          <w:lang w:val="en-CA"/>
        </w:rPr>
        <w:t xml:space="preserve"> Barclays Premier League (BPL) football matches from 2010 to 2013, its TV subscribers increased by 109,000 in 2010 and </w:t>
      </w:r>
      <w:r w:rsidR="003174CD" w:rsidRPr="00D22AEC">
        <w:rPr>
          <w:rFonts w:eastAsia="DengXian"/>
          <w:spacing w:val="-4"/>
          <w:lang w:val="en-CA"/>
        </w:rPr>
        <w:t xml:space="preserve">by </w:t>
      </w:r>
      <w:r w:rsidR="000B09AB" w:rsidRPr="00D22AEC">
        <w:rPr>
          <w:rFonts w:eastAsia="DengXian"/>
          <w:spacing w:val="-4"/>
          <w:lang w:val="en-CA"/>
        </w:rPr>
        <w:t>89,000 in 2011.</w:t>
      </w:r>
      <w:r w:rsidR="000B09AB" w:rsidRPr="00D22AEC">
        <w:rPr>
          <w:rFonts w:eastAsia="DengXian"/>
          <w:spacing w:val="-4"/>
          <w:vertAlign w:val="superscript"/>
          <w:lang w:val="en-CA"/>
        </w:rPr>
        <w:endnoteReference w:id="16"/>
      </w:r>
      <w:r w:rsidR="000B09AB" w:rsidRPr="00D22AEC">
        <w:rPr>
          <w:rFonts w:eastAsia="DengXian"/>
          <w:spacing w:val="-4"/>
          <w:lang w:val="en-CA"/>
        </w:rPr>
        <w:t xml:space="preserve"> Despite </w:t>
      </w:r>
      <w:proofErr w:type="spellStart"/>
      <w:r w:rsidR="005A43F8" w:rsidRPr="00D22AEC">
        <w:rPr>
          <w:rFonts w:eastAsia="DengXian"/>
          <w:spacing w:val="-4"/>
          <w:lang w:val="en-CA"/>
        </w:rPr>
        <w:t>StarHub</w:t>
      </w:r>
      <w:proofErr w:type="spellEnd"/>
      <w:r w:rsidR="005A43F8" w:rsidRPr="00D22AEC">
        <w:rPr>
          <w:rFonts w:eastAsia="DengXian"/>
          <w:spacing w:val="-4"/>
          <w:lang w:val="en-CA"/>
        </w:rPr>
        <w:t xml:space="preserve"> </w:t>
      </w:r>
      <w:r w:rsidR="000B09AB" w:rsidRPr="00D22AEC">
        <w:rPr>
          <w:rFonts w:eastAsia="DengXian"/>
          <w:spacing w:val="-4"/>
          <w:lang w:val="en-CA"/>
        </w:rPr>
        <w:t xml:space="preserve">losing 1,000 subscribers in 2010 and adding 7,000 in 2011, </w:t>
      </w:r>
      <w:r w:rsidR="005A43F8" w:rsidRPr="00D22AEC">
        <w:rPr>
          <w:rFonts w:eastAsia="DengXian"/>
          <w:spacing w:val="-4"/>
          <w:lang w:val="en-CA"/>
        </w:rPr>
        <w:t xml:space="preserve">it </w:t>
      </w:r>
      <w:r w:rsidR="000B09AB" w:rsidRPr="00D22AEC">
        <w:rPr>
          <w:rFonts w:eastAsia="DengXian"/>
          <w:spacing w:val="-4"/>
          <w:lang w:val="en-CA"/>
        </w:rPr>
        <w:t xml:space="preserve">maintained its market dominance as </w:t>
      </w:r>
      <w:r w:rsidR="003174CD" w:rsidRPr="00D22AEC">
        <w:rPr>
          <w:rFonts w:eastAsia="DengXian"/>
          <w:spacing w:val="-4"/>
          <w:lang w:val="en-CA"/>
        </w:rPr>
        <w:t xml:space="preserve">Singapore’s </w:t>
      </w:r>
      <w:r w:rsidR="000B09AB" w:rsidRPr="00D22AEC">
        <w:rPr>
          <w:rFonts w:eastAsia="DengXian"/>
          <w:spacing w:val="-4"/>
          <w:lang w:val="en-CA"/>
        </w:rPr>
        <w:t xml:space="preserve">largest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operator (</w:t>
      </w:r>
      <w:r w:rsidR="00EA6671" w:rsidRPr="00D22AEC">
        <w:rPr>
          <w:rFonts w:eastAsia="DengXian"/>
          <w:spacing w:val="-4"/>
          <w:lang w:val="en-CA"/>
        </w:rPr>
        <w:t>see</w:t>
      </w:r>
      <w:r w:rsidR="00EA6671" w:rsidRPr="00D22AEC">
        <w:rPr>
          <w:rFonts w:eastAsia="DengXian"/>
          <w:b/>
          <w:spacing w:val="-4"/>
          <w:lang w:val="en-CA"/>
        </w:rPr>
        <w:t xml:space="preserve"> </w:t>
      </w:r>
      <w:r w:rsidR="000B09AB" w:rsidRPr="00D22AEC">
        <w:rPr>
          <w:rFonts w:eastAsia="DengXian"/>
          <w:spacing w:val="-4"/>
          <w:lang w:val="en-CA"/>
        </w:rPr>
        <w:t xml:space="preserve">Exhibit </w:t>
      </w:r>
      <w:r w:rsidR="004A2D51" w:rsidRPr="00D22AEC">
        <w:rPr>
          <w:rFonts w:eastAsia="DengXian"/>
          <w:spacing w:val="-4"/>
          <w:lang w:val="en-CA"/>
        </w:rPr>
        <w:t>4</w:t>
      </w:r>
      <w:r w:rsidR="000B09AB" w:rsidRPr="00D22AEC">
        <w:rPr>
          <w:rFonts w:eastAsia="DengXian"/>
          <w:spacing w:val="-4"/>
          <w:lang w:val="en-CA"/>
        </w:rPr>
        <w:t xml:space="preserve">). </w:t>
      </w:r>
      <w:r w:rsidR="00EA6671" w:rsidRPr="00D22AEC">
        <w:rPr>
          <w:rFonts w:eastAsia="DengXian"/>
          <w:spacing w:val="-4"/>
          <w:lang w:val="en-CA"/>
        </w:rPr>
        <w:t xml:space="preserve">The </w:t>
      </w:r>
      <w:proofErr w:type="spellStart"/>
      <w:r w:rsidR="000B09AB" w:rsidRPr="00D22AEC">
        <w:rPr>
          <w:rFonts w:eastAsia="DengXian"/>
          <w:spacing w:val="-4"/>
          <w:lang w:val="en-CA"/>
        </w:rPr>
        <w:t>IMDA</w:t>
      </w:r>
      <w:proofErr w:type="spellEnd"/>
      <w:r w:rsidR="000B09AB" w:rsidRPr="00D22AEC">
        <w:rPr>
          <w:rFonts w:eastAsia="DengXian"/>
          <w:spacing w:val="-4"/>
          <w:lang w:val="en-CA"/>
        </w:rPr>
        <w:t xml:space="preserve"> eventually ruled that SingTel must share its BPL content with </w:t>
      </w:r>
      <w:proofErr w:type="spellStart"/>
      <w:r w:rsidR="000B09AB" w:rsidRPr="00D22AEC">
        <w:rPr>
          <w:rFonts w:eastAsia="DengXian"/>
          <w:spacing w:val="-4"/>
          <w:lang w:val="en-CA"/>
        </w:rPr>
        <w:t>StarHub</w:t>
      </w:r>
      <w:proofErr w:type="spellEnd"/>
      <w:r w:rsidR="000B09AB" w:rsidRPr="00D22AEC">
        <w:rPr>
          <w:rFonts w:eastAsia="DengXian"/>
          <w:spacing w:val="-4"/>
          <w:lang w:val="en-CA"/>
        </w:rPr>
        <w:t xml:space="preserve"> under the cross-carriage regulation. </w:t>
      </w:r>
      <w:proofErr w:type="spellStart"/>
      <w:r w:rsidR="000B09AB" w:rsidRPr="00D22AEC">
        <w:rPr>
          <w:rFonts w:eastAsia="DengXian"/>
          <w:spacing w:val="-4"/>
          <w:lang w:val="en-CA"/>
        </w:rPr>
        <w:t>StarHub</w:t>
      </w:r>
      <w:proofErr w:type="spellEnd"/>
      <w:r w:rsidR="000B09AB" w:rsidRPr="00D22AEC">
        <w:rPr>
          <w:rFonts w:eastAsia="DengXian"/>
          <w:spacing w:val="-4"/>
          <w:lang w:val="en-CA"/>
        </w:rPr>
        <w:t xml:space="preserve"> was provided </w:t>
      </w:r>
      <w:r w:rsidR="00EA6671" w:rsidRPr="00D22AEC">
        <w:rPr>
          <w:rFonts w:eastAsia="DengXian"/>
          <w:spacing w:val="-4"/>
          <w:lang w:val="en-CA"/>
        </w:rPr>
        <w:t xml:space="preserve">with </w:t>
      </w:r>
      <w:r w:rsidR="000B09AB" w:rsidRPr="00D22AEC">
        <w:rPr>
          <w:rFonts w:eastAsia="DengXian"/>
          <w:spacing w:val="-4"/>
          <w:lang w:val="en-CA"/>
        </w:rPr>
        <w:t xml:space="preserve">a platform to carry BPL content alongside SingTel, but the latter continued to maintain </w:t>
      </w:r>
      <w:r w:rsidR="00EA6671" w:rsidRPr="00D22AEC">
        <w:rPr>
          <w:rFonts w:eastAsia="DengXian"/>
          <w:spacing w:val="-4"/>
          <w:lang w:val="en-CA"/>
        </w:rPr>
        <w:t xml:space="preserve">its </w:t>
      </w:r>
      <w:r w:rsidR="000B09AB" w:rsidRPr="00D22AEC">
        <w:rPr>
          <w:rFonts w:eastAsia="DengXian"/>
          <w:spacing w:val="-4"/>
          <w:lang w:val="en-CA"/>
        </w:rPr>
        <w:t xml:space="preserve">monopoly on broadcast rights until 2016, thereby controlling the price and package of the content and billing </w:t>
      </w:r>
      <w:proofErr w:type="spellStart"/>
      <w:r w:rsidR="000B09AB" w:rsidRPr="00D22AEC">
        <w:rPr>
          <w:rFonts w:eastAsia="DengXian"/>
          <w:spacing w:val="-4"/>
          <w:lang w:val="en-CA"/>
        </w:rPr>
        <w:t>StarHub’s</w:t>
      </w:r>
      <w:proofErr w:type="spellEnd"/>
      <w:r w:rsidR="000B09AB" w:rsidRPr="00D22AEC">
        <w:rPr>
          <w:rFonts w:eastAsia="DengXian"/>
          <w:spacing w:val="-4"/>
          <w:lang w:val="en-CA"/>
        </w:rPr>
        <w:t xml:space="preserve"> customers directly.</w:t>
      </w:r>
      <w:r w:rsidR="000B09AB" w:rsidRPr="00D22AEC">
        <w:rPr>
          <w:rFonts w:eastAsia="DengXian"/>
          <w:spacing w:val="-4"/>
          <w:vertAlign w:val="superscript"/>
          <w:lang w:val="en-CA"/>
        </w:rPr>
        <w:endnoteReference w:id="17"/>
      </w:r>
      <w:r w:rsidR="000B09AB" w:rsidRPr="00D22AEC">
        <w:rPr>
          <w:rFonts w:eastAsia="DengXian"/>
          <w:spacing w:val="-4"/>
          <w:lang w:val="en-CA"/>
        </w:rPr>
        <w:t xml:space="preserve"> </w:t>
      </w:r>
    </w:p>
    <w:p w14:paraId="2F6C3690" w14:textId="77777777" w:rsidR="000B09AB" w:rsidRPr="00D22AEC" w:rsidRDefault="000B09AB" w:rsidP="000B09AB">
      <w:pPr>
        <w:pStyle w:val="BodyTextMain"/>
        <w:rPr>
          <w:rFonts w:eastAsia="DengXian"/>
          <w:spacing w:val="-2"/>
          <w:lang w:val="en-CA"/>
        </w:rPr>
      </w:pPr>
    </w:p>
    <w:p w14:paraId="657611C5" w14:textId="2E4D39E0" w:rsidR="000B09AB" w:rsidRPr="00D22AEC" w:rsidRDefault="00D22AEC" w:rsidP="000B09AB">
      <w:pPr>
        <w:pStyle w:val="BodyTextMain"/>
        <w:rPr>
          <w:rFonts w:eastAsia="DengXian"/>
          <w:spacing w:val="-4"/>
          <w:lang w:val="en-CA"/>
        </w:rPr>
      </w:pPr>
      <w:r w:rsidRPr="00D22AEC">
        <w:rPr>
          <w:rFonts w:eastAsia="DengXian"/>
          <w:spacing w:val="-4"/>
          <w:lang w:val="en-CA"/>
        </w:rPr>
        <w:t>Netflix, Inc. (Netflix)</w:t>
      </w:r>
      <w:r w:rsidR="000B09AB" w:rsidRPr="00D22AEC">
        <w:rPr>
          <w:rFonts w:eastAsia="DengXian"/>
          <w:spacing w:val="-4"/>
          <w:lang w:val="en-CA"/>
        </w:rPr>
        <w:t xml:space="preserve"> and Amazon</w:t>
      </w:r>
      <w:r w:rsidRPr="00D22AEC">
        <w:rPr>
          <w:rFonts w:eastAsia="DengXian"/>
          <w:spacing w:val="-4"/>
          <w:lang w:val="en-CA"/>
        </w:rPr>
        <w:t>.com, Inc. (Amazon)’s</w:t>
      </w:r>
      <w:r w:rsidR="000B09AB" w:rsidRPr="00D22AEC">
        <w:rPr>
          <w:rFonts w:eastAsia="DengXian"/>
          <w:spacing w:val="-4"/>
          <w:lang w:val="en-CA"/>
        </w:rPr>
        <w:t xml:space="preserve"> Prime Video soon </w:t>
      </w:r>
      <w:proofErr w:type="gramStart"/>
      <w:r w:rsidR="000B09AB" w:rsidRPr="00D22AEC">
        <w:rPr>
          <w:rFonts w:eastAsia="DengXian"/>
          <w:spacing w:val="-4"/>
          <w:lang w:val="en-CA"/>
        </w:rPr>
        <w:t>came into the picture</w:t>
      </w:r>
      <w:proofErr w:type="gramEnd"/>
      <w:r w:rsidR="000B09AB" w:rsidRPr="00D22AEC">
        <w:rPr>
          <w:rFonts w:eastAsia="DengXian"/>
          <w:spacing w:val="-4"/>
          <w:lang w:val="en-CA"/>
        </w:rPr>
        <w:t xml:space="preserve"> and began offering online video-streaming services. These OTT players offered local subscribers a wide range of on-demand content from international markets over</w:t>
      </w:r>
      <w:r w:rsidR="00FF7592" w:rsidRPr="00D22AEC">
        <w:rPr>
          <w:rFonts w:eastAsia="DengXian"/>
          <w:spacing w:val="-4"/>
          <w:lang w:val="en-CA"/>
        </w:rPr>
        <w:t xml:space="preserve"> </w:t>
      </w:r>
      <w:r w:rsidR="000B09AB" w:rsidRPr="00D22AEC">
        <w:rPr>
          <w:rFonts w:eastAsia="DengXian"/>
          <w:spacing w:val="-4"/>
          <w:lang w:val="en-CA"/>
        </w:rPr>
        <w:t xml:space="preserve">the </w:t>
      </w:r>
      <w:r w:rsidR="002D4905" w:rsidRPr="00D22AEC">
        <w:rPr>
          <w:rFonts w:eastAsia="DengXian"/>
          <w:spacing w:val="-4"/>
          <w:lang w:val="en-CA"/>
        </w:rPr>
        <w:t>I</w:t>
      </w:r>
      <w:r w:rsidR="000B09AB" w:rsidRPr="00D22AEC">
        <w:rPr>
          <w:rFonts w:eastAsia="DengXian"/>
          <w:spacing w:val="-4"/>
          <w:lang w:val="en-CA"/>
        </w:rPr>
        <w:t xml:space="preserve">nternet. </w:t>
      </w:r>
      <w:r w:rsidR="0072614B" w:rsidRPr="00D22AEC">
        <w:rPr>
          <w:rFonts w:eastAsia="DengXian"/>
          <w:spacing w:val="-4"/>
          <w:lang w:val="en-CA"/>
        </w:rPr>
        <w:t xml:space="preserve">The </w:t>
      </w:r>
      <w:proofErr w:type="spellStart"/>
      <w:r w:rsidR="0072614B" w:rsidRPr="00D22AEC">
        <w:rPr>
          <w:rFonts w:eastAsia="DengXian"/>
          <w:spacing w:val="-4"/>
          <w:lang w:val="en-CA"/>
        </w:rPr>
        <w:t>telcos</w:t>
      </w:r>
      <w:proofErr w:type="spellEnd"/>
      <w:r w:rsidR="0072614B" w:rsidRPr="00D22AEC">
        <w:rPr>
          <w:rFonts w:eastAsia="DengXian"/>
          <w:spacing w:val="-4"/>
          <w:lang w:val="en-CA"/>
        </w:rPr>
        <w:t>’</w:t>
      </w:r>
      <w:r w:rsidR="000B09AB" w:rsidRPr="00D22AEC">
        <w:rPr>
          <w:rFonts w:eastAsia="DengXian"/>
          <w:spacing w:val="-4"/>
          <w:lang w:val="en-CA"/>
        </w:rPr>
        <w:t xml:space="preserve"> coverage was limited</w:t>
      </w:r>
      <w:r w:rsidR="003174CD" w:rsidRPr="00D22AEC">
        <w:rPr>
          <w:rFonts w:eastAsia="DengXian"/>
          <w:spacing w:val="-4"/>
          <w:lang w:val="en-CA"/>
        </w:rPr>
        <w:t>, however,</w:t>
      </w:r>
      <w:r w:rsidR="000B09AB" w:rsidRPr="00D22AEC">
        <w:rPr>
          <w:rFonts w:eastAsia="DengXian"/>
          <w:spacing w:val="-4"/>
          <w:lang w:val="en-CA"/>
        </w:rPr>
        <w:t xml:space="preserve"> to TV programs from </w:t>
      </w:r>
      <w:proofErr w:type="spellStart"/>
      <w:r w:rsidRPr="00D22AEC">
        <w:rPr>
          <w:rFonts w:eastAsia="DengXian"/>
          <w:spacing w:val="-4"/>
          <w:lang w:val="en-CA"/>
        </w:rPr>
        <w:t>Mediacorp</w:t>
      </w:r>
      <w:proofErr w:type="spellEnd"/>
      <w:r w:rsidRPr="00D22AEC">
        <w:rPr>
          <w:rFonts w:eastAsia="DengXian"/>
          <w:spacing w:val="-4"/>
          <w:lang w:val="en-CA"/>
        </w:rPr>
        <w:t xml:space="preserve"> Pvt. Ltd. (</w:t>
      </w:r>
      <w:proofErr w:type="spellStart"/>
      <w:r w:rsidR="000B09AB" w:rsidRPr="00D22AEC">
        <w:rPr>
          <w:rFonts w:eastAsia="DengXian"/>
          <w:spacing w:val="-4"/>
          <w:lang w:val="en-CA"/>
        </w:rPr>
        <w:t>Mediacorp</w:t>
      </w:r>
      <w:proofErr w:type="spellEnd"/>
      <w:r w:rsidRPr="00D22AEC">
        <w:rPr>
          <w:rFonts w:eastAsia="DengXian"/>
          <w:spacing w:val="-4"/>
          <w:lang w:val="en-CA"/>
        </w:rPr>
        <w:t>)</w:t>
      </w:r>
      <w:r w:rsidR="000B09AB" w:rsidRPr="00D22AEC">
        <w:rPr>
          <w:rFonts w:eastAsia="DengXian"/>
          <w:spacing w:val="-4"/>
          <w:lang w:val="en-CA"/>
        </w:rPr>
        <w:t>’s free-to-air channels via set-top boxes. For a flat monthly subscription fee of $10.98, Netflix provided access to unlimited content with the flexibility of cancelling subscription</w:t>
      </w:r>
      <w:r w:rsidR="00EA6671" w:rsidRPr="00D22AEC">
        <w:rPr>
          <w:rFonts w:eastAsia="DengXian"/>
          <w:spacing w:val="-4"/>
          <w:lang w:val="en-CA"/>
        </w:rPr>
        <w:t>s</w:t>
      </w:r>
      <w:r w:rsidR="000B09AB" w:rsidRPr="00D22AEC">
        <w:rPr>
          <w:rFonts w:eastAsia="DengXian"/>
          <w:spacing w:val="-4"/>
          <w:lang w:val="en-CA"/>
        </w:rPr>
        <w:t xml:space="preserve"> anytime, while </w:t>
      </w:r>
      <w:proofErr w:type="spellStart"/>
      <w:r w:rsidR="000B09AB" w:rsidRPr="00D22AEC">
        <w:rPr>
          <w:rFonts w:eastAsia="DengXian"/>
          <w:spacing w:val="-4"/>
          <w:lang w:val="en-CA"/>
        </w:rPr>
        <w:t>StarHub’s</w:t>
      </w:r>
      <w:proofErr w:type="spellEnd"/>
      <w:r w:rsidR="000B09AB" w:rsidRPr="00D22AEC">
        <w:rPr>
          <w:rFonts w:eastAsia="DengXian"/>
          <w:spacing w:val="-4"/>
          <w:lang w:val="en-CA"/>
        </w:rPr>
        <w:t xml:space="preserve"> packages </w:t>
      </w:r>
      <w:proofErr w:type="gramStart"/>
      <w:r w:rsidR="000B09AB" w:rsidRPr="00D22AEC">
        <w:rPr>
          <w:rFonts w:eastAsia="DengXian"/>
          <w:spacing w:val="-4"/>
          <w:lang w:val="en-CA"/>
        </w:rPr>
        <w:t>were tied</w:t>
      </w:r>
      <w:proofErr w:type="gramEnd"/>
      <w:r w:rsidR="000B09AB" w:rsidRPr="00D22AEC">
        <w:rPr>
          <w:rFonts w:eastAsia="DengXian"/>
          <w:spacing w:val="-4"/>
          <w:lang w:val="en-CA"/>
        </w:rPr>
        <w:t xml:space="preserve"> to fixed contracts with an entry-level fee of $27</w:t>
      </w:r>
      <w:r w:rsidR="0072614B" w:rsidRPr="00D22AEC">
        <w:rPr>
          <w:rFonts w:eastAsia="DengXian"/>
          <w:spacing w:val="-4"/>
          <w:lang w:val="en-CA"/>
        </w:rPr>
        <w:t>.00</w:t>
      </w:r>
      <w:r w:rsidR="000B09AB" w:rsidRPr="00D22AEC">
        <w:rPr>
          <w:rFonts w:eastAsia="DengXian"/>
          <w:spacing w:val="-4"/>
          <w:lang w:val="en-CA"/>
        </w:rPr>
        <w:t>. While these OTT players did not offer local and sports content, they did shake up the incumbents’ hold on the market. Since the entry of the OTT players</w:t>
      </w:r>
      <w:r w:rsidR="00EA6671" w:rsidRPr="00D22AEC">
        <w:rPr>
          <w:rFonts w:eastAsia="DengXian"/>
          <w:spacing w:val="-4"/>
          <w:lang w:val="en-CA"/>
        </w:rPr>
        <w:t xml:space="preserve"> in 2016</w:t>
      </w:r>
      <w:r w:rsidR="000B09AB" w:rsidRPr="00D22AEC">
        <w:rPr>
          <w:rFonts w:eastAsia="DengXian"/>
          <w:spacing w:val="-4"/>
          <w:lang w:val="en-CA"/>
        </w:rPr>
        <w:t xml:space="preserve">, nearly 89,000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subscribers had withdrawn from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services. This trend </w:t>
      </w:r>
      <w:proofErr w:type="gramStart"/>
      <w:r w:rsidR="000B09AB" w:rsidRPr="00D22AEC">
        <w:rPr>
          <w:rFonts w:eastAsia="DengXian"/>
          <w:spacing w:val="-4"/>
          <w:lang w:val="en-CA"/>
        </w:rPr>
        <w:t>was expected</w:t>
      </w:r>
      <w:proofErr w:type="gramEnd"/>
      <w:r w:rsidR="000B09AB" w:rsidRPr="00D22AEC">
        <w:rPr>
          <w:rFonts w:eastAsia="DengXian"/>
          <w:spacing w:val="-4"/>
          <w:lang w:val="en-CA"/>
        </w:rPr>
        <w:t xml:space="preserve"> to continue into 2018 for all </w:t>
      </w:r>
      <w:proofErr w:type="spellStart"/>
      <w:r w:rsidR="000B09AB" w:rsidRPr="00D22AEC">
        <w:rPr>
          <w:rFonts w:eastAsia="DengXian"/>
          <w:spacing w:val="-4"/>
          <w:lang w:val="en-CA"/>
        </w:rPr>
        <w:t>telcos</w:t>
      </w:r>
      <w:proofErr w:type="spellEnd"/>
      <w:r w:rsidR="000B09AB" w:rsidRPr="00D22AEC">
        <w:rPr>
          <w:rFonts w:eastAsia="DengXian"/>
          <w:spacing w:val="-4"/>
          <w:lang w:val="en-CA"/>
        </w:rPr>
        <w:t xml:space="preserve">, where higher-end subscribers to OTT and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would begin to exit </w:t>
      </w:r>
      <w:proofErr w:type="spellStart"/>
      <w:r w:rsidR="000B09AB" w:rsidRPr="00D22AEC">
        <w:rPr>
          <w:rFonts w:eastAsia="DengXian"/>
          <w:spacing w:val="-4"/>
          <w:lang w:val="en-CA"/>
        </w:rPr>
        <w:t>pay-TV</w:t>
      </w:r>
      <w:proofErr w:type="spellEnd"/>
      <w:r w:rsidR="000B09AB" w:rsidRPr="00D22AEC">
        <w:rPr>
          <w:rFonts w:eastAsia="DengXian"/>
          <w:spacing w:val="-4"/>
          <w:lang w:val="en-CA"/>
        </w:rPr>
        <w:t xml:space="preserve"> services due to a </w:t>
      </w:r>
      <w:r w:rsidR="00C74442" w:rsidRPr="00D22AEC">
        <w:rPr>
          <w:rFonts w:eastAsia="DengXian"/>
          <w:spacing w:val="-4"/>
          <w:lang w:val="en-CA"/>
        </w:rPr>
        <w:t xml:space="preserve">perceived </w:t>
      </w:r>
      <w:r w:rsidR="000B09AB" w:rsidRPr="00D22AEC">
        <w:rPr>
          <w:rFonts w:eastAsia="DengXian"/>
          <w:spacing w:val="-4"/>
          <w:lang w:val="en-CA"/>
        </w:rPr>
        <w:t>lack of benefits.</w:t>
      </w:r>
    </w:p>
    <w:p w14:paraId="29768299" w14:textId="77777777" w:rsidR="008B7918" w:rsidRPr="00830F16" w:rsidRDefault="008B7918" w:rsidP="000B09AB">
      <w:pPr>
        <w:pStyle w:val="BodyTextMain"/>
        <w:rPr>
          <w:rFonts w:eastAsia="DengXian"/>
          <w:lang w:val="en-CA"/>
        </w:rPr>
      </w:pPr>
    </w:p>
    <w:p w14:paraId="4936E84B" w14:textId="5D7CF1A2" w:rsidR="000B09AB" w:rsidRPr="00D22AEC" w:rsidRDefault="000B09AB" w:rsidP="000B09AB">
      <w:pPr>
        <w:pStyle w:val="BodyTextMain"/>
        <w:rPr>
          <w:rFonts w:eastAsia="DengXian"/>
          <w:spacing w:val="-4"/>
          <w:lang w:val="en-CA"/>
        </w:rPr>
      </w:pPr>
      <w:r w:rsidRPr="00D22AEC">
        <w:rPr>
          <w:rFonts w:eastAsia="DengXian"/>
          <w:spacing w:val="-4"/>
          <w:lang w:val="en-CA"/>
        </w:rPr>
        <w:t xml:space="preserve">Although </w:t>
      </w:r>
      <w:proofErr w:type="spellStart"/>
      <w:r w:rsidRPr="00D22AEC">
        <w:rPr>
          <w:rFonts w:eastAsia="DengXian"/>
          <w:spacing w:val="-4"/>
          <w:lang w:val="en-CA"/>
        </w:rPr>
        <w:t>StarHub</w:t>
      </w:r>
      <w:proofErr w:type="spellEnd"/>
      <w:r w:rsidRPr="00D22AEC">
        <w:rPr>
          <w:rFonts w:eastAsia="DengXian"/>
          <w:spacing w:val="-4"/>
          <w:lang w:val="en-CA"/>
        </w:rPr>
        <w:t xml:space="preserve"> kept its earnings relatively stable in the face of the slowing global economy, the company’s total revenue and net profits </w:t>
      </w:r>
      <w:r w:rsidR="007E5331" w:rsidRPr="00D22AEC">
        <w:rPr>
          <w:rFonts w:eastAsia="DengXian"/>
          <w:spacing w:val="-4"/>
          <w:lang w:val="en-CA"/>
        </w:rPr>
        <w:t>grew</w:t>
      </w:r>
      <w:r w:rsidRPr="00D22AEC">
        <w:rPr>
          <w:rFonts w:eastAsia="DengXian"/>
          <w:spacing w:val="-4"/>
          <w:lang w:val="en-CA"/>
        </w:rPr>
        <w:t xml:space="preserve"> at a moderate pace. Between 2012 and 2016, </w:t>
      </w:r>
      <w:proofErr w:type="spellStart"/>
      <w:r w:rsidRPr="00D22AEC">
        <w:rPr>
          <w:rFonts w:eastAsia="DengXian"/>
          <w:spacing w:val="-4"/>
          <w:lang w:val="en-CA"/>
        </w:rPr>
        <w:t>StarHub’s</w:t>
      </w:r>
      <w:proofErr w:type="spellEnd"/>
      <w:r w:rsidRPr="00D22AEC">
        <w:rPr>
          <w:rFonts w:eastAsia="DengXian"/>
          <w:spacing w:val="-4"/>
          <w:lang w:val="en-CA"/>
        </w:rPr>
        <w:t xml:space="preserve"> EBITDA</w:t>
      </w:r>
      <w:r w:rsidRPr="00D22AEC">
        <w:rPr>
          <w:rFonts w:eastAsia="DengXian"/>
          <w:spacing w:val="-4"/>
          <w:vertAlign w:val="superscript"/>
          <w:lang w:val="en-CA"/>
        </w:rPr>
        <w:endnoteReference w:id="18"/>
      </w:r>
      <w:r w:rsidRPr="00D22AEC">
        <w:rPr>
          <w:rFonts w:eastAsia="DengXian"/>
          <w:spacing w:val="-4"/>
          <w:lang w:val="en-CA"/>
        </w:rPr>
        <w:t xml:space="preserve"> </w:t>
      </w:r>
      <w:r w:rsidRPr="00D22AEC">
        <w:rPr>
          <w:rFonts w:eastAsia="DengXian"/>
          <w:spacing w:val="-4"/>
          <w:lang w:val="en-CA"/>
        </w:rPr>
        <w:lastRenderedPageBreak/>
        <w:t>experienced slowing or level</w:t>
      </w:r>
      <w:r w:rsidR="00532701" w:rsidRPr="00D22AEC">
        <w:rPr>
          <w:rFonts w:eastAsia="DengXian"/>
          <w:spacing w:val="-4"/>
          <w:lang w:val="en-CA"/>
        </w:rPr>
        <w:t>l</w:t>
      </w:r>
      <w:r w:rsidRPr="00D22AEC">
        <w:rPr>
          <w:rFonts w:eastAsia="DengXian"/>
          <w:spacing w:val="-4"/>
          <w:lang w:val="en-CA"/>
        </w:rPr>
        <w:t xml:space="preserve">ing growth (see Exhibit </w:t>
      </w:r>
      <w:r w:rsidR="004A2D51" w:rsidRPr="00D22AEC">
        <w:rPr>
          <w:rFonts w:eastAsia="DengXian"/>
          <w:spacing w:val="-4"/>
          <w:lang w:val="en-CA"/>
        </w:rPr>
        <w:t>5</w:t>
      </w:r>
      <w:r w:rsidRPr="00D22AEC">
        <w:rPr>
          <w:rFonts w:eastAsia="DengXian"/>
          <w:spacing w:val="-4"/>
          <w:lang w:val="en-CA"/>
        </w:rPr>
        <w:t>).</w:t>
      </w:r>
      <w:r w:rsidRPr="00D22AEC">
        <w:rPr>
          <w:rFonts w:eastAsia="DengXian"/>
          <w:b/>
          <w:spacing w:val="-4"/>
          <w:lang w:val="en-CA"/>
        </w:rPr>
        <w:t xml:space="preserve"> </w:t>
      </w:r>
      <w:r w:rsidRPr="00D22AEC">
        <w:rPr>
          <w:rFonts w:eastAsia="DengXian"/>
          <w:spacing w:val="-4"/>
          <w:lang w:val="en-CA"/>
        </w:rPr>
        <w:t xml:space="preserve">The mounting competition in its main business lines compelled </w:t>
      </w:r>
      <w:proofErr w:type="spellStart"/>
      <w:r w:rsidRPr="00D22AEC">
        <w:rPr>
          <w:rFonts w:eastAsia="DengXian"/>
          <w:spacing w:val="-4"/>
          <w:lang w:val="en-CA"/>
        </w:rPr>
        <w:t>StarHub</w:t>
      </w:r>
      <w:proofErr w:type="spellEnd"/>
      <w:r w:rsidRPr="00D22AEC">
        <w:rPr>
          <w:rFonts w:eastAsia="DengXian"/>
          <w:spacing w:val="-4"/>
          <w:lang w:val="en-CA"/>
        </w:rPr>
        <w:t xml:space="preserve"> to explore new sources of revenue growth. </w:t>
      </w:r>
    </w:p>
    <w:p w14:paraId="4F0D6D3E" w14:textId="77777777" w:rsidR="00D22AEC" w:rsidRPr="00D22AEC" w:rsidRDefault="00D22AEC" w:rsidP="000B09AB">
      <w:pPr>
        <w:pStyle w:val="BodyTextMain"/>
        <w:rPr>
          <w:rFonts w:eastAsia="DengXian"/>
          <w:spacing w:val="-2"/>
          <w:lang w:val="en-CA"/>
        </w:rPr>
      </w:pPr>
    </w:p>
    <w:p w14:paraId="5C097317" w14:textId="0E045DC9" w:rsidR="000B09AB" w:rsidRPr="00D22AEC" w:rsidRDefault="000B09AB" w:rsidP="0044691E">
      <w:pPr>
        <w:pStyle w:val="Casehead1"/>
        <w:keepNext/>
        <w:rPr>
          <w:rFonts w:eastAsia="DengXian"/>
          <w:spacing w:val="-2"/>
          <w:lang w:val="en-CA"/>
        </w:rPr>
      </w:pPr>
      <w:proofErr w:type="spellStart"/>
      <w:r w:rsidRPr="00D22AEC">
        <w:rPr>
          <w:rFonts w:eastAsia="DengXian"/>
          <w:spacing w:val="-2"/>
          <w:lang w:val="en-CA"/>
        </w:rPr>
        <w:t>STARHUB’S</w:t>
      </w:r>
      <w:proofErr w:type="spellEnd"/>
      <w:r w:rsidRPr="00D22AEC">
        <w:rPr>
          <w:rFonts w:eastAsia="DengXian"/>
          <w:spacing w:val="-2"/>
          <w:lang w:val="en-CA"/>
        </w:rPr>
        <w:t xml:space="preserve"> JOURNEY INTO INNOVATION </w:t>
      </w:r>
    </w:p>
    <w:p w14:paraId="719133A3" w14:textId="77777777" w:rsidR="000B09AB" w:rsidRPr="00D22AEC" w:rsidRDefault="000B09AB" w:rsidP="0044691E">
      <w:pPr>
        <w:keepNext/>
        <w:jc w:val="both"/>
        <w:rPr>
          <w:rFonts w:eastAsia="DengXian"/>
          <w:b/>
          <w:spacing w:val="-2"/>
          <w:sz w:val="22"/>
          <w:szCs w:val="22"/>
          <w:lang w:val="en-CA"/>
        </w:rPr>
      </w:pPr>
    </w:p>
    <w:p w14:paraId="6A76DED6" w14:textId="5E483AEC" w:rsidR="000B09AB" w:rsidRPr="00D22AEC" w:rsidRDefault="000B09AB" w:rsidP="0044691E">
      <w:pPr>
        <w:pStyle w:val="BodyTextMain"/>
        <w:keepNext/>
        <w:rPr>
          <w:rFonts w:eastAsia="DengXian"/>
          <w:spacing w:val="-2"/>
          <w:lang w:val="en-CA"/>
        </w:rPr>
      </w:pPr>
      <w:r w:rsidRPr="00D22AEC">
        <w:rPr>
          <w:rFonts w:eastAsia="DengXian"/>
          <w:spacing w:val="-2"/>
          <w:lang w:val="en-CA"/>
        </w:rPr>
        <w:t xml:space="preserve">In response to intensifying competition, </w:t>
      </w:r>
      <w:proofErr w:type="spellStart"/>
      <w:r w:rsidRPr="00D22AEC">
        <w:rPr>
          <w:rFonts w:eastAsia="DengXian"/>
          <w:spacing w:val="-2"/>
          <w:lang w:val="en-CA"/>
        </w:rPr>
        <w:t>StarHub</w:t>
      </w:r>
      <w:proofErr w:type="spellEnd"/>
      <w:r w:rsidRPr="00D22AEC">
        <w:rPr>
          <w:rFonts w:eastAsia="DengXian"/>
          <w:spacing w:val="-2"/>
          <w:lang w:val="en-CA"/>
        </w:rPr>
        <w:t xml:space="preserve"> sharpened its focus on innovation, particularly in the domains of cyber security and data analytics. The organization also fostered emerging businesses that leveraged the resources of its main business units in the area of</w:t>
      </w:r>
      <w:r w:rsidR="006B0CB4" w:rsidRPr="00D22AEC">
        <w:rPr>
          <w:rFonts w:eastAsia="DengXian"/>
          <w:spacing w:val="-2"/>
          <w:lang w:val="en-CA"/>
        </w:rPr>
        <w:t xml:space="preserve"> the</w:t>
      </w:r>
      <w:r w:rsidR="005914D3" w:rsidRPr="00D22AEC">
        <w:rPr>
          <w:rFonts w:eastAsia="DengXian"/>
          <w:spacing w:val="-2"/>
          <w:lang w:val="en-CA"/>
        </w:rPr>
        <w:t xml:space="preserve"> </w:t>
      </w:r>
      <w:r w:rsidR="006B0CB4" w:rsidRPr="00D22AEC">
        <w:rPr>
          <w:rFonts w:eastAsia="DengXian"/>
          <w:spacing w:val="-2"/>
          <w:lang w:val="en-CA"/>
        </w:rPr>
        <w:t>I</w:t>
      </w:r>
      <w:r w:rsidRPr="00D22AEC">
        <w:rPr>
          <w:rFonts w:eastAsia="DengXian"/>
          <w:spacing w:val="-2"/>
          <w:lang w:val="en-CA"/>
        </w:rPr>
        <w:t xml:space="preserve">nternet of </w:t>
      </w:r>
      <w:r w:rsidR="004F3FE2" w:rsidRPr="00D22AEC">
        <w:rPr>
          <w:rFonts w:eastAsia="DengXian"/>
          <w:spacing w:val="-2"/>
          <w:lang w:val="en-CA"/>
        </w:rPr>
        <w:t>t</w:t>
      </w:r>
      <w:r w:rsidR="00360AC2" w:rsidRPr="00D22AEC">
        <w:rPr>
          <w:rFonts w:eastAsia="DengXian"/>
          <w:spacing w:val="-2"/>
          <w:lang w:val="en-CA"/>
        </w:rPr>
        <w:t>hings</w:t>
      </w:r>
      <w:r w:rsidRPr="00D22AEC">
        <w:rPr>
          <w:rFonts w:eastAsia="DengXian"/>
          <w:spacing w:val="-2"/>
          <w:lang w:val="en-CA"/>
        </w:rPr>
        <w:t xml:space="preserve"> (</w:t>
      </w:r>
      <w:proofErr w:type="spellStart"/>
      <w:r w:rsidRPr="00D22AEC">
        <w:rPr>
          <w:rFonts w:eastAsia="DengXian"/>
          <w:spacing w:val="-2"/>
          <w:lang w:val="en-CA"/>
        </w:rPr>
        <w:t>IoT</w:t>
      </w:r>
      <w:proofErr w:type="spellEnd"/>
      <w:r w:rsidRPr="00D22AEC">
        <w:rPr>
          <w:rFonts w:eastAsia="DengXian"/>
          <w:spacing w:val="-2"/>
          <w:lang w:val="en-CA"/>
        </w:rPr>
        <w:t>).</w:t>
      </w:r>
      <w:r w:rsidRPr="00D22AEC">
        <w:rPr>
          <w:rFonts w:eastAsia="DengXian"/>
          <w:spacing w:val="-2"/>
          <w:vertAlign w:val="superscript"/>
          <w:lang w:val="en-CA"/>
        </w:rPr>
        <w:endnoteReference w:id="19"/>
      </w:r>
      <w:r w:rsidRPr="00D22AEC">
        <w:rPr>
          <w:rFonts w:eastAsia="DengXian"/>
          <w:spacing w:val="-2"/>
          <w:lang w:val="en-CA"/>
        </w:rPr>
        <w:t xml:space="preserve"> </w:t>
      </w:r>
      <w:proofErr w:type="spellStart"/>
      <w:r w:rsidRPr="00D22AEC">
        <w:rPr>
          <w:rFonts w:eastAsia="DengXian"/>
          <w:color w:val="000000"/>
          <w:spacing w:val="-2"/>
          <w:lang w:val="en-CA"/>
        </w:rPr>
        <w:t>StarHub</w:t>
      </w:r>
      <w:proofErr w:type="spellEnd"/>
      <w:r w:rsidRPr="00D22AEC">
        <w:rPr>
          <w:rFonts w:eastAsia="DengXian"/>
          <w:color w:val="000000"/>
          <w:spacing w:val="-2"/>
          <w:lang w:val="en-CA"/>
        </w:rPr>
        <w:t xml:space="preserve"> appreciated its clients’ growing dependency on the security, availability</w:t>
      </w:r>
      <w:r w:rsidR="005914D3" w:rsidRPr="00D22AEC">
        <w:rPr>
          <w:rFonts w:eastAsia="DengXian"/>
          <w:color w:val="000000"/>
          <w:spacing w:val="-2"/>
          <w:lang w:val="en-CA"/>
        </w:rPr>
        <w:t>,</w:t>
      </w:r>
      <w:r w:rsidRPr="00D22AEC">
        <w:rPr>
          <w:rFonts w:eastAsia="DengXian"/>
          <w:color w:val="000000"/>
          <w:spacing w:val="-2"/>
          <w:lang w:val="en-CA"/>
        </w:rPr>
        <w:t xml:space="preserve"> and resilience of its underlying network infrastructure. </w:t>
      </w:r>
      <w:proofErr w:type="gramStart"/>
      <w:r w:rsidR="00BD1731" w:rsidRPr="00D22AEC">
        <w:rPr>
          <w:rFonts w:eastAsia="DengXian"/>
          <w:color w:val="000000"/>
          <w:spacing w:val="-2"/>
          <w:lang w:val="en-CA"/>
        </w:rPr>
        <w:t>As a result</w:t>
      </w:r>
      <w:proofErr w:type="gramEnd"/>
      <w:r w:rsidR="00BD1731" w:rsidRPr="00D22AEC">
        <w:rPr>
          <w:rFonts w:eastAsia="DengXian"/>
          <w:color w:val="000000"/>
          <w:spacing w:val="-2"/>
          <w:lang w:val="en-CA"/>
        </w:rPr>
        <w:t xml:space="preserve"> of </w:t>
      </w:r>
      <w:r w:rsidRPr="00D22AEC">
        <w:rPr>
          <w:rFonts w:eastAsia="DengXian"/>
          <w:color w:val="000000"/>
          <w:spacing w:val="-2"/>
          <w:lang w:val="en-CA"/>
        </w:rPr>
        <w:t xml:space="preserve">increasing connectivity through cloud computing and </w:t>
      </w:r>
      <w:r w:rsidR="005914D3" w:rsidRPr="00D22AEC">
        <w:rPr>
          <w:rFonts w:eastAsia="DengXian"/>
          <w:color w:val="000000"/>
          <w:spacing w:val="-2"/>
          <w:lang w:val="en-CA"/>
        </w:rPr>
        <w:t xml:space="preserve">a </w:t>
      </w:r>
      <w:r w:rsidRPr="00D22AEC">
        <w:rPr>
          <w:rFonts w:eastAsia="DengXian"/>
          <w:color w:val="000000"/>
          <w:spacing w:val="-2"/>
          <w:lang w:val="en-CA"/>
        </w:rPr>
        <w:t xml:space="preserve">rising threat of cyber breaches, </w:t>
      </w:r>
      <w:r w:rsidR="00BD1731" w:rsidRPr="00D22AEC">
        <w:rPr>
          <w:rFonts w:eastAsia="DengXian"/>
          <w:color w:val="000000"/>
          <w:spacing w:val="-2"/>
          <w:lang w:val="en-CA"/>
        </w:rPr>
        <w:t xml:space="preserve">the robustness of </w:t>
      </w:r>
      <w:proofErr w:type="spellStart"/>
      <w:r w:rsidR="00BD1731" w:rsidRPr="00D22AEC">
        <w:rPr>
          <w:rFonts w:eastAsia="DengXian"/>
          <w:color w:val="000000"/>
          <w:spacing w:val="-2"/>
          <w:lang w:val="en-CA"/>
        </w:rPr>
        <w:t>StarHub’s</w:t>
      </w:r>
      <w:proofErr w:type="spellEnd"/>
      <w:r w:rsidR="00BD1731" w:rsidRPr="00D22AEC">
        <w:rPr>
          <w:rFonts w:eastAsia="DengXian"/>
          <w:color w:val="000000"/>
          <w:spacing w:val="-2"/>
          <w:lang w:val="en-CA"/>
        </w:rPr>
        <w:t xml:space="preserve"> </w:t>
      </w:r>
      <w:r w:rsidRPr="00D22AEC">
        <w:rPr>
          <w:rFonts w:eastAsia="DengXian"/>
          <w:color w:val="000000"/>
          <w:spacing w:val="-2"/>
          <w:lang w:val="en-CA"/>
        </w:rPr>
        <w:t>network</w:t>
      </w:r>
      <w:r w:rsidR="00BD1731" w:rsidRPr="00D22AEC">
        <w:rPr>
          <w:rFonts w:eastAsia="DengXian"/>
          <w:color w:val="000000"/>
          <w:spacing w:val="-2"/>
          <w:lang w:val="en-CA"/>
        </w:rPr>
        <w:t>s</w:t>
      </w:r>
      <w:r w:rsidRPr="00D22AEC">
        <w:rPr>
          <w:rFonts w:eastAsia="DengXian"/>
          <w:color w:val="000000"/>
          <w:spacing w:val="-2"/>
          <w:lang w:val="en-CA"/>
        </w:rPr>
        <w:t xml:space="preserve"> and system</w:t>
      </w:r>
      <w:r w:rsidR="00BD1731" w:rsidRPr="00D22AEC">
        <w:rPr>
          <w:rFonts w:eastAsia="DengXian"/>
          <w:color w:val="000000"/>
          <w:spacing w:val="-2"/>
          <w:lang w:val="en-CA"/>
        </w:rPr>
        <w:t>s</w:t>
      </w:r>
      <w:r w:rsidRPr="00D22AEC">
        <w:rPr>
          <w:rFonts w:eastAsia="DengXian"/>
          <w:color w:val="000000"/>
          <w:spacing w:val="-2"/>
          <w:lang w:val="en-CA"/>
        </w:rPr>
        <w:t xml:space="preserve"> would be of paramount importance to mitigate the risk of outages that could disrupt services. Security resilience would also be critical to fortify</w:t>
      </w:r>
      <w:r w:rsidR="006B0CB4" w:rsidRPr="00D22AEC">
        <w:rPr>
          <w:rFonts w:eastAsia="DengXian"/>
          <w:color w:val="000000"/>
          <w:spacing w:val="-2"/>
          <w:lang w:val="en-CA"/>
        </w:rPr>
        <w:t>ing</w:t>
      </w:r>
      <w:r w:rsidRPr="00D22AEC">
        <w:rPr>
          <w:rFonts w:eastAsia="DengXian"/>
          <w:color w:val="000000"/>
          <w:spacing w:val="-2"/>
          <w:lang w:val="en-CA"/>
        </w:rPr>
        <w:t xml:space="preserve"> </w:t>
      </w:r>
      <w:proofErr w:type="spellStart"/>
      <w:r w:rsidR="00BD1731" w:rsidRPr="00D22AEC">
        <w:rPr>
          <w:rFonts w:eastAsia="DengXian"/>
          <w:color w:val="000000"/>
          <w:spacing w:val="-2"/>
          <w:lang w:val="en-CA"/>
        </w:rPr>
        <w:t>StarHub’s</w:t>
      </w:r>
      <w:proofErr w:type="spellEnd"/>
      <w:r w:rsidR="00BD1731" w:rsidRPr="00D22AEC">
        <w:rPr>
          <w:rFonts w:eastAsia="DengXian"/>
          <w:color w:val="000000"/>
          <w:spacing w:val="-2"/>
          <w:lang w:val="en-CA"/>
        </w:rPr>
        <w:t xml:space="preserve"> </w:t>
      </w:r>
      <w:r w:rsidRPr="00D22AEC">
        <w:rPr>
          <w:rFonts w:eastAsia="DengXian"/>
          <w:color w:val="000000"/>
          <w:spacing w:val="-2"/>
          <w:lang w:val="en-CA"/>
        </w:rPr>
        <w:t xml:space="preserve">client organizations against </w:t>
      </w:r>
      <w:r w:rsidR="00BD1731" w:rsidRPr="00D22AEC">
        <w:rPr>
          <w:rFonts w:eastAsia="DengXian"/>
          <w:color w:val="000000"/>
          <w:spacing w:val="-2"/>
          <w:lang w:val="en-CA"/>
        </w:rPr>
        <w:t xml:space="preserve">the </w:t>
      </w:r>
      <w:r w:rsidRPr="00D22AEC">
        <w:rPr>
          <w:rFonts w:eastAsia="DengXian"/>
          <w:color w:val="000000"/>
          <w:spacing w:val="-2"/>
          <w:lang w:val="en-CA"/>
        </w:rPr>
        <w:t xml:space="preserve">loss of information and breaches of regulatory and contractual obligations. As customers became more technologically </w:t>
      </w:r>
      <w:proofErr w:type="gramStart"/>
      <w:r w:rsidRPr="00D22AEC">
        <w:rPr>
          <w:rFonts w:eastAsia="DengXian"/>
          <w:color w:val="000000"/>
          <w:spacing w:val="-2"/>
          <w:lang w:val="en-CA"/>
        </w:rPr>
        <w:t>savvy</w:t>
      </w:r>
      <w:proofErr w:type="gramEnd"/>
      <w:r w:rsidRPr="00D22AEC">
        <w:rPr>
          <w:rFonts w:eastAsia="DengXian"/>
          <w:color w:val="000000"/>
          <w:spacing w:val="-2"/>
          <w:lang w:val="en-CA"/>
        </w:rPr>
        <w:t xml:space="preserve">, consumer insights and analytics became a crucial differentiator in deepening customer engagement and achieving operational efficiency. </w:t>
      </w:r>
    </w:p>
    <w:p w14:paraId="6D4FA3DC" w14:textId="77777777" w:rsidR="000B09AB" w:rsidRPr="00D22AEC" w:rsidRDefault="000B09AB" w:rsidP="000B09AB">
      <w:pPr>
        <w:pStyle w:val="BodyTextMain"/>
        <w:rPr>
          <w:rFonts w:eastAsia="SimSun"/>
          <w:color w:val="000000"/>
          <w:spacing w:val="-2"/>
          <w:lang w:val="en-CA"/>
        </w:rPr>
      </w:pPr>
    </w:p>
    <w:p w14:paraId="234E333F" w14:textId="0ED2FBAA" w:rsidR="000B09AB" w:rsidRPr="00D22AEC" w:rsidRDefault="000B09AB" w:rsidP="000B09AB">
      <w:pPr>
        <w:pStyle w:val="BodyTextMain"/>
        <w:rPr>
          <w:rFonts w:eastAsia="SimSun"/>
          <w:spacing w:val="-2"/>
          <w:lang w:val="en-CA"/>
        </w:rPr>
      </w:pPr>
      <w:r w:rsidRPr="00D22AEC">
        <w:rPr>
          <w:rFonts w:eastAsia="SimSun"/>
          <w:color w:val="000000"/>
          <w:spacing w:val="-2"/>
          <w:lang w:val="en-CA"/>
        </w:rPr>
        <w:t xml:space="preserve">Recognizing rising demand for expertise in security and big data, in November 2013, </w:t>
      </w:r>
      <w:proofErr w:type="spellStart"/>
      <w:r w:rsidRPr="00D22AEC">
        <w:rPr>
          <w:rFonts w:eastAsia="SimSun"/>
          <w:color w:val="000000"/>
          <w:spacing w:val="-2"/>
          <w:lang w:val="en-CA"/>
        </w:rPr>
        <w:t>StarHub</w:t>
      </w:r>
      <w:proofErr w:type="spellEnd"/>
      <w:r w:rsidRPr="00D22AEC">
        <w:rPr>
          <w:rFonts w:eastAsia="SimSun"/>
          <w:color w:val="000000"/>
          <w:spacing w:val="-2"/>
          <w:lang w:val="en-CA"/>
        </w:rPr>
        <w:t xml:space="preserve"> hired cyber</w:t>
      </w:r>
      <w:r w:rsidR="00630648" w:rsidRPr="00D22AEC">
        <w:rPr>
          <w:rFonts w:eastAsia="SimSun"/>
          <w:color w:val="000000"/>
          <w:spacing w:val="-2"/>
          <w:lang w:val="en-CA"/>
        </w:rPr>
        <w:t>-</w:t>
      </w:r>
      <w:r w:rsidRPr="00D22AEC">
        <w:rPr>
          <w:rFonts w:eastAsia="SimSun"/>
          <w:color w:val="000000"/>
          <w:spacing w:val="-2"/>
          <w:lang w:val="en-CA"/>
        </w:rPr>
        <w:t>security and analytics expert Dr</w:t>
      </w:r>
      <w:r w:rsidR="00BD1731" w:rsidRPr="00D22AEC">
        <w:rPr>
          <w:rFonts w:eastAsia="SimSun"/>
          <w:color w:val="000000"/>
          <w:spacing w:val="-2"/>
          <w:lang w:val="en-CA"/>
        </w:rPr>
        <w:t>.</w:t>
      </w:r>
      <w:r w:rsidRPr="00D22AEC">
        <w:rPr>
          <w:rFonts w:eastAsia="SimSun"/>
          <w:color w:val="000000"/>
          <w:spacing w:val="-2"/>
          <w:lang w:val="en-CA"/>
        </w:rPr>
        <w:t xml:space="preserve"> Lim </w:t>
      </w:r>
      <w:r w:rsidRPr="00D22AEC">
        <w:rPr>
          <w:rFonts w:eastAsia="SimSun"/>
          <w:spacing w:val="-2"/>
          <w:lang w:val="en-CA"/>
        </w:rPr>
        <w:t>Woo Lip</w:t>
      </w:r>
      <w:r w:rsidR="00BD1731" w:rsidRPr="00D22AEC">
        <w:rPr>
          <w:rFonts w:eastAsia="SimSun"/>
          <w:spacing w:val="-2"/>
          <w:lang w:val="en-CA"/>
        </w:rPr>
        <w:t>,</w:t>
      </w:r>
      <w:r w:rsidRPr="00D22AEC">
        <w:rPr>
          <w:rFonts w:eastAsia="SimSun"/>
          <w:spacing w:val="-2"/>
          <w:lang w:val="en-CA"/>
        </w:rPr>
        <w:t xml:space="preserve"> from the Ministry of Defence of Singapore</w:t>
      </w:r>
      <w:r w:rsidR="00BD1731" w:rsidRPr="00D22AEC">
        <w:rPr>
          <w:rFonts w:eastAsia="SimSun"/>
          <w:spacing w:val="-2"/>
          <w:lang w:val="en-CA"/>
        </w:rPr>
        <w:t>,</w:t>
      </w:r>
      <w:r w:rsidRPr="00D22AEC">
        <w:rPr>
          <w:rFonts w:eastAsia="SimSun"/>
          <w:spacing w:val="-2"/>
          <w:lang w:val="en-CA"/>
        </w:rPr>
        <w:t xml:space="preserve"> to be </w:t>
      </w:r>
      <w:r w:rsidR="0013633F" w:rsidRPr="00D22AEC">
        <w:rPr>
          <w:rFonts w:eastAsia="SimSun"/>
          <w:spacing w:val="-2"/>
          <w:lang w:val="en-CA"/>
        </w:rPr>
        <w:t>v</w:t>
      </w:r>
      <w:r w:rsidRPr="00D22AEC">
        <w:rPr>
          <w:rFonts w:eastAsia="SimSun"/>
          <w:spacing w:val="-2"/>
          <w:lang w:val="en-CA"/>
        </w:rPr>
        <w:t>ice</w:t>
      </w:r>
      <w:r w:rsidR="00BD1731" w:rsidRPr="00D22AEC">
        <w:rPr>
          <w:rFonts w:eastAsia="SimSun"/>
          <w:spacing w:val="-2"/>
          <w:lang w:val="en-CA"/>
        </w:rPr>
        <w:t>-</w:t>
      </w:r>
      <w:r w:rsidR="0013633F" w:rsidRPr="00D22AEC">
        <w:rPr>
          <w:rFonts w:eastAsia="SimSun"/>
          <w:spacing w:val="-2"/>
          <w:lang w:val="en-CA"/>
        </w:rPr>
        <w:t>p</w:t>
      </w:r>
      <w:r w:rsidRPr="00D22AEC">
        <w:rPr>
          <w:rFonts w:eastAsia="SimSun"/>
          <w:spacing w:val="-2"/>
          <w:lang w:val="en-CA"/>
        </w:rPr>
        <w:t xml:space="preserve">resident of </w:t>
      </w:r>
      <w:proofErr w:type="spellStart"/>
      <w:r w:rsidRPr="00D22AEC">
        <w:rPr>
          <w:rFonts w:eastAsia="SimSun"/>
          <w:spacing w:val="-2"/>
          <w:lang w:val="en-CA"/>
        </w:rPr>
        <w:t>SmartHub</w:t>
      </w:r>
      <w:proofErr w:type="spellEnd"/>
      <w:r w:rsidRPr="00D22AEC">
        <w:rPr>
          <w:rFonts w:eastAsia="SimSun"/>
          <w:spacing w:val="-2"/>
          <w:lang w:val="en-CA"/>
        </w:rPr>
        <w:t>. Dr</w:t>
      </w:r>
      <w:r w:rsidR="00BD1731" w:rsidRPr="00D22AEC">
        <w:rPr>
          <w:rFonts w:eastAsia="SimSun"/>
          <w:spacing w:val="-2"/>
          <w:lang w:val="en-CA"/>
        </w:rPr>
        <w:t>.</w:t>
      </w:r>
      <w:r w:rsidRPr="00D22AEC">
        <w:rPr>
          <w:rFonts w:eastAsia="SimSun"/>
          <w:spacing w:val="-2"/>
          <w:lang w:val="en-CA"/>
        </w:rPr>
        <w:t xml:space="preserve"> Lim’s role was to spearhead </w:t>
      </w:r>
      <w:proofErr w:type="spellStart"/>
      <w:r w:rsidRPr="00D22AEC">
        <w:rPr>
          <w:rFonts w:eastAsia="SimSun"/>
          <w:spacing w:val="-2"/>
          <w:lang w:val="en-CA"/>
        </w:rPr>
        <w:t>StarHub’s</w:t>
      </w:r>
      <w:proofErr w:type="spellEnd"/>
      <w:r w:rsidRPr="00D22AEC">
        <w:rPr>
          <w:rFonts w:eastAsia="SimSun"/>
          <w:spacing w:val="-2"/>
          <w:lang w:val="en-CA"/>
        </w:rPr>
        <w:t xml:space="preserve"> development of analytics and cyber</w:t>
      </w:r>
      <w:r w:rsidR="00630648" w:rsidRPr="00D22AEC">
        <w:rPr>
          <w:rFonts w:eastAsia="SimSun"/>
          <w:spacing w:val="-2"/>
          <w:lang w:val="en-CA"/>
        </w:rPr>
        <w:t>-</w:t>
      </w:r>
      <w:r w:rsidRPr="00D22AEC">
        <w:rPr>
          <w:rFonts w:eastAsia="SimSun"/>
          <w:spacing w:val="-2"/>
          <w:lang w:val="en-CA"/>
        </w:rPr>
        <w:t>security capabilities. He was also responsible for forging strategic collaborations with government agencies, institutes of higher learning</w:t>
      </w:r>
      <w:r w:rsidR="0013633F" w:rsidRPr="00D22AEC">
        <w:rPr>
          <w:rFonts w:eastAsia="SimSun"/>
          <w:spacing w:val="-2"/>
          <w:lang w:val="en-CA"/>
        </w:rPr>
        <w:t>,</w:t>
      </w:r>
      <w:r w:rsidRPr="00D22AEC">
        <w:rPr>
          <w:rFonts w:eastAsia="SimSun"/>
          <w:spacing w:val="-2"/>
          <w:lang w:val="en-CA"/>
        </w:rPr>
        <w:t xml:space="preserve"> and private firms. In May 2016, The </w:t>
      </w:r>
      <w:proofErr w:type="spellStart"/>
      <w:r w:rsidRPr="00D22AEC">
        <w:rPr>
          <w:rFonts w:eastAsia="SimSun"/>
          <w:spacing w:val="-2"/>
          <w:lang w:val="en-CA"/>
        </w:rPr>
        <w:t>StarHub</w:t>
      </w:r>
      <w:proofErr w:type="spellEnd"/>
      <w:r w:rsidRPr="00D22AEC">
        <w:rPr>
          <w:rFonts w:eastAsia="SimSun"/>
          <w:spacing w:val="-2"/>
          <w:lang w:val="en-CA"/>
        </w:rPr>
        <w:t xml:space="preserve"> Cyber Security Centre of Excellence (</w:t>
      </w:r>
      <w:proofErr w:type="spellStart"/>
      <w:r w:rsidRPr="00D22AEC">
        <w:rPr>
          <w:rFonts w:eastAsia="SimSun"/>
          <w:spacing w:val="-2"/>
          <w:lang w:val="en-CA"/>
        </w:rPr>
        <w:t>CoE</w:t>
      </w:r>
      <w:proofErr w:type="spellEnd"/>
      <w:r w:rsidRPr="00D22AEC">
        <w:rPr>
          <w:rFonts w:eastAsia="SimSun"/>
          <w:spacing w:val="-2"/>
          <w:lang w:val="en-CA"/>
        </w:rPr>
        <w:t xml:space="preserve">) </w:t>
      </w:r>
      <w:proofErr w:type="gramStart"/>
      <w:r w:rsidRPr="00D22AEC">
        <w:rPr>
          <w:rFonts w:eastAsia="SimSun"/>
          <w:spacing w:val="-2"/>
          <w:lang w:val="en-CA"/>
        </w:rPr>
        <w:t>was launched</w:t>
      </w:r>
      <w:proofErr w:type="gramEnd"/>
      <w:r w:rsidRPr="00D22AEC">
        <w:rPr>
          <w:rFonts w:eastAsia="SimSun"/>
          <w:spacing w:val="-2"/>
          <w:lang w:val="en-CA"/>
        </w:rPr>
        <w:t xml:space="preserve"> as a platform for the organization to co-create telco-centric cyber</w:t>
      </w:r>
      <w:r w:rsidR="0049092A" w:rsidRPr="00D22AEC">
        <w:rPr>
          <w:rFonts w:eastAsia="SimSun"/>
          <w:spacing w:val="-2"/>
          <w:lang w:val="en-CA"/>
        </w:rPr>
        <w:t>-</w:t>
      </w:r>
      <w:r w:rsidRPr="00D22AEC">
        <w:rPr>
          <w:rFonts w:eastAsia="SimSun"/>
          <w:spacing w:val="-2"/>
          <w:lang w:val="en-CA"/>
        </w:rPr>
        <w:t xml:space="preserve">security services that were integrated with </w:t>
      </w:r>
      <w:r w:rsidR="0013633F" w:rsidRPr="00D22AEC">
        <w:rPr>
          <w:rFonts w:eastAsia="SimSun"/>
          <w:spacing w:val="-2"/>
          <w:lang w:val="en-CA"/>
        </w:rPr>
        <w:t>its</w:t>
      </w:r>
      <w:r w:rsidRPr="00D22AEC">
        <w:rPr>
          <w:rFonts w:eastAsia="SimSun"/>
          <w:spacing w:val="-2"/>
          <w:lang w:val="en-CA"/>
        </w:rPr>
        <w:t xml:space="preserve"> core infrastructure. </w:t>
      </w:r>
    </w:p>
    <w:p w14:paraId="0A10C956" w14:textId="77777777" w:rsidR="000B09AB" w:rsidRPr="00D22AEC" w:rsidRDefault="000B09AB" w:rsidP="000B09AB">
      <w:pPr>
        <w:pStyle w:val="BodyTextMain"/>
        <w:rPr>
          <w:rFonts w:eastAsia="DengXian"/>
          <w:spacing w:val="-2"/>
          <w:lang w:val="en-CA"/>
        </w:rPr>
      </w:pPr>
    </w:p>
    <w:p w14:paraId="4108ACBA" w14:textId="2AE98283" w:rsidR="000B09AB" w:rsidRPr="00D22AEC" w:rsidRDefault="000B09AB" w:rsidP="000B09AB">
      <w:pPr>
        <w:pStyle w:val="BodyTextMain"/>
        <w:rPr>
          <w:rFonts w:eastAsia="DengXian"/>
          <w:spacing w:val="-2"/>
          <w:lang w:val="en-CA"/>
        </w:rPr>
      </w:pPr>
      <w:r w:rsidRPr="00D22AEC">
        <w:rPr>
          <w:rFonts w:eastAsia="DengXian"/>
          <w:spacing w:val="-2"/>
          <w:lang w:val="en-CA"/>
        </w:rPr>
        <w:t>In 2014, the Singapore government launched the Smart Nation initiative to “support better living, stronger communities, and create more opportunities, for all</w:t>
      </w:r>
      <w:r w:rsidR="0013633F" w:rsidRPr="00D22AEC">
        <w:rPr>
          <w:rFonts w:eastAsia="DengXian"/>
          <w:spacing w:val="-2"/>
          <w:lang w:val="en-CA"/>
        </w:rPr>
        <w:t>.</w:t>
      </w:r>
      <w:r w:rsidRPr="00D22AEC">
        <w:rPr>
          <w:rFonts w:eastAsia="DengXian"/>
          <w:spacing w:val="-2"/>
          <w:lang w:val="en-CA"/>
        </w:rPr>
        <w:t>”</w:t>
      </w:r>
      <w:r w:rsidRPr="00D22AEC">
        <w:rPr>
          <w:rFonts w:eastAsia="DengXian"/>
          <w:spacing w:val="-2"/>
          <w:vertAlign w:val="superscript"/>
          <w:lang w:val="en-CA"/>
        </w:rPr>
        <w:endnoteReference w:id="20"/>
      </w:r>
      <w:r w:rsidRPr="00D22AEC">
        <w:rPr>
          <w:rFonts w:eastAsia="DengXian"/>
          <w:spacing w:val="-2"/>
          <w:lang w:val="en-CA"/>
        </w:rPr>
        <w:t xml:space="preserve"> The plan was to deploy sensors and smart devices connected by a national </w:t>
      </w:r>
      <w:proofErr w:type="spellStart"/>
      <w:r w:rsidRPr="00D22AEC">
        <w:rPr>
          <w:rFonts w:eastAsia="DengXian"/>
          <w:spacing w:val="-2"/>
          <w:lang w:val="en-CA"/>
        </w:rPr>
        <w:t>IoT</w:t>
      </w:r>
      <w:proofErr w:type="spellEnd"/>
      <w:r w:rsidRPr="00D22AEC">
        <w:rPr>
          <w:rFonts w:eastAsia="DengXian"/>
          <w:spacing w:val="-2"/>
          <w:lang w:val="en-CA"/>
        </w:rPr>
        <w:t xml:space="preserve"> sensor communication backbone.</w:t>
      </w:r>
      <w:r w:rsidRPr="00D22AEC">
        <w:rPr>
          <w:rFonts w:eastAsia="DengXian"/>
          <w:spacing w:val="-2"/>
          <w:vertAlign w:val="superscript"/>
          <w:lang w:val="en-CA"/>
        </w:rPr>
        <w:endnoteReference w:id="21"/>
      </w:r>
      <w:r w:rsidRPr="00D22AEC">
        <w:rPr>
          <w:rFonts w:eastAsia="DengXian"/>
          <w:spacing w:val="-2"/>
          <w:lang w:val="en-CA"/>
        </w:rPr>
        <w:t xml:space="preserve"> These objects could range from </w:t>
      </w:r>
      <w:r w:rsidR="0061550D" w:rsidRPr="00D22AEC">
        <w:rPr>
          <w:rFonts w:eastAsia="DengXian"/>
          <w:spacing w:val="-2"/>
          <w:lang w:val="en-CA"/>
        </w:rPr>
        <w:t xml:space="preserve">indoor </w:t>
      </w:r>
      <w:r w:rsidRPr="00D22AEC">
        <w:rPr>
          <w:rFonts w:eastAsia="DengXian"/>
          <w:spacing w:val="-2"/>
          <w:lang w:val="en-CA"/>
        </w:rPr>
        <w:t xml:space="preserve">public utility meters to </w:t>
      </w:r>
      <w:r w:rsidR="0061550D" w:rsidRPr="00D22AEC">
        <w:rPr>
          <w:rFonts w:eastAsia="DengXian"/>
          <w:spacing w:val="-2"/>
          <w:lang w:val="en-CA"/>
        </w:rPr>
        <w:t xml:space="preserve">outdoor </w:t>
      </w:r>
      <w:r w:rsidR="0013633F" w:rsidRPr="00D22AEC">
        <w:rPr>
          <w:rFonts w:eastAsia="DengXian"/>
          <w:spacing w:val="-2"/>
          <w:lang w:val="en-CA"/>
        </w:rPr>
        <w:t>vehicles</w:t>
      </w:r>
      <w:r w:rsidRPr="00D22AEC">
        <w:rPr>
          <w:rFonts w:eastAsia="DengXian"/>
          <w:spacing w:val="-2"/>
          <w:lang w:val="en-CA"/>
        </w:rPr>
        <w:t xml:space="preserve">. </w:t>
      </w:r>
      <w:r w:rsidR="0013633F" w:rsidRPr="00D22AEC">
        <w:rPr>
          <w:rFonts w:eastAsia="DengXian"/>
          <w:spacing w:val="-2"/>
          <w:lang w:val="en-CA"/>
        </w:rPr>
        <w:t>The d</w:t>
      </w:r>
      <w:r w:rsidRPr="00D22AEC">
        <w:rPr>
          <w:rFonts w:eastAsia="DengXian"/>
          <w:spacing w:val="-2"/>
          <w:lang w:val="en-CA"/>
        </w:rPr>
        <w:t xml:space="preserve">ata collected </w:t>
      </w:r>
      <w:r w:rsidR="0013633F" w:rsidRPr="00D22AEC">
        <w:rPr>
          <w:rFonts w:eastAsia="DengXian"/>
          <w:spacing w:val="-2"/>
          <w:lang w:val="en-CA"/>
        </w:rPr>
        <w:t xml:space="preserve">would </w:t>
      </w:r>
      <w:r w:rsidRPr="00D22AEC">
        <w:rPr>
          <w:rFonts w:eastAsia="DengXian"/>
          <w:spacing w:val="-2"/>
          <w:lang w:val="en-CA"/>
        </w:rPr>
        <w:t>enable smarter management of energy, urban security</w:t>
      </w:r>
      <w:r w:rsidR="0013633F" w:rsidRPr="00D22AEC">
        <w:rPr>
          <w:rFonts w:eastAsia="DengXian"/>
          <w:spacing w:val="-2"/>
          <w:lang w:val="en-CA"/>
        </w:rPr>
        <w:t>,</w:t>
      </w:r>
      <w:r w:rsidRPr="00D22AEC">
        <w:rPr>
          <w:rFonts w:eastAsia="DengXian"/>
          <w:spacing w:val="-2"/>
          <w:lang w:val="en-CA"/>
        </w:rPr>
        <w:t xml:space="preserve"> and transportation.</w:t>
      </w:r>
      <w:r w:rsidRPr="00D22AEC">
        <w:rPr>
          <w:rFonts w:eastAsia="DengXian"/>
          <w:spacing w:val="-2"/>
          <w:vertAlign w:val="superscript"/>
          <w:lang w:val="en-CA"/>
        </w:rPr>
        <w:endnoteReference w:id="22"/>
      </w:r>
      <w:r w:rsidRPr="00D22AEC">
        <w:rPr>
          <w:rFonts w:eastAsia="DengXian"/>
          <w:spacing w:val="-2"/>
          <w:lang w:val="en-CA"/>
        </w:rPr>
        <w:t xml:space="preserve"> </w:t>
      </w:r>
    </w:p>
    <w:p w14:paraId="04D7362A" w14:textId="77777777" w:rsidR="000B09AB" w:rsidRPr="00830F16" w:rsidRDefault="000B09AB" w:rsidP="00843F97">
      <w:pPr>
        <w:pStyle w:val="BodyTextMain"/>
        <w:rPr>
          <w:rFonts w:eastAsia="DengXian"/>
          <w:lang w:val="en-CA"/>
        </w:rPr>
      </w:pPr>
    </w:p>
    <w:p w14:paraId="6A4FFCAD" w14:textId="77777777" w:rsidR="000B09AB" w:rsidRPr="00830F16" w:rsidRDefault="000B09AB" w:rsidP="00843F97">
      <w:pPr>
        <w:pStyle w:val="BodyTextMain"/>
        <w:rPr>
          <w:rFonts w:eastAsia="DengXian"/>
          <w:lang w:val="en-CA"/>
        </w:rPr>
      </w:pPr>
    </w:p>
    <w:p w14:paraId="4F458D86" w14:textId="7ED0A14D" w:rsidR="000B09AB" w:rsidRPr="00830F16" w:rsidRDefault="000B09AB" w:rsidP="000B09AB">
      <w:pPr>
        <w:pStyle w:val="Casehead2"/>
        <w:rPr>
          <w:rFonts w:eastAsia="DengXian"/>
          <w:lang w:val="en-CA"/>
        </w:rPr>
      </w:pPr>
      <w:r w:rsidRPr="00830F16">
        <w:rPr>
          <w:rFonts w:eastAsia="DengXian"/>
          <w:lang w:val="en-CA"/>
        </w:rPr>
        <w:t>Establishing i</w:t>
      </w:r>
      <w:r w:rsidRPr="00830F16">
        <w:rPr>
          <w:rFonts w:eastAsia="DengXian"/>
          <w:vertAlign w:val="superscript"/>
          <w:lang w:val="en-CA"/>
        </w:rPr>
        <w:t>3</w:t>
      </w:r>
      <w:r w:rsidRPr="00830F16">
        <w:rPr>
          <w:rFonts w:eastAsia="DengXian"/>
          <w:lang w:val="en-CA"/>
        </w:rPr>
        <w:t xml:space="preserve"> to </w:t>
      </w:r>
      <w:r w:rsidR="00EB6D9C" w:rsidRPr="00830F16">
        <w:rPr>
          <w:rFonts w:eastAsia="DengXian"/>
          <w:lang w:val="en-CA"/>
        </w:rPr>
        <w:t>L</w:t>
      </w:r>
      <w:r w:rsidRPr="00830F16">
        <w:rPr>
          <w:rFonts w:eastAsia="DengXian"/>
          <w:lang w:val="en-CA"/>
        </w:rPr>
        <w:t xml:space="preserve">everage </w:t>
      </w:r>
      <w:r w:rsidR="00EB6D9C" w:rsidRPr="00830F16">
        <w:rPr>
          <w:rFonts w:eastAsia="DengXian"/>
          <w:lang w:val="en-CA"/>
        </w:rPr>
        <w:t>N</w:t>
      </w:r>
      <w:r w:rsidRPr="00830F16">
        <w:rPr>
          <w:rFonts w:eastAsia="DengXian"/>
          <w:lang w:val="en-CA"/>
        </w:rPr>
        <w:t xml:space="preserve">ew </w:t>
      </w:r>
      <w:r w:rsidR="00EB6D9C" w:rsidRPr="00830F16">
        <w:rPr>
          <w:rFonts w:eastAsia="DengXian"/>
          <w:lang w:val="en-CA"/>
        </w:rPr>
        <w:t>G</w:t>
      </w:r>
      <w:r w:rsidRPr="00830F16">
        <w:rPr>
          <w:rFonts w:eastAsia="DengXian"/>
          <w:lang w:val="en-CA"/>
        </w:rPr>
        <w:t xml:space="preserve">rowth </w:t>
      </w:r>
      <w:r w:rsidR="00EB6D9C" w:rsidRPr="00830F16">
        <w:rPr>
          <w:rFonts w:eastAsia="DengXian"/>
          <w:lang w:val="en-CA"/>
        </w:rPr>
        <w:t>D</w:t>
      </w:r>
      <w:r w:rsidRPr="00830F16">
        <w:rPr>
          <w:rFonts w:eastAsia="DengXian"/>
          <w:lang w:val="en-CA"/>
        </w:rPr>
        <w:t>omains</w:t>
      </w:r>
    </w:p>
    <w:p w14:paraId="3A532439" w14:textId="77777777" w:rsidR="000B09AB" w:rsidRPr="00830F16" w:rsidRDefault="000B09AB" w:rsidP="000B09AB">
      <w:pPr>
        <w:jc w:val="both"/>
        <w:rPr>
          <w:rFonts w:eastAsia="DengXian"/>
          <w:sz w:val="22"/>
          <w:szCs w:val="22"/>
          <w:lang w:val="en-CA"/>
        </w:rPr>
      </w:pPr>
    </w:p>
    <w:p w14:paraId="2D90AEF3" w14:textId="77777777" w:rsidR="006E63F3" w:rsidRDefault="000B09AB" w:rsidP="000B09AB">
      <w:pPr>
        <w:pStyle w:val="BodyTextMain"/>
        <w:rPr>
          <w:rFonts w:eastAsia="DengXian"/>
          <w:lang w:val="en-CA"/>
        </w:rPr>
      </w:pPr>
      <w:r w:rsidRPr="00830F16">
        <w:rPr>
          <w:rFonts w:eastAsia="DengXian"/>
          <w:lang w:val="en-CA"/>
        </w:rPr>
        <w:t xml:space="preserve">To support the Smart Nation initiative, </w:t>
      </w:r>
      <w:proofErr w:type="spellStart"/>
      <w:r w:rsidRPr="00830F16">
        <w:rPr>
          <w:rFonts w:eastAsia="DengXian"/>
          <w:lang w:val="en-CA"/>
        </w:rPr>
        <w:t>StarHub</w:t>
      </w:r>
      <w:proofErr w:type="spellEnd"/>
      <w:r w:rsidRPr="00830F16">
        <w:rPr>
          <w:rFonts w:eastAsia="DengXian"/>
          <w:lang w:val="en-CA"/>
        </w:rPr>
        <w:t xml:space="preserve"> conducted trials of new network technologies and services to enable the implementation of </w:t>
      </w:r>
      <w:proofErr w:type="spellStart"/>
      <w:r w:rsidRPr="00830F16">
        <w:rPr>
          <w:rFonts w:eastAsia="DengXian"/>
          <w:lang w:val="en-CA"/>
        </w:rPr>
        <w:t>IoT</w:t>
      </w:r>
      <w:proofErr w:type="spellEnd"/>
      <w:r w:rsidRPr="00830F16">
        <w:rPr>
          <w:rFonts w:eastAsia="DengXian"/>
          <w:lang w:val="en-CA"/>
        </w:rPr>
        <w:t xml:space="preserve"> devices in 2015 through its innovation arm, </w:t>
      </w:r>
      <w:r w:rsidR="00EE4F3D" w:rsidRPr="00830F16">
        <w:rPr>
          <w:rFonts w:eastAsia="DengXian"/>
          <w:lang w:val="en-CA"/>
        </w:rPr>
        <w:t>i</w:t>
      </w:r>
      <w:r w:rsidR="00EE4F3D" w:rsidRPr="00830F16">
        <w:rPr>
          <w:rFonts w:eastAsia="DengXian"/>
          <w:vertAlign w:val="superscript"/>
          <w:lang w:val="en-CA"/>
        </w:rPr>
        <w:t>3</w:t>
      </w:r>
      <w:r w:rsidR="00300256" w:rsidRPr="00830F16">
        <w:rPr>
          <w:rFonts w:eastAsia="DengXian"/>
          <w:lang w:val="en-CA"/>
        </w:rPr>
        <w:t>—“</w:t>
      </w:r>
      <w:r w:rsidR="006B079D" w:rsidRPr="00830F16">
        <w:rPr>
          <w:rFonts w:eastAsia="DengXian"/>
          <w:lang w:val="en-CA"/>
        </w:rPr>
        <w:t>Innovation, Investment</w:t>
      </w:r>
      <w:r w:rsidR="00230652" w:rsidRPr="00830F16">
        <w:rPr>
          <w:rFonts w:eastAsia="DengXian"/>
          <w:lang w:val="en-CA"/>
        </w:rPr>
        <w:t>,</w:t>
      </w:r>
      <w:r w:rsidR="006B079D" w:rsidRPr="00830F16">
        <w:rPr>
          <w:rFonts w:eastAsia="DengXian"/>
          <w:lang w:val="en-CA"/>
        </w:rPr>
        <w:t xml:space="preserve"> and Incubation</w:t>
      </w:r>
      <w:r w:rsidR="00300256" w:rsidRPr="00830F16">
        <w:rPr>
          <w:rFonts w:eastAsia="DengXian"/>
          <w:lang w:val="en-CA"/>
        </w:rPr>
        <w:t>.</w:t>
      </w:r>
      <w:r w:rsidR="006B079D" w:rsidRPr="00830F16">
        <w:rPr>
          <w:rFonts w:eastAsia="DengXian"/>
          <w:lang w:val="en-CA"/>
        </w:rPr>
        <w:t>”</w:t>
      </w:r>
      <w:r w:rsidRPr="00830F16">
        <w:rPr>
          <w:rFonts w:eastAsia="DengXian"/>
          <w:lang w:val="en-CA"/>
        </w:rPr>
        <w:t xml:space="preserve"> Th</w:t>
      </w:r>
      <w:r w:rsidR="006B079D" w:rsidRPr="00830F16">
        <w:rPr>
          <w:rFonts w:eastAsia="DengXian"/>
          <w:lang w:val="en-CA"/>
        </w:rPr>
        <w:t>is</w:t>
      </w:r>
      <w:r w:rsidRPr="00830F16">
        <w:rPr>
          <w:rFonts w:eastAsia="DengXian"/>
          <w:lang w:val="en-CA"/>
        </w:rPr>
        <w:t xml:space="preserve"> </w:t>
      </w:r>
      <w:r w:rsidR="0061550D" w:rsidRPr="00830F16">
        <w:rPr>
          <w:rFonts w:eastAsia="DengXian"/>
          <w:lang w:val="en-CA"/>
        </w:rPr>
        <w:t xml:space="preserve">initiative </w:t>
      </w:r>
      <w:r w:rsidRPr="00830F16">
        <w:rPr>
          <w:rFonts w:eastAsia="DengXian"/>
          <w:lang w:val="en-CA"/>
        </w:rPr>
        <w:t xml:space="preserve">would eventually form the backbone of </w:t>
      </w:r>
      <w:r w:rsidR="006B079D" w:rsidRPr="00830F16">
        <w:rPr>
          <w:rFonts w:eastAsia="DengXian"/>
          <w:lang w:val="en-CA"/>
        </w:rPr>
        <w:t xml:space="preserve">the </w:t>
      </w:r>
      <w:r w:rsidRPr="00830F16">
        <w:rPr>
          <w:rFonts w:eastAsia="DengXian"/>
          <w:lang w:val="en-CA"/>
        </w:rPr>
        <w:t xml:space="preserve">sensor communication network that </w:t>
      </w:r>
      <w:r w:rsidR="00EE4F3D" w:rsidRPr="00830F16">
        <w:rPr>
          <w:rFonts w:eastAsia="DengXian"/>
          <w:lang w:val="en-CA"/>
        </w:rPr>
        <w:t xml:space="preserve">was </w:t>
      </w:r>
      <w:r w:rsidRPr="00830F16">
        <w:rPr>
          <w:rFonts w:eastAsia="DengXian"/>
          <w:lang w:val="en-CA"/>
        </w:rPr>
        <w:t>critical for Smart Nation data collection. Setting up</w:t>
      </w:r>
      <w:r w:rsidR="006B079D" w:rsidRPr="00830F16">
        <w:rPr>
          <w:rFonts w:eastAsia="DengXian"/>
          <w:lang w:val="en-CA"/>
        </w:rPr>
        <w:t xml:space="preserve"> the</w:t>
      </w:r>
      <w:r w:rsidRPr="00830F16">
        <w:rPr>
          <w:rFonts w:eastAsia="DengXian"/>
          <w:lang w:val="en-CA"/>
        </w:rPr>
        <w:t xml:space="preserve"> i</w:t>
      </w:r>
      <w:r w:rsidRPr="00830F16">
        <w:rPr>
          <w:rFonts w:eastAsia="DengXian"/>
          <w:vertAlign w:val="superscript"/>
          <w:lang w:val="en-CA"/>
        </w:rPr>
        <w:t xml:space="preserve">3 </w:t>
      </w:r>
      <w:r w:rsidRPr="00830F16">
        <w:rPr>
          <w:rFonts w:eastAsia="DengXian"/>
          <w:lang w:val="en-CA"/>
        </w:rPr>
        <w:t xml:space="preserve">department in February 2013 was one of the key initiatives </w:t>
      </w:r>
      <w:proofErr w:type="spellStart"/>
      <w:r w:rsidRPr="00830F16">
        <w:rPr>
          <w:rFonts w:eastAsia="DengXian"/>
          <w:lang w:val="en-CA"/>
        </w:rPr>
        <w:t>StarHub</w:t>
      </w:r>
      <w:proofErr w:type="spellEnd"/>
      <w:r w:rsidRPr="00830F16">
        <w:rPr>
          <w:rFonts w:eastAsia="DengXian"/>
          <w:lang w:val="en-CA"/>
        </w:rPr>
        <w:t xml:space="preserve"> embarked on to diversify from the traditional telco space </w:t>
      </w:r>
      <w:r w:rsidR="006B079D" w:rsidRPr="00830F16">
        <w:rPr>
          <w:rFonts w:eastAsia="DengXian"/>
          <w:lang w:val="en-CA"/>
        </w:rPr>
        <w:t xml:space="preserve">and move </w:t>
      </w:r>
      <w:r w:rsidRPr="00830F16">
        <w:rPr>
          <w:rFonts w:eastAsia="DengXian"/>
          <w:lang w:val="en-CA"/>
        </w:rPr>
        <w:t>toward providing enterprise digital solutions.</w:t>
      </w:r>
      <w:r w:rsidR="00F124C6" w:rsidRPr="00830F16">
        <w:rPr>
          <w:rFonts w:eastAsia="DengXian"/>
          <w:lang w:val="en-CA"/>
        </w:rPr>
        <w:t xml:space="preserve"> The</w:t>
      </w:r>
      <w:r w:rsidRPr="00830F16">
        <w:rPr>
          <w:rFonts w:eastAsia="DengXian"/>
          <w:lang w:val="en-CA"/>
        </w:rPr>
        <w:t xml:space="preserve"> i</w:t>
      </w:r>
      <w:r w:rsidRPr="00830F16">
        <w:rPr>
          <w:rFonts w:eastAsia="DengXian"/>
          <w:vertAlign w:val="superscript"/>
          <w:lang w:val="en-CA"/>
        </w:rPr>
        <w:t>3</w:t>
      </w:r>
      <w:r w:rsidR="006B079D" w:rsidRPr="00830F16">
        <w:rPr>
          <w:rFonts w:eastAsia="DengXian"/>
          <w:lang w:val="en-CA"/>
        </w:rPr>
        <w:t xml:space="preserve"> </w:t>
      </w:r>
      <w:r w:rsidR="00F124C6" w:rsidRPr="00830F16">
        <w:rPr>
          <w:rFonts w:eastAsia="DengXian"/>
          <w:lang w:val="en-CA"/>
        </w:rPr>
        <w:t xml:space="preserve">unit </w:t>
      </w:r>
      <w:r w:rsidR="00630648" w:rsidRPr="00830F16">
        <w:rPr>
          <w:rFonts w:eastAsia="DengXian"/>
          <w:lang w:val="en-CA"/>
        </w:rPr>
        <w:t>was</w:t>
      </w:r>
      <w:r w:rsidRPr="00830F16">
        <w:rPr>
          <w:rFonts w:eastAsia="DengXian"/>
          <w:lang w:val="en-CA"/>
        </w:rPr>
        <w:t xml:space="preserve"> a fast-reaction innovation team responsible for </w:t>
      </w:r>
      <w:r w:rsidR="00630648" w:rsidRPr="00830F16">
        <w:rPr>
          <w:rFonts w:eastAsia="DengXian"/>
          <w:lang w:val="en-CA"/>
        </w:rPr>
        <w:t>moving</w:t>
      </w:r>
      <w:r w:rsidRPr="00830F16">
        <w:rPr>
          <w:rFonts w:eastAsia="DengXian"/>
          <w:lang w:val="en-CA"/>
        </w:rPr>
        <w:t xml:space="preserve"> </w:t>
      </w:r>
      <w:r w:rsidR="00C725B2" w:rsidRPr="00830F16">
        <w:rPr>
          <w:rFonts w:eastAsia="DengXian"/>
          <w:lang w:val="en-CA"/>
        </w:rPr>
        <w:t xml:space="preserve">(within the charter of three to five years) </w:t>
      </w:r>
      <w:r w:rsidRPr="00830F16">
        <w:rPr>
          <w:rFonts w:eastAsia="DengXian"/>
          <w:lang w:val="en-CA"/>
        </w:rPr>
        <w:t xml:space="preserve">into new revenue streams of service consumption and growth markets </w:t>
      </w:r>
      <w:r w:rsidR="00630648" w:rsidRPr="00830F16">
        <w:rPr>
          <w:rFonts w:eastAsia="DengXian"/>
          <w:lang w:val="en-CA"/>
        </w:rPr>
        <w:t>that would</w:t>
      </w:r>
      <w:r w:rsidRPr="00830F16">
        <w:rPr>
          <w:rFonts w:eastAsia="DengXian"/>
          <w:lang w:val="en-CA"/>
        </w:rPr>
        <w:t xml:space="preserve"> </w:t>
      </w:r>
      <w:r w:rsidR="00630648" w:rsidRPr="00830F16">
        <w:rPr>
          <w:rFonts w:eastAsia="DengXian"/>
          <w:lang w:val="en-CA"/>
        </w:rPr>
        <w:t>react to</w:t>
      </w:r>
      <w:r w:rsidRPr="00830F16">
        <w:rPr>
          <w:rFonts w:eastAsia="DengXian"/>
          <w:lang w:val="en-CA"/>
        </w:rPr>
        <w:t xml:space="preserve"> disruptive entrants into the market</w:t>
      </w:r>
      <w:r w:rsidR="00527811" w:rsidRPr="00830F16">
        <w:rPr>
          <w:rFonts w:eastAsia="DengXian"/>
          <w:lang w:val="en-CA"/>
        </w:rPr>
        <w:t>.</w:t>
      </w:r>
      <w:r w:rsidRPr="00830F16">
        <w:rPr>
          <w:rFonts w:eastAsia="DengXian"/>
          <w:lang w:val="en-CA"/>
        </w:rPr>
        <w:t xml:space="preserve"> </w:t>
      </w:r>
      <w:r w:rsidR="00630648" w:rsidRPr="00830F16">
        <w:rPr>
          <w:rFonts w:eastAsia="DengXian"/>
          <w:lang w:val="en-CA"/>
        </w:rPr>
        <w:t xml:space="preserve">The </w:t>
      </w:r>
      <w:r w:rsidRPr="00830F16">
        <w:rPr>
          <w:rFonts w:eastAsia="DengXian"/>
          <w:lang w:val="en-CA"/>
        </w:rPr>
        <w:t>i</w:t>
      </w:r>
      <w:r w:rsidRPr="00830F16">
        <w:rPr>
          <w:rFonts w:eastAsia="DengXian"/>
          <w:vertAlign w:val="superscript"/>
          <w:lang w:val="en-CA"/>
        </w:rPr>
        <w:t>3</w:t>
      </w:r>
      <w:r w:rsidR="00630648" w:rsidRPr="00830F16">
        <w:rPr>
          <w:rFonts w:eastAsia="DengXian"/>
          <w:lang w:val="en-CA"/>
        </w:rPr>
        <w:t xml:space="preserve"> team’s</w:t>
      </w:r>
      <w:r w:rsidRPr="00830F16">
        <w:rPr>
          <w:rFonts w:eastAsia="DengXian"/>
          <w:lang w:val="en-CA"/>
        </w:rPr>
        <w:t xml:space="preserve"> main purpose was to identify potential start</w:t>
      </w:r>
      <w:r w:rsidR="0061550D" w:rsidRPr="00830F16">
        <w:rPr>
          <w:rFonts w:eastAsia="DengXian"/>
          <w:lang w:val="en-CA"/>
        </w:rPr>
        <w:t>-</w:t>
      </w:r>
      <w:r w:rsidRPr="00830F16">
        <w:rPr>
          <w:rFonts w:eastAsia="DengXian"/>
          <w:lang w:val="en-CA"/>
        </w:rPr>
        <w:t xml:space="preserve">ups </w:t>
      </w:r>
      <w:r w:rsidR="006B079D" w:rsidRPr="00830F16">
        <w:rPr>
          <w:rFonts w:eastAsia="DengXian"/>
          <w:lang w:val="en-CA"/>
        </w:rPr>
        <w:t xml:space="preserve">that </w:t>
      </w:r>
      <w:proofErr w:type="gramStart"/>
      <w:r w:rsidR="006B079D" w:rsidRPr="00830F16">
        <w:rPr>
          <w:rFonts w:eastAsia="DengXian"/>
          <w:lang w:val="en-CA"/>
        </w:rPr>
        <w:t>were</w:t>
      </w:r>
      <w:r w:rsidRPr="00830F16">
        <w:rPr>
          <w:rFonts w:eastAsia="DengXian"/>
          <w:lang w:val="en-CA"/>
        </w:rPr>
        <w:t xml:space="preserve"> related</w:t>
      </w:r>
      <w:proofErr w:type="gramEnd"/>
      <w:r w:rsidRPr="00830F16">
        <w:rPr>
          <w:rFonts w:eastAsia="DengXian"/>
          <w:lang w:val="en-CA"/>
        </w:rPr>
        <w:t xml:space="preserve"> to </w:t>
      </w:r>
      <w:r w:rsidR="006B079D" w:rsidRPr="00830F16">
        <w:rPr>
          <w:rFonts w:eastAsia="DengXian"/>
          <w:lang w:val="en-CA"/>
        </w:rPr>
        <w:t xml:space="preserve">the </w:t>
      </w:r>
      <w:r w:rsidRPr="00830F16">
        <w:rPr>
          <w:rFonts w:eastAsia="DengXian"/>
          <w:lang w:val="en-CA"/>
        </w:rPr>
        <w:t xml:space="preserve">realms of </w:t>
      </w:r>
      <w:r w:rsidR="006B079D" w:rsidRPr="00830F16">
        <w:rPr>
          <w:rFonts w:eastAsia="DengXian"/>
          <w:lang w:val="en-CA"/>
        </w:rPr>
        <w:t>d</w:t>
      </w:r>
      <w:r w:rsidRPr="00830F16">
        <w:rPr>
          <w:rFonts w:eastAsia="DengXian"/>
          <w:lang w:val="en-CA"/>
        </w:rPr>
        <w:t xml:space="preserve">igital </w:t>
      </w:r>
      <w:r w:rsidR="006B079D" w:rsidRPr="00830F16">
        <w:rPr>
          <w:rFonts w:eastAsia="DengXian"/>
          <w:lang w:val="en-CA"/>
        </w:rPr>
        <w:t>l</w:t>
      </w:r>
      <w:r w:rsidRPr="00830F16">
        <w:rPr>
          <w:rFonts w:eastAsia="DengXian"/>
          <w:lang w:val="en-CA"/>
        </w:rPr>
        <w:t xml:space="preserve">ife, </w:t>
      </w:r>
      <w:r w:rsidR="006B079D" w:rsidRPr="00830F16">
        <w:rPr>
          <w:rFonts w:eastAsia="DengXian"/>
          <w:lang w:val="en-CA"/>
        </w:rPr>
        <w:t>a</w:t>
      </w:r>
      <w:r w:rsidRPr="00830F16">
        <w:rPr>
          <w:rFonts w:eastAsia="DengXian"/>
          <w:lang w:val="en-CA"/>
        </w:rPr>
        <w:t xml:space="preserve">dvertising </w:t>
      </w:r>
      <w:r w:rsidR="006B079D" w:rsidRPr="00830F16">
        <w:rPr>
          <w:rFonts w:eastAsia="DengXian"/>
          <w:lang w:val="en-CA"/>
        </w:rPr>
        <w:t>t</w:t>
      </w:r>
      <w:r w:rsidRPr="00830F16">
        <w:rPr>
          <w:rFonts w:eastAsia="DengXian"/>
          <w:lang w:val="en-CA"/>
        </w:rPr>
        <w:t xml:space="preserve">echnology, </w:t>
      </w:r>
      <w:r w:rsidR="006B079D" w:rsidRPr="00830F16">
        <w:rPr>
          <w:rFonts w:eastAsia="DengXian"/>
          <w:lang w:val="en-CA"/>
        </w:rPr>
        <w:t>m</w:t>
      </w:r>
      <w:r w:rsidRPr="00830F16">
        <w:rPr>
          <w:rFonts w:eastAsia="DengXian"/>
          <w:lang w:val="en-CA"/>
        </w:rPr>
        <w:t xml:space="preserve">obile and </w:t>
      </w:r>
      <w:r w:rsidR="006B079D" w:rsidRPr="00830F16">
        <w:rPr>
          <w:rFonts w:eastAsia="DengXian"/>
          <w:lang w:val="en-CA"/>
        </w:rPr>
        <w:t>e</w:t>
      </w:r>
      <w:r w:rsidRPr="00830F16">
        <w:rPr>
          <w:rFonts w:eastAsia="DengXian"/>
          <w:lang w:val="en-CA"/>
        </w:rPr>
        <w:t xml:space="preserve">lectronic </w:t>
      </w:r>
      <w:r w:rsidR="006B079D" w:rsidRPr="00830F16">
        <w:rPr>
          <w:rFonts w:eastAsia="DengXian"/>
          <w:lang w:val="en-CA"/>
        </w:rPr>
        <w:t>c</w:t>
      </w:r>
      <w:r w:rsidRPr="00830F16">
        <w:rPr>
          <w:rFonts w:eastAsia="DengXian"/>
          <w:lang w:val="en-CA"/>
        </w:rPr>
        <w:t>ommerce</w:t>
      </w:r>
      <w:r w:rsidR="006B079D" w:rsidRPr="00830F16">
        <w:rPr>
          <w:rFonts w:eastAsia="DengXian"/>
          <w:lang w:val="en-CA"/>
        </w:rPr>
        <w:t>,</w:t>
      </w:r>
      <w:r w:rsidRPr="00830F16">
        <w:rPr>
          <w:rFonts w:eastAsia="DengXian"/>
          <w:lang w:val="en-CA"/>
        </w:rPr>
        <w:t xml:space="preserve"> and </w:t>
      </w:r>
      <w:r w:rsidR="005D2286" w:rsidRPr="00830F16">
        <w:rPr>
          <w:rFonts w:eastAsia="DengXian"/>
          <w:lang w:val="en-CA"/>
        </w:rPr>
        <w:t>Big D</w:t>
      </w:r>
      <w:r w:rsidRPr="00830F16">
        <w:rPr>
          <w:rFonts w:eastAsia="DengXian"/>
          <w:lang w:val="en-CA"/>
        </w:rPr>
        <w:t>ata</w:t>
      </w:r>
      <w:r w:rsidR="006B079D" w:rsidRPr="00830F16">
        <w:rPr>
          <w:rFonts w:eastAsia="DengXian"/>
          <w:lang w:val="en-CA"/>
        </w:rPr>
        <w:t>.</w:t>
      </w:r>
      <w:r w:rsidRPr="00830F16">
        <w:rPr>
          <w:rFonts w:eastAsia="DengXian"/>
          <w:lang w:val="en-CA"/>
        </w:rPr>
        <w:t xml:space="preserve"> </w:t>
      </w:r>
      <w:r w:rsidR="006B079D" w:rsidRPr="00830F16">
        <w:rPr>
          <w:rFonts w:eastAsia="DengXian"/>
          <w:lang w:val="en-CA"/>
        </w:rPr>
        <w:t xml:space="preserve">The team’s goal was to </w:t>
      </w:r>
      <w:r w:rsidRPr="00830F16">
        <w:rPr>
          <w:rFonts w:eastAsia="DengXian"/>
          <w:lang w:val="en-CA"/>
        </w:rPr>
        <w:t>feed this information to corporate management for consideration. The</w:t>
      </w:r>
      <w:r w:rsidR="00994432" w:rsidRPr="00830F16">
        <w:rPr>
          <w:rFonts w:eastAsia="DengXian"/>
          <w:lang w:val="en-CA"/>
        </w:rPr>
        <w:t xml:space="preserve"> disruptive</w:t>
      </w:r>
      <w:r w:rsidRPr="00830F16">
        <w:rPr>
          <w:rFonts w:eastAsia="DengXian"/>
          <w:lang w:val="en-CA"/>
        </w:rPr>
        <w:t xml:space="preserve"> start</w:t>
      </w:r>
      <w:r w:rsidR="0061550D" w:rsidRPr="00830F16">
        <w:rPr>
          <w:rFonts w:eastAsia="DengXian"/>
          <w:lang w:val="en-CA"/>
        </w:rPr>
        <w:t>-</w:t>
      </w:r>
      <w:r w:rsidRPr="00830F16">
        <w:rPr>
          <w:rFonts w:eastAsia="DengXian"/>
          <w:lang w:val="en-CA"/>
        </w:rPr>
        <w:t xml:space="preserve">ups </w:t>
      </w:r>
      <w:r w:rsidR="004C4DB5" w:rsidRPr="00830F16">
        <w:rPr>
          <w:rFonts w:eastAsia="DengXian"/>
          <w:lang w:val="en-CA"/>
        </w:rPr>
        <w:t xml:space="preserve">were </w:t>
      </w:r>
      <w:r w:rsidRPr="00830F16">
        <w:rPr>
          <w:rFonts w:eastAsia="DengXian"/>
          <w:lang w:val="en-CA"/>
        </w:rPr>
        <w:t xml:space="preserve">usually </w:t>
      </w:r>
      <w:r w:rsidR="004C4DB5" w:rsidRPr="00830F16">
        <w:rPr>
          <w:rFonts w:eastAsia="DengXian"/>
          <w:lang w:val="en-CA"/>
        </w:rPr>
        <w:t>in the early stages of funding from venture capital</w:t>
      </w:r>
      <w:r w:rsidRPr="00830F16">
        <w:rPr>
          <w:rFonts w:eastAsia="DengXian"/>
          <w:lang w:val="en-CA"/>
        </w:rPr>
        <w:t xml:space="preserve">. </w:t>
      </w:r>
      <w:r w:rsidR="00994432" w:rsidRPr="00830F16">
        <w:rPr>
          <w:rFonts w:eastAsia="DengXian"/>
          <w:lang w:val="en-CA"/>
        </w:rPr>
        <w:t>Because</w:t>
      </w:r>
      <w:r w:rsidRPr="00830F16">
        <w:rPr>
          <w:rFonts w:eastAsia="DengXian"/>
          <w:lang w:val="en-CA"/>
        </w:rPr>
        <w:t xml:space="preserve"> i</w:t>
      </w:r>
      <w:r w:rsidRPr="00830F16">
        <w:rPr>
          <w:rFonts w:eastAsia="DengXian"/>
          <w:vertAlign w:val="superscript"/>
          <w:lang w:val="en-CA"/>
        </w:rPr>
        <w:t>3</w:t>
      </w:r>
      <w:r w:rsidRPr="00830F16">
        <w:rPr>
          <w:rFonts w:eastAsia="DengXian"/>
          <w:lang w:val="en-CA"/>
        </w:rPr>
        <w:t xml:space="preserve"> did not receive any dedicated investment funding, the start</w:t>
      </w:r>
      <w:r w:rsidR="0061550D" w:rsidRPr="00830F16">
        <w:rPr>
          <w:rFonts w:eastAsia="DengXian"/>
          <w:lang w:val="en-CA"/>
        </w:rPr>
        <w:t>-</w:t>
      </w:r>
      <w:r w:rsidRPr="00830F16">
        <w:rPr>
          <w:rFonts w:eastAsia="DengXian"/>
          <w:lang w:val="en-CA"/>
        </w:rPr>
        <w:t xml:space="preserve">ups </w:t>
      </w:r>
      <w:proofErr w:type="gramStart"/>
      <w:r w:rsidRPr="00830F16">
        <w:rPr>
          <w:rFonts w:eastAsia="DengXian"/>
          <w:lang w:val="en-CA"/>
        </w:rPr>
        <w:t>were funded</w:t>
      </w:r>
      <w:proofErr w:type="gramEnd"/>
      <w:r w:rsidRPr="00830F16">
        <w:rPr>
          <w:rFonts w:eastAsia="DengXian"/>
          <w:lang w:val="en-CA"/>
        </w:rPr>
        <w:t xml:space="preserve"> in an ad</w:t>
      </w:r>
      <w:r w:rsidR="0061550D" w:rsidRPr="00830F16">
        <w:rPr>
          <w:rFonts w:eastAsia="DengXian"/>
          <w:lang w:val="en-CA"/>
        </w:rPr>
        <w:t xml:space="preserve"> </w:t>
      </w:r>
      <w:r w:rsidRPr="00830F16">
        <w:rPr>
          <w:rFonts w:eastAsia="DengXian"/>
          <w:lang w:val="en-CA"/>
        </w:rPr>
        <w:t>hoc</w:t>
      </w:r>
      <w:r w:rsidR="00994432" w:rsidRPr="00830F16">
        <w:rPr>
          <w:rFonts w:eastAsia="DengXian"/>
          <w:lang w:val="en-CA"/>
        </w:rPr>
        <w:t>,</w:t>
      </w:r>
      <w:r w:rsidRPr="00830F16">
        <w:rPr>
          <w:rFonts w:eastAsia="DengXian"/>
          <w:lang w:val="en-CA"/>
        </w:rPr>
        <w:t xml:space="preserve"> project-by-project manner, contingent on the decisions of corporate management. </w:t>
      </w:r>
    </w:p>
    <w:p w14:paraId="140946F4" w14:textId="22946A62" w:rsidR="00026736" w:rsidRDefault="00F124C6" w:rsidP="000B09AB">
      <w:pPr>
        <w:pStyle w:val="BodyTextMain"/>
        <w:rPr>
          <w:rFonts w:eastAsia="DengXian"/>
          <w:lang w:val="en-CA"/>
        </w:rPr>
      </w:pPr>
      <w:r w:rsidRPr="00830F16">
        <w:rPr>
          <w:rFonts w:eastAsia="DengXian"/>
          <w:lang w:val="en-CA"/>
        </w:rPr>
        <w:t>Once the</w:t>
      </w:r>
      <w:r w:rsidR="00230652" w:rsidRPr="00830F16">
        <w:rPr>
          <w:rFonts w:eastAsia="DengXian"/>
          <w:lang w:val="en-CA"/>
        </w:rPr>
        <w:t xml:space="preserve"> sta</w:t>
      </w:r>
      <w:r w:rsidR="00777B25" w:rsidRPr="00830F16">
        <w:rPr>
          <w:rFonts w:eastAsia="DengXian"/>
          <w:lang w:val="en-CA"/>
        </w:rPr>
        <w:t>rt</w:t>
      </w:r>
      <w:r w:rsidR="0061550D" w:rsidRPr="00830F16">
        <w:rPr>
          <w:rFonts w:eastAsia="DengXian"/>
          <w:lang w:val="en-CA"/>
        </w:rPr>
        <w:t>-</w:t>
      </w:r>
      <w:r w:rsidR="00230652" w:rsidRPr="00830F16">
        <w:rPr>
          <w:rFonts w:eastAsia="DengXian"/>
          <w:lang w:val="en-CA"/>
        </w:rPr>
        <w:t>ups</w:t>
      </w:r>
      <w:r w:rsidR="00994432" w:rsidRPr="00830F16">
        <w:rPr>
          <w:rFonts w:eastAsia="DengXian"/>
          <w:lang w:val="en-CA"/>
        </w:rPr>
        <w:t xml:space="preserve"> </w:t>
      </w:r>
      <w:proofErr w:type="gramStart"/>
      <w:r w:rsidR="00994432" w:rsidRPr="00830F16">
        <w:rPr>
          <w:rFonts w:eastAsia="DengXian"/>
          <w:lang w:val="en-CA"/>
        </w:rPr>
        <w:t>were identified</w:t>
      </w:r>
      <w:proofErr w:type="gramEnd"/>
      <w:r w:rsidR="000B09AB" w:rsidRPr="00830F16">
        <w:rPr>
          <w:rFonts w:eastAsia="DengXian"/>
          <w:lang w:val="en-CA"/>
        </w:rPr>
        <w:t>, i</w:t>
      </w:r>
      <w:r w:rsidR="000B09AB" w:rsidRPr="00830F16">
        <w:rPr>
          <w:rFonts w:eastAsia="DengXian"/>
          <w:vertAlign w:val="superscript"/>
          <w:lang w:val="en-CA"/>
        </w:rPr>
        <w:t xml:space="preserve">3 </w:t>
      </w:r>
      <w:r w:rsidR="000B09AB" w:rsidRPr="00830F16">
        <w:rPr>
          <w:rFonts w:eastAsia="DengXian"/>
          <w:lang w:val="en-CA"/>
        </w:rPr>
        <w:t>would incubate the</w:t>
      </w:r>
      <w:r w:rsidR="00230652" w:rsidRPr="00830F16">
        <w:rPr>
          <w:rFonts w:eastAsia="DengXian"/>
          <w:lang w:val="en-CA"/>
        </w:rPr>
        <w:t>m</w:t>
      </w:r>
      <w:r w:rsidR="000B09AB" w:rsidRPr="00830F16">
        <w:rPr>
          <w:rFonts w:eastAsia="DengXian"/>
          <w:lang w:val="en-CA"/>
        </w:rPr>
        <w:t xml:space="preserve"> by granting access to connectivity services, business mentorship</w:t>
      </w:r>
      <w:r w:rsidR="00994432" w:rsidRPr="00830F16">
        <w:rPr>
          <w:rFonts w:eastAsia="DengXian"/>
          <w:lang w:val="en-CA"/>
        </w:rPr>
        <w:t>,</w:t>
      </w:r>
      <w:r w:rsidR="000B09AB" w:rsidRPr="00830F16">
        <w:rPr>
          <w:rFonts w:eastAsia="DengXian"/>
          <w:lang w:val="en-CA"/>
        </w:rPr>
        <w:t xml:space="preserve"> and go-to-market activities. The start</w:t>
      </w:r>
      <w:r w:rsidR="0061550D" w:rsidRPr="00830F16">
        <w:rPr>
          <w:rFonts w:eastAsia="DengXian"/>
          <w:lang w:val="en-CA"/>
        </w:rPr>
        <w:t>-</w:t>
      </w:r>
      <w:r w:rsidR="000B09AB" w:rsidRPr="00830F16">
        <w:rPr>
          <w:rFonts w:eastAsia="DengXian"/>
          <w:lang w:val="en-CA"/>
        </w:rPr>
        <w:t xml:space="preserve">ups could potentially tap into </w:t>
      </w:r>
      <w:proofErr w:type="spellStart"/>
      <w:r w:rsidR="000B09AB" w:rsidRPr="00830F16">
        <w:rPr>
          <w:rFonts w:eastAsia="DengXian"/>
          <w:lang w:val="en-CA"/>
        </w:rPr>
        <w:t>StarHub’s</w:t>
      </w:r>
      <w:proofErr w:type="spellEnd"/>
      <w:r w:rsidR="000B09AB" w:rsidRPr="00830F16">
        <w:rPr>
          <w:rFonts w:eastAsia="DengXian"/>
          <w:lang w:val="en-CA"/>
        </w:rPr>
        <w:t xml:space="preserve"> existing pool of resources, including sales channels, networks, market information</w:t>
      </w:r>
      <w:r w:rsidR="00994432" w:rsidRPr="00830F16">
        <w:rPr>
          <w:rFonts w:eastAsia="DengXian"/>
          <w:lang w:val="en-CA"/>
        </w:rPr>
        <w:t>,</w:t>
      </w:r>
      <w:r w:rsidR="000B09AB" w:rsidRPr="00830F16">
        <w:rPr>
          <w:rFonts w:eastAsia="DengXian"/>
          <w:lang w:val="en-CA"/>
        </w:rPr>
        <w:t xml:space="preserve"> and technological knowledge.</w:t>
      </w:r>
    </w:p>
    <w:p w14:paraId="22A170AE" w14:textId="42F3C29A" w:rsidR="000B09AB" w:rsidRPr="00830F16" w:rsidRDefault="000B09AB" w:rsidP="000B09AB">
      <w:pPr>
        <w:pStyle w:val="BodyTextMain"/>
        <w:rPr>
          <w:rFonts w:eastAsia="DengXian"/>
          <w:lang w:val="en-CA"/>
        </w:rPr>
      </w:pPr>
      <w:r w:rsidRPr="00830F16">
        <w:rPr>
          <w:rFonts w:eastAsia="DengXian"/>
          <w:lang w:val="en-CA"/>
        </w:rPr>
        <w:t xml:space="preserve"> </w:t>
      </w:r>
    </w:p>
    <w:p w14:paraId="2E2E2047" w14:textId="4BA11299" w:rsidR="000B09AB" w:rsidRPr="00830F16" w:rsidRDefault="000B09AB" w:rsidP="000B09AB">
      <w:pPr>
        <w:pStyle w:val="BodyTextMain"/>
        <w:rPr>
          <w:rFonts w:eastAsia="DengXian"/>
          <w:lang w:val="en-CA"/>
        </w:rPr>
      </w:pPr>
      <w:r w:rsidRPr="00830F16">
        <w:rPr>
          <w:rFonts w:eastAsia="DengXian"/>
          <w:lang w:val="en-CA"/>
        </w:rPr>
        <w:lastRenderedPageBreak/>
        <w:t>Initially, i</w:t>
      </w:r>
      <w:r w:rsidRPr="00830F16">
        <w:rPr>
          <w:rFonts w:eastAsia="DengXian"/>
          <w:vertAlign w:val="superscript"/>
          <w:lang w:val="en-CA"/>
        </w:rPr>
        <w:t>3</w:t>
      </w:r>
      <w:r w:rsidRPr="00830F16">
        <w:rPr>
          <w:rFonts w:eastAsia="DengXian"/>
          <w:lang w:val="en-CA"/>
        </w:rPr>
        <w:t xml:space="preserve"> </w:t>
      </w:r>
      <w:proofErr w:type="gramStart"/>
      <w:r w:rsidRPr="00830F16">
        <w:rPr>
          <w:rFonts w:eastAsia="DengXian"/>
          <w:lang w:val="en-CA"/>
        </w:rPr>
        <w:t>was viewed</w:t>
      </w:r>
      <w:proofErr w:type="gramEnd"/>
      <w:r w:rsidRPr="00830F16">
        <w:rPr>
          <w:rFonts w:eastAsia="DengXian"/>
          <w:lang w:val="en-CA"/>
        </w:rPr>
        <w:t xml:space="preserve"> as part of a cost centr</w:t>
      </w:r>
      <w:r w:rsidR="00C06145" w:rsidRPr="00830F16">
        <w:rPr>
          <w:rFonts w:eastAsia="DengXian"/>
          <w:lang w:val="en-CA"/>
        </w:rPr>
        <w:t>e</w:t>
      </w:r>
      <w:r w:rsidR="00FC284B" w:rsidRPr="00830F16">
        <w:rPr>
          <w:rFonts w:eastAsia="DengXian"/>
          <w:lang w:val="en-CA"/>
        </w:rPr>
        <w:t xml:space="preserve"> that was</w:t>
      </w:r>
      <w:r w:rsidRPr="00830F16">
        <w:rPr>
          <w:rFonts w:eastAsia="DengXian"/>
          <w:lang w:val="en-CA"/>
        </w:rPr>
        <w:t xml:space="preserve"> expected to justify its resource allocation among the start</w:t>
      </w:r>
      <w:r w:rsidR="0061550D" w:rsidRPr="00830F16">
        <w:rPr>
          <w:rFonts w:eastAsia="DengXian"/>
          <w:lang w:val="en-CA"/>
        </w:rPr>
        <w:t>-</w:t>
      </w:r>
      <w:r w:rsidRPr="00830F16">
        <w:rPr>
          <w:rFonts w:eastAsia="DengXian"/>
          <w:lang w:val="en-CA"/>
        </w:rPr>
        <w:t>up projects</w:t>
      </w:r>
      <w:r w:rsidR="006E7B14" w:rsidRPr="00830F16">
        <w:rPr>
          <w:rFonts w:eastAsia="DengXian"/>
          <w:lang w:val="en-CA"/>
        </w:rPr>
        <w:t>,</w:t>
      </w:r>
      <w:r w:rsidRPr="00830F16">
        <w:rPr>
          <w:rFonts w:eastAsia="DengXian"/>
          <w:lang w:val="en-CA"/>
        </w:rPr>
        <w:t xml:space="preserve"> </w:t>
      </w:r>
      <w:r w:rsidR="0061550D" w:rsidRPr="00830F16">
        <w:rPr>
          <w:rFonts w:eastAsia="DengXian"/>
          <w:lang w:val="en-CA"/>
        </w:rPr>
        <w:t xml:space="preserve">by generating a </w:t>
      </w:r>
      <w:r w:rsidRPr="00830F16">
        <w:rPr>
          <w:rFonts w:eastAsia="DengXian"/>
          <w:lang w:val="en-CA"/>
        </w:rPr>
        <w:t xml:space="preserve">clear return on investment (ROI) over a short time horizon. </w:t>
      </w:r>
      <w:r w:rsidR="0061550D" w:rsidRPr="00830F16">
        <w:rPr>
          <w:rFonts w:eastAsia="DengXian"/>
          <w:lang w:val="en-CA"/>
        </w:rPr>
        <w:t>Achieving t</w:t>
      </w:r>
      <w:r w:rsidRPr="00830F16">
        <w:rPr>
          <w:rFonts w:eastAsia="DengXian"/>
          <w:lang w:val="en-CA"/>
        </w:rPr>
        <w:t xml:space="preserve">his </w:t>
      </w:r>
      <w:r w:rsidR="0061550D" w:rsidRPr="00830F16">
        <w:rPr>
          <w:rFonts w:eastAsia="DengXian"/>
          <w:lang w:val="en-CA"/>
        </w:rPr>
        <w:t xml:space="preserve">return </w:t>
      </w:r>
      <w:r w:rsidRPr="00830F16">
        <w:rPr>
          <w:rFonts w:eastAsia="DengXian"/>
          <w:lang w:val="en-CA"/>
        </w:rPr>
        <w:t>was challenging, as the short-term goals conflicted with those of start</w:t>
      </w:r>
      <w:r w:rsidR="0061550D" w:rsidRPr="00830F16">
        <w:rPr>
          <w:rFonts w:eastAsia="DengXian"/>
          <w:lang w:val="en-CA"/>
        </w:rPr>
        <w:t>-</w:t>
      </w:r>
      <w:r w:rsidRPr="00830F16">
        <w:rPr>
          <w:rFonts w:eastAsia="DengXian"/>
          <w:lang w:val="en-CA"/>
        </w:rPr>
        <w:t xml:space="preserve">up projects that would require </w:t>
      </w:r>
      <w:r w:rsidR="00FC284B" w:rsidRPr="00830F16">
        <w:rPr>
          <w:rFonts w:eastAsia="DengXian"/>
          <w:lang w:val="en-CA"/>
        </w:rPr>
        <w:t xml:space="preserve">a </w:t>
      </w:r>
      <w:r w:rsidRPr="00830F16">
        <w:rPr>
          <w:rFonts w:eastAsia="DengXian"/>
          <w:lang w:val="en-CA"/>
        </w:rPr>
        <w:t xml:space="preserve">longer payback period. Providing hard data to demonstrate </w:t>
      </w:r>
      <w:r w:rsidR="0061550D" w:rsidRPr="00830F16">
        <w:rPr>
          <w:rFonts w:eastAsia="DengXian"/>
          <w:lang w:val="en-CA"/>
        </w:rPr>
        <w:t>a</w:t>
      </w:r>
      <w:r w:rsidR="00C725B2" w:rsidRPr="00830F16">
        <w:rPr>
          <w:rFonts w:eastAsia="DengXian"/>
          <w:lang w:val="en-CA"/>
        </w:rPr>
        <w:t>n</w:t>
      </w:r>
      <w:r w:rsidR="0061550D" w:rsidRPr="00830F16">
        <w:rPr>
          <w:rFonts w:eastAsia="DengXian"/>
          <w:lang w:val="en-CA"/>
        </w:rPr>
        <w:t xml:space="preserve"> </w:t>
      </w:r>
      <w:r w:rsidRPr="00830F16">
        <w:rPr>
          <w:rFonts w:eastAsia="DengXian"/>
          <w:lang w:val="en-CA"/>
        </w:rPr>
        <w:t>ROI was difficult as the new ventures often navigated in unchart</w:t>
      </w:r>
      <w:r w:rsidR="00F5751E" w:rsidRPr="00830F16">
        <w:rPr>
          <w:rFonts w:eastAsia="DengXian"/>
          <w:lang w:val="en-CA"/>
        </w:rPr>
        <w:t>ed</w:t>
      </w:r>
      <w:r w:rsidRPr="00830F16">
        <w:rPr>
          <w:rFonts w:eastAsia="DengXian"/>
          <w:lang w:val="en-CA"/>
        </w:rPr>
        <w:t xml:space="preserve"> business environments</w:t>
      </w:r>
      <w:r w:rsidRPr="00830F16">
        <w:rPr>
          <w:rFonts w:eastAsia="DengXian"/>
          <w:lang w:val="en-CA"/>
        </w:rPr>
        <w:sym w:font="Symbol" w:char="F0BE"/>
      </w:r>
      <w:r w:rsidRPr="00830F16">
        <w:rPr>
          <w:rFonts w:eastAsia="DengXian"/>
          <w:lang w:val="en-CA"/>
        </w:rPr>
        <w:t xml:space="preserve">markets yet to be </w:t>
      </w:r>
      <w:proofErr w:type="gramStart"/>
      <w:r w:rsidRPr="00830F16">
        <w:rPr>
          <w:rFonts w:eastAsia="DengXian"/>
          <w:lang w:val="en-CA"/>
        </w:rPr>
        <w:t>identified</w:t>
      </w:r>
      <w:proofErr w:type="gramEnd"/>
      <w:r w:rsidRPr="00830F16">
        <w:rPr>
          <w:rFonts w:eastAsia="DengXian"/>
          <w:lang w:val="en-CA"/>
        </w:rPr>
        <w:t xml:space="preserve"> and established. Michael Sim, </w:t>
      </w:r>
      <w:r w:rsidR="0061550D" w:rsidRPr="00830F16">
        <w:rPr>
          <w:rFonts w:eastAsia="DengXian"/>
          <w:lang w:val="en-CA"/>
        </w:rPr>
        <w:t>l</w:t>
      </w:r>
      <w:r w:rsidRPr="00830F16">
        <w:rPr>
          <w:rFonts w:eastAsia="DengXian"/>
          <w:lang w:val="en-CA"/>
        </w:rPr>
        <w:t xml:space="preserve">ead </w:t>
      </w:r>
      <w:r w:rsidR="0061550D" w:rsidRPr="00830F16">
        <w:rPr>
          <w:rFonts w:eastAsia="DengXian"/>
          <w:lang w:val="en-CA"/>
        </w:rPr>
        <w:t>f</w:t>
      </w:r>
      <w:r w:rsidRPr="00830F16">
        <w:rPr>
          <w:rFonts w:eastAsia="DengXian"/>
          <w:lang w:val="en-CA"/>
        </w:rPr>
        <w:t>uturist with the i</w:t>
      </w:r>
      <w:r w:rsidRPr="00830F16">
        <w:rPr>
          <w:rFonts w:eastAsia="DengXian"/>
          <w:vertAlign w:val="superscript"/>
          <w:lang w:val="en-CA"/>
        </w:rPr>
        <w:t>3</w:t>
      </w:r>
      <w:r w:rsidRPr="00830F16">
        <w:rPr>
          <w:rFonts w:eastAsia="DengXian"/>
          <w:lang w:val="en-CA"/>
        </w:rPr>
        <w:t xml:space="preserve"> team since its formation, rec</w:t>
      </w:r>
      <w:r w:rsidR="00F5751E" w:rsidRPr="00830F16">
        <w:rPr>
          <w:rFonts w:eastAsia="DengXian"/>
          <w:lang w:val="en-CA"/>
        </w:rPr>
        <w:t>alled</w:t>
      </w:r>
      <w:r w:rsidR="00DF457F" w:rsidRPr="00830F16">
        <w:rPr>
          <w:rFonts w:eastAsia="DengXian"/>
          <w:lang w:val="en-CA"/>
        </w:rPr>
        <w:t>:</w:t>
      </w:r>
    </w:p>
    <w:p w14:paraId="4C09935B" w14:textId="77777777" w:rsidR="00385413" w:rsidRPr="00830F16" w:rsidRDefault="00385413" w:rsidP="000B09AB">
      <w:pPr>
        <w:pStyle w:val="BodyTextMain"/>
        <w:rPr>
          <w:rFonts w:eastAsia="DengXian"/>
          <w:lang w:val="en-CA"/>
        </w:rPr>
      </w:pPr>
    </w:p>
    <w:p w14:paraId="1D2FB741" w14:textId="6C23D745" w:rsidR="000B09AB" w:rsidRPr="00830F16" w:rsidRDefault="000B09AB" w:rsidP="00F07C36">
      <w:pPr>
        <w:pStyle w:val="BodyTextMain"/>
        <w:ind w:left="720"/>
        <w:rPr>
          <w:rFonts w:eastAsia="DengXian"/>
          <w:lang w:val="en-CA"/>
        </w:rPr>
      </w:pPr>
      <w:r w:rsidRPr="00830F16">
        <w:rPr>
          <w:rFonts w:eastAsia="DengXian"/>
          <w:lang w:val="en-CA"/>
        </w:rPr>
        <w:t xml:space="preserve">Internally, we found it was difficult to work under these </w:t>
      </w:r>
      <w:proofErr w:type="gramStart"/>
      <w:r w:rsidRPr="00830F16">
        <w:rPr>
          <w:rFonts w:eastAsia="DengXian"/>
          <w:lang w:val="en-CA"/>
        </w:rPr>
        <w:t>conditions</w:t>
      </w:r>
      <w:proofErr w:type="gramEnd"/>
      <w:r w:rsidRPr="00830F16">
        <w:rPr>
          <w:rFonts w:eastAsia="DengXian"/>
          <w:lang w:val="en-CA"/>
        </w:rPr>
        <w:t xml:space="preserve"> as you’re often worrying about limiting your cost, which means you don’t really want to spend too aggressively</w:t>
      </w:r>
      <w:r w:rsidR="004E1323" w:rsidRPr="00830F16">
        <w:rPr>
          <w:rFonts w:eastAsia="DengXian"/>
          <w:lang w:val="en-CA"/>
        </w:rPr>
        <w:t>.</w:t>
      </w:r>
      <w:r w:rsidR="00DF457F" w:rsidRPr="00830F16">
        <w:rPr>
          <w:rFonts w:eastAsia="DengXian"/>
          <w:lang w:val="en-CA"/>
        </w:rPr>
        <w:t xml:space="preserve"> . . .</w:t>
      </w:r>
      <w:r w:rsidRPr="00830F16">
        <w:rPr>
          <w:rFonts w:eastAsia="DengXian"/>
          <w:lang w:val="en-CA"/>
        </w:rPr>
        <w:t xml:space="preserve"> Any kind of big innovation projects will tend to be discouraged because you need to justify your ROI.</w:t>
      </w:r>
    </w:p>
    <w:p w14:paraId="4A95ED70" w14:textId="77777777" w:rsidR="000B09AB" w:rsidRPr="00830F16" w:rsidRDefault="000B09AB" w:rsidP="000B09AB">
      <w:pPr>
        <w:pStyle w:val="BodyTextMain"/>
        <w:rPr>
          <w:rFonts w:eastAsia="DengXian"/>
          <w:lang w:val="en-CA"/>
        </w:rPr>
      </w:pPr>
    </w:p>
    <w:p w14:paraId="74C2BDB2" w14:textId="071BABF9" w:rsidR="000B09AB" w:rsidRPr="00830F16" w:rsidRDefault="00804A2D" w:rsidP="000B09AB">
      <w:pPr>
        <w:pStyle w:val="BodyTextMain"/>
        <w:rPr>
          <w:rFonts w:eastAsia="DengXian"/>
          <w:lang w:val="en-CA"/>
        </w:rPr>
      </w:pPr>
      <w:r w:rsidRPr="00830F16">
        <w:rPr>
          <w:rFonts w:eastAsia="DengXian"/>
          <w:lang w:val="en-CA"/>
        </w:rPr>
        <w:t xml:space="preserve">The </w:t>
      </w:r>
      <w:r w:rsidR="000B09AB" w:rsidRPr="00830F16">
        <w:rPr>
          <w:rFonts w:eastAsia="DengXian"/>
          <w:lang w:val="en-CA"/>
        </w:rPr>
        <w:t>i</w:t>
      </w:r>
      <w:r w:rsidR="000B09AB" w:rsidRPr="00830F16">
        <w:rPr>
          <w:rFonts w:eastAsia="DengXian"/>
          <w:vertAlign w:val="superscript"/>
          <w:lang w:val="en-CA"/>
        </w:rPr>
        <w:t>3</w:t>
      </w:r>
      <w:r w:rsidR="000B09AB" w:rsidRPr="00830F16">
        <w:rPr>
          <w:rFonts w:eastAsia="DengXian"/>
          <w:lang w:val="en-CA"/>
        </w:rPr>
        <w:t xml:space="preserve"> </w:t>
      </w:r>
      <w:r w:rsidRPr="00830F16">
        <w:rPr>
          <w:rFonts w:eastAsia="DengXian"/>
          <w:lang w:val="en-CA"/>
        </w:rPr>
        <w:t xml:space="preserve">team </w:t>
      </w:r>
      <w:r w:rsidR="00DF457F" w:rsidRPr="00830F16">
        <w:rPr>
          <w:rFonts w:eastAsia="DengXian"/>
          <w:lang w:val="en-CA"/>
        </w:rPr>
        <w:t>found</w:t>
      </w:r>
      <w:r w:rsidR="000B09AB" w:rsidRPr="00830F16">
        <w:rPr>
          <w:rFonts w:eastAsia="DengXian"/>
          <w:lang w:val="en-CA"/>
        </w:rPr>
        <w:t xml:space="preserve"> an interesting pipeline of external start</w:t>
      </w:r>
      <w:r w:rsidR="004E1323" w:rsidRPr="00830F16">
        <w:rPr>
          <w:rFonts w:eastAsia="DengXian"/>
          <w:lang w:val="en-CA"/>
        </w:rPr>
        <w:t>-</w:t>
      </w:r>
      <w:r w:rsidR="000B09AB" w:rsidRPr="00830F16">
        <w:rPr>
          <w:rFonts w:eastAsia="DengXian"/>
          <w:lang w:val="en-CA"/>
        </w:rPr>
        <w:t xml:space="preserve">ups and internal projects to </w:t>
      </w:r>
      <w:proofErr w:type="gramStart"/>
      <w:r w:rsidR="000B09AB" w:rsidRPr="00830F16">
        <w:rPr>
          <w:rFonts w:eastAsia="DengXian"/>
          <w:lang w:val="en-CA"/>
        </w:rPr>
        <w:t>be incubated</w:t>
      </w:r>
      <w:proofErr w:type="gramEnd"/>
      <w:r w:rsidR="000B09AB" w:rsidRPr="00830F16">
        <w:rPr>
          <w:rFonts w:eastAsia="DengXian"/>
          <w:lang w:val="en-CA"/>
        </w:rPr>
        <w:t xml:space="preserve">. One example was </w:t>
      </w:r>
      <w:r w:rsidR="00EB6D9C" w:rsidRPr="00830F16">
        <w:rPr>
          <w:rFonts w:eastAsia="DengXian"/>
          <w:lang w:val="en-CA"/>
        </w:rPr>
        <w:t>an</w:t>
      </w:r>
      <w:r w:rsidR="000B09AB" w:rsidRPr="00830F16">
        <w:rPr>
          <w:rFonts w:eastAsia="DengXian"/>
          <w:lang w:val="en-CA"/>
        </w:rPr>
        <w:t xml:space="preserve"> internally</w:t>
      </w:r>
      <w:r w:rsidR="004E1323" w:rsidRPr="00830F16">
        <w:rPr>
          <w:rFonts w:eastAsia="DengXian"/>
          <w:lang w:val="en-CA"/>
        </w:rPr>
        <w:t xml:space="preserve"> </w:t>
      </w:r>
      <w:r w:rsidR="000B09AB" w:rsidRPr="00830F16">
        <w:rPr>
          <w:rFonts w:eastAsia="DengXian"/>
          <w:lang w:val="en-CA"/>
        </w:rPr>
        <w:t xml:space="preserve">developed application named </w:t>
      </w:r>
      <w:proofErr w:type="spellStart"/>
      <w:r w:rsidR="000B09AB" w:rsidRPr="00830F16">
        <w:rPr>
          <w:rFonts w:eastAsia="DengXian"/>
          <w:lang w:val="en-CA"/>
        </w:rPr>
        <w:t>Goru</w:t>
      </w:r>
      <w:proofErr w:type="spellEnd"/>
      <w:r w:rsidR="000B09AB" w:rsidRPr="00830F16">
        <w:rPr>
          <w:rFonts w:eastAsia="DengXian"/>
          <w:lang w:val="en-CA"/>
        </w:rPr>
        <w:t xml:space="preserve"> Travel (</w:t>
      </w:r>
      <w:proofErr w:type="spellStart"/>
      <w:r w:rsidR="000B09AB" w:rsidRPr="00830F16">
        <w:rPr>
          <w:rFonts w:eastAsia="DengXian"/>
          <w:lang w:val="en-CA"/>
        </w:rPr>
        <w:t>Goru</w:t>
      </w:r>
      <w:proofErr w:type="spellEnd"/>
      <w:r w:rsidR="000B09AB" w:rsidRPr="00830F16">
        <w:rPr>
          <w:rFonts w:eastAsia="DengXian"/>
          <w:lang w:val="en-CA"/>
        </w:rPr>
        <w:t>), an all-in-one digital concierge smartphone application for travel</w:t>
      </w:r>
      <w:r w:rsidR="004E1323" w:rsidRPr="00830F16">
        <w:rPr>
          <w:rFonts w:eastAsia="DengXian"/>
          <w:lang w:val="en-CA"/>
        </w:rPr>
        <w:t>l</w:t>
      </w:r>
      <w:r w:rsidR="000B09AB" w:rsidRPr="00830F16">
        <w:rPr>
          <w:rFonts w:eastAsia="DengXian"/>
          <w:lang w:val="en-CA"/>
        </w:rPr>
        <w:t>ers in Singapore</w:t>
      </w:r>
      <w:r w:rsidR="004E1323" w:rsidRPr="00830F16">
        <w:rPr>
          <w:rFonts w:eastAsia="DengXian"/>
          <w:lang w:val="en-CA"/>
        </w:rPr>
        <w:t xml:space="preserve">. </w:t>
      </w:r>
      <w:proofErr w:type="spellStart"/>
      <w:r w:rsidR="004E1323" w:rsidRPr="00830F16">
        <w:rPr>
          <w:rFonts w:eastAsia="DengXian"/>
          <w:lang w:val="en-CA"/>
        </w:rPr>
        <w:t>Goru</w:t>
      </w:r>
      <w:proofErr w:type="spellEnd"/>
      <w:r w:rsidR="000B09AB" w:rsidRPr="00830F16">
        <w:rPr>
          <w:rFonts w:eastAsia="DengXian"/>
          <w:lang w:val="en-CA"/>
        </w:rPr>
        <w:t xml:space="preserve"> </w:t>
      </w:r>
      <w:r w:rsidR="00DF457F" w:rsidRPr="00830F16">
        <w:rPr>
          <w:rFonts w:eastAsia="DengXian"/>
          <w:lang w:val="en-CA"/>
        </w:rPr>
        <w:t>offered</w:t>
      </w:r>
      <w:r w:rsidR="000B09AB" w:rsidRPr="00830F16">
        <w:rPr>
          <w:rFonts w:eastAsia="DengXian"/>
          <w:lang w:val="en-CA"/>
        </w:rPr>
        <w:t xml:space="preserve"> travel tips, </w:t>
      </w:r>
      <w:r w:rsidR="00DF457F" w:rsidRPr="00830F16">
        <w:rPr>
          <w:rFonts w:eastAsia="DengXian"/>
          <w:lang w:val="en-CA"/>
        </w:rPr>
        <w:t xml:space="preserve">could </w:t>
      </w:r>
      <w:r w:rsidR="000B09AB" w:rsidRPr="00830F16">
        <w:rPr>
          <w:rFonts w:eastAsia="DengXian"/>
          <w:lang w:val="en-CA"/>
        </w:rPr>
        <w:t>compare and book hotels</w:t>
      </w:r>
      <w:r w:rsidR="004E1323" w:rsidRPr="00830F16">
        <w:rPr>
          <w:rFonts w:eastAsia="DengXian"/>
          <w:lang w:val="en-CA"/>
        </w:rPr>
        <w:t>,</w:t>
      </w:r>
      <w:r w:rsidR="00DF457F" w:rsidRPr="00830F16">
        <w:rPr>
          <w:rFonts w:eastAsia="DengXian"/>
          <w:lang w:val="en-CA"/>
        </w:rPr>
        <w:t xml:space="preserve"> and</w:t>
      </w:r>
      <w:r w:rsidR="000B09AB" w:rsidRPr="00830F16">
        <w:rPr>
          <w:rFonts w:eastAsia="DengXian"/>
          <w:lang w:val="en-CA"/>
        </w:rPr>
        <w:t xml:space="preserve"> </w:t>
      </w:r>
      <w:r w:rsidR="004E1323" w:rsidRPr="00830F16">
        <w:rPr>
          <w:rFonts w:eastAsia="DengXian"/>
          <w:lang w:val="en-CA"/>
        </w:rPr>
        <w:t xml:space="preserve">could </w:t>
      </w:r>
      <w:r w:rsidR="00EB6D9C" w:rsidRPr="00830F16">
        <w:rPr>
          <w:rFonts w:eastAsia="DengXian"/>
          <w:lang w:val="en-CA"/>
        </w:rPr>
        <w:t xml:space="preserve">make </w:t>
      </w:r>
      <w:r w:rsidR="000B09AB" w:rsidRPr="00830F16">
        <w:rPr>
          <w:rFonts w:eastAsia="DengXian"/>
          <w:lang w:val="en-CA"/>
        </w:rPr>
        <w:t xml:space="preserve">dining and event reservations at the best prices. </w:t>
      </w:r>
      <w:proofErr w:type="spellStart"/>
      <w:r w:rsidR="000B09AB" w:rsidRPr="00830F16">
        <w:rPr>
          <w:rFonts w:eastAsia="DengXian"/>
          <w:lang w:val="en-CA"/>
        </w:rPr>
        <w:t>StarHub</w:t>
      </w:r>
      <w:proofErr w:type="spellEnd"/>
      <w:r w:rsidR="000B09AB" w:rsidRPr="00830F16">
        <w:rPr>
          <w:rFonts w:eastAsia="DengXian"/>
          <w:lang w:val="en-CA"/>
        </w:rPr>
        <w:t xml:space="preserve"> </w:t>
      </w:r>
      <w:proofErr w:type="gramStart"/>
      <w:r w:rsidR="000B09AB" w:rsidRPr="00830F16">
        <w:rPr>
          <w:rFonts w:eastAsia="DengXian"/>
          <w:lang w:val="en-CA"/>
        </w:rPr>
        <w:t>partnered</w:t>
      </w:r>
      <w:proofErr w:type="gramEnd"/>
      <w:r w:rsidR="000B09AB" w:rsidRPr="00830F16">
        <w:rPr>
          <w:rFonts w:eastAsia="DengXian"/>
          <w:lang w:val="en-CA"/>
        </w:rPr>
        <w:t xml:space="preserve"> with mobile strategy consultancy and enterprise</w:t>
      </w:r>
      <w:r w:rsidRPr="00830F16">
        <w:rPr>
          <w:rFonts w:eastAsia="DengXian"/>
          <w:lang w:val="en-CA"/>
        </w:rPr>
        <w:t>-</w:t>
      </w:r>
      <w:r w:rsidR="000B09AB" w:rsidRPr="00830F16">
        <w:rPr>
          <w:rFonts w:eastAsia="DengXian"/>
          <w:lang w:val="en-CA"/>
        </w:rPr>
        <w:t>application development service provider Rainmaker Labs to develop the application.</w:t>
      </w:r>
      <w:r w:rsidR="000B09AB" w:rsidRPr="00830F16">
        <w:rPr>
          <w:rFonts w:eastAsia="DengXian"/>
          <w:vertAlign w:val="superscript"/>
          <w:lang w:val="en-CA"/>
        </w:rPr>
        <w:endnoteReference w:id="23"/>
      </w:r>
      <w:r w:rsidR="000B09AB" w:rsidRPr="00830F16">
        <w:rPr>
          <w:rFonts w:eastAsia="DengXian"/>
          <w:lang w:val="en-CA"/>
        </w:rPr>
        <w:t xml:space="preserve"> The </w:t>
      </w:r>
      <w:r w:rsidR="006E7B14" w:rsidRPr="00830F16">
        <w:rPr>
          <w:rFonts w:eastAsia="DengXian"/>
          <w:lang w:val="en-CA"/>
        </w:rPr>
        <w:t xml:space="preserve">travel </w:t>
      </w:r>
      <w:r w:rsidR="000B09AB" w:rsidRPr="00830F16">
        <w:rPr>
          <w:rFonts w:eastAsia="DengXian"/>
          <w:lang w:val="en-CA"/>
        </w:rPr>
        <w:t xml:space="preserve">app </w:t>
      </w:r>
      <w:proofErr w:type="gramStart"/>
      <w:r w:rsidR="000B09AB" w:rsidRPr="00830F16">
        <w:rPr>
          <w:rFonts w:eastAsia="DengXian"/>
          <w:lang w:val="en-CA"/>
        </w:rPr>
        <w:t>was launched</w:t>
      </w:r>
      <w:proofErr w:type="gramEnd"/>
      <w:r w:rsidR="000B09AB" w:rsidRPr="00830F16">
        <w:rPr>
          <w:rFonts w:eastAsia="DengXian"/>
          <w:lang w:val="en-CA"/>
        </w:rPr>
        <w:t xml:space="preserve"> in 2015 after a trial with over 700 users with the Singapore Tourism Board and content provider City Nomads. While the travel app initially received positive reviews from representatives of both pilot partners, it </w:t>
      </w:r>
      <w:proofErr w:type="gramStart"/>
      <w:r w:rsidR="000B09AB" w:rsidRPr="00830F16">
        <w:rPr>
          <w:rFonts w:eastAsia="DengXian"/>
          <w:lang w:val="en-CA"/>
        </w:rPr>
        <w:t>was eventually discontinued</w:t>
      </w:r>
      <w:proofErr w:type="gramEnd"/>
      <w:r w:rsidR="000B09AB" w:rsidRPr="00830F16">
        <w:rPr>
          <w:rFonts w:eastAsia="DengXian"/>
          <w:lang w:val="en-CA"/>
        </w:rPr>
        <w:t xml:space="preserve">. </w:t>
      </w:r>
    </w:p>
    <w:p w14:paraId="6DF457F6" w14:textId="77777777" w:rsidR="000B09AB" w:rsidRPr="00830F16" w:rsidRDefault="000B09AB" w:rsidP="000B09AB">
      <w:pPr>
        <w:pStyle w:val="BodyTextMain"/>
        <w:rPr>
          <w:rFonts w:eastAsia="DengXian"/>
          <w:lang w:val="en-CA"/>
        </w:rPr>
      </w:pPr>
    </w:p>
    <w:p w14:paraId="51DF73C6" w14:textId="5FD0907C" w:rsidR="000B09AB" w:rsidRPr="00830F16" w:rsidRDefault="000B09AB" w:rsidP="000B09AB">
      <w:pPr>
        <w:pStyle w:val="BodyTextMain"/>
        <w:rPr>
          <w:rFonts w:eastAsia="DengXian"/>
          <w:lang w:val="en-CA"/>
        </w:rPr>
      </w:pPr>
      <w:r w:rsidRPr="00830F16">
        <w:rPr>
          <w:rFonts w:eastAsia="DengXian"/>
          <w:lang w:val="en-CA"/>
        </w:rPr>
        <w:t xml:space="preserve">Nonetheless, </w:t>
      </w:r>
      <w:proofErr w:type="spellStart"/>
      <w:r w:rsidRPr="00830F16">
        <w:rPr>
          <w:rFonts w:eastAsia="DengXian"/>
          <w:lang w:val="en-CA"/>
        </w:rPr>
        <w:t>StarHub</w:t>
      </w:r>
      <w:proofErr w:type="spellEnd"/>
      <w:r w:rsidRPr="00830F16">
        <w:rPr>
          <w:rFonts w:eastAsia="DengXian"/>
          <w:lang w:val="en-CA"/>
        </w:rPr>
        <w:t xml:space="preserve"> had gained invaluable insights from the trial. First, </w:t>
      </w:r>
      <w:r w:rsidR="00EB6D9C" w:rsidRPr="00830F16">
        <w:rPr>
          <w:rFonts w:eastAsia="DengXian"/>
          <w:lang w:val="en-CA"/>
        </w:rPr>
        <w:t>it</w:t>
      </w:r>
      <w:r w:rsidRPr="00830F16">
        <w:rPr>
          <w:rFonts w:eastAsia="DengXian"/>
          <w:lang w:val="en-CA"/>
        </w:rPr>
        <w:t xml:space="preserve"> found that relying on third parties for application development hindered </w:t>
      </w:r>
      <w:r w:rsidR="00B94554" w:rsidRPr="00830F16">
        <w:rPr>
          <w:rFonts w:eastAsia="DengXian"/>
          <w:lang w:val="en-CA"/>
        </w:rPr>
        <w:t>its</w:t>
      </w:r>
      <w:r w:rsidRPr="00830F16">
        <w:rPr>
          <w:rFonts w:eastAsia="DengXian"/>
          <w:lang w:val="en-CA"/>
        </w:rPr>
        <w:t xml:space="preserve"> ability to make changes quickly in response to user feedback. Second, the underlying technology was not as mature as expected, </w:t>
      </w:r>
      <w:r w:rsidR="00B94554" w:rsidRPr="00830F16">
        <w:rPr>
          <w:rFonts w:eastAsia="DengXian"/>
          <w:lang w:val="en-CA"/>
        </w:rPr>
        <w:t>which</w:t>
      </w:r>
      <w:r w:rsidRPr="00830F16">
        <w:rPr>
          <w:rFonts w:eastAsia="DengXian"/>
          <w:lang w:val="en-CA"/>
        </w:rPr>
        <w:t xml:space="preserve"> affect</w:t>
      </w:r>
      <w:r w:rsidR="00B94554" w:rsidRPr="00830F16">
        <w:rPr>
          <w:rFonts w:eastAsia="DengXian"/>
          <w:lang w:val="en-CA"/>
        </w:rPr>
        <w:t>ed</w:t>
      </w:r>
      <w:r w:rsidRPr="00830F16">
        <w:rPr>
          <w:rFonts w:eastAsia="DengXian"/>
          <w:lang w:val="en-CA"/>
        </w:rPr>
        <w:t xml:space="preserve"> the user experience. Third, as a travel app, </w:t>
      </w:r>
      <w:proofErr w:type="spellStart"/>
      <w:r w:rsidRPr="00830F16">
        <w:rPr>
          <w:rFonts w:eastAsia="DengXian"/>
          <w:lang w:val="en-CA"/>
        </w:rPr>
        <w:t>Goru</w:t>
      </w:r>
      <w:proofErr w:type="spellEnd"/>
      <w:r w:rsidRPr="00830F16">
        <w:rPr>
          <w:rFonts w:eastAsia="DengXian"/>
          <w:lang w:val="en-CA"/>
        </w:rPr>
        <w:t xml:space="preserve"> thrived on a transient consumer base. Even if the team had</w:t>
      </w:r>
      <w:r w:rsidR="00EB6D9C" w:rsidRPr="00830F16">
        <w:rPr>
          <w:rFonts w:eastAsia="DengXian"/>
          <w:lang w:val="en-CA"/>
        </w:rPr>
        <w:t xml:space="preserve"> </w:t>
      </w:r>
      <w:r w:rsidR="004E1323" w:rsidRPr="00830F16">
        <w:rPr>
          <w:rFonts w:eastAsia="DengXian"/>
          <w:lang w:val="en-CA"/>
        </w:rPr>
        <w:t xml:space="preserve">demonstrated the required </w:t>
      </w:r>
      <w:r w:rsidRPr="00830F16">
        <w:rPr>
          <w:rFonts w:eastAsia="DengXian"/>
          <w:lang w:val="en-CA"/>
        </w:rPr>
        <w:t xml:space="preserve">internal technical expertise and the technology had been mature, </w:t>
      </w:r>
      <w:proofErr w:type="spellStart"/>
      <w:r w:rsidRPr="00830F16">
        <w:rPr>
          <w:rFonts w:eastAsia="DengXian"/>
          <w:lang w:val="en-CA"/>
        </w:rPr>
        <w:t>StarHub’s</w:t>
      </w:r>
      <w:proofErr w:type="spellEnd"/>
      <w:r w:rsidRPr="00830F16">
        <w:rPr>
          <w:rFonts w:eastAsia="DengXian"/>
          <w:lang w:val="en-CA"/>
        </w:rPr>
        <w:t xml:space="preserve"> existing direct and channel sales teams were not set up to reach out to international tourists. While the existing sales teams were very effective in marketing traditional telco services, they </w:t>
      </w:r>
      <w:r w:rsidR="00B94554" w:rsidRPr="00830F16">
        <w:rPr>
          <w:rFonts w:eastAsia="DengXian"/>
          <w:lang w:val="en-CA"/>
        </w:rPr>
        <w:t>were</w:t>
      </w:r>
      <w:r w:rsidRPr="00830F16">
        <w:rPr>
          <w:rFonts w:eastAsia="DengXian"/>
          <w:lang w:val="en-CA"/>
        </w:rPr>
        <w:t xml:space="preserve"> not experts in marketing travel services to international consumers</w:t>
      </w:r>
      <w:r w:rsidR="004E1323" w:rsidRPr="00830F16">
        <w:rPr>
          <w:rFonts w:eastAsia="DengXian"/>
          <w:lang w:val="en-CA"/>
        </w:rPr>
        <w:t>,</w:t>
      </w:r>
      <w:r w:rsidRPr="00830F16">
        <w:rPr>
          <w:rFonts w:eastAsia="DengXian"/>
          <w:lang w:val="en-CA"/>
        </w:rPr>
        <w:t xml:space="preserve"> who would arrive and leave the country in a few days. Nevertheless, these learning insights served to inform </w:t>
      </w:r>
      <w:proofErr w:type="spellStart"/>
      <w:r w:rsidRPr="00830F16">
        <w:rPr>
          <w:rFonts w:eastAsia="DengXian"/>
          <w:lang w:val="en-CA"/>
        </w:rPr>
        <w:t>StarHub</w:t>
      </w:r>
      <w:proofErr w:type="spellEnd"/>
      <w:r w:rsidRPr="00830F16">
        <w:rPr>
          <w:rFonts w:eastAsia="DengXian"/>
          <w:lang w:val="en-CA"/>
        </w:rPr>
        <w:t xml:space="preserve"> in </w:t>
      </w:r>
      <w:r w:rsidR="00E60FE7" w:rsidRPr="00830F16">
        <w:rPr>
          <w:rFonts w:eastAsia="DengXian"/>
          <w:lang w:val="en-CA"/>
        </w:rPr>
        <w:t>its</w:t>
      </w:r>
      <w:r w:rsidRPr="00830F16">
        <w:rPr>
          <w:rFonts w:eastAsia="DengXian"/>
          <w:lang w:val="en-CA"/>
        </w:rPr>
        <w:t xml:space="preserve"> future application developments.</w:t>
      </w:r>
      <w:r w:rsidR="00D95E0C" w:rsidRPr="00830F16">
        <w:rPr>
          <w:rFonts w:eastAsia="DengXian"/>
          <w:lang w:val="en-CA"/>
        </w:rPr>
        <w:t xml:space="preserve"> </w:t>
      </w:r>
    </w:p>
    <w:p w14:paraId="04695311" w14:textId="77777777" w:rsidR="000B09AB" w:rsidRPr="00830F16" w:rsidRDefault="000B09AB" w:rsidP="00843F97">
      <w:pPr>
        <w:pStyle w:val="BodyTextMain"/>
        <w:rPr>
          <w:rFonts w:eastAsia="DengXian"/>
          <w:lang w:val="en-CA"/>
        </w:rPr>
      </w:pPr>
    </w:p>
    <w:p w14:paraId="1B180551" w14:textId="77777777" w:rsidR="000B09AB" w:rsidRPr="00830F16" w:rsidRDefault="000B09AB" w:rsidP="00843F97">
      <w:pPr>
        <w:pStyle w:val="BodyTextMain"/>
        <w:rPr>
          <w:rFonts w:eastAsia="DengXian"/>
          <w:lang w:val="en-CA"/>
        </w:rPr>
      </w:pPr>
    </w:p>
    <w:p w14:paraId="57A46860" w14:textId="0636D7A7" w:rsidR="000B09AB" w:rsidRPr="00830F16" w:rsidRDefault="0086658B" w:rsidP="00D91823">
      <w:pPr>
        <w:pStyle w:val="Casehead2"/>
        <w:rPr>
          <w:rFonts w:eastAsia="DengXian"/>
          <w:szCs w:val="22"/>
          <w:lang w:val="en-CA"/>
        </w:rPr>
      </w:pPr>
      <w:r w:rsidRPr="00830F16">
        <w:rPr>
          <w:rFonts w:eastAsia="DengXian"/>
          <w:szCs w:val="22"/>
          <w:lang w:val="en-CA"/>
        </w:rPr>
        <w:t xml:space="preserve">Transitioning </w:t>
      </w:r>
      <w:r w:rsidR="00C524E3" w:rsidRPr="00830F16">
        <w:rPr>
          <w:rFonts w:eastAsia="DengXian"/>
          <w:szCs w:val="22"/>
          <w:lang w:val="en-CA"/>
        </w:rPr>
        <w:t>F</w:t>
      </w:r>
      <w:r w:rsidR="000B09AB" w:rsidRPr="00830F16">
        <w:rPr>
          <w:rFonts w:eastAsia="DengXian"/>
          <w:szCs w:val="22"/>
          <w:lang w:val="en-CA"/>
        </w:rPr>
        <w:t>rom i</w:t>
      </w:r>
      <w:r w:rsidR="000B09AB" w:rsidRPr="00830F16">
        <w:rPr>
          <w:rFonts w:eastAsia="DengXian"/>
          <w:szCs w:val="22"/>
          <w:vertAlign w:val="superscript"/>
          <w:lang w:val="en-CA"/>
        </w:rPr>
        <w:t>3</w:t>
      </w:r>
      <w:r w:rsidR="000B09AB" w:rsidRPr="00830F16">
        <w:rPr>
          <w:rFonts w:eastAsia="DengXian"/>
          <w:szCs w:val="22"/>
          <w:lang w:val="en-CA"/>
        </w:rPr>
        <w:t xml:space="preserve"> </w:t>
      </w:r>
      <w:r w:rsidR="001754F6" w:rsidRPr="00830F16">
        <w:rPr>
          <w:rFonts w:eastAsia="DengXian"/>
          <w:lang w:val="en-CA"/>
        </w:rPr>
        <w:t>t</w:t>
      </w:r>
      <w:r w:rsidR="000B09AB" w:rsidRPr="00830F16">
        <w:rPr>
          <w:rFonts w:eastAsia="DengXian"/>
          <w:lang w:val="en-CA"/>
        </w:rPr>
        <w:t xml:space="preserve">o </w:t>
      </w:r>
      <w:r w:rsidR="000B09AB" w:rsidRPr="00830F16">
        <w:rPr>
          <w:rFonts w:eastAsia="DengXian"/>
          <w:szCs w:val="22"/>
          <w:lang w:val="en-CA"/>
        </w:rPr>
        <w:t>the</w:t>
      </w:r>
      <w:r w:rsidR="000B09AB" w:rsidRPr="00830F16">
        <w:rPr>
          <w:rFonts w:eastAsia="DengXian"/>
          <w:lang w:val="en-CA"/>
        </w:rPr>
        <w:t xml:space="preserve"> Emerging Business (</w:t>
      </w:r>
      <w:proofErr w:type="spellStart"/>
      <w:r w:rsidR="000B09AB" w:rsidRPr="00830F16">
        <w:rPr>
          <w:rFonts w:eastAsia="DengXian"/>
          <w:lang w:val="en-CA"/>
        </w:rPr>
        <w:t>EB</w:t>
      </w:r>
      <w:proofErr w:type="spellEnd"/>
      <w:r w:rsidR="000B09AB" w:rsidRPr="00830F16">
        <w:rPr>
          <w:rFonts w:eastAsia="DengXian"/>
          <w:lang w:val="en-CA"/>
        </w:rPr>
        <w:t xml:space="preserve">) </w:t>
      </w:r>
      <w:r w:rsidR="00026615" w:rsidRPr="00830F16">
        <w:rPr>
          <w:rFonts w:eastAsia="DengXian"/>
          <w:szCs w:val="22"/>
          <w:lang w:val="en-CA"/>
        </w:rPr>
        <w:t>U</w:t>
      </w:r>
      <w:r w:rsidR="000B09AB" w:rsidRPr="00830F16">
        <w:rPr>
          <w:rFonts w:eastAsia="DengXian"/>
          <w:szCs w:val="22"/>
          <w:lang w:val="en-CA"/>
        </w:rPr>
        <w:t>nit</w:t>
      </w:r>
    </w:p>
    <w:p w14:paraId="5945035D" w14:textId="77777777" w:rsidR="000B09AB" w:rsidRPr="00830F16" w:rsidRDefault="000B09AB" w:rsidP="000B09AB">
      <w:pPr>
        <w:jc w:val="both"/>
        <w:rPr>
          <w:rFonts w:eastAsia="DengXian"/>
          <w:sz w:val="22"/>
          <w:szCs w:val="22"/>
          <w:lang w:val="en-CA"/>
        </w:rPr>
      </w:pPr>
    </w:p>
    <w:p w14:paraId="479EF47B" w14:textId="134AC1E5" w:rsidR="000B09AB" w:rsidRPr="00830F16" w:rsidRDefault="000B09AB" w:rsidP="00D91823">
      <w:pPr>
        <w:pStyle w:val="BodyTextMain"/>
        <w:rPr>
          <w:rFonts w:eastAsia="DengXian"/>
          <w:lang w:val="en-CA"/>
        </w:rPr>
      </w:pPr>
      <w:r w:rsidRPr="00830F16">
        <w:rPr>
          <w:rFonts w:eastAsia="DengXian"/>
          <w:lang w:val="en-CA"/>
        </w:rPr>
        <w:t>In June 2017,</w:t>
      </w:r>
      <w:r w:rsidR="001754F6" w:rsidRPr="00830F16">
        <w:rPr>
          <w:rFonts w:eastAsia="DengXian"/>
          <w:lang w:val="en-CA"/>
        </w:rPr>
        <w:t xml:space="preserve"> the</w:t>
      </w:r>
      <w:r w:rsidRPr="00830F16">
        <w:rPr>
          <w:rFonts w:eastAsia="DengXian"/>
          <w:lang w:val="en-CA"/>
        </w:rPr>
        <w:t xml:space="preserve"> i</w:t>
      </w:r>
      <w:r w:rsidRPr="00830F16">
        <w:rPr>
          <w:rFonts w:eastAsia="DengXian"/>
          <w:szCs w:val="24"/>
          <w:vertAlign w:val="superscript"/>
          <w:lang w:val="en-CA"/>
        </w:rPr>
        <w:t>3</w:t>
      </w:r>
      <w:r w:rsidRPr="00830F16">
        <w:rPr>
          <w:rFonts w:eastAsia="DengXian"/>
          <w:lang w:val="en-CA"/>
        </w:rPr>
        <w:t xml:space="preserve"> </w:t>
      </w:r>
      <w:r w:rsidR="001754F6" w:rsidRPr="00830F16">
        <w:rPr>
          <w:rFonts w:eastAsia="DengXian"/>
          <w:lang w:val="en-CA"/>
        </w:rPr>
        <w:t xml:space="preserve">team </w:t>
      </w:r>
      <w:proofErr w:type="gramStart"/>
      <w:r w:rsidRPr="00830F16">
        <w:rPr>
          <w:rFonts w:eastAsia="DengXian"/>
          <w:lang w:val="en-CA"/>
        </w:rPr>
        <w:t>was subsumed</w:t>
      </w:r>
      <w:proofErr w:type="gramEnd"/>
      <w:r w:rsidRPr="00830F16">
        <w:rPr>
          <w:rFonts w:eastAsia="DengXian"/>
          <w:lang w:val="en-CA"/>
        </w:rPr>
        <w:t xml:space="preserve"> under the </w:t>
      </w:r>
      <w:r w:rsidR="004E1323" w:rsidRPr="00830F16">
        <w:rPr>
          <w:rFonts w:eastAsia="DengXian"/>
          <w:lang w:val="en-CA"/>
        </w:rPr>
        <w:t>emerging business (</w:t>
      </w:r>
      <w:proofErr w:type="spellStart"/>
      <w:r w:rsidRPr="00830F16">
        <w:rPr>
          <w:rFonts w:eastAsia="DengXian"/>
          <w:lang w:val="en-CA"/>
        </w:rPr>
        <w:t>EB</w:t>
      </w:r>
      <w:proofErr w:type="spellEnd"/>
      <w:r w:rsidR="004E1323" w:rsidRPr="00830F16">
        <w:rPr>
          <w:rFonts w:eastAsia="DengXian"/>
          <w:lang w:val="en-CA"/>
        </w:rPr>
        <w:t>)</w:t>
      </w:r>
      <w:r w:rsidRPr="00830F16">
        <w:rPr>
          <w:rFonts w:eastAsia="DengXian"/>
          <w:lang w:val="en-CA"/>
        </w:rPr>
        <w:t xml:space="preserve"> unit. The unit comprised 20 staff members tasked to work with the stakeholders of various industries</w:t>
      </w:r>
      <w:r w:rsidR="00445587" w:rsidRPr="00830F16">
        <w:rPr>
          <w:rFonts w:eastAsia="DengXian"/>
          <w:lang w:val="en-CA"/>
        </w:rPr>
        <w:t xml:space="preserve"> </w:t>
      </w:r>
      <w:r w:rsidRPr="00830F16">
        <w:rPr>
          <w:rFonts w:eastAsia="DengXian"/>
          <w:lang w:val="en-CA"/>
        </w:rPr>
        <w:t>to co-develop innovative solutions in three growth areas</w:t>
      </w:r>
      <w:r w:rsidR="004E1323" w:rsidRPr="00830F16">
        <w:rPr>
          <w:rFonts w:eastAsia="DengXian"/>
          <w:lang w:val="en-CA"/>
        </w:rPr>
        <w:t>:</w:t>
      </w:r>
      <w:r w:rsidR="001754F6" w:rsidRPr="00830F16">
        <w:rPr>
          <w:rFonts w:eastAsia="DengXian"/>
          <w:lang w:val="en-CA"/>
        </w:rPr>
        <w:t xml:space="preserve"> </w:t>
      </w:r>
      <w:r w:rsidRPr="00830F16">
        <w:rPr>
          <w:rFonts w:eastAsia="DengXian"/>
          <w:lang w:val="en-CA"/>
        </w:rPr>
        <w:t>connected buildings, connected vehicles</w:t>
      </w:r>
      <w:r w:rsidR="00445587" w:rsidRPr="00830F16">
        <w:rPr>
          <w:rFonts w:eastAsia="DengXian"/>
          <w:lang w:val="en-CA"/>
        </w:rPr>
        <w:t>,</w:t>
      </w:r>
      <w:r w:rsidRPr="00830F16">
        <w:rPr>
          <w:rFonts w:eastAsia="DengXian"/>
          <w:lang w:val="en-CA"/>
        </w:rPr>
        <w:t xml:space="preserve"> and connected living. According to Sim:</w:t>
      </w:r>
    </w:p>
    <w:p w14:paraId="3815E987" w14:textId="77777777" w:rsidR="000B09AB" w:rsidRPr="00830F16" w:rsidRDefault="000B09AB" w:rsidP="00D91823">
      <w:pPr>
        <w:pStyle w:val="BodyTextMain"/>
        <w:rPr>
          <w:rFonts w:eastAsia="DengXian"/>
          <w:lang w:val="en-CA"/>
        </w:rPr>
      </w:pPr>
    </w:p>
    <w:p w14:paraId="3BACA786" w14:textId="42B6C01B" w:rsidR="000B09AB" w:rsidRPr="00830F16" w:rsidRDefault="000B09AB" w:rsidP="00D91823">
      <w:pPr>
        <w:pStyle w:val="BodyTextMain"/>
        <w:ind w:left="720"/>
        <w:rPr>
          <w:rFonts w:eastAsia="DengXian"/>
          <w:lang w:val="en-CA"/>
        </w:rPr>
      </w:pPr>
      <w:r w:rsidRPr="00830F16">
        <w:rPr>
          <w:rFonts w:eastAsia="DengXian"/>
          <w:lang w:val="en-CA"/>
        </w:rPr>
        <w:t xml:space="preserve">Connected building is where all the smart meters and smart lighting comes in—solutions that make the building come alive. </w:t>
      </w:r>
      <w:r w:rsidR="004E1323" w:rsidRPr="00830F16">
        <w:rPr>
          <w:rFonts w:eastAsia="DengXian"/>
          <w:lang w:val="en-CA"/>
        </w:rPr>
        <w:t>[A] [</w:t>
      </w:r>
      <w:proofErr w:type="gramStart"/>
      <w:r w:rsidR="004E1323" w:rsidRPr="00830F16">
        <w:rPr>
          <w:rFonts w:eastAsia="DengXian"/>
          <w:lang w:val="en-CA"/>
        </w:rPr>
        <w:t>c]</w:t>
      </w:r>
      <w:proofErr w:type="spellStart"/>
      <w:proofErr w:type="gramEnd"/>
      <w:r w:rsidRPr="00830F16">
        <w:rPr>
          <w:rFonts w:eastAsia="DengXian"/>
          <w:lang w:val="en-CA"/>
        </w:rPr>
        <w:t>onnected</w:t>
      </w:r>
      <w:proofErr w:type="spellEnd"/>
      <w:r w:rsidRPr="00830F16">
        <w:rPr>
          <w:rFonts w:eastAsia="DengXian"/>
          <w:lang w:val="en-CA"/>
        </w:rPr>
        <w:t xml:space="preserve"> vehicle [comprises] all the vehicle parts </w:t>
      </w:r>
      <w:r w:rsidR="00445587" w:rsidRPr="00830F16">
        <w:rPr>
          <w:rFonts w:eastAsia="DengXian"/>
          <w:lang w:val="en-CA"/>
        </w:rPr>
        <w:t>. . .</w:t>
      </w:r>
      <w:r w:rsidRPr="00830F16">
        <w:rPr>
          <w:rFonts w:eastAsia="DengXian"/>
          <w:lang w:val="en-CA"/>
        </w:rPr>
        <w:t xml:space="preserve"> the driver’s behavio</w:t>
      </w:r>
      <w:r w:rsidR="004E1323" w:rsidRPr="00830F16">
        <w:rPr>
          <w:rFonts w:eastAsia="DengXian"/>
          <w:lang w:val="en-CA"/>
        </w:rPr>
        <w:t>u</w:t>
      </w:r>
      <w:r w:rsidRPr="00830F16">
        <w:rPr>
          <w:rFonts w:eastAsia="DengXian"/>
          <w:lang w:val="en-CA"/>
        </w:rPr>
        <w:t xml:space="preserve">r, fleet tracking, [and] urban logistics. Connected living </w:t>
      </w:r>
      <w:r w:rsidR="00445587" w:rsidRPr="00830F16">
        <w:rPr>
          <w:rFonts w:eastAsia="DengXian"/>
          <w:lang w:val="en-CA"/>
        </w:rPr>
        <w:t>. . .</w:t>
      </w:r>
      <w:r w:rsidRPr="00830F16">
        <w:rPr>
          <w:rFonts w:eastAsia="DengXian"/>
          <w:lang w:val="en-CA"/>
        </w:rPr>
        <w:t xml:space="preserve"> is actually your consumer space </w:t>
      </w:r>
      <w:r w:rsidR="00445587" w:rsidRPr="00830F16">
        <w:rPr>
          <w:rFonts w:eastAsia="DengXian"/>
          <w:lang w:val="en-CA"/>
        </w:rPr>
        <w:t>. . .</w:t>
      </w:r>
      <w:r w:rsidRPr="00830F16">
        <w:rPr>
          <w:rFonts w:eastAsia="DengXian"/>
          <w:lang w:val="en-CA"/>
        </w:rPr>
        <w:t xml:space="preserve"> smart homes and all the services around consumers.</w:t>
      </w:r>
    </w:p>
    <w:p w14:paraId="69A3A475" w14:textId="77777777" w:rsidR="000B09AB" w:rsidRPr="00830F16" w:rsidRDefault="000B09AB" w:rsidP="00D91823">
      <w:pPr>
        <w:pStyle w:val="BodyTextMain"/>
        <w:rPr>
          <w:rFonts w:eastAsia="DengXian"/>
          <w:lang w:val="en-CA"/>
        </w:rPr>
      </w:pPr>
    </w:p>
    <w:p w14:paraId="572FB763" w14:textId="77777777" w:rsidR="006E63F3" w:rsidRDefault="000B09AB" w:rsidP="00D91823">
      <w:pPr>
        <w:pStyle w:val="BodyTextMain"/>
        <w:rPr>
          <w:rFonts w:eastAsia="DengXian"/>
          <w:lang w:val="en-CA"/>
        </w:rPr>
      </w:pPr>
      <w:r w:rsidRPr="00830F16">
        <w:rPr>
          <w:rFonts w:eastAsia="DengXian"/>
          <w:lang w:val="en-CA"/>
        </w:rPr>
        <w:t xml:space="preserve">Top management’s </w:t>
      </w:r>
      <w:r w:rsidR="0080052D" w:rsidRPr="00830F16">
        <w:rPr>
          <w:rFonts w:eastAsia="DengXian"/>
          <w:lang w:val="en-CA"/>
        </w:rPr>
        <w:t xml:space="preserve">rationale for merging </w:t>
      </w:r>
      <w:r w:rsidRPr="00830F16">
        <w:rPr>
          <w:rFonts w:eastAsia="DengXian"/>
          <w:lang w:val="en-CA"/>
        </w:rPr>
        <w:t xml:space="preserve">both divisions was that </w:t>
      </w:r>
      <w:r w:rsidR="00010716" w:rsidRPr="00830F16">
        <w:rPr>
          <w:rFonts w:eastAsia="DengXian"/>
          <w:lang w:val="en-CA"/>
        </w:rPr>
        <w:t xml:space="preserve">the </w:t>
      </w:r>
      <w:r w:rsidRPr="00830F16">
        <w:rPr>
          <w:rFonts w:eastAsia="DengXian"/>
          <w:lang w:val="en-CA"/>
        </w:rPr>
        <w:t>i</w:t>
      </w:r>
      <w:r w:rsidRPr="00830F16">
        <w:rPr>
          <w:rFonts w:eastAsia="DengXian"/>
          <w:vertAlign w:val="superscript"/>
          <w:lang w:val="en-CA"/>
        </w:rPr>
        <w:t>3</w:t>
      </w:r>
      <w:r w:rsidRPr="00830F16">
        <w:rPr>
          <w:rFonts w:eastAsia="DengXian"/>
          <w:lang w:val="en-CA"/>
        </w:rPr>
        <w:t xml:space="preserve"> and </w:t>
      </w:r>
      <w:proofErr w:type="spellStart"/>
      <w:r w:rsidRPr="00830F16">
        <w:rPr>
          <w:rFonts w:eastAsia="DengXian"/>
          <w:lang w:val="en-CA"/>
        </w:rPr>
        <w:t>EB</w:t>
      </w:r>
      <w:proofErr w:type="spellEnd"/>
      <w:r w:rsidRPr="00830F16">
        <w:rPr>
          <w:rFonts w:eastAsia="DengXian"/>
          <w:lang w:val="en-CA"/>
        </w:rPr>
        <w:t xml:space="preserve"> </w:t>
      </w:r>
      <w:r w:rsidR="00010716" w:rsidRPr="00830F16">
        <w:rPr>
          <w:rFonts w:eastAsia="DengXian"/>
          <w:lang w:val="en-CA"/>
        </w:rPr>
        <w:t xml:space="preserve">units </w:t>
      </w:r>
      <w:r w:rsidR="0053399E" w:rsidRPr="00830F16">
        <w:rPr>
          <w:rFonts w:eastAsia="DengXian"/>
          <w:lang w:val="en-CA"/>
        </w:rPr>
        <w:t xml:space="preserve">shared a </w:t>
      </w:r>
      <w:r w:rsidRPr="00830F16">
        <w:rPr>
          <w:rFonts w:eastAsia="DengXian"/>
          <w:lang w:val="en-CA"/>
        </w:rPr>
        <w:t xml:space="preserve">similar </w:t>
      </w:r>
      <w:r w:rsidR="0053399E" w:rsidRPr="00830F16">
        <w:rPr>
          <w:rFonts w:eastAsia="DengXian"/>
          <w:lang w:val="en-CA"/>
        </w:rPr>
        <w:t xml:space="preserve">focus </w:t>
      </w:r>
      <w:r w:rsidR="00FC65FE" w:rsidRPr="00830F16">
        <w:rPr>
          <w:rFonts w:eastAsia="DengXian"/>
          <w:lang w:val="en-CA"/>
        </w:rPr>
        <w:t>with regard to</w:t>
      </w:r>
      <w:r w:rsidRPr="00830F16">
        <w:rPr>
          <w:rFonts w:eastAsia="DengXian"/>
          <w:lang w:val="en-CA"/>
        </w:rPr>
        <w:t xml:space="preserve"> consumer and enterprise innovation within </w:t>
      </w:r>
      <w:proofErr w:type="spellStart"/>
      <w:r w:rsidRPr="00830F16">
        <w:rPr>
          <w:rFonts w:eastAsia="DengXian"/>
          <w:lang w:val="en-CA"/>
        </w:rPr>
        <w:t>IoT</w:t>
      </w:r>
      <w:proofErr w:type="spellEnd"/>
      <w:r w:rsidRPr="00830F16">
        <w:rPr>
          <w:rFonts w:eastAsia="DengXian"/>
          <w:lang w:val="en-CA"/>
        </w:rPr>
        <w:sym w:font="Symbol" w:char="F0BE"/>
      </w:r>
      <w:r w:rsidRPr="00830F16">
        <w:rPr>
          <w:rFonts w:eastAsia="DengXian"/>
          <w:lang w:val="en-CA"/>
        </w:rPr>
        <w:t xml:space="preserve">devices or objects that were able to connect to the </w:t>
      </w:r>
      <w:r w:rsidR="0001145D" w:rsidRPr="00830F16">
        <w:rPr>
          <w:rFonts w:eastAsia="DengXian"/>
          <w:lang w:val="en-CA"/>
        </w:rPr>
        <w:t>I</w:t>
      </w:r>
      <w:r w:rsidRPr="00830F16">
        <w:rPr>
          <w:rFonts w:eastAsia="DengXian"/>
          <w:lang w:val="en-CA"/>
        </w:rPr>
        <w:t xml:space="preserve">nternet to collect or exchange data through embedded sensors. </w:t>
      </w:r>
    </w:p>
    <w:p w14:paraId="45E9021B" w14:textId="5C9B439B" w:rsidR="000B09AB" w:rsidRPr="00830F16" w:rsidRDefault="000B09AB" w:rsidP="00D91823">
      <w:pPr>
        <w:pStyle w:val="BodyTextMain"/>
        <w:rPr>
          <w:rFonts w:eastAsia="DengXian"/>
          <w:lang w:val="en-CA"/>
        </w:rPr>
      </w:pPr>
      <w:r w:rsidRPr="00830F16">
        <w:rPr>
          <w:rFonts w:eastAsia="DengXian"/>
          <w:lang w:val="en-CA"/>
        </w:rPr>
        <w:t>Sim mused:</w:t>
      </w:r>
    </w:p>
    <w:p w14:paraId="1702AB57" w14:textId="77777777" w:rsidR="000B09AB" w:rsidRPr="00830F16" w:rsidRDefault="000B09AB" w:rsidP="00D91823">
      <w:pPr>
        <w:pStyle w:val="BodyTextMain"/>
        <w:rPr>
          <w:rFonts w:eastAsia="DengXian"/>
          <w:lang w:val="en-CA"/>
        </w:rPr>
      </w:pPr>
    </w:p>
    <w:p w14:paraId="5C73E0CD" w14:textId="7F34263F" w:rsidR="000B09AB" w:rsidRDefault="000B09AB" w:rsidP="00D91823">
      <w:pPr>
        <w:pStyle w:val="BodyTextMain"/>
        <w:ind w:left="720"/>
        <w:rPr>
          <w:rFonts w:eastAsia="DengXian"/>
          <w:lang w:val="en-CA"/>
        </w:rPr>
      </w:pPr>
      <w:r w:rsidRPr="00830F16">
        <w:rPr>
          <w:rFonts w:eastAsia="DengXian"/>
          <w:lang w:val="en-CA"/>
        </w:rPr>
        <w:t xml:space="preserve">We noticed that potentially </w:t>
      </w:r>
      <w:proofErr w:type="gramStart"/>
      <w:r w:rsidRPr="00830F16">
        <w:rPr>
          <w:rFonts w:eastAsia="DengXian"/>
          <w:lang w:val="en-CA"/>
        </w:rPr>
        <w:t>there’s</w:t>
      </w:r>
      <w:proofErr w:type="gramEnd"/>
      <w:r w:rsidRPr="00830F16">
        <w:rPr>
          <w:rFonts w:eastAsia="DengXian"/>
          <w:lang w:val="en-CA"/>
        </w:rPr>
        <w:t xml:space="preserve"> a gap between incubating a start-up and bringing it to fruition through </w:t>
      </w:r>
      <w:proofErr w:type="spellStart"/>
      <w:r w:rsidRPr="00830F16">
        <w:rPr>
          <w:rFonts w:eastAsia="DengXian"/>
          <w:lang w:val="en-CA"/>
        </w:rPr>
        <w:t>productization</w:t>
      </w:r>
      <w:proofErr w:type="spellEnd"/>
      <w:r w:rsidRPr="00830F16">
        <w:rPr>
          <w:rFonts w:eastAsia="DengXian"/>
          <w:lang w:val="en-CA"/>
        </w:rPr>
        <w:t xml:space="preserve"> and commercialization without our company infrastructure. </w:t>
      </w:r>
      <w:proofErr w:type="gramStart"/>
      <w:r w:rsidRPr="00830F16">
        <w:rPr>
          <w:rFonts w:eastAsia="DengXian"/>
          <w:lang w:val="en-CA"/>
        </w:rPr>
        <w:t>That’s</w:t>
      </w:r>
      <w:proofErr w:type="gramEnd"/>
      <w:r w:rsidRPr="00830F16">
        <w:rPr>
          <w:rFonts w:eastAsia="DengXian"/>
          <w:lang w:val="en-CA"/>
        </w:rPr>
        <w:t xml:space="preserve"> where </w:t>
      </w:r>
      <w:proofErr w:type="spellStart"/>
      <w:r w:rsidRPr="00830F16">
        <w:rPr>
          <w:rFonts w:eastAsia="DengXian"/>
          <w:lang w:val="en-CA"/>
        </w:rPr>
        <w:t>StarHub</w:t>
      </w:r>
      <w:proofErr w:type="spellEnd"/>
      <w:r w:rsidRPr="00830F16">
        <w:rPr>
          <w:rFonts w:eastAsia="DengXian"/>
          <w:lang w:val="en-CA"/>
        </w:rPr>
        <w:t xml:space="preserve"> set up the Emerging Business department—to complete the whole value chain. After i</w:t>
      </w:r>
      <w:r w:rsidRPr="00830F16">
        <w:rPr>
          <w:rFonts w:eastAsia="DengXian"/>
          <w:szCs w:val="24"/>
          <w:vertAlign w:val="superscript"/>
          <w:lang w:val="en-CA"/>
        </w:rPr>
        <w:t>3</w:t>
      </w:r>
      <w:r w:rsidRPr="00830F16">
        <w:rPr>
          <w:rFonts w:eastAsia="DengXian"/>
          <w:lang w:val="en-CA"/>
        </w:rPr>
        <w:t xml:space="preserve"> </w:t>
      </w:r>
      <w:r w:rsidRPr="00830F16">
        <w:rPr>
          <w:rFonts w:eastAsia="DengXian"/>
          <w:lang w:val="en-CA"/>
        </w:rPr>
        <w:lastRenderedPageBreak/>
        <w:t>has scanned the market, looked at emerging technology and determine</w:t>
      </w:r>
      <w:r w:rsidR="00010716" w:rsidRPr="00830F16">
        <w:rPr>
          <w:rFonts w:eastAsia="DengXian"/>
          <w:lang w:val="en-CA"/>
        </w:rPr>
        <w:t>d</w:t>
      </w:r>
      <w:r w:rsidRPr="00830F16">
        <w:rPr>
          <w:rFonts w:eastAsia="DengXian"/>
          <w:lang w:val="en-CA"/>
        </w:rPr>
        <w:t xml:space="preserve"> that this is something </w:t>
      </w:r>
      <w:r w:rsidR="00FC65FE" w:rsidRPr="00830F16">
        <w:rPr>
          <w:rFonts w:eastAsia="DengXian"/>
          <w:lang w:val="en-CA"/>
        </w:rPr>
        <w:t>with</w:t>
      </w:r>
      <w:r w:rsidRPr="00830F16">
        <w:rPr>
          <w:rFonts w:eastAsia="DengXian"/>
          <w:lang w:val="en-CA"/>
        </w:rPr>
        <w:t xml:space="preserve"> potential, Emerging Business would then take the ideas and try to make them become reality.</w:t>
      </w:r>
    </w:p>
    <w:p w14:paraId="32C1FDBB" w14:textId="77777777" w:rsidR="006E63F3" w:rsidRPr="00830F16" w:rsidRDefault="006E63F3" w:rsidP="00D91823">
      <w:pPr>
        <w:pStyle w:val="BodyTextMain"/>
        <w:ind w:left="720"/>
        <w:rPr>
          <w:rFonts w:eastAsia="DengXian"/>
          <w:lang w:val="en-CA"/>
        </w:rPr>
      </w:pPr>
    </w:p>
    <w:p w14:paraId="3646E97A" w14:textId="1CD59F05" w:rsidR="000B09AB" w:rsidRPr="00830F16" w:rsidRDefault="000B09AB" w:rsidP="00D91823">
      <w:pPr>
        <w:pStyle w:val="BodyTextMain"/>
        <w:rPr>
          <w:rFonts w:eastAsia="DengXian"/>
          <w:lang w:val="en-CA"/>
        </w:rPr>
      </w:pPr>
      <w:r w:rsidRPr="00830F16">
        <w:rPr>
          <w:rFonts w:eastAsia="DengXian"/>
          <w:lang w:val="en-CA"/>
        </w:rPr>
        <w:t>Both units were complementary in nature</w:t>
      </w:r>
      <w:r w:rsidR="009003C1" w:rsidRPr="00830F16">
        <w:rPr>
          <w:rFonts w:eastAsia="DengXian"/>
          <w:lang w:val="en-CA"/>
        </w:rPr>
        <w:t>:</w:t>
      </w:r>
      <w:r w:rsidR="00110689" w:rsidRPr="00830F16">
        <w:rPr>
          <w:rFonts w:eastAsia="DengXian"/>
          <w:lang w:val="en-CA"/>
        </w:rPr>
        <w:t xml:space="preserve"> the </w:t>
      </w:r>
      <w:r w:rsidRPr="00830F16">
        <w:rPr>
          <w:rFonts w:eastAsia="DengXian"/>
          <w:lang w:val="en-CA"/>
        </w:rPr>
        <w:t>i</w:t>
      </w:r>
      <w:r w:rsidRPr="00830F16">
        <w:rPr>
          <w:rFonts w:eastAsia="DengXian"/>
          <w:szCs w:val="24"/>
          <w:vertAlign w:val="superscript"/>
          <w:lang w:val="en-CA"/>
        </w:rPr>
        <w:t>3</w:t>
      </w:r>
      <w:r w:rsidRPr="00830F16">
        <w:rPr>
          <w:rFonts w:eastAsia="DengXian"/>
          <w:lang w:val="en-CA"/>
        </w:rPr>
        <w:t xml:space="preserve"> </w:t>
      </w:r>
      <w:r w:rsidR="00110689" w:rsidRPr="00830F16">
        <w:rPr>
          <w:rFonts w:eastAsia="DengXian"/>
          <w:lang w:val="en-CA"/>
        </w:rPr>
        <w:t xml:space="preserve">team </w:t>
      </w:r>
      <w:r w:rsidRPr="00830F16">
        <w:rPr>
          <w:rFonts w:eastAsia="DengXian"/>
          <w:lang w:val="en-CA"/>
        </w:rPr>
        <w:t>would scan the market for new consumer</w:t>
      </w:r>
      <w:r w:rsidR="00285BFD">
        <w:rPr>
          <w:rFonts w:eastAsia="DengXian"/>
          <w:lang w:val="en-CA"/>
        </w:rPr>
        <w:t>-</w:t>
      </w:r>
      <w:r w:rsidRPr="00830F16">
        <w:rPr>
          <w:rFonts w:eastAsia="DengXian"/>
          <w:lang w:val="en-CA"/>
        </w:rPr>
        <w:t xml:space="preserve"> and enterprise-related technologies and solutions that would take three to five years for market adoption, while </w:t>
      </w:r>
      <w:r w:rsidR="00110689" w:rsidRPr="00830F16">
        <w:rPr>
          <w:rFonts w:eastAsia="DengXian"/>
          <w:lang w:val="en-CA"/>
        </w:rPr>
        <w:t xml:space="preserve">the </w:t>
      </w:r>
      <w:proofErr w:type="spellStart"/>
      <w:r w:rsidRPr="00830F16">
        <w:rPr>
          <w:rFonts w:eastAsia="DengXian"/>
          <w:lang w:val="en-CA"/>
        </w:rPr>
        <w:t>EB</w:t>
      </w:r>
      <w:proofErr w:type="spellEnd"/>
      <w:r w:rsidR="00110689" w:rsidRPr="00830F16">
        <w:rPr>
          <w:rFonts w:eastAsia="DengXian"/>
          <w:lang w:val="en-CA"/>
        </w:rPr>
        <w:t xml:space="preserve"> </w:t>
      </w:r>
      <w:r w:rsidR="004C4A0A" w:rsidRPr="00830F16">
        <w:rPr>
          <w:rFonts w:eastAsia="DengXian"/>
          <w:lang w:val="en-CA"/>
        </w:rPr>
        <w:t xml:space="preserve">unit </w:t>
      </w:r>
      <w:r w:rsidR="00110689" w:rsidRPr="00830F16">
        <w:rPr>
          <w:rFonts w:eastAsia="DengXian"/>
          <w:lang w:val="en-CA"/>
        </w:rPr>
        <w:t>team</w:t>
      </w:r>
      <w:r w:rsidRPr="00830F16">
        <w:rPr>
          <w:rFonts w:eastAsia="DengXian"/>
          <w:lang w:val="en-CA"/>
        </w:rPr>
        <w:t xml:space="preserve"> would develop new products before marketing them in one to two years. Essentially, </w:t>
      </w:r>
      <w:r w:rsidR="009003C1"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9003C1" w:rsidRPr="00830F16">
        <w:rPr>
          <w:rFonts w:eastAsia="DengXian"/>
          <w:lang w:val="en-CA"/>
        </w:rPr>
        <w:t xml:space="preserve">unit </w:t>
      </w:r>
      <w:r w:rsidRPr="00830F16">
        <w:rPr>
          <w:rFonts w:eastAsia="DengXian"/>
          <w:lang w:val="en-CA"/>
        </w:rPr>
        <w:t xml:space="preserve">was </w:t>
      </w:r>
      <w:proofErr w:type="spellStart"/>
      <w:r w:rsidRPr="00830F16">
        <w:rPr>
          <w:rFonts w:eastAsia="DengXian"/>
          <w:lang w:val="en-CA"/>
        </w:rPr>
        <w:t>StarHub’s</w:t>
      </w:r>
      <w:proofErr w:type="spellEnd"/>
      <w:r w:rsidRPr="00830F16">
        <w:rPr>
          <w:rFonts w:eastAsia="DengXian"/>
          <w:lang w:val="en-CA"/>
        </w:rPr>
        <w:t xml:space="preserve"> commercialization department</w:t>
      </w:r>
      <w:r w:rsidR="0080052D" w:rsidRPr="00830F16">
        <w:rPr>
          <w:rFonts w:eastAsia="DengXian"/>
          <w:lang w:val="en-CA"/>
        </w:rPr>
        <w:t>,</w:t>
      </w:r>
      <w:r w:rsidRPr="00830F16">
        <w:rPr>
          <w:rFonts w:eastAsia="DengXian"/>
          <w:lang w:val="en-CA"/>
        </w:rPr>
        <w:t xml:space="preserve"> </w:t>
      </w:r>
      <w:r w:rsidR="0080052D" w:rsidRPr="00830F16">
        <w:rPr>
          <w:rFonts w:eastAsia="DengXian"/>
          <w:lang w:val="en-CA"/>
        </w:rPr>
        <w:t xml:space="preserve">bridging </w:t>
      </w:r>
      <w:r w:rsidRPr="00830F16">
        <w:rPr>
          <w:rFonts w:eastAsia="DengXian"/>
          <w:lang w:val="en-CA"/>
        </w:rPr>
        <w:t xml:space="preserve">the gap between the process of product conceptualization and product sales. </w:t>
      </w:r>
      <w:r w:rsidR="009003C1"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9003C1" w:rsidRPr="00830F16">
        <w:rPr>
          <w:rFonts w:eastAsia="DengXian"/>
          <w:lang w:val="en-CA"/>
        </w:rPr>
        <w:t xml:space="preserve">unit </w:t>
      </w:r>
      <w:r w:rsidRPr="00830F16">
        <w:rPr>
          <w:rFonts w:eastAsia="DengXian"/>
          <w:lang w:val="en-CA"/>
        </w:rPr>
        <w:t xml:space="preserve">also conducted due diligence </w:t>
      </w:r>
      <w:r w:rsidR="00B90008" w:rsidRPr="00830F16">
        <w:rPr>
          <w:rFonts w:eastAsia="DengXian"/>
          <w:lang w:val="en-CA"/>
        </w:rPr>
        <w:t>with regard to</w:t>
      </w:r>
      <w:r w:rsidRPr="00830F16">
        <w:rPr>
          <w:rFonts w:eastAsia="DengXian"/>
          <w:lang w:val="en-CA"/>
        </w:rPr>
        <w:t xml:space="preserve"> product market</w:t>
      </w:r>
      <w:r w:rsidR="00B90008" w:rsidRPr="00830F16">
        <w:rPr>
          <w:rFonts w:eastAsia="DengXian"/>
          <w:lang w:val="en-CA"/>
        </w:rPr>
        <w:t xml:space="preserve"> research</w:t>
      </w:r>
      <w:r w:rsidRPr="00830F16">
        <w:rPr>
          <w:rFonts w:eastAsia="DengXian"/>
          <w:lang w:val="en-CA"/>
        </w:rPr>
        <w:t>, evaluation of product viability</w:t>
      </w:r>
      <w:r w:rsidR="00A7703C" w:rsidRPr="00830F16">
        <w:rPr>
          <w:rFonts w:eastAsia="DengXian"/>
          <w:lang w:val="en-CA"/>
        </w:rPr>
        <w:t>,</w:t>
      </w:r>
      <w:r w:rsidRPr="00830F16">
        <w:rPr>
          <w:rFonts w:eastAsia="DengXian"/>
          <w:lang w:val="en-CA"/>
        </w:rPr>
        <w:t xml:space="preserve"> and investment in product development and marketing. This new approach allowed </w:t>
      </w:r>
      <w:r w:rsidR="00110689" w:rsidRPr="00830F16">
        <w:rPr>
          <w:rFonts w:eastAsia="DengXian"/>
          <w:lang w:val="en-CA"/>
        </w:rPr>
        <w:t xml:space="preserve">the </w:t>
      </w:r>
      <w:r w:rsidRPr="00830F16">
        <w:rPr>
          <w:rFonts w:eastAsia="DengXian"/>
          <w:lang w:val="en-CA"/>
        </w:rPr>
        <w:t>i</w:t>
      </w:r>
      <w:r w:rsidRPr="00830F16">
        <w:rPr>
          <w:rFonts w:eastAsia="DengXian"/>
          <w:szCs w:val="24"/>
          <w:vertAlign w:val="superscript"/>
          <w:lang w:val="en-CA"/>
        </w:rPr>
        <w:t>3</w:t>
      </w:r>
      <w:r w:rsidRPr="00830F16">
        <w:rPr>
          <w:rFonts w:eastAsia="DengXian"/>
          <w:lang w:val="en-CA"/>
        </w:rPr>
        <w:t xml:space="preserve"> </w:t>
      </w:r>
      <w:r w:rsidR="00110689" w:rsidRPr="00830F16">
        <w:rPr>
          <w:rFonts w:eastAsia="DengXian"/>
          <w:lang w:val="en-CA"/>
        </w:rPr>
        <w:t xml:space="preserve">team </w:t>
      </w:r>
      <w:r w:rsidRPr="00830F16">
        <w:rPr>
          <w:rFonts w:eastAsia="DengXian"/>
          <w:lang w:val="en-CA"/>
        </w:rPr>
        <w:t xml:space="preserve">greater flexibility to achieve its opportunity identification and endorsement objectives without having to meet short-term ROI goals. </w:t>
      </w:r>
    </w:p>
    <w:p w14:paraId="5977ACC9" w14:textId="77777777" w:rsidR="000B09AB" w:rsidRPr="00830F16" w:rsidRDefault="000B09AB" w:rsidP="00D91823">
      <w:pPr>
        <w:pStyle w:val="BodyTextMain"/>
        <w:rPr>
          <w:rFonts w:eastAsia="DengXian"/>
          <w:lang w:val="en-CA"/>
        </w:rPr>
      </w:pPr>
    </w:p>
    <w:p w14:paraId="5F2C6F16" w14:textId="1992CA9B" w:rsidR="000B09AB" w:rsidRPr="00830F16" w:rsidRDefault="000B09AB" w:rsidP="00D91823">
      <w:pPr>
        <w:pStyle w:val="BodyTextMain"/>
        <w:rPr>
          <w:rFonts w:eastAsia="DengXian"/>
          <w:lang w:val="en-CA"/>
        </w:rPr>
      </w:pPr>
      <w:r w:rsidRPr="00830F16">
        <w:rPr>
          <w:rFonts w:eastAsia="DengXian"/>
          <w:lang w:val="en-CA"/>
        </w:rPr>
        <w:t xml:space="preserve">To enable </w:t>
      </w:r>
      <w:r w:rsidR="00BA2C89"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BA2C89" w:rsidRPr="00830F16">
        <w:rPr>
          <w:rFonts w:eastAsia="DengXian"/>
          <w:lang w:val="en-CA"/>
        </w:rPr>
        <w:t xml:space="preserve">unit </w:t>
      </w:r>
      <w:r w:rsidRPr="00830F16">
        <w:rPr>
          <w:rFonts w:eastAsia="DengXian"/>
          <w:lang w:val="en-CA"/>
        </w:rPr>
        <w:t xml:space="preserve">to monitor the different stages of the innovation value chain, </w:t>
      </w:r>
      <w:r w:rsidR="00BA2C89" w:rsidRPr="00830F16">
        <w:rPr>
          <w:rFonts w:eastAsia="DengXian"/>
          <w:lang w:val="en-CA"/>
        </w:rPr>
        <w:t>it</w:t>
      </w:r>
      <w:r w:rsidRPr="00830F16">
        <w:rPr>
          <w:rFonts w:eastAsia="DengXian"/>
          <w:lang w:val="en-CA"/>
        </w:rPr>
        <w:t xml:space="preserve"> developed an internal process</w:t>
      </w:r>
      <w:r w:rsidR="00BA2C89" w:rsidRPr="00830F16">
        <w:rPr>
          <w:rFonts w:eastAsia="DengXian"/>
          <w:lang w:val="en-CA"/>
        </w:rPr>
        <w:t xml:space="preserve"> </w:t>
      </w:r>
      <w:r w:rsidR="009003C1" w:rsidRPr="00830F16">
        <w:rPr>
          <w:rFonts w:eastAsia="DengXian"/>
          <w:lang w:val="en-CA"/>
        </w:rPr>
        <w:t xml:space="preserve">of </w:t>
      </w:r>
      <w:r w:rsidRPr="00830F16">
        <w:rPr>
          <w:rFonts w:eastAsia="DengXian"/>
          <w:lang w:val="en-CA"/>
        </w:rPr>
        <w:t>“Explore, Refine, Pilot</w:t>
      </w:r>
      <w:r w:rsidR="00EE5A47" w:rsidRPr="00830F16">
        <w:rPr>
          <w:rFonts w:eastAsia="DengXian"/>
          <w:lang w:val="en-CA"/>
        </w:rPr>
        <w:t>,</w:t>
      </w:r>
      <w:r w:rsidRPr="00830F16">
        <w:rPr>
          <w:rFonts w:eastAsia="DengXian"/>
          <w:lang w:val="en-CA"/>
        </w:rPr>
        <w:t xml:space="preserve"> and Scale” (ERPS). Before restructuring, </w:t>
      </w:r>
      <w:r w:rsidR="00BA2C89" w:rsidRPr="00830F16">
        <w:rPr>
          <w:rFonts w:eastAsia="DengXian"/>
          <w:lang w:val="en-CA"/>
        </w:rPr>
        <w:t xml:space="preserve">the </w:t>
      </w:r>
      <w:r w:rsidRPr="00830F16">
        <w:rPr>
          <w:rFonts w:eastAsia="DengXian"/>
          <w:lang w:val="en-CA"/>
        </w:rPr>
        <w:t>i</w:t>
      </w:r>
      <w:r w:rsidRPr="00830F16">
        <w:rPr>
          <w:rFonts w:eastAsia="DengXian"/>
          <w:szCs w:val="24"/>
          <w:vertAlign w:val="superscript"/>
          <w:lang w:val="en-CA"/>
        </w:rPr>
        <w:t>3</w:t>
      </w:r>
      <w:r w:rsidRPr="00830F16">
        <w:rPr>
          <w:rFonts w:eastAsia="DengXian"/>
          <w:lang w:val="en-CA"/>
        </w:rPr>
        <w:t xml:space="preserve"> </w:t>
      </w:r>
      <w:r w:rsidR="00BA2C89" w:rsidRPr="00830F16">
        <w:rPr>
          <w:rFonts w:eastAsia="DengXian"/>
          <w:lang w:val="en-CA"/>
        </w:rPr>
        <w:t xml:space="preserve">team </w:t>
      </w:r>
      <w:r w:rsidR="00EE5A47" w:rsidRPr="00830F16">
        <w:rPr>
          <w:rFonts w:eastAsia="DengXian"/>
          <w:lang w:val="en-CA"/>
        </w:rPr>
        <w:t>would</w:t>
      </w:r>
      <w:r w:rsidRPr="00830F16">
        <w:rPr>
          <w:rFonts w:eastAsia="DengXian"/>
          <w:lang w:val="en-CA"/>
        </w:rPr>
        <w:t xml:space="preserve"> engage start</w:t>
      </w:r>
      <w:r w:rsidR="009003C1" w:rsidRPr="00830F16">
        <w:rPr>
          <w:rFonts w:eastAsia="DengXian"/>
          <w:lang w:val="en-CA"/>
        </w:rPr>
        <w:t>-</w:t>
      </w:r>
      <w:r w:rsidRPr="00830F16">
        <w:rPr>
          <w:rFonts w:eastAsia="DengXian"/>
          <w:lang w:val="en-CA"/>
        </w:rPr>
        <w:t xml:space="preserve">ups in their early stages of development, </w:t>
      </w:r>
      <w:r w:rsidR="0080052D" w:rsidRPr="00830F16">
        <w:rPr>
          <w:rFonts w:eastAsia="DengXian"/>
          <w:lang w:val="en-CA"/>
        </w:rPr>
        <w:t xml:space="preserve">when </w:t>
      </w:r>
      <w:r w:rsidRPr="00830F16">
        <w:rPr>
          <w:rFonts w:eastAsia="DengXian"/>
          <w:lang w:val="en-CA"/>
        </w:rPr>
        <w:t xml:space="preserve">their concepts and value had yet to </w:t>
      </w:r>
      <w:proofErr w:type="gramStart"/>
      <w:r w:rsidRPr="00830F16">
        <w:rPr>
          <w:rFonts w:eastAsia="DengXian"/>
          <w:lang w:val="en-CA"/>
        </w:rPr>
        <w:t>be validated</w:t>
      </w:r>
      <w:proofErr w:type="gramEnd"/>
      <w:r w:rsidRPr="00830F16">
        <w:rPr>
          <w:rFonts w:eastAsia="DengXian"/>
          <w:lang w:val="en-CA"/>
        </w:rPr>
        <w:t xml:space="preserve"> with the target market, </w:t>
      </w:r>
      <w:r w:rsidR="009003C1" w:rsidRPr="00830F16">
        <w:rPr>
          <w:rFonts w:eastAsia="DengXian"/>
          <w:lang w:val="en-CA"/>
        </w:rPr>
        <w:t xml:space="preserve">which made </w:t>
      </w:r>
      <w:r w:rsidRPr="00830F16">
        <w:rPr>
          <w:rFonts w:eastAsia="DengXian"/>
          <w:lang w:val="en-CA"/>
        </w:rPr>
        <w:t xml:space="preserve">investments in them inherently risky. After merging, </w:t>
      </w:r>
      <w:r w:rsidR="00BA2C89"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and i</w:t>
      </w:r>
      <w:r w:rsidRPr="00830F16">
        <w:rPr>
          <w:rFonts w:eastAsia="DengXian"/>
          <w:szCs w:val="24"/>
          <w:vertAlign w:val="superscript"/>
          <w:lang w:val="en-CA"/>
        </w:rPr>
        <w:t>3</w:t>
      </w:r>
      <w:r w:rsidRPr="00830F16">
        <w:rPr>
          <w:rFonts w:eastAsia="DengXian"/>
          <w:lang w:val="en-CA"/>
        </w:rPr>
        <w:t xml:space="preserve"> </w:t>
      </w:r>
      <w:r w:rsidR="00BA2C89" w:rsidRPr="00830F16">
        <w:rPr>
          <w:rFonts w:eastAsia="DengXian"/>
          <w:lang w:val="en-CA"/>
        </w:rPr>
        <w:t xml:space="preserve">units </w:t>
      </w:r>
      <w:r w:rsidRPr="00830F16">
        <w:rPr>
          <w:rFonts w:eastAsia="DengXian"/>
          <w:lang w:val="en-CA"/>
        </w:rPr>
        <w:t>would focus on exploring, refining</w:t>
      </w:r>
      <w:r w:rsidR="00EE5A47" w:rsidRPr="00830F16">
        <w:rPr>
          <w:rFonts w:eastAsia="DengXian"/>
          <w:lang w:val="en-CA"/>
        </w:rPr>
        <w:t>,</w:t>
      </w:r>
      <w:r w:rsidRPr="00830F16">
        <w:rPr>
          <w:rFonts w:eastAsia="DengXian"/>
          <w:lang w:val="en-CA"/>
        </w:rPr>
        <w:t xml:space="preserve"> and piloting companies that </w:t>
      </w:r>
      <w:proofErr w:type="gramStart"/>
      <w:r w:rsidRPr="00830F16">
        <w:rPr>
          <w:rFonts w:eastAsia="DengXian"/>
          <w:lang w:val="en-CA"/>
        </w:rPr>
        <w:t xml:space="preserve">were </w:t>
      </w:r>
      <w:r w:rsidR="0080385D" w:rsidRPr="00830F16">
        <w:rPr>
          <w:rFonts w:eastAsia="DengXian"/>
          <w:lang w:val="en-CA"/>
        </w:rPr>
        <w:t xml:space="preserve">not only </w:t>
      </w:r>
      <w:r w:rsidRPr="00830F16">
        <w:rPr>
          <w:rFonts w:eastAsia="DengXian"/>
          <w:lang w:val="en-CA"/>
        </w:rPr>
        <w:t>aligned</w:t>
      </w:r>
      <w:proofErr w:type="gramEnd"/>
      <w:r w:rsidRPr="00830F16">
        <w:rPr>
          <w:rFonts w:eastAsia="DengXian"/>
          <w:lang w:val="en-CA"/>
        </w:rPr>
        <w:t xml:space="preserve"> with </w:t>
      </w:r>
      <w:proofErr w:type="spellStart"/>
      <w:r w:rsidRPr="00830F16">
        <w:rPr>
          <w:rFonts w:eastAsia="DengXian"/>
          <w:lang w:val="en-CA"/>
        </w:rPr>
        <w:t>StarHub’s</w:t>
      </w:r>
      <w:proofErr w:type="spellEnd"/>
      <w:r w:rsidRPr="00830F16">
        <w:rPr>
          <w:rFonts w:eastAsia="DengXian"/>
          <w:lang w:val="en-CA"/>
        </w:rPr>
        <w:t xml:space="preserve"> businesses but </w:t>
      </w:r>
      <w:r w:rsidR="00B23245" w:rsidRPr="00830F16">
        <w:rPr>
          <w:rFonts w:eastAsia="DengXian"/>
          <w:lang w:val="en-CA"/>
        </w:rPr>
        <w:t xml:space="preserve">also </w:t>
      </w:r>
      <w:r w:rsidR="0080385D" w:rsidRPr="00830F16">
        <w:rPr>
          <w:rFonts w:eastAsia="DengXian"/>
          <w:lang w:val="en-CA"/>
        </w:rPr>
        <w:t xml:space="preserve">could </w:t>
      </w:r>
      <w:r w:rsidRPr="00830F16">
        <w:rPr>
          <w:rFonts w:eastAsia="DengXian"/>
          <w:lang w:val="en-CA"/>
        </w:rPr>
        <w:t xml:space="preserve">commercialize their new products or services within one to two years, effectively promising quick returns. These candidate companies </w:t>
      </w:r>
      <w:r w:rsidR="00B23245" w:rsidRPr="00830F16">
        <w:rPr>
          <w:rFonts w:eastAsia="DengXian"/>
          <w:lang w:val="en-CA"/>
        </w:rPr>
        <w:t xml:space="preserve">had </w:t>
      </w:r>
      <w:r w:rsidRPr="00830F16">
        <w:rPr>
          <w:rFonts w:eastAsia="DengXian"/>
          <w:lang w:val="en-CA"/>
        </w:rPr>
        <w:t xml:space="preserve">already established themselves within the industry and were looking for a partnership with </w:t>
      </w:r>
      <w:proofErr w:type="spellStart"/>
      <w:r w:rsidRPr="00830F16">
        <w:rPr>
          <w:rFonts w:eastAsia="DengXian"/>
          <w:lang w:val="en-CA"/>
        </w:rPr>
        <w:t>StarHub</w:t>
      </w:r>
      <w:proofErr w:type="spellEnd"/>
      <w:r w:rsidRPr="00830F16">
        <w:rPr>
          <w:rFonts w:eastAsia="DengXian"/>
          <w:lang w:val="en-CA"/>
        </w:rPr>
        <w:t xml:space="preserve"> to scale forward. The ERPS process provided the </w:t>
      </w:r>
      <w:proofErr w:type="spellStart"/>
      <w:r w:rsidRPr="00830F16">
        <w:rPr>
          <w:rFonts w:eastAsia="DengXian"/>
          <w:lang w:val="en-CA"/>
        </w:rPr>
        <w:t>EB</w:t>
      </w:r>
      <w:proofErr w:type="spellEnd"/>
      <w:r w:rsidRPr="00830F16">
        <w:rPr>
          <w:rFonts w:eastAsia="DengXian"/>
          <w:lang w:val="en-CA"/>
        </w:rPr>
        <w:t xml:space="preserve"> and i</w:t>
      </w:r>
      <w:r w:rsidRPr="00830F16">
        <w:rPr>
          <w:rFonts w:eastAsia="DengXian"/>
          <w:szCs w:val="24"/>
          <w:vertAlign w:val="superscript"/>
          <w:lang w:val="en-CA"/>
        </w:rPr>
        <w:t>3</w:t>
      </w:r>
      <w:r w:rsidRPr="00830F16">
        <w:rPr>
          <w:rFonts w:eastAsia="DengXian"/>
          <w:lang w:val="en-CA"/>
        </w:rPr>
        <w:t xml:space="preserve"> teams </w:t>
      </w:r>
      <w:r w:rsidR="0080385D" w:rsidRPr="00830F16">
        <w:rPr>
          <w:rFonts w:eastAsia="DengXian"/>
          <w:lang w:val="en-CA"/>
        </w:rPr>
        <w:t xml:space="preserve">with </w:t>
      </w:r>
      <w:r w:rsidRPr="00830F16">
        <w:rPr>
          <w:rFonts w:eastAsia="DengXian"/>
          <w:lang w:val="en-CA"/>
        </w:rPr>
        <w:t>a structured approach to discover, evaluate</w:t>
      </w:r>
      <w:r w:rsidR="00EE5A47" w:rsidRPr="00830F16">
        <w:rPr>
          <w:rFonts w:eastAsia="DengXian"/>
          <w:lang w:val="en-CA"/>
        </w:rPr>
        <w:t>,</w:t>
      </w:r>
      <w:r w:rsidRPr="00830F16">
        <w:rPr>
          <w:rFonts w:eastAsia="DengXian"/>
          <w:lang w:val="en-CA"/>
        </w:rPr>
        <w:t xml:space="preserve"> and invest in innovations that would allow </w:t>
      </w:r>
      <w:proofErr w:type="spellStart"/>
      <w:r w:rsidRPr="00830F16">
        <w:rPr>
          <w:rFonts w:eastAsia="DengXian"/>
          <w:lang w:val="en-CA"/>
        </w:rPr>
        <w:t>StarHub</w:t>
      </w:r>
      <w:proofErr w:type="spellEnd"/>
      <w:r w:rsidRPr="00830F16">
        <w:rPr>
          <w:rFonts w:eastAsia="DengXian"/>
          <w:lang w:val="en-CA"/>
        </w:rPr>
        <w:t xml:space="preserve"> to create and capture value.</w:t>
      </w:r>
    </w:p>
    <w:p w14:paraId="46AE978D" w14:textId="77777777" w:rsidR="000B09AB" w:rsidRPr="00830F16" w:rsidRDefault="000B09AB" w:rsidP="00D91823">
      <w:pPr>
        <w:pStyle w:val="BodyTextMain"/>
        <w:rPr>
          <w:lang w:val="en-CA"/>
        </w:rPr>
      </w:pPr>
    </w:p>
    <w:p w14:paraId="32F8E007" w14:textId="77777777" w:rsidR="000B09AB" w:rsidRPr="00830F16" w:rsidRDefault="000B09AB" w:rsidP="00D91823">
      <w:pPr>
        <w:pStyle w:val="BodyTextMain"/>
        <w:rPr>
          <w:lang w:val="en-CA"/>
        </w:rPr>
      </w:pPr>
    </w:p>
    <w:p w14:paraId="10B7444A" w14:textId="77777777" w:rsidR="000B09AB" w:rsidRPr="00830F16" w:rsidRDefault="000B09AB" w:rsidP="00D91823">
      <w:pPr>
        <w:pStyle w:val="Casehead1"/>
        <w:rPr>
          <w:rFonts w:eastAsia="DengXian"/>
          <w:lang w:val="en-CA"/>
        </w:rPr>
      </w:pPr>
      <w:r w:rsidRPr="00830F16">
        <w:rPr>
          <w:rFonts w:eastAsia="DengXian"/>
          <w:lang w:val="en-CA"/>
        </w:rPr>
        <w:t xml:space="preserve">THE MANDATE FOR INNOVATION </w:t>
      </w:r>
    </w:p>
    <w:p w14:paraId="61C372E5" w14:textId="77777777" w:rsidR="000B09AB" w:rsidRPr="00830F16" w:rsidRDefault="000B09AB" w:rsidP="000B09AB">
      <w:pPr>
        <w:jc w:val="both"/>
        <w:rPr>
          <w:rFonts w:eastAsia="DengXian"/>
          <w:sz w:val="22"/>
          <w:szCs w:val="22"/>
          <w:lang w:val="en-CA"/>
        </w:rPr>
      </w:pPr>
    </w:p>
    <w:p w14:paraId="221B94E2" w14:textId="32CB5CE5" w:rsidR="000B09AB" w:rsidRPr="00830F16" w:rsidRDefault="000B09AB" w:rsidP="00D91823">
      <w:pPr>
        <w:pStyle w:val="BodyTextMain"/>
        <w:rPr>
          <w:rFonts w:eastAsia="DengXian"/>
          <w:lang w:val="en-CA"/>
        </w:rPr>
      </w:pPr>
      <w:r w:rsidRPr="00830F16">
        <w:rPr>
          <w:rFonts w:eastAsia="DengXian"/>
          <w:lang w:val="en-CA"/>
        </w:rPr>
        <w:t xml:space="preserve">In 2016, </w:t>
      </w:r>
      <w:r w:rsidR="00965343" w:rsidRPr="00830F16">
        <w:rPr>
          <w:rFonts w:eastAsia="DengXian"/>
          <w:lang w:val="en-CA"/>
        </w:rPr>
        <w:t xml:space="preserve">the </w:t>
      </w:r>
      <w:proofErr w:type="spellStart"/>
      <w:r w:rsidRPr="00830F16">
        <w:rPr>
          <w:rFonts w:eastAsia="DengXian"/>
          <w:lang w:val="en-CA"/>
        </w:rPr>
        <w:t>IMDA</w:t>
      </w:r>
      <w:proofErr w:type="spellEnd"/>
      <w:r w:rsidRPr="00830F16">
        <w:rPr>
          <w:rFonts w:eastAsia="DengXian"/>
          <w:lang w:val="en-CA"/>
        </w:rPr>
        <w:t xml:space="preserve"> launched the </w:t>
      </w:r>
      <w:proofErr w:type="spellStart"/>
      <w:r w:rsidRPr="00830F16">
        <w:rPr>
          <w:rFonts w:eastAsia="DengXian"/>
          <w:lang w:val="en-CA"/>
        </w:rPr>
        <w:t>Infocomm</w:t>
      </w:r>
      <w:proofErr w:type="spellEnd"/>
      <w:r w:rsidRPr="00830F16">
        <w:rPr>
          <w:rFonts w:eastAsia="DengXian"/>
          <w:lang w:val="en-CA"/>
        </w:rPr>
        <w:t xml:space="preserve"> Media Industry Transformation Map (</w:t>
      </w:r>
      <w:proofErr w:type="spellStart"/>
      <w:r w:rsidRPr="00830F16">
        <w:rPr>
          <w:rFonts w:eastAsia="DengXian"/>
          <w:lang w:val="en-CA"/>
        </w:rPr>
        <w:t>ITM</w:t>
      </w:r>
      <w:proofErr w:type="spellEnd"/>
      <w:r w:rsidRPr="00830F16">
        <w:rPr>
          <w:rFonts w:eastAsia="DengXian"/>
          <w:lang w:val="en-CA"/>
        </w:rPr>
        <w:t xml:space="preserve">), which </w:t>
      </w:r>
      <w:proofErr w:type="spellStart"/>
      <w:r w:rsidRPr="00830F16">
        <w:rPr>
          <w:rFonts w:eastAsia="DengXian"/>
          <w:lang w:val="en-CA"/>
        </w:rPr>
        <w:t>StarHub</w:t>
      </w:r>
      <w:proofErr w:type="spellEnd"/>
      <w:r w:rsidRPr="00830F16">
        <w:rPr>
          <w:rFonts w:eastAsia="DengXian"/>
          <w:lang w:val="en-CA"/>
        </w:rPr>
        <w:t xml:space="preserve"> </w:t>
      </w:r>
      <w:r w:rsidR="008748A5" w:rsidRPr="00830F16">
        <w:rPr>
          <w:rFonts w:eastAsia="DengXian"/>
          <w:lang w:val="en-CA"/>
        </w:rPr>
        <w:t>participa</w:t>
      </w:r>
      <w:r w:rsidR="0080385D" w:rsidRPr="00830F16">
        <w:rPr>
          <w:rFonts w:eastAsia="DengXian"/>
          <w:lang w:val="en-CA"/>
        </w:rPr>
        <w:t xml:space="preserve">ted </w:t>
      </w:r>
      <w:proofErr w:type="gramStart"/>
      <w:r w:rsidR="008748A5" w:rsidRPr="00830F16">
        <w:rPr>
          <w:rFonts w:eastAsia="DengXian"/>
          <w:lang w:val="en-CA"/>
        </w:rPr>
        <w:t>in</w:t>
      </w:r>
      <w:proofErr w:type="gramEnd"/>
      <w:r w:rsidRPr="00830F16">
        <w:rPr>
          <w:rFonts w:eastAsia="DengXian"/>
          <w:lang w:val="en-CA"/>
        </w:rPr>
        <w:t xml:space="preserve">. The </w:t>
      </w:r>
      <w:proofErr w:type="spellStart"/>
      <w:r w:rsidRPr="00830F16">
        <w:rPr>
          <w:rFonts w:eastAsia="DengXian"/>
          <w:lang w:val="en-CA"/>
        </w:rPr>
        <w:t>ITM</w:t>
      </w:r>
      <w:proofErr w:type="spellEnd"/>
      <w:r w:rsidRPr="00830F16">
        <w:rPr>
          <w:rFonts w:eastAsia="DengXian"/>
          <w:lang w:val="en-CA"/>
        </w:rPr>
        <w:t xml:space="preserve"> aimed to provide stronger support for innovation and </w:t>
      </w:r>
      <w:r w:rsidR="0080385D" w:rsidRPr="00830F16">
        <w:rPr>
          <w:rFonts w:eastAsia="DengXian"/>
          <w:lang w:val="en-CA"/>
        </w:rPr>
        <w:t xml:space="preserve">the </w:t>
      </w:r>
      <w:r w:rsidRPr="00830F16">
        <w:rPr>
          <w:rFonts w:eastAsia="DengXian"/>
          <w:lang w:val="en-CA"/>
        </w:rPr>
        <w:t xml:space="preserve">development of disruptive technologies such as cyber security, </w:t>
      </w:r>
      <w:r w:rsidR="0080385D" w:rsidRPr="00830F16">
        <w:rPr>
          <w:rFonts w:eastAsia="DengXian"/>
          <w:lang w:val="en-CA"/>
        </w:rPr>
        <w:t xml:space="preserve">the </w:t>
      </w:r>
      <w:proofErr w:type="spellStart"/>
      <w:r w:rsidRPr="00830F16">
        <w:rPr>
          <w:rFonts w:eastAsia="DengXian"/>
          <w:lang w:val="en-CA"/>
        </w:rPr>
        <w:t>IoT</w:t>
      </w:r>
      <w:proofErr w:type="spellEnd"/>
      <w:r w:rsidRPr="00830F16">
        <w:rPr>
          <w:rFonts w:eastAsia="DengXian"/>
          <w:lang w:val="en-CA"/>
        </w:rPr>
        <w:t xml:space="preserve">, </w:t>
      </w:r>
      <w:r w:rsidR="003B0F12" w:rsidRPr="00830F16">
        <w:rPr>
          <w:rFonts w:eastAsia="DengXian"/>
          <w:lang w:val="en-CA"/>
        </w:rPr>
        <w:t>a</w:t>
      </w:r>
      <w:r w:rsidRPr="00830F16">
        <w:rPr>
          <w:rFonts w:eastAsia="DengXian"/>
          <w:lang w:val="en-CA"/>
        </w:rPr>
        <w:t xml:space="preserve">rtificial </w:t>
      </w:r>
      <w:r w:rsidR="003B0F12" w:rsidRPr="00830F16">
        <w:rPr>
          <w:rFonts w:eastAsia="DengXian"/>
          <w:lang w:val="en-CA"/>
        </w:rPr>
        <w:t>i</w:t>
      </w:r>
      <w:r w:rsidRPr="00830F16">
        <w:rPr>
          <w:rFonts w:eastAsia="DengXian"/>
          <w:lang w:val="en-CA"/>
        </w:rPr>
        <w:t>ntelligence</w:t>
      </w:r>
      <w:r w:rsidR="003B0F12" w:rsidRPr="00830F16">
        <w:rPr>
          <w:rFonts w:eastAsia="DengXian"/>
          <w:lang w:val="en-CA"/>
        </w:rPr>
        <w:t>,</w:t>
      </w:r>
      <w:r w:rsidRPr="00830F16">
        <w:rPr>
          <w:rFonts w:eastAsia="DengXian"/>
          <w:lang w:val="en-CA"/>
        </w:rPr>
        <w:t xml:space="preserve"> and data analytics</w:t>
      </w:r>
      <w:r w:rsidR="00965343" w:rsidRPr="00830F16">
        <w:rPr>
          <w:rFonts w:eastAsia="DengXian"/>
          <w:lang w:val="en-CA"/>
        </w:rPr>
        <w:t xml:space="preserve">. It also supported </w:t>
      </w:r>
      <w:r w:rsidRPr="00830F16">
        <w:rPr>
          <w:rFonts w:eastAsia="DengXian"/>
          <w:lang w:val="en-CA"/>
        </w:rPr>
        <w:t xml:space="preserve">immersive media across 23 industries, including info-communication technology (ICT) </w:t>
      </w:r>
      <w:r w:rsidR="00DE3712" w:rsidRPr="00830F16">
        <w:rPr>
          <w:rFonts w:eastAsia="DengXian"/>
          <w:lang w:val="en-CA" w:eastAsia="zh-CN"/>
        </w:rPr>
        <w:t>in</w:t>
      </w:r>
      <w:r w:rsidRPr="00830F16">
        <w:rPr>
          <w:rFonts w:eastAsia="DengXian"/>
          <w:lang w:val="en-CA" w:eastAsia="zh-CN"/>
        </w:rPr>
        <w:t xml:space="preserve"> media, healthcare, retail, hotels</w:t>
      </w:r>
      <w:r w:rsidR="00965343" w:rsidRPr="00830F16">
        <w:rPr>
          <w:rFonts w:eastAsia="DengXian"/>
          <w:lang w:val="en-CA" w:eastAsia="zh-CN"/>
        </w:rPr>
        <w:t>,</w:t>
      </w:r>
      <w:r w:rsidRPr="00830F16">
        <w:rPr>
          <w:rFonts w:eastAsia="DengXian"/>
          <w:lang w:val="en-CA" w:eastAsia="zh-CN"/>
        </w:rPr>
        <w:t xml:space="preserve"> and electronics.</w:t>
      </w:r>
      <w:r w:rsidRPr="00830F16">
        <w:rPr>
          <w:rFonts w:eastAsia="DengXian"/>
          <w:vertAlign w:val="superscript"/>
          <w:lang w:val="en-CA" w:eastAsia="zh-CN"/>
        </w:rPr>
        <w:endnoteReference w:id="24"/>
      </w:r>
      <w:r w:rsidRPr="00830F16">
        <w:rPr>
          <w:rFonts w:eastAsia="DengXian"/>
          <w:lang w:val="en-CA"/>
        </w:rPr>
        <w:t xml:space="preserve"> </w:t>
      </w:r>
      <w:proofErr w:type="spellStart"/>
      <w:r w:rsidRPr="00830F16">
        <w:rPr>
          <w:rFonts w:eastAsia="DengXian"/>
          <w:lang w:val="en-CA" w:eastAsia="zh-CN"/>
        </w:rPr>
        <w:t>StarHub</w:t>
      </w:r>
      <w:proofErr w:type="spellEnd"/>
      <w:r w:rsidRPr="00830F16">
        <w:rPr>
          <w:rFonts w:eastAsia="DengXian"/>
          <w:lang w:val="en-CA" w:eastAsia="zh-CN"/>
        </w:rPr>
        <w:t xml:space="preserve"> </w:t>
      </w:r>
      <w:r w:rsidR="002B0029" w:rsidRPr="00830F16">
        <w:rPr>
          <w:rFonts w:eastAsia="DengXian"/>
          <w:lang w:val="en-CA" w:eastAsia="zh-CN"/>
        </w:rPr>
        <w:t xml:space="preserve">also </w:t>
      </w:r>
      <w:r w:rsidRPr="00830F16">
        <w:rPr>
          <w:rFonts w:eastAsia="DengXian"/>
          <w:lang w:val="en-CA" w:eastAsia="zh-CN"/>
        </w:rPr>
        <w:t>participated as a technology solution provider in</w:t>
      </w:r>
      <w:r w:rsidR="00B23245" w:rsidRPr="00830F16">
        <w:rPr>
          <w:rFonts w:eastAsia="DengXian"/>
          <w:lang w:val="en-CA" w:eastAsia="zh-CN"/>
        </w:rPr>
        <w:t xml:space="preserve"> the</w:t>
      </w:r>
      <w:r w:rsidRPr="00830F16">
        <w:rPr>
          <w:rFonts w:eastAsia="DengXian"/>
          <w:lang w:val="en-CA" w:eastAsia="zh-CN"/>
        </w:rPr>
        <w:t xml:space="preserve"> </w:t>
      </w:r>
      <w:proofErr w:type="spellStart"/>
      <w:r w:rsidRPr="00830F16">
        <w:rPr>
          <w:rFonts w:eastAsia="DengXian"/>
          <w:lang w:val="en-CA" w:eastAsia="zh-CN"/>
        </w:rPr>
        <w:t>IMDA’s</w:t>
      </w:r>
      <w:proofErr w:type="spellEnd"/>
      <w:r w:rsidRPr="00830F16">
        <w:rPr>
          <w:rFonts w:eastAsia="DengXian"/>
          <w:lang w:val="en-CA" w:eastAsia="zh-CN"/>
        </w:rPr>
        <w:t xml:space="preserve"> </w:t>
      </w:r>
      <w:r w:rsidRPr="00830F16">
        <w:rPr>
          <w:rFonts w:eastAsia="DengXian"/>
          <w:lang w:val="en-CA"/>
        </w:rPr>
        <w:t xml:space="preserve">SME </w:t>
      </w:r>
      <w:r w:rsidRPr="00830F16">
        <w:rPr>
          <w:rFonts w:eastAsia="DengXian"/>
          <w:lang w:val="en-CA" w:eastAsia="zh-CN"/>
        </w:rPr>
        <w:t>Go Digital program</w:t>
      </w:r>
      <w:r w:rsidR="00DE3712" w:rsidRPr="00830F16">
        <w:rPr>
          <w:rFonts w:eastAsia="DengXian"/>
          <w:lang w:val="en-CA" w:eastAsia="zh-CN"/>
        </w:rPr>
        <w:t>,</w:t>
      </w:r>
      <w:r w:rsidRPr="00830F16">
        <w:rPr>
          <w:rFonts w:eastAsia="DengXian"/>
          <w:lang w:val="en-CA" w:eastAsia="zh-CN"/>
        </w:rPr>
        <w:t xml:space="preserve"> launched in April 2017 to support SMEs in retail, food services</w:t>
      </w:r>
      <w:r w:rsidR="005D06E9" w:rsidRPr="00830F16">
        <w:rPr>
          <w:rFonts w:eastAsia="DengXian"/>
          <w:lang w:val="en-CA" w:eastAsia="zh-CN"/>
        </w:rPr>
        <w:t>,</w:t>
      </w:r>
      <w:r w:rsidRPr="00830F16">
        <w:rPr>
          <w:rFonts w:eastAsia="DengXian"/>
          <w:lang w:val="en-CA" w:eastAsia="zh-CN"/>
        </w:rPr>
        <w:t xml:space="preserve"> and logistics in their early phases of adopting digital technologies</w:t>
      </w:r>
      <w:r w:rsidR="00B23245" w:rsidRPr="00830F16">
        <w:rPr>
          <w:rFonts w:eastAsia="DengXian"/>
          <w:lang w:val="en-CA" w:eastAsia="zh-CN"/>
        </w:rPr>
        <w:t>. The program aimed to</w:t>
      </w:r>
      <w:r w:rsidRPr="00830F16">
        <w:rPr>
          <w:rFonts w:eastAsia="DengXian"/>
          <w:lang w:val="en-CA" w:eastAsia="zh-CN"/>
        </w:rPr>
        <w:t xml:space="preserve"> boost the</w:t>
      </w:r>
      <w:r w:rsidR="00B23245" w:rsidRPr="00830F16">
        <w:rPr>
          <w:rFonts w:eastAsia="DengXian"/>
          <w:lang w:val="en-CA" w:eastAsia="zh-CN"/>
        </w:rPr>
        <w:t xml:space="preserve"> SME’s</w:t>
      </w:r>
      <w:r w:rsidRPr="00830F16">
        <w:rPr>
          <w:rFonts w:eastAsia="DengXian"/>
          <w:lang w:val="en-CA" w:eastAsia="zh-CN"/>
        </w:rPr>
        <w:t xml:space="preserve"> productivity through </w:t>
      </w:r>
      <w:r w:rsidR="0080385D" w:rsidRPr="00830F16">
        <w:rPr>
          <w:rFonts w:eastAsia="DengXian"/>
          <w:lang w:val="en-CA" w:eastAsia="zh-CN"/>
        </w:rPr>
        <w:t xml:space="preserve">the </w:t>
      </w:r>
      <w:r w:rsidRPr="00830F16">
        <w:rPr>
          <w:rFonts w:eastAsia="DengXian"/>
          <w:lang w:val="en-CA" w:eastAsia="zh-CN"/>
        </w:rPr>
        <w:t>digitali</w:t>
      </w:r>
      <w:r w:rsidR="005D06E9" w:rsidRPr="00830F16">
        <w:rPr>
          <w:rFonts w:eastAsia="DengXian"/>
          <w:lang w:val="en-CA" w:eastAsia="zh-CN"/>
        </w:rPr>
        <w:t>z</w:t>
      </w:r>
      <w:r w:rsidRPr="00830F16">
        <w:rPr>
          <w:rFonts w:eastAsia="DengXian"/>
          <w:lang w:val="en-CA" w:eastAsia="zh-CN"/>
        </w:rPr>
        <w:t>ation of processes. The SME Go Digital program involved “partnering influential companies to pilot sector-specific solutions that have the potential to scale</w:t>
      </w:r>
      <w:r w:rsidR="00527811" w:rsidRPr="00830F16">
        <w:rPr>
          <w:rFonts w:eastAsia="DengXian"/>
          <w:lang w:val="en-CA" w:eastAsia="zh-CN"/>
        </w:rPr>
        <w:t>.</w:t>
      </w:r>
      <w:r w:rsidRPr="00830F16">
        <w:rPr>
          <w:rFonts w:eastAsia="DengXian"/>
          <w:lang w:val="en-CA" w:eastAsia="zh-CN"/>
        </w:rPr>
        <w:t>”</w:t>
      </w:r>
      <w:r w:rsidRPr="00830F16">
        <w:rPr>
          <w:rFonts w:eastAsia="DengXian"/>
          <w:vertAlign w:val="superscript"/>
          <w:lang w:val="en-CA" w:eastAsia="zh-CN"/>
        </w:rPr>
        <w:endnoteReference w:id="25"/>
      </w:r>
      <w:r w:rsidRPr="00830F16">
        <w:rPr>
          <w:rFonts w:eastAsia="DengXian"/>
          <w:lang w:val="en-CA" w:eastAsia="zh-CN"/>
        </w:rPr>
        <w:t xml:space="preserve"> In particular, Singapore’s </w:t>
      </w:r>
      <w:proofErr w:type="spellStart"/>
      <w:r w:rsidRPr="00830F16">
        <w:rPr>
          <w:rFonts w:eastAsia="DengXian"/>
          <w:lang w:val="en-CA" w:eastAsia="zh-CN"/>
        </w:rPr>
        <w:t>telcos</w:t>
      </w:r>
      <w:proofErr w:type="spellEnd"/>
      <w:r w:rsidRPr="00830F16">
        <w:rPr>
          <w:rFonts w:eastAsia="DengXian"/>
          <w:lang w:val="en-CA" w:eastAsia="zh-CN"/>
        </w:rPr>
        <w:t xml:space="preserve"> would provide </w:t>
      </w:r>
      <w:r w:rsidR="00B23245" w:rsidRPr="00830F16">
        <w:rPr>
          <w:rFonts w:eastAsia="DengXian"/>
          <w:lang w:val="en-CA" w:eastAsia="zh-CN"/>
        </w:rPr>
        <w:t xml:space="preserve">the </w:t>
      </w:r>
      <w:r w:rsidRPr="00830F16">
        <w:rPr>
          <w:rFonts w:eastAsia="DengXian"/>
          <w:lang w:val="en-CA" w:eastAsia="zh-CN"/>
        </w:rPr>
        <w:t>SMEs with a one-stop service through digital technology</w:t>
      </w:r>
      <w:r w:rsidR="00ED4B4F" w:rsidRPr="00830F16">
        <w:rPr>
          <w:rFonts w:eastAsia="DengXian"/>
          <w:lang w:val="en-CA" w:eastAsia="zh-CN"/>
        </w:rPr>
        <w:t>-</w:t>
      </w:r>
      <w:r w:rsidRPr="00830F16">
        <w:rPr>
          <w:rFonts w:eastAsia="DengXian"/>
          <w:lang w:val="en-CA" w:eastAsia="zh-CN"/>
        </w:rPr>
        <w:t>bundled solutions</w:t>
      </w:r>
      <w:r w:rsidR="00B23245" w:rsidRPr="00830F16">
        <w:rPr>
          <w:rFonts w:eastAsia="DengXian"/>
          <w:lang w:val="en-CA" w:eastAsia="zh-CN"/>
        </w:rPr>
        <w:t>, which</w:t>
      </w:r>
      <w:r w:rsidRPr="00830F16">
        <w:rPr>
          <w:rFonts w:eastAsia="DengXian"/>
          <w:lang w:val="en-CA" w:eastAsia="zh-CN"/>
        </w:rPr>
        <w:t xml:space="preserve"> included broadband or Wi</w:t>
      </w:r>
      <w:r w:rsidR="00360AC2" w:rsidRPr="00830F16">
        <w:rPr>
          <w:rFonts w:eastAsia="DengXian"/>
          <w:lang w:val="en-CA" w:eastAsia="zh-CN"/>
        </w:rPr>
        <w:t>-</w:t>
      </w:r>
      <w:r w:rsidRPr="00830F16">
        <w:rPr>
          <w:rFonts w:eastAsia="DengXian"/>
          <w:lang w:val="en-CA" w:eastAsia="zh-CN"/>
        </w:rPr>
        <w:t xml:space="preserve">Fi connectivity </w:t>
      </w:r>
      <w:r w:rsidR="00B23245" w:rsidRPr="00830F16">
        <w:rPr>
          <w:rFonts w:eastAsia="DengXian"/>
          <w:lang w:val="en-CA" w:eastAsia="zh-CN"/>
        </w:rPr>
        <w:t xml:space="preserve">and </w:t>
      </w:r>
      <w:r w:rsidRPr="00830F16">
        <w:rPr>
          <w:rFonts w:eastAsia="DengXian"/>
          <w:lang w:val="en-CA" w:eastAsia="zh-CN"/>
        </w:rPr>
        <w:t>cyber</w:t>
      </w:r>
      <w:r w:rsidR="00B23245" w:rsidRPr="00830F16">
        <w:rPr>
          <w:rFonts w:eastAsia="DengXian"/>
          <w:lang w:val="en-CA" w:eastAsia="zh-CN"/>
        </w:rPr>
        <w:t>-</w:t>
      </w:r>
      <w:r w:rsidRPr="00830F16">
        <w:rPr>
          <w:rFonts w:eastAsia="DengXian"/>
          <w:lang w:val="en-CA" w:eastAsia="zh-CN"/>
        </w:rPr>
        <w:t>security and data</w:t>
      </w:r>
      <w:r w:rsidR="00B23245" w:rsidRPr="00830F16">
        <w:rPr>
          <w:rFonts w:eastAsia="DengXian"/>
          <w:lang w:val="en-CA" w:eastAsia="zh-CN"/>
        </w:rPr>
        <w:t>-</w:t>
      </w:r>
      <w:r w:rsidRPr="00830F16">
        <w:rPr>
          <w:rFonts w:eastAsia="DengXian"/>
          <w:lang w:val="en-CA" w:eastAsia="zh-CN"/>
        </w:rPr>
        <w:t>analytics tools.</w:t>
      </w:r>
      <w:r w:rsidRPr="00830F16">
        <w:rPr>
          <w:rFonts w:eastAsia="DengXian"/>
          <w:vertAlign w:val="superscript"/>
          <w:lang w:val="en-CA" w:eastAsia="zh-CN"/>
        </w:rPr>
        <w:endnoteReference w:id="26"/>
      </w:r>
      <w:r w:rsidRPr="00830F16">
        <w:rPr>
          <w:rFonts w:eastAsia="DengXian"/>
          <w:lang w:val="en-CA" w:eastAsia="zh-CN"/>
        </w:rPr>
        <w:t xml:space="preserve"> </w:t>
      </w:r>
      <w:proofErr w:type="spellStart"/>
      <w:r w:rsidRPr="00830F16">
        <w:rPr>
          <w:rFonts w:eastAsia="DengXian"/>
          <w:lang w:val="en-CA"/>
        </w:rPr>
        <w:t>StarHub</w:t>
      </w:r>
      <w:proofErr w:type="spellEnd"/>
      <w:r w:rsidRPr="00830F16">
        <w:rPr>
          <w:rFonts w:eastAsia="DengXian"/>
          <w:lang w:val="en-CA"/>
        </w:rPr>
        <w:t xml:space="preserve"> </w:t>
      </w:r>
      <w:r w:rsidR="005D06E9" w:rsidRPr="00830F16">
        <w:rPr>
          <w:rFonts w:eastAsia="DengXian"/>
          <w:lang w:val="en-CA"/>
        </w:rPr>
        <w:t xml:space="preserve">now </w:t>
      </w:r>
      <w:r w:rsidRPr="00830F16">
        <w:rPr>
          <w:rFonts w:eastAsia="DengXian"/>
          <w:lang w:val="en-CA"/>
        </w:rPr>
        <w:t xml:space="preserve">had a greater mandate to venture into the growth domains. </w:t>
      </w:r>
    </w:p>
    <w:p w14:paraId="172B65D7" w14:textId="77777777" w:rsidR="000B09AB" w:rsidRPr="00830F16" w:rsidRDefault="000B09AB" w:rsidP="00D91823">
      <w:pPr>
        <w:pStyle w:val="BodyTextMain"/>
        <w:rPr>
          <w:rFonts w:eastAsia="DengXian"/>
          <w:lang w:val="en-CA"/>
        </w:rPr>
      </w:pPr>
    </w:p>
    <w:p w14:paraId="76EEA45F" w14:textId="7D5358B0" w:rsidR="000B09AB" w:rsidRPr="00830F16" w:rsidRDefault="000B09AB" w:rsidP="00D91823">
      <w:pPr>
        <w:pStyle w:val="BodyTextMain"/>
        <w:rPr>
          <w:rFonts w:eastAsia="DengXian"/>
          <w:lang w:val="en-CA"/>
        </w:rPr>
      </w:pPr>
      <w:r w:rsidRPr="00830F16">
        <w:rPr>
          <w:rFonts w:eastAsia="DengXian"/>
          <w:lang w:val="en-CA"/>
        </w:rPr>
        <w:t xml:space="preserve">To leverage new growth domains, </w:t>
      </w:r>
      <w:proofErr w:type="spellStart"/>
      <w:r w:rsidRPr="00830F16">
        <w:rPr>
          <w:rFonts w:eastAsia="DengXian"/>
          <w:lang w:val="en-CA"/>
        </w:rPr>
        <w:t>StarHub</w:t>
      </w:r>
      <w:proofErr w:type="spellEnd"/>
      <w:r w:rsidRPr="00830F16">
        <w:rPr>
          <w:rFonts w:eastAsia="DengXian"/>
          <w:lang w:val="en-CA"/>
        </w:rPr>
        <w:t xml:space="preserve"> simultaneously adopted an acquisition strategy. </w:t>
      </w:r>
      <w:proofErr w:type="spellStart"/>
      <w:r w:rsidRPr="00830F16">
        <w:rPr>
          <w:rFonts w:eastAsia="DengXian"/>
          <w:lang w:val="en-CA"/>
        </w:rPr>
        <w:t>StarHub</w:t>
      </w:r>
      <w:proofErr w:type="spellEnd"/>
      <w:r w:rsidRPr="00830F16">
        <w:rPr>
          <w:rFonts w:eastAsia="DengXian"/>
          <w:lang w:val="en-CA"/>
        </w:rPr>
        <w:t xml:space="preserve"> announced investment in content producer mm2 Asia Ltd</w:t>
      </w:r>
      <w:r w:rsidR="00F823E2" w:rsidRPr="00830F16">
        <w:rPr>
          <w:rFonts w:eastAsia="DengXian"/>
          <w:lang w:val="en-CA"/>
        </w:rPr>
        <w:t>.</w:t>
      </w:r>
      <w:r w:rsidRPr="00830F16">
        <w:rPr>
          <w:rFonts w:eastAsia="DengXian"/>
          <w:lang w:val="en-CA"/>
        </w:rPr>
        <w:t xml:space="preserve"> (mm2 Asia) in March 2016 for </w:t>
      </w:r>
      <w:r w:rsidR="0060630E" w:rsidRPr="00830F16">
        <w:rPr>
          <w:rFonts w:eastAsia="DengXian"/>
          <w:lang w:val="en-CA"/>
        </w:rPr>
        <w:t xml:space="preserve">a </w:t>
      </w:r>
      <w:r w:rsidRPr="00830F16">
        <w:rPr>
          <w:rFonts w:eastAsia="DengXian"/>
          <w:lang w:val="en-CA"/>
        </w:rPr>
        <w:t>9.05</w:t>
      </w:r>
      <w:r w:rsidR="00AF52B1" w:rsidRPr="00830F16">
        <w:rPr>
          <w:rFonts w:eastAsia="DengXian"/>
          <w:lang w:val="en-CA"/>
        </w:rPr>
        <w:t xml:space="preserve"> </w:t>
      </w:r>
      <w:r w:rsidRPr="00830F16">
        <w:rPr>
          <w:rFonts w:eastAsia="DengXian"/>
          <w:lang w:val="en-CA"/>
        </w:rPr>
        <w:t>per</w:t>
      </w:r>
      <w:r w:rsidR="00AF52B1" w:rsidRPr="00830F16">
        <w:rPr>
          <w:rFonts w:eastAsia="DengXian"/>
          <w:lang w:val="en-CA"/>
        </w:rPr>
        <w:t xml:space="preserve"> </w:t>
      </w:r>
      <w:r w:rsidRPr="00830F16">
        <w:rPr>
          <w:rFonts w:eastAsia="DengXian"/>
          <w:lang w:val="en-CA"/>
        </w:rPr>
        <w:t xml:space="preserve">cent stake at $18.04 million. Taking a stake in mm2 Asia expanded </w:t>
      </w:r>
      <w:proofErr w:type="spellStart"/>
      <w:r w:rsidRPr="00830F16">
        <w:rPr>
          <w:rFonts w:eastAsia="DengXian"/>
          <w:lang w:val="en-CA"/>
        </w:rPr>
        <w:t>StarHub’s</w:t>
      </w:r>
      <w:proofErr w:type="spellEnd"/>
      <w:r w:rsidRPr="00830F16">
        <w:rPr>
          <w:rFonts w:eastAsia="DengXian"/>
          <w:lang w:val="en-CA"/>
        </w:rPr>
        <w:t xml:space="preserve"> </w:t>
      </w:r>
      <w:proofErr w:type="spellStart"/>
      <w:r w:rsidRPr="00830F16">
        <w:rPr>
          <w:rFonts w:eastAsia="DengXian"/>
          <w:lang w:val="en-CA"/>
        </w:rPr>
        <w:t>pay</w:t>
      </w:r>
      <w:r w:rsidR="00E9346C" w:rsidRPr="00830F16">
        <w:rPr>
          <w:rFonts w:eastAsia="DengXian"/>
          <w:lang w:val="en-CA"/>
        </w:rPr>
        <w:t>-</w:t>
      </w:r>
      <w:r w:rsidRPr="00830F16">
        <w:rPr>
          <w:rFonts w:eastAsia="DengXian"/>
          <w:lang w:val="en-CA"/>
        </w:rPr>
        <w:t>TV</w:t>
      </w:r>
      <w:proofErr w:type="spellEnd"/>
      <w:r w:rsidRPr="00830F16">
        <w:rPr>
          <w:rFonts w:eastAsia="DengXian"/>
          <w:lang w:val="en-CA"/>
        </w:rPr>
        <w:t xml:space="preserve"> offerings and the reach of localized content through distribution beyond Singapore’s shores. In 2017, </w:t>
      </w:r>
      <w:proofErr w:type="spellStart"/>
      <w:r w:rsidRPr="00830F16">
        <w:rPr>
          <w:rFonts w:eastAsia="DengXian"/>
          <w:lang w:val="en-CA"/>
        </w:rPr>
        <w:t>StarHub</w:t>
      </w:r>
      <w:proofErr w:type="spellEnd"/>
      <w:r w:rsidRPr="00830F16">
        <w:rPr>
          <w:rFonts w:eastAsia="DengXian"/>
          <w:lang w:val="en-CA"/>
        </w:rPr>
        <w:t xml:space="preserve"> acquired cyber</w:t>
      </w:r>
      <w:r w:rsidR="0060630E" w:rsidRPr="00830F16">
        <w:rPr>
          <w:rFonts w:eastAsia="DengXian"/>
          <w:lang w:val="en-CA"/>
        </w:rPr>
        <w:t>-</w:t>
      </w:r>
      <w:r w:rsidRPr="00830F16">
        <w:rPr>
          <w:rFonts w:eastAsia="DengXian"/>
          <w:lang w:val="en-CA"/>
        </w:rPr>
        <w:t xml:space="preserve">security system integrator </w:t>
      </w:r>
      <w:proofErr w:type="spellStart"/>
      <w:r w:rsidRPr="00830F16">
        <w:rPr>
          <w:rFonts w:eastAsia="DengXian"/>
          <w:lang w:val="en-CA"/>
        </w:rPr>
        <w:t>Accel</w:t>
      </w:r>
      <w:proofErr w:type="spellEnd"/>
      <w:r w:rsidRPr="00830F16">
        <w:rPr>
          <w:rFonts w:eastAsia="DengXian"/>
          <w:lang w:val="en-CA"/>
        </w:rPr>
        <w:t xml:space="preserve"> Systems and Technologies Pte</w:t>
      </w:r>
      <w:r w:rsidR="00F823E2" w:rsidRPr="00830F16">
        <w:rPr>
          <w:rFonts w:eastAsia="DengXian"/>
          <w:lang w:val="en-CA"/>
        </w:rPr>
        <w:t>.</w:t>
      </w:r>
      <w:r w:rsidRPr="00830F16">
        <w:rPr>
          <w:rFonts w:eastAsia="DengXian"/>
          <w:lang w:val="en-CA"/>
        </w:rPr>
        <w:t xml:space="preserve"> Ltd</w:t>
      </w:r>
      <w:r w:rsidR="00BC6005" w:rsidRPr="00830F16">
        <w:rPr>
          <w:rFonts w:eastAsia="DengXian"/>
          <w:lang w:val="en-CA"/>
        </w:rPr>
        <w:t>.</w:t>
      </w:r>
      <w:r w:rsidRPr="00830F16">
        <w:rPr>
          <w:rFonts w:eastAsia="DengXian"/>
          <w:lang w:val="en-CA"/>
        </w:rPr>
        <w:t xml:space="preserve"> </w:t>
      </w:r>
      <w:r w:rsidR="00F823E2" w:rsidRPr="00830F16">
        <w:rPr>
          <w:rFonts w:eastAsia="DengXian"/>
          <w:lang w:val="en-CA"/>
        </w:rPr>
        <w:t>(</w:t>
      </w:r>
      <w:proofErr w:type="spellStart"/>
      <w:r w:rsidR="00F823E2" w:rsidRPr="00830F16">
        <w:rPr>
          <w:rFonts w:eastAsia="DengXian"/>
          <w:lang w:val="en-CA"/>
        </w:rPr>
        <w:t>Accel</w:t>
      </w:r>
      <w:proofErr w:type="spellEnd"/>
      <w:r w:rsidR="00F823E2" w:rsidRPr="00830F16">
        <w:rPr>
          <w:rFonts w:eastAsia="DengXian"/>
          <w:lang w:val="en-CA"/>
        </w:rPr>
        <w:t xml:space="preserve">) </w:t>
      </w:r>
      <w:r w:rsidRPr="00830F16">
        <w:rPr>
          <w:rFonts w:eastAsia="DengXian"/>
          <w:lang w:val="en-CA"/>
        </w:rPr>
        <w:t xml:space="preserve">on May </w:t>
      </w:r>
      <w:proofErr w:type="gramStart"/>
      <w:r w:rsidR="00F07C36" w:rsidRPr="00830F16">
        <w:rPr>
          <w:rFonts w:eastAsia="DengXian"/>
          <w:lang w:val="en-CA"/>
        </w:rPr>
        <w:t>26,</w:t>
      </w:r>
      <w:proofErr w:type="gramEnd"/>
      <w:r w:rsidR="00F07C36" w:rsidRPr="00830F16">
        <w:rPr>
          <w:rFonts w:eastAsia="DengXian"/>
          <w:lang w:val="en-CA"/>
        </w:rPr>
        <w:t xml:space="preserve"> </w:t>
      </w:r>
      <w:r w:rsidRPr="00830F16">
        <w:rPr>
          <w:rFonts w:eastAsia="DengXian"/>
          <w:lang w:val="en-CA"/>
        </w:rPr>
        <w:t xml:space="preserve">and cryptographic firm </w:t>
      </w:r>
      <w:proofErr w:type="spellStart"/>
      <w:r w:rsidRPr="00830F16">
        <w:rPr>
          <w:rFonts w:eastAsia="DengXian"/>
          <w:lang w:val="en-CA"/>
        </w:rPr>
        <w:t>D’Crypt</w:t>
      </w:r>
      <w:proofErr w:type="spellEnd"/>
      <w:r w:rsidRPr="00830F16">
        <w:rPr>
          <w:rFonts w:eastAsia="DengXian"/>
          <w:lang w:val="en-CA"/>
        </w:rPr>
        <w:t xml:space="preserve"> Pte</w:t>
      </w:r>
      <w:r w:rsidR="00F823E2" w:rsidRPr="00830F16">
        <w:rPr>
          <w:rFonts w:eastAsia="DengXian"/>
          <w:lang w:val="en-CA"/>
        </w:rPr>
        <w:t>.</w:t>
      </w:r>
      <w:r w:rsidRPr="00830F16">
        <w:rPr>
          <w:rFonts w:eastAsia="DengXian"/>
          <w:lang w:val="en-CA"/>
        </w:rPr>
        <w:t xml:space="preserve"> Ltd</w:t>
      </w:r>
      <w:r w:rsidR="00BC6005" w:rsidRPr="00830F16">
        <w:rPr>
          <w:rFonts w:eastAsia="DengXian"/>
          <w:lang w:val="en-CA"/>
        </w:rPr>
        <w:t>.</w:t>
      </w:r>
      <w:r w:rsidRPr="00830F16">
        <w:rPr>
          <w:rFonts w:eastAsia="DengXian"/>
          <w:lang w:val="en-CA"/>
        </w:rPr>
        <w:t xml:space="preserve"> </w:t>
      </w:r>
      <w:r w:rsidR="00F823E2" w:rsidRPr="00830F16">
        <w:rPr>
          <w:rFonts w:eastAsia="DengXian"/>
          <w:lang w:val="en-CA"/>
        </w:rPr>
        <w:t>(</w:t>
      </w:r>
      <w:proofErr w:type="spellStart"/>
      <w:r w:rsidR="00F823E2" w:rsidRPr="00830F16">
        <w:rPr>
          <w:rFonts w:eastAsia="DengXian"/>
          <w:lang w:val="en-CA"/>
        </w:rPr>
        <w:t>D’Crypt</w:t>
      </w:r>
      <w:proofErr w:type="spellEnd"/>
      <w:r w:rsidR="00F823E2" w:rsidRPr="00830F16">
        <w:rPr>
          <w:rFonts w:eastAsia="DengXian"/>
          <w:lang w:val="en-CA"/>
        </w:rPr>
        <w:t xml:space="preserve">) </w:t>
      </w:r>
      <w:r w:rsidRPr="00830F16">
        <w:rPr>
          <w:rFonts w:eastAsia="DengXian"/>
          <w:lang w:val="en-CA"/>
        </w:rPr>
        <w:t>on December</w:t>
      </w:r>
      <w:r w:rsidR="00F07C36" w:rsidRPr="00830F16">
        <w:rPr>
          <w:rFonts w:eastAsia="DengXian"/>
          <w:lang w:val="en-CA"/>
        </w:rPr>
        <w:t xml:space="preserve"> 15</w:t>
      </w:r>
      <w:r w:rsidRPr="00830F16">
        <w:rPr>
          <w:rFonts w:eastAsia="DengXian"/>
          <w:lang w:val="en-CA"/>
        </w:rPr>
        <w:t xml:space="preserve">. These investments </w:t>
      </w:r>
      <w:r w:rsidR="00026736">
        <w:rPr>
          <w:rFonts w:eastAsia="DengXian"/>
          <w:lang w:val="en-CA"/>
        </w:rPr>
        <w:t xml:space="preserve">gave </w:t>
      </w:r>
      <w:proofErr w:type="spellStart"/>
      <w:r w:rsidR="00026736">
        <w:rPr>
          <w:rFonts w:eastAsia="DengXian"/>
          <w:lang w:val="en-CA"/>
        </w:rPr>
        <w:t>StarHub</w:t>
      </w:r>
      <w:proofErr w:type="spellEnd"/>
      <w:r w:rsidRPr="00830F16">
        <w:rPr>
          <w:rFonts w:eastAsia="DengXian"/>
          <w:lang w:val="en-CA"/>
        </w:rPr>
        <w:t xml:space="preserve"> </w:t>
      </w:r>
      <w:r w:rsidR="00E9346C" w:rsidRPr="00830F16">
        <w:rPr>
          <w:rFonts w:eastAsia="DengXian"/>
          <w:lang w:val="en-CA"/>
        </w:rPr>
        <w:t xml:space="preserve">a </w:t>
      </w:r>
      <w:r w:rsidRPr="00830F16">
        <w:rPr>
          <w:rFonts w:eastAsia="DengXian"/>
          <w:lang w:val="en-CA"/>
        </w:rPr>
        <w:t>51</w:t>
      </w:r>
      <w:r w:rsidR="00C47880" w:rsidRPr="00830F16">
        <w:rPr>
          <w:rFonts w:eastAsia="DengXian"/>
          <w:lang w:val="en-CA"/>
        </w:rPr>
        <w:t xml:space="preserve"> </w:t>
      </w:r>
      <w:r w:rsidRPr="00830F16">
        <w:rPr>
          <w:rFonts w:eastAsia="DengXian"/>
          <w:lang w:val="en-CA"/>
        </w:rPr>
        <w:t>per</w:t>
      </w:r>
      <w:r w:rsidR="00C47880" w:rsidRPr="00830F16">
        <w:rPr>
          <w:rFonts w:eastAsia="DengXian"/>
          <w:lang w:val="en-CA"/>
        </w:rPr>
        <w:t xml:space="preserve"> </w:t>
      </w:r>
      <w:r w:rsidRPr="00830F16">
        <w:rPr>
          <w:rFonts w:eastAsia="DengXian"/>
          <w:lang w:val="en-CA"/>
        </w:rPr>
        <w:t xml:space="preserve">cent stake of </w:t>
      </w:r>
      <w:proofErr w:type="spellStart"/>
      <w:r w:rsidRPr="00830F16">
        <w:rPr>
          <w:rFonts w:eastAsia="DengXian"/>
          <w:lang w:val="en-CA"/>
        </w:rPr>
        <w:t>Accel</w:t>
      </w:r>
      <w:proofErr w:type="spellEnd"/>
      <w:r w:rsidRPr="00830F16">
        <w:rPr>
          <w:rFonts w:eastAsia="DengXian"/>
          <w:lang w:val="en-CA"/>
        </w:rPr>
        <w:t xml:space="preserve"> for a total consideration of $19.38 million and </w:t>
      </w:r>
      <w:r w:rsidR="0060630E" w:rsidRPr="00830F16">
        <w:rPr>
          <w:rFonts w:eastAsia="DengXian"/>
          <w:lang w:val="en-CA"/>
        </w:rPr>
        <w:t xml:space="preserve">a </w:t>
      </w:r>
      <w:r w:rsidRPr="00830F16">
        <w:rPr>
          <w:rFonts w:eastAsia="DengXian"/>
          <w:lang w:val="en-CA"/>
        </w:rPr>
        <w:t>65</w:t>
      </w:r>
      <w:r w:rsidR="00C47880" w:rsidRPr="00830F16">
        <w:rPr>
          <w:rFonts w:eastAsia="DengXian"/>
          <w:lang w:val="en-CA"/>
        </w:rPr>
        <w:t xml:space="preserve"> </w:t>
      </w:r>
      <w:r w:rsidRPr="00830F16">
        <w:rPr>
          <w:rFonts w:eastAsia="DengXian"/>
          <w:lang w:val="en-CA"/>
        </w:rPr>
        <w:t>per</w:t>
      </w:r>
      <w:r w:rsidR="00C47880" w:rsidRPr="00830F16">
        <w:rPr>
          <w:rFonts w:eastAsia="DengXian"/>
          <w:lang w:val="en-CA"/>
        </w:rPr>
        <w:t xml:space="preserve"> </w:t>
      </w:r>
      <w:r w:rsidRPr="00830F16">
        <w:rPr>
          <w:rFonts w:eastAsia="DengXian"/>
          <w:lang w:val="en-CA"/>
        </w:rPr>
        <w:t xml:space="preserve">cent stake of </w:t>
      </w:r>
      <w:proofErr w:type="spellStart"/>
      <w:r w:rsidRPr="00830F16">
        <w:rPr>
          <w:rFonts w:eastAsia="DengXian"/>
          <w:lang w:val="en-CA"/>
        </w:rPr>
        <w:t>D’Crypt</w:t>
      </w:r>
      <w:proofErr w:type="spellEnd"/>
      <w:r w:rsidRPr="00830F16">
        <w:rPr>
          <w:rFonts w:eastAsia="DengXian"/>
          <w:lang w:val="en-CA"/>
        </w:rPr>
        <w:t xml:space="preserve"> for a total consideration of $122 million. By the fourth quarter </w:t>
      </w:r>
      <w:r w:rsidR="00F07C36" w:rsidRPr="00830F16">
        <w:rPr>
          <w:rFonts w:eastAsia="DengXian"/>
          <w:lang w:val="en-CA"/>
        </w:rPr>
        <w:t>of</w:t>
      </w:r>
      <w:r w:rsidRPr="00830F16">
        <w:rPr>
          <w:rFonts w:eastAsia="DengXian"/>
          <w:lang w:val="en-CA"/>
        </w:rPr>
        <w:t xml:space="preserve"> 2017, </w:t>
      </w:r>
      <w:proofErr w:type="spellStart"/>
      <w:r w:rsidRPr="00830F16">
        <w:rPr>
          <w:rFonts w:eastAsia="DengXian"/>
          <w:lang w:val="en-CA"/>
        </w:rPr>
        <w:t>Accel</w:t>
      </w:r>
      <w:proofErr w:type="spellEnd"/>
      <w:r w:rsidRPr="00830F16">
        <w:rPr>
          <w:rFonts w:eastAsia="DengXian"/>
          <w:lang w:val="en-CA"/>
        </w:rPr>
        <w:t xml:space="preserve"> was already contributing </w:t>
      </w:r>
      <w:r w:rsidR="00C47880" w:rsidRPr="00830F16">
        <w:rPr>
          <w:rFonts w:eastAsia="DengXian"/>
          <w:lang w:val="en-CA"/>
        </w:rPr>
        <w:t xml:space="preserve">6 </w:t>
      </w:r>
      <w:r w:rsidRPr="00830F16">
        <w:rPr>
          <w:rFonts w:eastAsia="DengXian"/>
          <w:lang w:val="en-CA"/>
        </w:rPr>
        <w:t>per</w:t>
      </w:r>
      <w:r w:rsidR="00F07C36" w:rsidRPr="00830F16">
        <w:rPr>
          <w:rFonts w:eastAsia="DengXian"/>
          <w:lang w:val="en-CA"/>
        </w:rPr>
        <w:t xml:space="preserve"> </w:t>
      </w:r>
      <w:r w:rsidRPr="00830F16">
        <w:rPr>
          <w:rFonts w:eastAsia="DengXian"/>
          <w:lang w:val="en-CA"/>
        </w:rPr>
        <w:t xml:space="preserve">cent to the revenue growth of </w:t>
      </w:r>
      <w:proofErr w:type="spellStart"/>
      <w:r w:rsidRPr="00830F16">
        <w:rPr>
          <w:rFonts w:eastAsia="DengXian"/>
          <w:lang w:val="en-CA"/>
        </w:rPr>
        <w:t>StarHub’s</w:t>
      </w:r>
      <w:proofErr w:type="spellEnd"/>
      <w:r w:rsidRPr="00830F16">
        <w:rPr>
          <w:rFonts w:eastAsia="DengXian"/>
          <w:lang w:val="en-CA"/>
        </w:rPr>
        <w:t xml:space="preserve"> </w:t>
      </w:r>
      <w:r w:rsidR="00C47880" w:rsidRPr="00830F16">
        <w:rPr>
          <w:rFonts w:eastAsia="DengXian"/>
          <w:lang w:val="en-CA"/>
        </w:rPr>
        <w:t>e</w:t>
      </w:r>
      <w:r w:rsidRPr="00830F16">
        <w:rPr>
          <w:rFonts w:eastAsia="DengXian"/>
          <w:lang w:val="en-CA"/>
        </w:rPr>
        <w:t xml:space="preserve">nterprise </w:t>
      </w:r>
      <w:r w:rsidR="00C47880" w:rsidRPr="00830F16">
        <w:rPr>
          <w:rFonts w:eastAsia="DengXian"/>
          <w:lang w:val="en-CA"/>
        </w:rPr>
        <w:t>f</w:t>
      </w:r>
      <w:r w:rsidRPr="00830F16">
        <w:rPr>
          <w:rFonts w:eastAsia="DengXian"/>
          <w:lang w:val="en-CA"/>
        </w:rPr>
        <w:t xml:space="preserve">ixed business, which comprised </w:t>
      </w:r>
      <w:r w:rsidR="00F07C36" w:rsidRPr="00830F16">
        <w:rPr>
          <w:rFonts w:eastAsia="DengXian"/>
          <w:lang w:val="en-CA"/>
        </w:rPr>
        <w:t>d</w:t>
      </w:r>
      <w:r w:rsidRPr="00830F16">
        <w:rPr>
          <w:rFonts w:eastAsia="DengXian"/>
          <w:lang w:val="en-CA"/>
        </w:rPr>
        <w:t>ata</w:t>
      </w:r>
      <w:r w:rsidR="004B0227" w:rsidRPr="00830F16">
        <w:rPr>
          <w:rFonts w:eastAsia="DengXian"/>
          <w:lang w:val="en-CA"/>
        </w:rPr>
        <w:t>, Internet</w:t>
      </w:r>
      <w:r w:rsidR="0060630E" w:rsidRPr="00830F16">
        <w:rPr>
          <w:rFonts w:eastAsia="DengXian"/>
          <w:lang w:val="en-CA"/>
        </w:rPr>
        <w:t>,</w:t>
      </w:r>
      <w:r w:rsidRPr="00830F16">
        <w:rPr>
          <w:rFonts w:eastAsia="DengXian"/>
          <w:lang w:val="en-CA"/>
        </w:rPr>
        <w:t xml:space="preserve"> </w:t>
      </w:r>
      <w:r w:rsidR="0060630E" w:rsidRPr="00830F16">
        <w:rPr>
          <w:rFonts w:eastAsia="DengXian"/>
          <w:lang w:val="en-CA"/>
        </w:rPr>
        <w:t>and</w:t>
      </w:r>
      <w:r w:rsidRPr="00830F16">
        <w:rPr>
          <w:rFonts w:eastAsia="DengXian"/>
          <w:lang w:val="en-CA"/>
        </w:rPr>
        <w:t xml:space="preserve"> </w:t>
      </w:r>
      <w:r w:rsidR="00F07C36" w:rsidRPr="00830F16">
        <w:rPr>
          <w:rFonts w:eastAsia="DengXian"/>
          <w:lang w:val="en-CA"/>
        </w:rPr>
        <w:t>v</w:t>
      </w:r>
      <w:r w:rsidRPr="00830F16">
        <w:rPr>
          <w:rFonts w:eastAsia="DengXian"/>
          <w:lang w:val="en-CA"/>
        </w:rPr>
        <w:t xml:space="preserve">oice services. </w:t>
      </w:r>
      <w:proofErr w:type="spellStart"/>
      <w:r w:rsidRPr="00830F16">
        <w:rPr>
          <w:rFonts w:eastAsia="DengXian"/>
          <w:lang w:val="en-CA"/>
        </w:rPr>
        <w:t>D’Crypt</w:t>
      </w:r>
      <w:proofErr w:type="spellEnd"/>
      <w:r w:rsidRPr="00830F16">
        <w:rPr>
          <w:rFonts w:eastAsia="DengXian"/>
          <w:lang w:val="en-CA"/>
        </w:rPr>
        <w:t xml:space="preserve"> provided the in-house expertise for </w:t>
      </w:r>
      <w:proofErr w:type="spellStart"/>
      <w:r w:rsidRPr="00830F16">
        <w:rPr>
          <w:rFonts w:eastAsia="DengXian"/>
          <w:lang w:val="en-CA"/>
        </w:rPr>
        <w:t>StarHub</w:t>
      </w:r>
      <w:proofErr w:type="spellEnd"/>
      <w:r w:rsidRPr="00830F16">
        <w:rPr>
          <w:rFonts w:eastAsia="DengXian"/>
          <w:lang w:val="en-CA"/>
        </w:rPr>
        <w:t xml:space="preserve"> to become an end-to-end provider of cyber</w:t>
      </w:r>
      <w:r w:rsidR="0060630E" w:rsidRPr="00830F16">
        <w:rPr>
          <w:rFonts w:eastAsia="DengXian"/>
          <w:lang w:val="en-CA"/>
        </w:rPr>
        <w:t>-</w:t>
      </w:r>
      <w:r w:rsidRPr="00830F16">
        <w:rPr>
          <w:rFonts w:eastAsia="DengXian"/>
          <w:lang w:val="en-CA"/>
        </w:rPr>
        <w:t xml:space="preserve">security solutions because </w:t>
      </w:r>
      <w:proofErr w:type="spellStart"/>
      <w:r w:rsidRPr="00830F16">
        <w:rPr>
          <w:rFonts w:eastAsia="DengXian"/>
          <w:lang w:val="en-CA"/>
        </w:rPr>
        <w:t>D’Crypt</w:t>
      </w:r>
      <w:proofErr w:type="spellEnd"/>
      <w:r w:rsidRPr="00830F16">
        <w:rPr>
          <w:rFonts w:eastAsia="DengXian"/>
          <w:lang w:val="en-CA"/>
        </w:rPr>
        <w:t xml:space="preserve"> had </w:t>
      </w:r>
      <w:r w:rsidR="00C47880" w:rsidRPr="00830F16">
        <w:rPr>
          <w:rFonts w:eastAsia="DengXian"/>
          <w:lang w:val="en-CA"/>
        </w:rPr>
        <w:t xml:space="preserve">the </w:t>
      </w:r>
      <w:r w:rsidRPr="00830F16">
        <w:rPr>
          <w:rFonts w:eastAsia="DengXian"/>
          <w:lang w:val="en-CA"/>
        </w:rPr>
        <w:t xml:space="preserve">proven technology and </w:t>
      </w:r>
      <w:r w:rsidR="00F07C36" w:rsidRPr="00830F16">
        <w:rPr>
          <w:rFonts w:eastAsia="DengXian"/>
          <w:lang w:val="en-CA"/>
        </w:rPr>
        <w:t xml:space="preserve">research and development </w:t>
      </w:r>
      <w:r w:rsidRPr="00830F16">
        <w:rPr>
          <w:rFonts w:eastAsia="DengXian"/>
          <w:lang w:val="en-CA"/>
        </w:rPr>
        <w:t xml:space="preserve">capabilities. Its cryptographic </w:t>
      </w:r>
      <w:r w:rsidRPr="00830F16">
        <w:rPr>
          <w:rFonts w:eastAsia="DengXian"/>
          <w:lang w:val="en-CA"/>
        </w:rPr>
        <w:lastRenderedPageBreak/>
        <w:t xml:space="preserve">expertise complemented </w:t>
      </w:r>
      <w:proofErr w:type="spellStart"/>
      <w:r w:rsidRPr="00830F16">
        <w:rPr>
          <w:rFonts w:eastAsia="DengXian"/>
          <w:lang w:val="en-CA"/>
        </w:rPr>
        <w:t>StarHub’s</w:t>
      </w:r>
      <w:proofErr w:type="spellEnd"/>
      <w:r w:rsidRPr="00830F16">
        <w:rPr>
          <w:rFonts w:eastAsia="DengXian"/>
          <w:lang w:val="en-CA"/>
        </w:rPr>
        <w:t xml:space="preserve"> Cyber Security </w:t>
      </w:r>
      <w:proofErr w:type="spellStart"/>
      <w:r w:rsidRPr="00830F16">
        <w:rPr>
          <w:rFonts w:eastAsia="DengXian"/>
          <w:lang w:val="en-CA"/>
        </w:rPr>
        <w:t>CoE</w:t>
      </w:r>
      <w:proofErr w:type="spellEnd"/>
      <w:r w:rsidRPr="00830F16">
        <w:rPr>
          <w:rFonts w:eastAsia="DengXian"/>
          <w:lang w:val="en-CA"/>
        </w:rPr>
        <w:t xml:space="preserve"> in delivering mission-critical ICT and digital solutions. “Without the </w:t>
      </w:r>
      <w:proofErr w:type="spellStart"/>
      <w:r w:rsidRPr="00830F16">
        <w:rPr>
          <w:rFonts w:eastAsia="DengXian"/>
          <w:lang w:val="en-CA"/>
        </w:rPr>
        <w:t>D</w:t>
      </w:r>
      <w:r w:rsidR="00BC6005" w:rsidRPr="00830F16">
        <w:rPr>
          <w:rFonts w:eastAsia="DengXian"/>
          <w:lang w:val="en-CA"/>
        </w:rPr>
        <w:t>’</w:t>
      </w:r>
      <w:r w:rsidRPr="00830F16">
        <w:rPr>
          <w:rFonts w:eastAsia="DengXian"/>
          <w:lang w:val="en-CA"/>
        </w:rPr>
        <w:t>Crypt</w:t>
      </w:r>
      <w:proofErr w:type="spellEnd"/>
      <w:r w:rsidRPr="00830F16">
        <w:rPr>
          <w:rFonts w:eastAsia="DengXian"/>
          <w:lang w:val="en-CA"/>
        </w:rPr>
        <w:t xml:space="preserve"> impact, you would be looking at </w:t>
      </w:r>
      <w:r w:rsidR="00C47880" w:rsidRPr="00830F16">
        <w:rPr>
          <w:rFonts w:eastAsia="DengXian"/>
          <w:lang w:val="en-CA"/>
        </w:rPr>
        <w:t xml:space="preserve">2 </w:t>
      </w:r>
      <w:r w:rsidRPr="00830F16">
        <w:rPr>
          <w:rFonts w:eastAsia="DengXian"/>
          <w:lang w:val="en-CA"/>
        </w:rPr>
        <w:t>per</w:t>
      </w:r>
      <w:r w:rsidR="00C47880" w:rsidRPr="00830F16">
        <w:rPr>
          <w:rFonts w:eastAsia="DengXian"/>
          <w:lang w:val="en-CA"/>
        </w:rPr>
        <w:t xml:space="preserve"> </w:t>
      </w:r>
      <w:r w:rsidRPr="00830F16">
        <w:rPr>
          <w:rFonts w:eastAsia="DengXian"/>
          <w:lang w:val="en-CA"/>
        </w:rPr>
        <w:t xml:space="preserve">cent to </w:t>
      </w:r>
      <w:r w:rsidR="00C47880" w:rsidRPr="00830F16">
        <w:rPr>
          <w:rFonts w:eastAsia="DengXian"/>
          <w:lang w:val="en-CA"/>
        </w:rPr>
        <w:t xml:space="preserve">4 </w:t>
      </w:r>
      <w:r w:rsidRPr="00830F16">
        <w:rPr>
          <w:rFonts w:eastAsia="DengXian"/>
          <w:lang w:val="en-CA"/>
        </w:rPr>
        <w:t>per</w:t>
      </w:r>
      <w:r w:rsidR="00C47880" w:rsidRPr="00830F16">
        <w:rPr>
          <w:rFonts w:eastAsia="DengXian"/>
          <w:lang w:val="en-CA"/>
        </w:rPr>
        <w:t xml:space="preserve"> </w:t>
      </w:r>
      <w:r w:rsidRPr="00830F16">
        <w:rPr>
          <w:rFonts w:eastAsia="DengXian"/>
          <w:lang w:val="en-CA"/>
        </w:rPr>
        <w:t xml:space="preserve">cent decline in service revenue,” </w:t>
      </w:r>
      <w:proofErr w:type="spellStart"/>
      <w:r w:rsidRPr="00830F16">
        <w:rPr>
          <w:rFonts w:eastAsia="DengXian"/>
          <w:lang w:val="en-CA"/>
        </w:rPr>
        <w:t>StarHub</w:t>
      </w:r>
      <w:r w:rsidR="00C47880" w:rsidRPr="00830F16">
        <w:rPr>
          <w:rFonts w:eastAsia="DengXian"/>
          <w:lang w:val="en-CA"/>
        </w:rPr>
        <w:t>’s</w:t>
      </w:r>
      <w:proofErr w:type="spellEnd"/>
      <w:r w:rsidRPr="00830F16">
        <w:rPr>
          <w:rFonts w:eastAsia="DengXian"/>
          <w:lang w:val="en-CA"/>
        </w:rPr>
        <w:t xml:space="preserve"> </w:t>
      </w:r>
      <w:r w:rsidR="00C47880" w:rsidRPr="00830F16">
        <w:rPr>
          <w:rFonts w:eastAsia="DengXian"/>
          <w:lang w:val="en-CA"/>
        </w:rPr>
        <w:t>c</w:t>
      </w:r>
      <w:r w:rsidRPr="00830F16">
        <w:rPr>
          <w:rFonts w:eastAsia="DengXian"/>
          <w:lang w:val="en-CA"/>
        </w:rPr>
        <w:t xml:space="preserve">hief </w:t>
      </w:r>
      <w:r w:rsidR="00C47880" w:rsidRPr="00830F16">
        <w:rPr>
          <w:rFonts w:eastAsia="DengXian"/>
          <w:lang w:val="en-CA"/>
        </w:rPr>
        <w:t>f</w:t>
      </w:r>
      <w:r w:rsidRPr="00830F16">
        <w:rPr>
          <w:rFonts w:eastAsia="DengXian"/>
          <w:lang w:val="en-CA"/>
        </w:rPr>
        <w:t xml:space="preserve">inancial </w:t>
      </w:r>
      <w:r w:rsidR="00C47880" w:rsidRPr="00830F16">
        <w:rPr>
          <w:rFonts w:eastAsia="DengXian"/>
          <w:lang w:val="en-CA"/>
        </w:rPr>
        <w:t>o</w:t>
      </w:r>
      <w:r w:rsidRPr="00830F16">
        <w:rPr>
          <w:rFonts w:eastAsia="DengXian"/>
          <w:lang w:val="en-CA"/>
        </w:rPr>
        <w:t>fficer, Dennis Chia</w:t>
      </w:r>
      <w:r w:rsidR="00C47880" w:rsidRPr="00830F16">
        <w:rPr>
          <w:rFonts w:eastAsia="DengXian"/>
          <w:lang w:val="en-CA"/>
        </w:rPr>
        <w:t>,</w:t>
      </w:r>
      <w:r w:rsidRPr="00830F16">
        <w:rPr>
          <w:rFonts w:eastAsia="DengXian"/>
          <w:lang w:val="en-CA"/>
        </w:rPr>
        <w:t xml:space="preserve"> </w:t>
      </w:r>
      <w:r w:rsidR="00F07C36" w:rsidRPr="00830F16">
        <w:rPr>
          <w:rFonts w:eastAsia="DengXian"/>
          <w:lang w:val="en-CA"/>
        </w:rPr>
        <w:t>stat</w:t>
      </w:r>
      <w:r w:rsidRPr="00830F16">
        <w:rPr>
          <w:rFonts w:eastAsia="DengXian"/>
          <w:lang w:val="en-CA"/>
        </w:rPr>
        <w:t>ed.</w:t>
      </w:r>
      <w:r w:rsidRPr="00830F16">
        <w:rPr>
          <w:rFonts w:eastAsia="DengXian"/>
          <w:vertAlign w:val="superscript"/>
          <w:lang w:val="en-CA"/>
        </w:rPr>
        <w:endnoteReference w:id="27"/>
      </w:r>
      <w:r w:rsidRPr="00830F16">
        <w:rPr>
          <w:rFonts w:eastAsia="DengXian"/>
          <w:lang w:val="en-CA"/>
        </w:rPr>
        <w:t xml:space="preserve"> Both investments presented an opportunity for </w:t>
      </w:r>
      <w:proofErr w:type="spellStart"/>
      <w:r w:rsidRPr="00830F16">
        <w:rPr>
          <w:rFonts w:eastAsia="DengXian"/>
          <w:lang w:val="en-CA"/>
        </w:rPr>
        <w:t>StarHub</w:t>
      </w:r>
      <w:proofErr w:type="spellEnd"/>
      <w:r w:rsidRPr="00830F16">
        <w:rPr>
          <w:rFonts w:eastAsia="DengXian"/>
          <w:lang w:val="en-CA"/>
        </w:rPr>
        <w:t xml:space="preserve"> to strengthen and diversify its portfolio, </w:t>
      </w:r>
      <w:r w:rsidR="00C545D4" w:rsidRPr="00830F16">
        <w:rPr>
          <w:rFonts w:eastAsia="DengXian"/>
          <w:lang w:val="en-CA"/>
        </w:rPr>
        <w:t>thereby</w:t>
      </w:r>
      <w:r w:rsidRPr="00830F16">
        <w:rPr>
          <w:rFonts w:eastAsia="DengXian"/>
          <w:lang w:val="en-CA"/>
        </w:rPr>
        <w:t xml:space="preserve"> differentiating itself from the cluttered competition field. </w:t>
      </w:r>
      <w:proofErr w:type="spellStart"/>
      <w:r w:rsidRPr="00830F16">
        <w:rPr>
          <w:rFonts w:eastAsia="DengXian"/>
          <w:lang w:val="en-CA"/>
        </w:rPr>
        <w:t>StarHub</w:t>
      </w:r>
      <w:proofErr w:type="spellEnd"/>
      <w:r w:rsidRPr="00830F16">
        <w:rPr>
          <w:rFonts w:eastAsia="DengXian"/>
          <w:lang w:val="en-CA"/>
        </w:rPr>
        <w:t xml:space="preserve"> </w:t>
      </w:r>
      <w:r w:rsidR="004F3DCE" w:rsidRPr="00830F16">
        <w:rPr>
          <w:rFonts w:eastAsia="DengXian"/>
          <w:lang w:val="en-CA"/>
        </w:rPr>
        <w:t>planned</w:t>
      </w:r>
      <w:r w:rsidRPr="00830F16">
        <w:rPr>
          <w:rFonts w:eastAsia="DengXian"/>
          <w:lang w:val="en-CA"/>
        </w:rPr>
        <w:t xml:space="preserve"> </w:t>
      </w:r>
      <w:r w:rsidR="00F07C36" w:rsidRPr="00830F16">
        <w:rPr>
          <w:rFonts w:eastAsia="DengXian"/>
          <w:lang w:val="en-CA"/>
        </w:rPr>
        <w:t xml:space="preserve">to use internal cash resources </w:t>
      </w:r>
      <w:r w:rsidRPr="00830F16">
        <w:rPr>
          <w:rFonts w:eastAsia="DengXian"/>
          <w:lang w:val="en-CA"/>
        </w:rPr>
        <w:t xml:space="preserve">to acquire the remaining stakes of both </w:t>
      </w:r>
      <w:proofErr w:type="spellStart"/>
      <w:r w:rsidRPr="00830F16">
        <w:rPr>
          <w:rFonts w:eastAsia="DengXian"/>
          <w:lang w:val="en-CA"/>
        </w:rPr>
        <w:t>Accel</w:t>
      </w:r>
      <w:proofErr w:type="spellEnd"/>
      <w:r w:rsidRPr="00830F16">
        <w:rPr>
          <w:rFonts w:eastAsia="DengXian"/>
          <w:lang w:val="en-CA"/>
        </w:rPr>
        <w:t xml:space="preserve"> and </w:t>
      </w:r>
      <w:proofErr w:type="spellStart"/>
      <w:r w:rsidRPr="00830F16">
        <w:rPr>
          <w:rFonts w:eastAsia="DengXian"/>
          <w:lang w:val="en-CA"/>
        </w:rPr>
        <w:t>D’Crypt</w:t>
      </w:r>
      <w:proofErr w:type="spellEnd"/>
      <w:r w:rsidR="00F07C36" w:rsidRPr="00830F16">
        <w:rPr>
          <w:rFonts w:eastAsia="DengXian"/>
          <w:lang w:val="en-CA"/>
        </w:rPr>
        <w:t>,</w:t>
      </w:r>
      <w:r w:rsidRPr="00830F16">
        <w:rPr>
          <w:rFonts w:eastAsia="DengXian"/>
          <w:lang w:val="en-CA"/>
        </w:rPr>
        <w:t xml:space="preserve"> </w:t>
      </w:r>
      <w:r w:rsidR="00C545D4" w:rsidRPr="00830F16">
        <w:rPr>
          <w:rFonts w:eastAsia="DengXian"/>
          <w:lang w:val="en-CA"/>
        </w:rPr>
        <w:t xml:space="preserve">intending </w:t>
      </w:r>
      <w:r w:rsidRPr="00830F16">
        <w:rPr>
          <w:rFonts w:eastAsia="DengXian"/>
          <w:lang w:val="en-CA"/>
        </w:rPr>
        <w:t>to turn them into wholly</w:t>
      </w:r>
      <w:r w:rsidR="00C47880" w:rsidRPr="00830F16">
        <w:rPr>
          <w:rFonts w:eastAsia="DengXian"/>
          <w:lang w:val="en-CA"/>
        </w:rPr>
        <w:t xml:space="preserve"> </w:t>
      </w:r>
      <w:r w:rsidRPr="00830F16">
        <w:rPr>
          <w:rFonts w:eastAsia="DengXian"/>
          <w:lang w:val="en-CA"/>
        </w:rPr>
        <w:t>owned subsidiaries</w:t>
      </w:r>
      <w:r w:rsidR="004F3DCE" w:rsidRPr="00830F16">
        <w:rPr>
          <w:rFonts w:eastAsia="DengXian"/>
          <w:lang w:val="en-CA"/>
        </w:rPr>
        <w:t xml:space="preserve"> by 2021</w:t>
      </w:r>
      <w:r w:rsidRPr="00830F16">
        <w:rPr>
          <w:rFonts w:eastAsia="DengXian"/>
          <w:lang w:val="en-CA"/>
        </w:rPr>
        <w:t>.</w:t>
      </w:r>
    </w:p>
    <w:p w14:paraId="427D0398" w14:textId="77777777" w:rsidR="008B7918" w:rsidRPr="00830F16" w:rsidRDefault="008B7918" w:rsidP="008B7918">
      <w:pPr>
        <w:pStyle w:val="BodyTextMain"/>
        <w:rPr>
          <w:rFonts w:eastAsia="DengXian"/>
          <w:lang w:val="en-CA"/>
        </w:rPr>
      </w:pPr>
    </w:p>
    <w:p w14:paraId="50FFBA28" w14:textId="77777777" w:rsidR="008B7918" w:rsidRPr="00830F16" w:rsidRDefault="008B7918" w:rsidP="008B7918">
      <w:pPr>
        <w:pStyle w:val="BodyTextMain"/>
        <w:rPr>
          <w:rFonts w:eastAsia="DengXian"/>
          <w:lang w:val="en-CA"/>
        </w:rPr>
      </w:pPr>
    </w:p>
    <w:p w14:paraId="75000756" w14:textId="15761611" w:rsidR="000B09AB" w:rsidRPr="00830F16" w:rsidRDefault="000B09AB" w:rsidP="00843F97">
      <w:pPr>
        <w:pStyle w:val="Casehead1"/>
        <w:keepNext/>
        <w:rPr>
          <w:rFonts w:eastAsia="DengXian"/>
          <w:lang w:val="en-CA"/>
        </w:rPr>
      </w:pPr>
      <w:r w:rsidRPr="00830F16">
        <w:rPr>
          <w:rFonts w:eastAsia="DengXian"/>
          <w:lang w:val="en-CA"/>
        </w:rPr>
        <w:t>DESIGN</w:t>
      </w:r>
      <w:r w:rsidR="00C47880" w:rsidRPr="00830F16">
        <w:rPr>
          <w:rFonts w:eastAsia="DengXian"/>
          <w:lang w:val="en-CA"/>
        </w:rPr>
        <w:t xml:space="preserve"> </w:t>
      </w:r>
      <w:r w:rsidRPr="00830F16">
        <w:rPr>
          <w:rFonts w:eastAsia="DengXian"/>
          <w:lang w:val="en-CA"/>
        </w:rPr>
        <w:t>THINKING AND CO-CREATION</w:t>
      </w:r>
    </w:p>
    <w:p w14:paraId="1D266980" w14:textId="77777777" w:rsidR="000B09AB" w:rsidRPr="00830F16" w:rsidRDefault="000B09AB" w:rsidP="00843F97">
      <w:pPr>
        <w:keepNext/>
        <w:jc w:val="both"/>
        <w:rPr>
          <w:rFonts w:eastAsia="DengXian"/>
          <w:sz w:val="22"/>
          <w:szCs w:val="22"/>
          <w:lang w:val="en-CA"/>
        </w:rPr>
      </w:pPr>
    </w:p>
    <w:p w14:paraId="34FD3BDF" w14:textId="7ED1948A" w:rsidR="003C36BA" w:rsidRPr="00830F16" w:rsidRDefault="000B09AB" w:rsidP="00843F97">
      <w:pPr>
        <w:pStyle w:val="BodyTextMain"/>
        <w:keepNext/>
        <w:rPr>
          <w:rFonts w:eastAsia="DengXian"/>
          <w:lang w:val="en-CA"/>
        </w:rPr>
      </w:pPr>
      <w:r w:rsidRPr="00830F16">
        <w:rPr>
          <w:rFonts w:eastAsia="DengXian"/>
          <w:lang w:val="en-CA"/>
        </w:rPr>
        <w:t xml:space="preserve">As a telco operating in a mature market, </w:t>
      </w:r>
      <w:proofErr w:type="spellStart"/>
      <w:r w:rsidRPr="00830F16">
        <w:rPr>
          <w:rFonts w:eastAsia="DengXian"/>
          <w:lang w:val="en-CA"/>
        </w:rPr>
        <w:t>StarHub</w:t>
      </w:r>
      <w:proofErr w:type="spellEnd"/>
      <w:r w:rsidRPr="00830F16">
        <w:rPr>
          <w:rFonts w:eastAsia="DengXian"/>
          <w:lang w:val="en-CA"/>
        </w:rPr>
        <w:t xml:space="preserve"> had relied on past industry data to guide, finance</w:t>
      </w:r>
      <w:r w:rsidR="004F3DCE" w:rsidRPr="00830F16">
        <w:rPr>
          <w:rFonts w:eastAsia="DengXian"/>
          <w:lang w:val="en-CA"/>
        </w:rPr>
        <w:t>,</w:t>
      </w:r>
      <w:r w:rsidRPr="00830F16">
        <w:rPr>
          <w:rFonts w:eastAsia="DengXian"/>
          <w:lang w:val="en-CA"/>
        </w:rPr>
        <w:t xml:space="preserve"> and forecast its business trends. However, in an increasingly volatile business environment fraught with socio-cultural changes, technological disruptions</w:t>
      </w:r>
      <w:r w:rsidR="004F3DCE" w:rsidRPr="00830F16">
        <w:rPr>
          <w:rFonts w:eastAsia="DengXian"/>
          <w:lang w:val="en-CA"/>
        </w:rPr>
        <w:t>,</w:t>
      </w:r>
      <w:r w:rsidRPr="00830F16">
        <w:rPr>
          <w:rFonts w:eastAsia="DengXian"/>
          <w:lang w:val="en-CA"/>
        </w:rPr>
        <w:t xml:space="preserve"> and economic uncertainties, the traditional method of making projections based on historical data became untenable. The </w:t>
      </w:r>
      <w:proofErr w:type="spellStart"/>
      <w:r w:rsidRPr="00830F16">
        <w:rPr>
          <w:rFonts w:eastAsia="DengXian"/>
          <w:lang w:val="en-CA"/>
        </w:rPr>
        <w:t>EB</w:t>
      </w:r>
      <w:proofErr w:type="spellEnd"/>
      <w:r w:rsidRPr="00830F16">
        <w:rPr>
          <w:rFonts w:eastAsia="DengXian"/>
          <w:lang w:val="en-CA"/>
        </w:rPr>
        <w:t xml:space="preserve"> </w:t>
      </w:r>
      <w:r w:rsidR="00740A34" w:rsidRPr="00830F16">
        <w:rPr>
          <w:rFonts w:eastAsia="DengXian"/>
          <w:lang w:val="en-CA"/>
        </w:rPr>
        <w:t xml:space="preserve">unit </w:t>
      </w:r>
      <w:r w:rsidRPr="00830F16">
        <w:rPr>
          <w:rFonts w:eastAsia="DengXian"/>
          <w:lang w:val="en-CA"/>
        </w:rPr>
        <w:t xml:space="preserve">team </w:t>
      </w:r>
      <w:proofErr w:type="gramStart"/>
      <w:r w:rsidRPr="00830F16">
        <w:rPr>
          <w:rFonts w:eastAsia="DengXian"/>
          <w:lang w:val="en-CA"/>
        </w:rPr>
        <w:t>was tasked</w:t>
      </w:r>
      <w:proofErr w:type="gramEnd"/>
      <w:r w:rsidRPr="00830F16">
        <w:rPr>
          <w:rFonts w:eastAsia="DengXian"/>
          <w:lang w:val="en-CA"/>
        </w:rPr>
        <w:t xml:space="preserve"> to find a business methodology that would adhere to </w:t>
      </w:r>
      <w:proofErr w:type="spellStart"/>
      <w:r w:rsidRPr="00830F16">
        <w:rPr>
          <w:rFonts w:eastAsia="DengXian"/>
          <w:lang w:val="en-CA"/>
        </w:rPr>
        <w:t>StarHub’s</w:t>
      </w:r>
      <w:proofErr w:type="spellEnd"/>
      <w:r w:rsidRPr="00830F16">
        <w:rPr>
          <w:rFonts w:eastAsia="DengXian"/>
          <w:lang w:val="en-CA"/>
        </w:rPr>
        <w:t xml:space="preserve"> corporate governance structure</w:t>
      </w:r>
      <w:r w:rsidR="004F3DCE" w:rsidRPr="00830F16">
        <w:rPr>
          <w:rFonts w:eastAsia="DengXian"/>
          <w:lang w:val="en-CA"/>
        </w:rPr>
        <w:t>,</w:t>
      </w:r>
      <w:r w:rsidRPr="00830F16">
        <w:rPr>
          <w:rFonts w:eastAsia="DengXian"/>
          <w:lang w:val="en-CA"/>
        </w:rPr>
        <w:t xml:space="preserve"> while</w:t>
      </w:r>
      <w:r w:rsidR="004F3DCE" w:rsidRPr="00830F16">
        <w:rPr>
          <w:rFonts w:eastAsia="DengXian"/>
          <w:lang w:val="en-CA"/>
        </w:rPr>
        <w:t xml:space="preserve"> allowing it to </w:t>
      </w:r>
      <w:r w:rsidRPr="00830F16">
        <w:rPr>
          <w:rFonts w:eastAsia="DengXian"/>
          <w:lang w:val="en-CA"/>
        </w:rPr>
        <w:t>innovat</w:t>
      </w:r>
      <w:r w:rsidR="004F3DCE" w:rsidRPr="00830F16">
        <w:rPr>
          <w:rFonts w:eastAsia="DengXian"/>
          <w:lang w:val="en-CA"/>
        </w:rPr>
        <w:t>e</w:t>
      </w:r>
      <w:r w:rsidRPr="00830F16">
        <w:rPr>
          <w:rFonts w:eastAsia="DengXian"/>
          <w:lang w:val="en-CA"/>
        </w:rPr>
        <w:t xml:space="preserve"> effectively. The team eventually adopted the </w:t>
      </w:r>
      <w:r w:rsidR="00011019" w:rsidRPr="00830F16">
        <w:rPr>
          <w:rFonts w:eastAsia="DengXian"/>
          <w:lang w:val="en-CA"/>
        </w:rPr>
        <w:t>“</w:t>
      </w:r>
      <w:r w:rsidRPr="00830F16">
        <w:rPr>
          <w:rFonts w:eastAsia="DengXian"/>
          <w:lang w:val="en-CA"/>
        </w:rPr>
        <w:t>Discovery-Driven Planning</w:t>
      </w:r>
      <w:r w:rsidR="00011019" w:rsidRPr="00830F16">
        <w:rPr>
          <w:rFonts w:eastAsia="DengXian"/>
          <w:lang w:val="en-CA"/>
        </w:rPr>
        <w:t>”</w:t>
      </w:r>
      <w:r w:rsidRPr="00830F16">
        <w:rPr>
          <w:rFonts w:eastAsia="DengXian"/>
          <w:lang w:val="en-CA"/>
        </w:rPr>
        <w:t xml:space="preserve"> (</w:t>
      </w:r>
      <w:proofErr w:type="spellStart"/>
      <w:r w:rsidRPr="00830F16">
        <w:rPr>
          <w:rFonts w:eastAsia="DengXian"/>
          <w:lang w:val="en-CA"/>
        </w:rPr>
        <w:t>DDP</w:t>
      </w:r>
      <w:proofErr w:type="spellEnd"/>
      <w:r w:rsidRPr="00830F16">
        <w:rPr>
          <w:rFonts w:eastAsia="DengXian"/>
          <w:lang w:val="en-CA"/>
        </w:rPr>
        <w:t>) business model, a methodology that emphasized experimentation instead of rel</w:t>
      </w:r>
      <w:r w:rsidR="004F3DCE" w:rsidRPr="00830F16">
        <w:rPr>
          <w:rFonts w:eastAsia="DengXian"/>
          <w:lang w:val="en-CA"/>
        </w:rPr>
        <w:t>iance</w:t>
      </w:r>
      <w:r w:rsidRPr="00830F16">
        <w:rPr>
          <w:rFonts w:eastAsia="DengXian"/>
          <w:lang w:val="en-CA"/>
        </w:rPr>
        <w:t xml:space="preserve"> on deterministic concepts such as projected economic value added. In the </w:t>
      </w:r>
      <w:proofErr w:type="spellStart"/>
      <w:r w:rsidRPr="00830F16">
        <w:rPr>
          <w:rFonts w:eastAsia="DengXian"/>
          <w:lang w:val="en-CA"/>
        </w:rPr>
        <w:t>DDP</w:t>
      </w:r>
      <w:proofErr w:type="spellEnd"/>
      <w:r w:rsidRPr="00830F16">
        <w:rPr>
          <w:rFonts w:eastAsia="DengXian"/>
          <w:lang w:val="en-CA"/>
        </w:rPr>
        <w:t xml:space="preserve"> model, important assumptions and metrics </w:t>
      </w:r>
      <w:r w:rsidR="00FD73EF" w:rsidRPr="00830F16">
        <w:rPr>
          <w:rFonts w:eastAsia="DengXian"/>
          <w:lang w:val="en-CA"/>
        </w:rPr>
        <w:t xml:space="preserve">would be raised </w:t>
      </w:r>
      <w:r w:rsidRPr="00830F16">
        <w:rPr>
          <w:rFonts w:eastAsia="DengXian"/>
          <w:lang w:val="en-CA"/>
        </w:rPr>
        <w:t>that supported the business plan</w:t>
      </w:r>
      <w:r w:rsidR="00C47880" w:rsidRPr="00830F16">
        <w:rPr>
          <w:rFonts w:eastAsia="DengXian"/>
          <w:lang w:val="en-CA"/>
        </w:rPr>
        <w:t>;</w:t>
      </w:r>
      <w:r w:rsidRPr="00830F16">
        <w:rPr>
          <w:rFonts w:eastAsia="DengXian"/>
          <w:lang w:val="en-CA"/>
        </w:rPr>
        <w:t xml:space="preserve"> the plan </w:t>
      </w:r>
      <w:r w:rsidR="004F3DCE" w:rsidRPr="00830F16">
        <w:rPr>
          <w:rFonts w:eastAsia="DengXian"/>
          <w:lang w:val="en-CA"/>
        </w:rPr>
        <w:t xml:space="preserve">would be </w:t>
      </w:r>
      <w:r w:rsidRPr="00830F16">
        <w:rPr>
          <w:rFonts w:eastAsia="DengXian"/>
          <w:lang w:val="en-CA"/>
        </w:rPr>
        <w:t>tested and evaluated at stipulated checkpoints</w:t>
      </w:r>
      <w:r w:rsidR="00C47880" w:rsidRPr="00830F16">
        <w:rPr>
          <w:rFonts w:eastAsia="DengXian"/>
          <w:lang w:val="en-CA"/>
        </w:rPr>
        <w:t xml:space="preserve">; and </w:t>
      </w:r>
      <w:r w:rsidRPr="00830F16">
        <w:rPr>
          <w:rFonts w:eastAsia="DengXian"/>
          <w:lang w:val="en-CA"/>
        </w:rPr>
        <w:t>the decision to stop, redirect</w:t>
      </w:r>
      <w:r w:rsidR="004F3DCE" w:rsidRPr="00830F16">
        <w:rPr>
          <w:rFonts w:eastAsia="DengXian"/>
          <w:lang w:val="en-CA"/>
        </w:rPr>
        <w:t>,</w:t>
      </w:r>
      <w:r w:rsidRPr="00830F16">
        <w:rPr>
          <w:rFonts w:eastAsia="DengXian"/>
          <w:lang w:val="en-CA"/>
        </w:rPr>
        <w:t xml:space="preserve"> or try something different would be made at each checkp</w:t>
      </w:r>
      <w:r w:rsidR="008F7473" w:rsidRPr="00830F16">
        <w:rPr>
          <w:rFonts w:eastAsia="DengXian"/>
          <w:lang w:val="en-CA"/>
        </w:rPr>
        <w:t xml:space="preserve">oint. </w:t>
      </w:r>
      <w:r w:rsidRPr="00830F16">
        <w:rPr>
          <w:rFonts w:eastAsia="DengXian"/>
          <w:lang w:val="en-CA"/>
        </w:rPr>
        <w:t xml:space="preserve">This approach allowed executives to test their assumptions and validate their product concepts </w:t>
      </w:r>
      <w:r w:rsidR="004F3DCE" w:rsidRPr="00830F16">
        <w:rPr>
          <w:rFonts w:eastAsia="DengXian"/>
          <w:lang w:val="en-CA"/>
        </w:rPr>
        <w:t>with</w:t>
      </w:r>
      <w:r w:rsidRPr="00830F16">
        <w:rPr>
          <w:rFonts w:eastAsia="DengXian"/>
          <w:lang w:val="en-CA"/>
        </w:rPr>
        <w:t xml:space="preserve"> minimal upfront costs</w:t>
      </w:r>
      <w:r w:rsidR="004F3DCE" w:rsidRPr="00830F16">
        <w:rPr>
          <w:rFonts w:eastAsia="DengXian"/>
          <w:lang w:val="en-CA"/>
        </w:rPr>
        <w:t>. They would</w:t>
      </w:r>
      <w:r w:rsidRPr="00830F16">
        <w:rPr>
          <w:rFonts w:eastAsia="DengXian"/>
          <w:lang w:val="en-CA"/>
        </w:rPr>
        <w:t xml:space="preserve"> make substantial investments to scale up production </w:t>
      </w:r>
      <w:r w:rsidR="00C47880" w:rsidRPr="00830F16">
        <w:rPr>
          <w:rFonts w:eastAsia="DengXian"/>
          <w:lang w:val="en-CA"/>
        </w:rPr>
        <w:t xml:space="preserve">only </w:t>
      </w:r>
      <w:r w:rsidRPr="00830F16">
        <w:rPr>
          <w:rFonts w:eastAsia="DengXian"/>
          <w:lang w:val="en-CA"/>
        </w:rPr>
        <w:t xml:space="preserve">when more evidence confirmed the commercial viability and technical feasibility of the product ideas. </w:t>
      </w:r>
    </w:p>
    <w:p w14:paraId="6A5767D1" w14:textId="77777777" w:rsidR="003C36BA" w:rsidRPr="00830F16" w:rsidRDefault="003C36BA" w:rsidP="00843F97">
      <w:pPr>
        <w:pStyle w:val="BodyTextMain"/>
        <w:keepNext/>
        <w:rPr>
          <w:rFonts w:eastAsia="DengXian"/>
          <w:lang w:val="en-CA"/>
        </w:rPr>
      </w:pPr>
    </w:p>
    <w:p w14:paraId="65AA25B2" w14:textId="704F0728" w:rsidR="000B09AB" w:rsidRPr="00830F16" w:rsidRDefault="000B09AB" w:rsidP="00843F97">
      <w:pPr>
        <w:pStyle w:val="BodyTextMain"/>
        <w:keepNext/>
        <w:rPr>
          <w:rFonts w:eastAsia="DengXian"/>
          <w:lang w:val="en-CA"/>
        </w:rPr>
      </w:pPr>
      <w:r w:rsidRPr="00830F16">
        <w:rPr>
          <w:rFonts w:eastAsia="DengXian"/>
          <w:lang w:val="en-CA"/>
        </w:rPr>
        <w:t xml:space="preserve">The </w:t>
      </w:r>
      <w:proofErr w:type="spellStart"/>
      <w:r w:rsidRPr="00830F16">
        <w:rPr>
          <w:rFonts w:eastAsia="DengXian"/>
          <w:lang w:val="en-CA"/>
        </w:rPr>
        <w:t>DDP</w:t>
      </w:r>
      <w:proofErr w:type="spellEnd"/>
      <w:r w:rsidRPr="00830F16">
        <w:rPr>
          <w:rFonts w:eastAsia="DengXian"/>
          <w:lang w:val="en-CA"/>
        </w:rPr>
        <w:t xml:space="preserve"> business model </w:t>
      </w:r>
      <w:r w:rsidR="00CE725D" w:rsidRPr="00830F16">
        <w:rPr>
          <w:rFonts w:eastAsia="DengXian"/>
          <w:lang w:val="en-CA"/>
        </w:rPr>
        <w:t xml:space="preserve">complemented </w:t>
      </w:r>
      <w:r w:rsidRPr="00830F16">
        <w:rPr>
          <w:rFonts w:eastAsia="DengXian"/>
          <w:lang w:val="en-CA"/>
        </w:rPr>
        <w:t>the design-thinking approach that</w:t>
      </w:r>
      <w:r w:rsidR="004F3DCE" w:rsidRPr="00830F16">
        <w:rPr>
          <w:rFonts w:eastAsia="DengXian"/>
          <w:lang w:val="en-CA"/>
        </w:rPr>
        <w:t>, since its formation,</w:t>
      </w:r>
      <w:r w:rsidRPr="00830F16">
        <w:rPr>
          <w:rFonts w:eastAsia="DengXian"/>
          <w:lang w:val="en-CA"/>
        </w:rPr>
        <w:t xml:space="preserve"> </w:t>
      </w:r>
      <w:r w:rsidR="00C47880" w:rsidRPr="00830F16">
        <w:rPr>
          <w:rFonts w:eastAsia="DengXian"/>
          <w:lang w:val="en-CA"/>
        </w:rPr>
        <w:t xml:space="preserve">had been </w:t>
      </w:r>
      <w:r w:rsidRPr="00830F16">
        <w:rPr>
          <w:rFonts w:eastAsia="DengXian"/>
          <w:lang w:val="en-CA"/>
        </w:rPr>
        <w:t xml:space="preserve">the cornerstone of </w:t>
      </w:r>
      <w:r w:rsidR="003F5A0F" w:rsidRPr="00830F16">
        <w:rPr>
          <w:rFonts w:eastAsia="DengXian"/>
          <w:lang w:val="en-CA"/>
        </w:rPr>
        <w:t xml:space="preserve">the </w:t>
      </w:r>
      <w:r w:rsidRPr="00830F16">
        <w:rPr>
          <w:rFonts w:eastAsia="DengXian"/>
          <w:lang w:val="en-CA"/>
        </w:rPr>
        <w:t>i</w:t>
      </w:r>
      <w:r w:rsidRPr="00830F16">
        <w:rPr>
          <w:rFonts w:eastAsia="DengXian"/>
          <w:szCs w:val="24"/>
          <w:vertAlign w:val="superscript"/>
          <w:lang w:val="en-CA"/>
        </w:rPr>
        <w:t>3</w:t>
      </w:r>
      <w:r w:rsidRPr="00830F16">
        <w:rPr>
          <w:rFonts w:eastAsia="DengXian"/>
          <w:lang w:val="en-CA"/>
        </w:rPr>
        <w:t xml:space="preserve"> innovation processes. Design</w:t>
      </w:r>
      <w:r w:rsidR="00C47880" w:rsidRPr="00830F16">
        <w:rPr>
          <w:rFonts w:eastAsia="DengXian"/>
          <w:lang w:val="en-CA"/>
        </w:rPr>
        <w:t xml:space="preserve"> </w:t>
      </w:r>
      <w:r w:rsidRPr="00830F16">
        <w:rPr>
          <w:rFonts w:eastAsia="DengXian"/>
          <w:lang w:val="en-CA"/>
        </w:rPr>
        <w:t xml:space="preserve">thinking promoted the integration of design with the core business strategy to create outcomes that met the customers’ needs (see Exhibit </w:t>
      </w:r>
      <w:r w:rsidR="004A2D51" w:rsidRPr="00830F16">
        <w:rPr>
          <w:rFonts w:eastAsia="DengXian"/>
          <w:lang w:val="en-CA"/>
        </w:rPr>
        <w:t>6</w:t>
      </w:r>
      <w:r w:rsidRPr="00830F16">
        <w:rPr>
          <w:rFonts w:eastAsia="DengXian"/>
          <w:lang w:val="en-CA"/>
        </w:rPr>
        <w:t>). It was a user-centric approach that aimed to strengthen the relationship between the business and its customers by discovering what created meaning for end</w:t>
      </w:r>
      <w:r w:rsidR="00CE725D" w:rsidRPr="00830F16">
        <w:rPr>
          <w:rFonts w:eastAsia="DengXian"/>
          <w:lang w:val="en-CA"/>
        </w:rPr>
        <w:t>-</w:t>
      </w:r>
      <w:r w:rsidRPr="00830F16">
        <w:rPr>
          <w:rFonts w:eastAsia="DengXian"/>
          <w:lang w:val="en-CA"/>
        </w:rPr>
        <w:t xml:space="preserve">users. Sim </w:t>
      </w:r>
      <w:r w:rsidR="003F5A0F" w:rsidRPr="00830F16">
        <w:rPr>
          <w:rFonts w:eastAsia="DengXian"/>
          <w:lang w:val="en-CA"/>
        </w:rPr>
        <w:t>explained</w:t>
      </w:r>
      <w:r w:rsidRPr="00830F16">
        <w:rPr>
          <w:rFonts w:eastAsia="DengXian"/>
          <w:lang w:val="en-CA"/>
        </w:rPr>
        <w:t>:</w:t>
      </w:r>
    </w:p>
    <w:p w14:paraId="4B750178" w14:textId="77777777" w:rsidR="000B09AB" w:rsidRPr="00830F16" w:rsidRDefault="000B09AB" w:rsidP="00D91823">
      <w:pPr>
        <w:pStyle w:val="BodyTextMain"/>
        <w:rPr>
          <w:rFonts w:eastAsia="DengXian"/>
          <w:lang w:val="en-CA"/>
        </w:rPr>
      </w:pPr>
    </w:p>
    <w:p w14:paraId="62C63055" w14:textId="539A0744" w:rsidR="000B09AB" w:rsidRPr="00830F16" w:rsidRDefault="000B09AB" w:rsidP="00D91823">
      <w:pPr>
        <w:pStyle w:val="BodyTextMain"/>
        <w:ind w:left="720"/>
        <w:rPr>
          <w:rFonts w:eastAsia="DengXian"/>
          <w:lang w:val="en-CA"/>
        </w:rPr>
      </w:pPr>
      <w:r w:rsidRPr="00830F16">
        <w:rPr>
          <w:rFonts w:eastAsia="DengXian"/>
          <w:lang w:val="en-CA"/>
        </w:rPr>
        <w:t>Design</w:t>
      </w:r>
      <w:r w:rsidR="00CD65E3" w:rsidRPr="00830F16">
        <w:rPr>
          <w:rFonts w:eastAsia="DengXian"/>
          <w:lang w:val="en-CA"/>
        </w:rPr>
        <w:t xml:space="preserve"> </w:t>
      </w:r>
      <w:r w:rsidRPr="00830F16">
        <w:rPr>
          <w:rFonts w:eastAsia="DengXian"/>
          <w:lang w:val="en-CA"/>
        </w:rPr>
        <w:t xml:space="preserve">thinking [provides] a mindset shift. The shift has to be embedded into how we look at </w:t>
      </w:r>
      <w:proofErr w:type="gramStart"/>
      <w:r w:rsidRPr="00830F16">
        <w:rPr>
          <w:rFonts w:eastAsia="DengXian"/>
          <w:lang w:val="en-CA"/>
        </w:rPr>
        <w:t>things,</w:t>
      </w:r>
      <w:proofErr w:type="gramEnd"/>
      <w:r w:rsidRPr="00830F16">
        <w:rPr>
          <w:rFonts w:eastAsia="DengXian"/>
          <w:lang w:val="en-CA"/>
        </w:rPr>
        <w:t xml:space="preserve"> how we empathize and feel what the customer is feeling </w:t>
      </w:r>
      <w:r w:rsidR="00011019" w:rsidRPr="00830F16">
        <w:rPr>
          <w:rFonts w:eastAsia="DengXian"/>
          <w:lang w:val="en-CA"/>
        </w:rPr>
        <w:t>. . .</w:t>
      </w:r>
      <w:r w:rsidRPr="00830F16">
        <w:rPr>
          <w:rFonts w:eastAsia="DengXian"/>
          <w:lang w:val="en-CA"/>
        </w:rPr>
        <w:t xml:space="preserve"> the mandate from the CEO is [that] everyone in the organization has to go through it. </w:t>
      </w:r>
      <w:proofErr w:type="gramStart"/>
      <w:r w:rsidRPr="00830F16">
        <w:rPr>
          <w:rFonts w:eastAsia="DengXian"/>
          <w:lang w:val="en-CA"/>
        </w:rPr>
        <w:t>It’s</w:t>
      </w:r>
      <w:proofErr w:type="gramEnd"/>
      <w:r w:rsidRPr="00830F16">
        <w:rPr>
          <w:rFonts w:eastAsia="DengXian"/>
          <w:lang w:val="en-CA"/>
        </w:rPr>
        <w:t xml:space="preserve"> a very strong mandate, where we then have to drive through a program to ensure that we have a common set of terminology.</w:t>
      </w:r>
    </w:p>
    <w:p w14:paraId="6839219D" w14:textId="77777777" w:rsidR="000B09AB" w:rsidRPr="00830F16" w:rsidRDefault="000B09AB" w:rsidP="00D91823">
      <w:pPr>
        <w:pStyle w:val="BodyTextMain"/>
        <w:rPr>
          <w:rFonts w:eastAsia="DengXian"/>
          <w:lang w:val="en-CA"/>
        </w:rPr>
      </w:pPr>
    </w:p>
    <w:p w14:paraId="72CB8416" w14:textId="658551F9" w:rsidR="000B09AB" w:rsidRPr="00830F16" w:rsidRDefault="000B09AB" w:rsidP="00D91823">
      <w:pPr>
        <w:pStyle w:val="BodyTextMain"/>
        <w:rPr>
          <w:rFonts w:eastAsia="DengXian"/>
          <w:lang w:val="en-CA"/>
        </w:rPr>
      </w:pPr>
      <w:proofErr w:type="spellStart"/>
      <w:r w:rsidRPr="00830F16">
        <w:rPr>
          <w:rFonts w:eastAsia="DengXian"/>
          <w:lang w:val="en-CA"/>
        </w:rPr>
        <w:t>EB</w:t>
      </w:r>
      <w:proofErr w:type="spellEnd"/>
      <w:r w:rsidRPr="00830F16">
        <w:rPr>
          <w:rFonts w:eastAsia="DengXian"/>
          <w:lang w:val="en-CA"/>
        </w:rPr>
        <w:t xml:space="preserve"> was the first unit in </w:t>
      </w:r>
      <w:proofErr w:type="spellStart"/>
      <w:r w:rsidRPr="00830F16">
        <w:rPr>
          <w:rFonts w:eastAsia="DengXian"/>
          <w:lang w:val="en-CA"/>
        </w:rPr>
        <w:t>StarHub</w:t>
      </w:r>
      <w:proofErr w:type="spellEnd"/>
      <w:r w:rsidRPr="00830F16">
        <w:rPr>
          <w:rFonts w:eastAsia="DengXian"/>
          <w:lang w:val="en-CA"/>
        </w:rPr>
        <w:t xml:space="preserve"> to adopt design</w:t>
      </w:r>
      <w:r w:rsidR="00CE725D" w:rsidRPr="00830F16">
        <w:rPr>
          <w:rFonts w:eastAsia="DengXian"/>
          <w:lang w:val="en-CA"/>
        </w:rPr>
        <w:t xml:space="preserve"> </w:t>
      </w:r>
      <w:r w:rsidRPr="00830F16">
        <w:rPr>
          <w:rFonts w:eastAsia="DengXian"/>
          <w:lang w:val="en-CA"/>
        </w:rPr>
        <w:t xml:space="preserve">thinking. </w:t>
      </w:r>
      <w:proofErr w:type="spellStart"/>
      <w:r w:rsidRPr="00830F16">
        <w:rPr>
          <w:rFonts w:eastAsia="DengXian"/>
          <w:lang w:val="en-CA"/>
        </w:rPr>
        <w:t>StarHub’s</w:t>
      </w:r>
      <w:proofErr w:type="spellEnd"/>
      <w:r w:rsidRPr="00830F16">
        <w:rPr>
          <w:rFonts w:eastAsia="DengXian"/>
          <w:lang w:val="en-CA"/>
        </w:rPr>
        <w:t xml:space="preserve"> Human Resource</w:t>
      </w:r>
      <w:r w:rsidR="00011019" w:rsidRPr="00830F16">
        <w:rPr>
          <w:rFonts w:eastAsia="DengXian"/>
          <w:lang w:val="en-CA"/>
        </w:rPr>
        <w:t>s</w:t>
      </w:r>
      <w:r w:rsidRPr="00830F16">
        <w:rPr>
          <w:rFonts w:eastAsia="DengXian"/>
          <w:lang w:val="en-CA"/>
        </w:rPr>
        <w:t xml:space="preserve"> (HR) department </w:t>
      </w:r>
      <w:r w:rsidR="00CE725D" w:rsidRPr="00830F16">
        <w:rPr>
          <w:rFonts w:eastAsia="DengXian"/>
          <w:lang w:val="en-CA"/>
        </w:rPr>
        <w:t xml:space="preserve">then </w:t>
      </w:r>
      <w:r w:rsidRPr="00830F16">
        <w:rPr>
          <w:rFonts w:eastAsia="DengXian"/>
          <w:lang w:val="en-CA"/>
        </w:rPr>
        <w:t xml:space="preserve">became </w:t>
      </w:r>
      <w:r w:rsidR="00CE725D" w:rsidRPr="00830F16">
        <w:rPr>
          <w:rFonts w:eastAsia="DengXian"/>
          <w:lang w:val="en-CA"/>
        </w:rPr>
        <w:t xml:space="preserve">design thinking’s </w:t>
      </w:r>
      <w:r w:rsidRPr="00830F16">
        <w:rPr>
          <w:rFonts w:eastAsia="DengXian"/>
          <w:lang w:val="en-CA"/>
        </w:rPr>
        <w:t>strong advocate, championing the inclusion of such thinking in the professional development of the</w:t>
      </w:r>
      <w:r w:rsidR="00B90008" w:rsidRPr="00830F16">
        <w:rPr>
          <w:rFonts w:eastAsia="DengXian"/>
          <w:lang w:val="en-CA"/>
        </w:rPr>
        <w:t xml:space="preserve"> company’s</w:t>
      </w:r>
      <w:r w:rsidRPr="00830F16">
        <w:rPr>
          <w:rFonts w:eastAsia="DengXian"/>
          <w:lang w:val="en-CA"/>
        </w:rPr>
        <w:t xml:space="preserve"> employees. The strong alignment between HR’s emphasis on design</w:t>
      </w:r>
      <w:r w:rsidR="00011019" w:rsidRPr="00830F16">
        <w:rPr>
          <w:rFonts w:eastAsia="DengXian"/>
          <w:lang w:val="en-CA"/>
        </w:rPr>
        <w:t>-</w:t>
      </w:r>
      <w:r w:rsidRPr="00830F16">
        <w:rPr>
          <w:rFonts w:eastAsia="DengXian"/>
          <w:lang w:val="en-CA"/>
        </w:rPr>
        <w:t>thinking skills as part of talent management</w:t>
      </w:r>
      <w:r w:rsidR="00B90008" w:rsidRPr="00830F16">
        <w:rPr>
          <w:rFonts w:eastAsia="DengXian"/>
          <w:lang w:val="en-CA"/>
        </w:rPr>
        <w:t>,</w:t>
      </w:r>
      <w:r w:rsidRPr="00830F16">
        <w:rPr>
          <w:rFonts w:eastAsia="DengXian"/>
          <w:lang w:val="en-CA"/>
        </w:rPr>
        <w:t xml:space="preserve"> and </w:t>
      </w:r>
      <w:r w:rsidR="00B90008" w:rsidRPr="00830F16">
        <w:rPr>
          <w:rFonts w:eastAsia="DengXian"/>
          <w:lang w:val="en-CA"/>
        </w:rPr>
        <w:t xml:space="preserve">the </w:t>
      </w:r>
      <w:r w:rsidRPr="00830F16">
        <w:rPr>
          <w:rFonts w:eastAsia="DengXian"/>
          <w:lang w:val="en-CA"/>
        </w:rPr>
        <w:t xml:space="preserve">corporate focus on innovation processes </w:t>
      </w:r>
      <w:r w:rsidR="00CE725D" w:rsidRPr="00830F16">
        <w:rPr>
          <w:rFonts w:eastAsia="DengXian"/>
          <w:lang w:val="en-CA"/>
        </w:rPr>
        <w:t xml:space="preserve">inspired by design thinking </w:t>
      </w:r>
      <w:r w:rsidRPr="00830F16">
        <w:rPr>
          <w:rFonts w:eastAsia="DengXian"/>
          <w:lang w:val="en-CA"/>
        </w:rPr>
        <w:t xml:space="preserve">would in turn foster an organizational climate conducive for innovation. </w:t>
      </w:r>
      <w:r w:rsidR="003F5A0F" w:rsidRPr="00830F16">
        <w:rPr>
          <w:rFonts w:eastAsia="DengXian"/>
          <w:lang w:val="en-CA"/>
        </w:rPr>
        <w:t>T</w:t>
      </w:r>
      <w:r w:rsidRPr="00830F16">
        <w:rPr>
          <w:rFonts w:eastAsia="DengXian"/>
          <w:lang w:val="en-CA"/>
        </w:rPr>
        <w:t xml:space="preserve">he change in organizational structure </w:t>
      </w:r>
      <w:r w:rsidR="003F5A0F" w:rsidRPr="00830F16">
        <w:rPr>
          <w:rFonts w:eastAsia="DengXian"/>
          <w:lang w:val="en-CA"/>
        </w:rPr>
        <w:t>was to</w:t>
      </w:r>
      <w:r w:rsidRPr="00830F16">
        <w:rPr>
          <w:rFonts w:eastAsia="DengXian"/>
          <w:lang w:val="en-CA"/>
        </w:rPr>
        <w:t xml:space="preserve"> facilitate innovation processes</w:t>
      </w:r>
      <w:r w:rsidR="003F5A0F" w:rsidRPr="00830F16">
        <w:rPr>
          <w:rFonts w:eastAsia="DengXian"/>
          <w:lang w:val="en-CA"/>
        </w:rPr>
        <w:t>;</w:t>
      </w:r>
      <w:r w:rsidRPr="00830F16">
        <w:rPr>
          <w:rFonts w:eastAsia="DengXian"/>
          <w:lang w:val="en-CA"/>
        </w:rPr>
        <w:t xml:space="preserve"> the next step for </w:t>
      </w:r>
      <w:proofErr w:type="spellStart"/>
      <w:r w:rsidRPr="00830F16">
        <w:rPr>
          <w:rFonts w:eastAsia="DengXian"/>
          <w:lang w:val="en-CA"/>
        </w:rPr>
        <w:t>StarHub</w:t>
      </w:r>
      <w:proofErr w:type="spellEnd"/>
      <w:r w:rsidRPr="00830F16">
        <w:rPr>
          <w:rFonts w:eastAsia="DengXian"/>
          <w:lang w:val="en-CA"/>
        </w:rPr>
        <w:t xml:space="preserve"> was to discover new business opportunities using the approach of </w:t>
      </w:r>
      <w:proofErr w:type="gramStart"/>
      <w:r w:rsidRPr="00830F16">
        <w:rPr>
          <w:rFonts w:eastAsia="DengXian"/>
          <w:lang w:val="en-CA"/>
        </w:rPr>
        <w:t>design</w:t>
      </w:r>
      <w:r w:rsidR="00011019" w:rsidRPr="00830F16">
        <w:rPr>
          <w:rFonts w:eastAsia="DengXian"/>
          <w:lang w:val="en-CA"/>
        </w:rPr>
        <w:t>-</w:t>
      </w:r>
      <w:r w:rsidRPr="00830F16">
        <w:rPr>
          <w:rFonts w:eastAsia="DengXian"/>
          <w:lang w:val="en-CA"/>
        </w:rPr>
        <w:t>thinking</w:t>
      </w:r>
      <w:proofErr w:type="gramEnd"/>
      <w:r w:rsidRPr="00830F16">
        <w:rPr>
          <w:rFonts w:eastAsia="DengXian"/>
          <w:lang w:val="en-CA"/>
        </w:rPr>
        <w:t xml:space="preserve"> to co-create possible solutions</w:t>
      </w:r>
      <w:r w:rsidR="00B90008" w:rsidRPr="00830F16">
        <w:rPr>
          <w:rFonts w:eastAsia="DengXian"/>
          <w:lang w:val="en-CA"/>
        </w:rPr>
        <w:t xml:space="preserve"> for</w:t>
      </w:r>
      <w:r w:rsidRPr="00830F16">
        <w:rPr>
          <w:rFonts w:eastAsia="DengXian"/>
          <w:lang w:val="en-CA"/>
        </w:rPr>
        <w:t xml:space="preserve"> its target customers. </w:t>
      </w:r>
    </w:p>
    <w:p w14:paraId="363695FD" w14:textId="77777777" w:rsidR="000B09AB" w:rsidRPr="00830F16" w:rsidRDefault="000B09AB" w:rsidP="00F878FE">
      <w:pPr>
        <w:pStyle w:val="Casehead2"/>
        <w:keepNext/>
        <w:rPr>
          <w:rFonts w:eastAsia="DengXian"/>
          <w:lang w:val="en-CA"/>
        </w:rPr>
      </w:pPr>
      <w:r w:rsidRPr="00830F16">
        <w:rPr>
          <w:rFonts w:eastAsia="DengXian"/>
          <w:lang w:val="en-CA"/>
        </w:rPr>
        <w:t xml:space="preserve">Smart </w:t>
      </w:r>
      <w:proofErr w:type="spellStart"/>
      <w:r w:rsidRPr="00830F16">
        <w:rPr>
          <w:rFonts w:eastAsia="DengXian"/>
          <w:lang w:val="en-CA"/>
        </w:rPr>
        <w:t>F&amp;B</w:t>
      </w:r>
      <w:proofErr w:type="spellEnd"/>
      <w:r w:rsidRPr="00830F16">
        <w:rPr>
          <w:rFonts w:eastAsia="DengXian"/>
          <w:lang w:val="en-CA"/>
        </w:rPr>
        <w:t xml:space="preserve"> Retail Solutions</w:t>
      </w:r>
    </w:p>
    <w:p w14:paraId="6724D862" w14:textId="77777777" w:rsidR="000B09AB" w:rsidRPr="00830F16" w:rsidRDefault="000B09AB" w:rsidP="00F878FE">
      <w:pPr>
        <w:keepNext/>
        <w:rPr>
          <w:rFonts w:eastAsia="DengXian"/>
          <w:i/>
          <w:sz w:val="22"/>
          <w:szCs w:val="22"/>
          <w:lang w:val="en-CA"/>
        </w:rPr>
      </w:pPr>
    </w:p>
    <w:p w14:paraId="0B8E20C4" w14:textId="639E5623" w:rsidR="000B09AB" w:rsidRPr="00830F16" w:rsidRDefault="000B09AB" w:rsidP="00F878FE">
      <w:pPr>
        <w:pStyle w:val="BodyTextMain"/>
        <w:keepNext/>
        <w:rPr>
          <w:rFonts w:eastAsia="DengXian"/>
          <w:lang w:val="en-CA"/>
        </w:rPr>
      </w:pPr>
      <w:proofErr w:type="gramStart"/>
      <w:r w:rsidRPr="00830F16">
        <w:rPr>
          <w:rFonts w:eastAsia="DengXian"/>
          <w:lang w:val="en-CA"/>
        </w:rPr>
        <w:t xml:space="preserve">Given the slow economic growth in Singapore, it was no surprise that </w:t>
      </w:r>
      <w:proofErr w:type="spellStart"/>
      <w:r w:rsidRPr="00830F16">
        <w:rPr>
          <w:rFonts w:eastAsia="DengXian"/>
          <w:lang w:val="en-CA"/>
        </w:rPr>
        <w:t>StarHub’s</w:t>
      </w:r>
      <w:proofErr w:type="spellEnd"/>
      <w:r w:rsidRPr="00830F16">
        <w:rPr>
          <w:rFonts w:eastAsia="DengXian"/>
          <w:lang w:val="en-CA"/>
        </w:rPr>
        <w:t xml:space="preserve"> growth in the retail sector had been dropping by 3.1 per</w:t>
      </w:r>
      <w:r w:rsidR="005D0660" w:rsidRPr="00830F16">
        <w:rPr>
          <w:rFonts w:eastAsia="DengXian"/>
          <w:lang w:val="en-CA"/>
        </w:rPr>
        <w:t xml:space="preserve"> </w:t>
      </w:r>
      <w:r w:rsidRPr="00830F16">
        <w:rPr>
          <w:rFonts w:eastAsia="DengXian"/>
          <w:lang w:val="en-CA"/>
        </w:rPr>
        <w:t>cent annually since 2016.</w:t>
      </w:r>
      <w:proofErr w:type="gramEnd"/>
      <w:r w:rsidRPr="00830F16">
        <w:rPr>
          <w:rFonts w:eastAsia="DengXian"/>
          <w:lang w:val="en-CA"/>
        </w:rPr>
        <w:t xml:space="preserve"> To understand the issues within the retail business, </w:t>
      </w:r>
      <w:r w:rsidR="00F30BA8"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F30BA8" w:rsidRPr="00830F16">
        <w:rPr>
          <w:rFonts w:eastAsia="DengXian"/>
          <w:lang w:val="en-CA"/>
        </w:rPr>
        <w:t xml:space="preserve">unit </w:t>
      </w:r>
      <w:r w:rsidRPr="00830F16">
        <w:rPr>
          <w:rFonts w:eastAsia="DengXian"/>
          <w:lang w:val="en-CA"/>
        </w:rPr>
        <w:t xml:space="preserve">conducted design-thinking workshops with </w:t>
      </w:r>
      <w:proofErr w:type="spellStart"/>
      <w:r w:rsidRPr="00830F16">
        <w:rPr>
          <w:rFonts w:eastAsia="DengXian"/>
          <w:lang w:val="en-CA"/>
        </w:rPr>
        <w:t>StarHub</w:t>
      </w:r>
      <w:proofErr w:type="spellEnd"/>
      <w:r w:rsidRPr="00830F16">
        <w:rPr>
          <w:rFonts w:eastAsia="DengXian"/>
          <w:lang w:val="en-CA"/>
        </w:rPr>
        <w:t xml:space="preserve"> customers, particularly its </w:t>
      </w:r>
      <w:proofErr w:type="spellStart"/>
      <w:r w:rsidRPr="00830F16">
        <w:rPr>
          <w:rFonts w:eastAsia="DengXian"/>
          <w:lang w:val="en-CA"/>
        </w:rPr>
        <w:t>F&amp;B</w:t>
      </w:r>
      <w:proofErr w:type="spellEnd"/>
      <w:r w:rsidRPr="00830F16">
        <w:rPr>
          <w:rFonts w:eastAsia="DengXian"/>
          <w:lang w:val="en-CA"/>
        </w:rPr>
        <w:t xml:space="preserve"> operators. </w:t>
      </w:r>
      <w:r w:rsidRPr="00830F16">
        <w:rPr>
          <w:rFonts w:eastAsia="DengXian"/>
          <w:lang w:val="en-CA"/>
        </w:rPr>
        <w:lastRenderedPageBreak/>
        <w:t xml:space="preserve">Through customer focus group discussions, </w:t>
      </w:r>
      <w:proofErr w:type="spellStart"/>
      <w:r w:rsidRPr="00830F16">
        <w:rPr>
          <w:rFonts w:eastAsia="DengXian"/>
          <w:lang w:val="en-CA"/>
        </w:rPr>
        <w:t>StarHub</w:t>
      </w:r>
      <w:proofErr w:type="spellEnd"/>
      <w:r w:rsidRPr="00830F16">
        <w:rPr>
          <w:rFonts w:eastAsia="DengXian"/>
          <w:lang w:val="en-CA"/>
        </w:rPr>
        <w:t xml:space="preserve"> sought </w:t>
      </w:r>
      <w:r w:rsidR="00F30BA8" w:rsidRPr="00830F16">
        <w:rPr>
          <w:rFonts w:eastAsia="DengXian"/>
          <w:lang w:val="en-CA"/>
        </w:rPr>
        <w:t xml:space="preserve">an </w:t>
      </w:r>
      <w:r w:rsidRPr="00830F16">
        <w:rPr>
          <w:rFonts w:eastAsia="DengXian"/>
          <w:lang w:val="en-CA"/>
        </w:rPr>
        <w:t xml:space="preserve">in-depth understanding of the challenges that </w:t>
      </w:r>
      <w:proofErr w:type="spellStart"/>
      <w:r w:rsidRPr="00830F16">
        <w:rPr>
          <w:rFonts w:eastAsia="DengXian"/>
          <w:lang w:val="en-CA"/>
        </w:rPr>
        <w:t>F&amp;B</w:t>
      </w:r>
      <w:proofErr w:type="spellEnd"/>
      <w:r w:rsidRPr="00830F16">
        <w:rPr>
          <w:rFonts w:eastAsia="DengXian"/>
          <w:lang w:val="en-CA"/>
        </w:rPr>
        <w:t xml:space="preserve"> operators faced. The issues raised ranged from insufficient customer information to</w:t>
      </w:r>
      <w:r w:rsidR="00B90008" w:rsidRPr="00830F16">
        <w:rPr>
          <w:rFonts w:eastAsia="DengXian"/>
          <w:lang w:val="en-CA"/>
        </w:rPr>
        <w:t xml:space="preserve"> the</w:t>
      </w:r>
      <w:r w:rsidRPr="00830F16">
        <w:rPr>
          <w:rFonts w:eastAsia="DengXian"/>
          <w:lang w:val="en-CA"/>
        </w:rPr>
        <w:t xml:space="preserve"> labo</w:t>
      </w:r>
      <w:r w:rsidR="00011019" w:rsidRPr="00830F16">
        <w:rPr>
          <w:rFonts w:eastAsia="DengXian"/>
          <w:lang w:val="en-CA"/>
        </w:rPr>
        <w:t>u</w:t>
      </w:r>
      <w:r w:rsidRPr="00830F16">
        <w:rPr>
          <w:rFonts w:eastAsia="DengXian"/>
          <w:lang w:val="en-CA"/>
        </w:rPr>
        <w:t xml:space="preserve">r crunch. It seemed that </w:t>
      </w:r>
      <w:proofErr w:type="spellStart"/>
      <w:r w:rsidRPr="00830F16">
        <w:rPr>
          <w:rFonts w:eastAsia="DengXian"/>
          <w:lang w:val="en-CA"/>
        </w:rPr>
        <w:t>StarHub’s</w:t>
      </w:r>
      <w:proofErr w:type="spellEnd"/>
      <w:r w:rsidRPr="00830F16">
        <w:rPr>
          <w:rFonts w:eastAsia="DengXian"/>
          <w:lang w:val="en-CA"/>
        </w:rPr>
        <w:t xml:space="preserve"> integrated solutions </w:t>
      </w:r>
      <w:r w:rsidR="003718A9" w:rsidRPr="00830F16">
        <w:rPr>
          <w:rFonts w:eastAsia="DengXian"/>
          <w:lang w:val="en-CA"/>
        </w:rPr>
        <w:t>based on</w:t>
      </w:r>
      <w:r w:rsidRPr="00830F16">
        <w:rPr>
          <w:rFonts w:eastAsia="DengXian"/>
          <w:lang w:val="en-CA"/>
        </w:rPr>
        <w:t xml:space="preserve"> customer analytics would be good </w:t>
      </w:r>
      <w:r w:rsidR="00011019" w:rsidRPr="00830F16">
        <w:rPr>
          <w:rFonts w:eastAsia="DengXian"/>
          <w:lang w:val="en-CA"/>
        </w:rPr>
        <w:t>tools</w:t>
      </w:r>
      <w:r w:rsidRPr="00830F16">
        <w:rPr>
          <w:rFonts w:eastAsia="DengXian"/>
          <w:lang w:val="en-CA"/>
        </w:rPr>
        <w:t xml:space="preserve"> </w:t>
      </w:r>
      <w:r w:rsidR="00B90008" w:rsidRPr="00830F16">
        <w:rPr>
          <w:rFonts w:eastAsia="DengXian"/>
          <w:lang w:val="en-CA"/>
        </w:rPr>
        <w:t>for</w:t>
      </w:r>
      <w:r w:rsidRPr="00830F16">
        <w:rPr>
          <w:rFonts w:eastAsia="DengXian"/>
          <w:lang w:val="en-CA"/>
        </w:rPr>
        <w:t xml:space="preserve"> resolv</w:t>
      </w:r>
      <w:r w:rsidR="00B90008" w:rsidRPr="00830F16">
        <w:rPr>
          <w:rFonts w:eastAsia="DengXian"/>
          <w:lang w:val="en-CA"/>
        </w:rPr>
        <w:t>ing</w:t>
      </w:r>
      <w:r w:rsidRPr="00830F16">
        <w:rPr>
          <w:rFonts w:eastAsia="DengXian"/>
          <w:lang w:val="en-CA"/>
        </w:rPr>
        <w:t xml:space="preserve"> these challenges. By granting Wi</w:t>
      </w:r>
      <w:r w:rsidR="00360AC2" w:rsidRPr="00830F16">
        <w:rPr>
          <w:rFonts w:eastAsia="DengXian"/>
          <w:lang w:val="en-CA"/>
        </w:rPr>
        <w:t>-</w:t>
      </w:r>
      <w:r w:rsidRPr="00830F16">
        <w:rPr>
          <w:rFonts w:eastAsia="DengXian"/>
          <w:lang w:val="en-CA"/>
        </w:rPr>
        <w:t xml:space="preserve">Fi access to the </w:t>
      </w:r>
      <w:proofErr w:type="spellStart"/>
      <w:r w:rsidRPr="00830F16">
        <w:rPr>
          <w:rFonts w:eastAsia="DengXian"/>
          <w:lang w:val="en-CA"/>
        </w:rPr>
        <w:t>F&amp;B</w:t>
      </w:r>
      <w:proofErr w:type="spellEnd"/>
      <w:r w:rsidRPr="00830F16">
        <w:rPr>
          <w:rFonts w:eastAsia="DengXian"/>
          <w:lang w:val="en-CA"/>
        </w:rPr>
        <w:t xml:space="preserve"> patrons, </w:t>
      </w:r>
      <w:proofErr w:type="spellStart"/>
      <w:r w:rsidRPr="00830F16">
        <w:rPr>
          <w:rFonts w:eastAsia="DengXian"/>
          <w:lang w:val="en-CA"/>
        </w:rPr>
        <w:t>StarHub’s</w:t>
      </w:r>
      <w:proofErr w:type="spellEnd"/>
      <w:r w:rsidRPr="00830F16">
        <w:rPr>
          <w:rFonts w:eastAsia="DengXian"/>
          <w:lang w:val="en-CA"/>
        </w:rPr>
        <w:t xml:space="preserve"> Wi</w:t>
      </w:r>
      <w:r w:rsidR="00360AC2" w:rsidRPr="00830F16">
        <w:rPr>
          <w:rFonts w:eastAsia="DengXian"/>
          <w:lang w:val="en-CA"/>
        </w:rPr>
        <w:t>-</w:t>
      </w:r>
      <w:r w:rsidRPr="00830F16">
        <w:rPr>
          <w:rFonts w:eastAsia="DengXian"/>
          <w:lang w:val="en-CA"/>
        </w:rPr>
        <w:t xml:space="preserve">Fi </w:t>
      </w:r>
      <w:r w:rsidR="003718A9" w:rsidRPr="00830F16">
        <w:rPr>
          <w:rFonts w:eastAsia="DengXian"/>
          <w:lang w:val="en-CA"/>
        </w:rPr>
        <w:t>S</w:t>
      </w:r>
      <w:r w:rsidRPr="00830F16">
        <w:rPr>
          <w:rFonts w:eastAsia="DengXian"/>
          <w:lang w:val="en-CA"/>
        </w:rPr>
        <w:t xml:space="preserve">olutions </w:t>
      </w:r>
      <w:r w:rsidR="00221CFA" w:rsidRPr="00830F16">
        <w:rPr>
          <w:rFonts w:eastAsia="DengXian"/>
          <w:lang w:val="en-CA"/>
        </w:rPr>
        <w:t xml:space="preserve">initiative </w:t>
      </w:r>
      <w:r w:rsidRPr="00830F16">
        <w:rPr>
          <w:rFonts w:eastAsia="DengXian"/>
          <w:lang w:val="en-CA"/>
        </w:rPr>
        <w:t xml:space="preserve">would allow the </w:t>
      </w:r>
      <w:proofErr w:type="spellStart"/>
      <w:r w:rsidRPr="00830F16">
        <w:rPr>
          <w:rFonts w:eastAsia="DengXian"/>
          <w:lang w:val="en-CA"/>
        </w:rPr>
        <w:t>F&amp;B</w:t>
      </w:r>
      <w:proofErr w:type="spellEnd"/>
      <w:r w:rsidRPr="00830F16">
        <w:rPr>
          <w:rFonts w:eastAsia="DengXian"/>
          <w:lang w:val="en-CA"/>
        </w:rPr>
        <w:t xml:space="preserve"> operators to collect </w:t>
      </w:r>
      <w:r w:rsidR="003718A9" w:rsidRPr="00830F16">
        <w:rPr>
          <w:rFonts w:eastAsia="DengXian"/>
          <w:lang w:val="en-CA"/>
        </w:rPr>
        <w:t>the</w:t>
      </w:r>
      <w:r w:rsidR="004B0227" w:rsidRPr="00830F16">
        <w:rPr>
          <w:rFonts w:eastAsia="DengXian"/>
          <w:lang w:val="en-CA"/>
        </w:rPr>
        <w:t>i</w:t>
      </w:r>
      <w:r w:rsidR="00CF041B" w:rsidRPr="00830F16">
        <w:rPr>
          <w:rFonts w:eastAsia="DengXian"/>
          <w:lang w:val="en-CA"/>
        </w:rPr>
        <w:t>r</w:t>
      </w:r>
      <w:r w:rsidR="003718A9" w:rsidRPr="00830F16">
        <w:rPr>
          <w:rFonts w:eastAsia="DengXian"/>
          <w:lang w:val="en-CA"/>
        </w:rPr>
        <w:t xml:space="preserve"> patrons’ </w:t>
      </w:r>
      <w:r w:rsidRPr="00830F16">
        <w:rPr>
          <w:rFonts w:eastAsia="DengXian"/>
          <w:lang w:val="en-CA"/>
        </w:rPr>
        <w:t>profile</w:t>
      </w:r>
      <w:r w:rsidR="003718A9" w:rsidRPr="00830F16">
        <w:rPr>
          <w:rFonts w:eastAsia="DengXian"/>
          <w:lang w:val="en-CA"/>
        </w:rPr>
        <w:t>s</w:t>
      </w:r>
      <w:r w:rsidRPr="00830F16">
        <w:rPr>
          <w:rFonts w:eastAsia="DengXian"/>
          <w:lang w:val="en-CA"/>
        </w:rPr>
        <w:t xml:space="preserve"> and activity data. Capturing and analyzing video images of people who walked past the stores instead of entering </w:t>
      </w:r>
      <w:r w:rsidR="00221CFA" w:rsidRPr="00830F16">
        <w:rPr>
          <w:rFonts w:eastAsia="DengXian"/>
          <w:lang w:val="en-CA"/>
        </w:rPr>
        <w:t xml:space="preserve">would </w:t>
      </w:r>
      <w:r w:rsidR="00F30BA8" w:rsidRPr="00830F16">
        <w:rPr>
          <w:rFonts w:eastAsia="DengXian"/>
          <w:lang w:val="en-CA"/>
        </w:rPr>
        <w:t xml:space="preserve">enable </w:t>
      </w:r>
      <w:r w:rsidRPr="00830F16">
        <w:rPr>
          <w:rFonts w:eastAsia="DengXian"/>
          <w:lang w:val="en-CA"/>
        </w:rPr>
        <w:t xml:space="preserve">retail operators to </w:t>
      </w:r>
      <w:r w:rsidR="00F30BA8" w:rsidRPr="00830F16">
        <w:rPr>
          <w:rFonts w:eastAsia="DengXian"/>
          <w:lang w:val="en-CA"/>
        </w:rPr>
        <w:t xml:space="preserve">better </w:t>
      </w:r>
      <w:r w:rsidRPr="00830F16">
        <w:rPr>
          <w:rFonts w:eastAsia="DengXian"/>
          <w:lang w:val="en-CA"/>
        </w:rPr>
        <w:t>understand the profile</w:t>
      </w:r>
      <w:r w:rsidR="003718A9" w:rsidRPr="00830F16">
        <w:rPr>
          <w:rFonts w:eastAsia="DengXian"/>
          <w:lang w:val="en-CA"/>
        </w:rPr>
        <w:t>s</w:t>
      </w:r>
      <w:r w:rsidRPr="00830F16">
        <w:rPr>
          <w:rFonts w:eastAsia="DengXian"/>
          <w:lang w:val="en-CA"/>
        </w:rPr>
        <w:t xml:space="preserve"> and behavio</w:t>
      </w:r>
      <w:r w:rsidR="003718A9" w:rsidRPr="00830F16">
        <w:rPr>
          <w:rFonts w:eastAsia="DengXian"/>
          <w:lang w:val="en-CA"/>
        </w:rPr>
        <w:t>u</w:t>
      </w:r>
      <w:r w:rsidRPr="00830F16">
        <w:rPr>
          <w:rFonts w:eastAsia="DengXian"/>
          <w:lang w:val="en-CA"/>
        </w:rPr>
        <w:t>r</w:t>
      </w:r>
      <w:r w:rsidR="003718A9" w:rsidRPr="00830F16">
        <w:rPr>
          <w:rFonts w:eastAsia="DengXian"/>
          <w:lang w:val="en-CA"/>
        </w:rPr>
        <w:t>s</w:t>
      </w:r>
      <w:r w:rsidRPr="00830F16">
        <w:rPr>
          <w:rFonts w:eastAsia="DengXian"/>
          <w:lang w:val="en-CA"/>
        </w:rPr>
        <w:t xml:space="preserve"> of patrons and non-patrons, and hence </w:t>
      </w:r>
      <w:r w:rsidR="003718A9" w:rsidRPr="00830F16">
        <w:rPr>
          <w:rFonts w:eastAsia="DengXian"/>
          <w:lang w:val="en-CA"/>
        </w:rPr>
        <w:t xml:space="preserve">to </w:t>
      </w:r>
      <w:r w:rsidRPr="00830F16">
        <w:rPr>
          <w:rFonts w:eastAsia="DengXian"/>
          <w:lang w:val="en-CA"/>
        </w:rPr>
        <w:t xml:space="preserve">formulate </w:t>
      </w:r>
      <w:r w:rsidR="003718A9" w:rsidRPr="00830F16">
        <w:rPr>
          <w:rFonts w:eastAsia="DengXian"/>
          <w:lang w:val="en-CA"/>
        </w:rPr>
        <w:t>effective</w:t>
      </w:r>
      <w:r w:rsidRPr="00830F16">
        <w:rPr>
          <w:rFonts w:eastAsia="DengXian"/>
          <w:lang w:val="en-CA"/>
        </w:rPr>
        <w:t xml:space="preserve"> marketing strategies to reach </w:t>
      </w:r>
      <w:r w:rsidR="00CF041B" w:rsidRPr="00830F16">
        <w:rPr>
          <w:rFonts w:eastAsia="DengXian"/>
          <w:lang w:val="en-CA"/>
        </w:rPr>
        <w:t xml:space="preserve">their </w:t>
      </w:r>
      <w:r w:rsidRPr="00830F16">
        <w:rPr>
          <w:rFonts w:eastAsia="DengXian"/>
          <w:lang w:val="en-CA"/>
        </w:rPr>
        <w:t xml:space="preserve">target patrons. </w:t>
      </w:r>
    </w:p>
    <w:p w14:paraId="29996FA8" w14:textId="77777777" w:rsidR="00F30BA8" w:rsidRPr="00830F16" w:rsidRDefault="00F30BA8" w:rsidP="00D91823">
      <w:pPr>
        <w:pStyle w:val="BodyTextMain"/>
        <w:rPr>
          <w:rFonts w:eastAsia="DengXian"/>
          <w:lang w:val="en-CA"/>
        </w:rPr>
      </w:pPr>
    </w:p>
    <w:p w14:paraId="16AC01E6" w14:textId="6754B226" w:rsidR="000B09AB" w:rsidRPr="00830F16" w:rsidRDefault="000B09AB" w:rsidP="00D91823">
      <w:pPr>
        <w:pStyle w:val="BodyTextMain"/>
        <w:rPr>
          <w:rFonts w:eastAsia="DengXian"/>
          <w:lang w:val="en-CA"/>
        </w:rPr>
      </w:pPr>
      <w:r w:rsidRPr="00830F16">
        <w:rPr>
          <w:rFonts w:eastAsia="DengXian"/>
          <w:lang w:val="en-CA"/>
        </w:rPr>
        <w:t>Eager to empathize</w:t>
      </w:r>
      <w:r w:rsidR="00C80571" w:rsidRPr="00830F16">
        <w:rPr>
          <w:rFonts w:eastAsia="DengXian"/>
          <w:lang w:val="en-CA"/>
        </w:rPr>
        <w:t xml:space="preserve"> with</w:t>
      </w:r>
      <w:r w:rsidRPr="00830F16">
        <w:rPr>
          <w:rFonts w:eastAsia="DengXian"/>
          <w:lang w:val="en-CA"/>
        </w:rPr>
        <w:t xml:space="preserve"> the customer, </w:t>
      </w:r>
      <w:r w:rsidR="00F30BA8"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8B3358" w:rsidRPr="00830F16">
        <w:rPr>
          <w:rFonts w:eastAsia="DengXian"/>
          <w:lang w:val="en-CA"/>
        </w:rPr>
        <w:t xml:space="preserve">unit </w:t>
      </w:r>
      <w:r w:rsidRPr="00830F16">
        <w:rPr>
          <w:rFonts w:eastAsia="DengXian"/>
          <w:lang w:val="en-CA"/>
        </w:rPr>
        <w:t xml:space="preserve">staff walked the customer journey with </w:t>
      </w:r>
      <w:proofErr w:type="spellStart"/>
      <w:r w:rsidRPr="00830F16">
        <w:rPr>
          <w:rFonts w:eastAsia="DengXian"/>
          <w:lang w:val="en-CA"/>
        </w:rPr>
        <w:t>F&amp;B</w:t>
      </w:r>
      <w:proofErr w:type="spellEnd"/>
      <w:r w:rsidRPr="00830F16">
        <w:rPr>
          <w:rFonts w:eastAsia="DengXian"/>
          <w:lang w:val="en-CA"/>
        </w:rPr>
        <w:t xml:space="preserve"> operators to discover the </w:t>
      </w:r>
      <w:r w:rsidR="00C80571" w:rsidRPr="00830F16">
        <w:rPr>
          <w:rFonts w:eastAsia="DengXian"/>
          <w:lang w:val="en-CA"/>
        </w:rPr>
        <w:t>“</w:t>
      </w:r>
      <w:r w:rsidRPr="00830F16">
        <w:rPr>
          <w:rFonts w:eastAsia="DengXian"/>
          <w:lang w:val="en-CA"/>
        </w:rPr>
        <w:t>pain points</w:t>
      </w:r>
      <w:r w:rsidR="00C80571" w:rsidRPr="00830F16">
        <w:rPr>
          <w:rFonts w:eastAsia="DengXian"/>
          <w:lang w:val="en-CA"/>
        </w:rPr>
        <w:t>”</w:t>
      </w:r>
      <w:r w:rsidRPr="00830F16">
        <w:rPr>
          <w:rFonts w:eastAsia="DengXian"/>
          <w:lang w:val="en-CA"/>
        </w:rPr>
        <w:t xml:space="preserve"> in their daily operations. After spending a few days at the </w:t>
      </w:r>
      <w:proofErr w:type="spellStart"/>
      <w:r w:rsidRPr="00830F16">
        <w:rPr>
          <w:rFonts w:eastAsia="DengXian"/>
          <w:lang w:val="en-CA"/>
        </w:rPr>
        <w:t>F&amp;B</w:t>
      </w:r>
      <w:proofErr w:type="spellEnd"/>
      <w:r w:rsidRPr="00830F16">
        <w:rPr>
          <w:rFonts w:eastAsia="DengXian"/>
          <w:lang w:val="en-CA"/>
        </w:rPr>
        <w:t xml:space="preserve"> outlets to observe the operators</w:t>
      </w:r>
      <w:r w:rsidR="00C80571" w:rsidRPr="00830F16">
        <w:rPr>
          <w:rFonts w:eastAsia="DengXian"/>
          <w:lang w:val="en-CA"/>
        </w:rPr>
        <w:t>’</w:t>
      </w:r>
      <w:r w:rsidRPr="00830F16">
        <w:rPr>
          <w:rFonts w:eastAsia="DengXian"/>
          <w:lang w:val="en-CA"/>
        </w:rPr>
        <w:t xml:space="preserve"> workflow</w:t>
      </w:r>
      <w:r w:rsidR="00C80571" w:rsidRPr="00830F16">
        <w:rPr>
          <w:rFonts w:eastAsia="DengXian"/>
          <w:lang w:val="en-CA"/>
        </w:rPr>
        <w:t>s</w:t>
      </w:r>
      <w:r w:rsidRPr="00830F16">
        <w:rPr>
          <w:rFonts w:eastAsia="DengXian"/>
          <w:lang w:val="en-CA"/>
        </w:rPr>
        <w:t xml:space="preserve"> and interactions with their patrons, </w:t>
      </w:r>
      <w:r w:rsidR="00F30BA8"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F30BA8" w:rsidRPr="00830F16">
        <w:rPr>
          <w:rFonts w:eastAsia="DengXian"/>
          <w:lang w:val="en-CA"/>
        </w:rPr>
        <w:t xml:space="preserve">unit </w:t>
      </w:r>
      <w:r w:rsidRPr="00830F16">
        <w:rPr>
          <w:rFonts w:eastAsia="DengXian"/>
          <w:lang w:val="en-CA"/>
        </w:rPr>
        <w:t xml:space="preserve">staff realized that the initial integrated solutions were too complex and onerous for the </w:t>
      </w:r>
      <w:proofErr w:type="spellStart"/>
      <w:r w:rsidRPr="00830F16">
        <w:rPr>
          <w:rFonts w:eastAsia="DengXian"/>
          <w:lang w:val="en-CA"/>
        </w:rPr>
        <w:t>F&amp;B</w:t>
      </w:r>
      <w:proofErr w:type="spellEnd"/>
      <w:r w:rsidRPr="00830F16">
        <w:rPr>
          <w:rFonts w:eastAsia="DengXian"/>
          <w:lang w:val="en-CA"/>
        </w:rPr>
        <w:t xml:space="preserve"> operators, especially those </w:t>
      </w:r>
      <w:r w:rsidR="00F30BA8" w:rsidRPr="00830F16">
        <w:rPr>
          <w:rFonts w:eastAsia="DengXian"/>
          <w:lang w:val="en-CA"/>
        </w:rPr>
        <w:t xml:space="preserve">who had </w:t>
      </w:r>
      <w:r w:rsidRPr="00830F16">
        <w:rPr>
          <w:rFonts w:eastAsia="DengXian"/>
          <w:lang w:val="en-CA"/>
        </w:rPr>
        <w:t xml:space="preserve">only </w:t>
      </w:r>
      <w:r w:rsidR="00FD7436" w:rsidRPr="00830F16">
        <w:rPr>
          <w:lang w:val="en-CA"/>
        </w:rPr>
        <w:t>a single establishment</w:t>
      </w:r>
      <w:r w:rsidRPr="00830F16">
        <w:rPr>
          <w:rFonts w:eastAsia="DengXian"/>
          <w:lang w:val="en-CA"/>
        </w:rPr>
        <w:t>. Sim reflected:</w:t>
      </w:r>
    </w:p>
    <w:p w14:paraId="5FD17F90" w14:textId="77777777" w:rsidR="000B09AB" w:rsidRPr="00830F16" w:rsidRDefault="000B09AB" w:rsidP="00D91823">
      <w:pPr>
        <w:pStyle w:val="BodyTextMain"/>
        <w:rPr>
          <w:rFonts w:eastAsia="DengXian"/>
          <w:lang w:val="en-CA"/>
        </w:rPr>
      </w:pPr>
    </w:p>
    <w:p w14:paraId="03179B32" w14:textId="77777777" w:rsidR="000B09AB" w:rsidRPr="00830F16" w:rsidRDefault="000B09AB" w:rsidP="00D91823">
      <w:pPr>
        <w:pStyle w:val="BodyTextMain"/>
        <w:ind w:left="720"/>
        <w:rPr>
          <w:rFonts w:eastAsia="DengXian"/>
          <w:lang w:val="en-CA"/>
        </w:rPr>
      </w:pPr>
      <w:r w:rsidRPr="00830F16">
        <w:rPr>
          <w:rFonts w:eastAsia="DengXian"/>
          <w:lang w:val="en-CA"/>
        </w:rPr>
        <w:t xml:space="preserve">Through working with these café owners, we know some of </w:t>
      </w:r>
      <w:proofErr w:type="gramStart"/>
      <w:r w:rsidRPr="00830F16">
        <w:rPr>
          <w:rFonts w:eastAsia="DengXian"/>
          <w:lang w:val="en-CA"/>
        </w:rPr>
        <w:t>these</w:t>
      </w:r>
      <w:proofErr w:type="gramEnd"/>
      <w:r w:rsidRPr="00830F16">
        <w:rPr>
          <w:rFonts w:eastAsia="DengXian"/>
          <w:lang w:val="en-CA"/>
        </w:rPr>
        <w:t xml:space="preserve"> nice, sexy solutions that don’t work for SMEs. [They were] either too expensive or complex, and they </w:t>
      </w:r>
      <w:proofErr w:type="gramStart"/>
      <w:r w:rsidRPr="00830F16">
        <w:rPr>
          <w:rFonts w:eastAsia="DengXian"/>
          <w:lang w:val="en-CA"/>
        </w:rPr>
        <w:t>didn’t</w:t>
      </w:r>
      <w:proofErr w:type="gramEnd"/>
      <w:r w:rsidRPr="00830F16">
        <w:rPr>
          <w:rFonts w:eastAsia="DengXian"/>
          <w:lang w:val="en-CA"/>
        </w:rPr>
        <w:t xml:space="preserve"> know what to do with it. </w:t>
      </w:r>
      <w:proofErr w:type="gramStart"/>
      <w:r w:rsidRPr="00830F16">
        <w:rPr>
          <w:rFonts w:eastAsia="DengXian"/>
          <w:lang w:val="en-CA"/>
        </w:rPr>
        <w:t>So</w:t>
      </w:r>
      <w:proofErr w:type="gramEnd"/>
      <w:r w:rsidRPr="00830F16">
        <w:rPr>
          <w:rFonts w:eastAsia="DengXian"/>
          <w:lang w:val="en-CA"/>
        </w:rPr>
        <w:t xml:space="preserve"> we watered [the solutions] down to something that is actionable and makes sense to them in their day job.</w:t>
      </w:r>
    </w:p>
    <w:p w14:paraId="2C87E39D" w14:textId="77777777" w:rsidR="005D0660" w:rsidRPr="00830F16" w:rsidRDefault="005D0660" w:rsidP="00D91823">
      <w:pPr>
        <w:pStyle w:val="BodyTextMain"/>
        <w:rPr>
          <w:rFonts w:eastAsia="DengXian"/>
          <w:lang w:val="en-CA"/>
        </w:rPr>
      </w:pPr>
    </w:p>
    <w:p w14:paraId="7173BCD8" w14:textId="38011908" w:rsidR="000B09AB" w:rsidRPr="00830F16" w:rsidRDefault="000B09AB" w:rsidP="00D91823">
      <w:pPr>
        <w:pStyle w:val="BodyTextMain"/>
        <w:rPr>
          <w:rFonts w:eastAsia="DengXian"/>
          <w:lang w:val="en-CA"/>
        </w:rPr>
      </w:pPr>
      <w:r w:rsidRPr="00830F16">
        <w:rPr>
          <w:rFonts w:eastAsia="DengXian"/>
          <w:lang w:val="en-CA"/>
        </w:rPr>
        <w:t xml:space="preserve">Walking the customer journey enabled </w:t>
      </w:r>
      <w:r w:rsidR="00F30BA8"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F30BA8" w:rsidRPr="00830F16">
        <w:rPr>
          <w:rFonts w:eastAsia="DengXian"/>
          <w:lang w:val="en-CA"/>
        </w:rPr>
        <w:t xml:space="preserve">unit </w:t>
      </w:r>
      <w:r w:rsidRPr="00830F16">
        <w:rPr>
          <w:rFonts w:eastAsia="DengXian"/>
          <w:lang w:val="en-CA"/>
        </w:rPr>
        <w:t xml:space="preserve">staff to discover that in Singapore, a segment of </w:t>
      </w:r>
      <w:proofErr w:type="spellStart"/>
      <w:r w:rsidRPr="00830F16">
        <w:rPr>
          <w:rFonts w:eastAsia="DengXian"/>
          <w:lang w:val="en-CA"/>
        </w:rPr>
        <w:t>F&amp;B</w:t>
      </w:r>
      <w:proofErr w:type="spellEnd"/>
      <w:r w:rsidRPr="00830F16">
        <w:rPr>
          <w:rFonts w:eastAsia="DengXian"/>
          <w:lang w:val="en-CA"/>
        </w:rPr>
        <w:t xml:space="preserve"> owner</w:t>
      </w:r>
      <w:r w:rsidR="00F30BA8" w:rsidRPr="00830F16">
        <w:rPr>
          <w:rFonts w:eastAsia="DengXian"/>
          <w:lang w:val="en-CA"/>
        </w:rPr>
        <w:t>–</w:t>
      </w:r>
      <w:r w:rsidRPr="00830F16">
        <w:rPr>
          <w:rFonts w:eastAsia="DengXian"/>
          <w:lang w:val="en-CA"/>
        </w:rPr>
        <w:t xml:space="preserve">operators had </w:t>
      </w:r>
      <w:proofErr w:type="gramStart"/>
      <w:r w:rsidRPr="00830F16">
        <w:rPr>
          <w:rFonts w:eastAsia="DengXian"/>
          <w:lang w:val="en-CA"/>
        </w:rPr>
        <w:t>to single-handedly juggle</w:t>
      </w:r>
      <w:proofErr w:type="gramEnd"/>
      <w:r w:rsidRPr="00830F16">
        <w:rPr>
          <w:rFonts w:eastAsia="DengXian"/>
          <w:lang w:val="en-CA"/>
        </w:rPr>
        <w:t xml:space="preserve"> </w:t>
      </w:r>
      <w:r w:rsidR="00F30BA8" w:rsidRPr="00830F16">
        <w:rPr>
          <w:rFonts w:eastAsia="DengXian"/>
          <w:lang w:val="en-CA"/>
        </w:rPr>
        <w:t xml:space="preserve">the </w:t>
      </w:r>
      <w:r w:rsidRPr="00830F16">
        <w:rPr>
          <w:rFonts w:eastAsia="DengXian"/>
          <w:lang w:val="en-CA"/>
        </w:rPr>
        <w:t>multiple tasks of procurement, operation</w:t>
      </w:r>
      <w:r w:rsidR="00C80571" w:rsidRPr="00830F16">
        <w:rPr>
          <w:rFonts w:eastAsia="DengXian"/>
          <w:lang w:val="en-CA"/>
        </w:rPr>
        <w:t>,</w:t>
      </w:r>
      <w:r w:rsidRPr="00830F16">
        <w:rPr>
          <w:rFonts w:eastAsia="DengXian"/>
          <w:lang w:val="en-CA"/>
        </w:rPr>
        <w:t xml:space="preserve"> and marketing. These operators would have no time to decipher large video analytics files offered by</w:t>
      </w:r>
      <w:r w:rsidR="00C80571" w:rsidRPr="00830F16">
        <w:rPr>
          <w:rFonts w:eastAsia="DengXian"/>
          <w:lang w:val="en-CA"/>
        </w:rPr>
        <w:t xml:space="preserve"> the</w:t>
      </w:r>
      <w:r w:rsidRPr="00830F16">
        <w:rPr>
          <w:rFonts w:eastAsia="DengXian"/>
          <w:lang w:val="en-CA"/>
        </w:rPr>
        <w:t xml:space="preserve"> telco. Observing the</w:t>
      </w:r>
      <w:r w:rsidR="00C80571" w:rsidRPr="00830F16">
        <w:rPr>
          <w:rFonts w:eastAsia="DengXian"/>
          <w:lang w:val="en-CA"/>
        </w:rPr>
        <w:t>se</w:t>
      </w:r>
      <w:r w:rsidRPr="00830F16">
        <w:rPr>
          <w:rFonts w:eastAsia="DengXian"/>
          <w:lang w:val="en-CA"/>
        </w:rPr>
        <w:t xml:space="preserve"> customers </w:t>
      </w:r>
      <w:r w:rsidR="00F30BA8" w:rsidRPr="00830F16">
        <w:rPr>
          <w:rFonts w:eastAsia="DengXian"/>
          <w:lang w:val="en-CA"/>
        </w:rPr>
        <w:t xml:space="preserve">enabled </w:t>
      </w:r>
      <w:r w:rsidR="00C80571"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F30BA8" w:rsidRPr="00830F16">
        <w:rPr>
          <w:rFonts w:eastAsia="DengXian"/>
          <w:lang w:val="en-CA"/>
        </w:rPr>
        <w:t xml:space="preserve">unit </w:t>
      </w:r>
      <w:r w:rsidRPr="00830F16">
        <w:rPr>
          <w:rFonts w:eastAsia="DengXian"/>
          <w:lang w:val="en-CA"/>
        </w:rPr>
        <w:t>staff to critically evaluate the feasibility of their solutions and</w:t>
      </w:r>
      <w:r w:rsidR="00C80571" w:rsidRPr="00830F16">
        <w:rPr>
          <w:rFonts w:eastAsia="DengXian"/>
          <w:lang w:val="en-CA"/>
        </w:rPr>
        <w:t xml:space="preserve"> adjust </w:t>
      </w:r>
      <w:r w:rsidR="004E69AD" w:rsidRPr="00830F16">
        <w:rPr>
          <w:rFonts w:eastAsia="DengXian"/>
          <w:lang w:val="en-CA"/>
        </w:rPr>
        <w:t xml:space="preserve">their </w:t>
      </w:r>
      <w:r w:rsidRPr="00830F16">
        <w:rPr>
          <w:rFonts w:eastAsia="DengXian"/>
          <w:lang w:val="en-CA"/>
        </w:rPr>
        <w:t>offer</w:t>
      </w:r>
      <w:r w:rsidR="004E69AD" w:rsidRPr="00830F16">
        <w:rPr>
          <w:rFonts w:eastAsia="DengXian"/>
          <w:lang w:val="en-CA"/>
        </w:rPr>
        <w:t>ings</w:t>
      </w:r>
      <w:r w:rsidRPr="00830F16">
        <w:rPr>
          <w:rFonts w:eastAsia="DengXian"/>
          <w:lang w:val="en-CA"/>
        </w:rPr>
        <w:t xml:space="preserve"> more cost-effective </w:t>
      </w:r>
      <w:r w:rsidR="00C80571" w:rsidRPr="00830F16">
        <w:rPr>
          <w:rFonts w:eastAsia="DengXian"/>
          <w:lang w:val="en-CA"/>
        </w:rPr>
        <w:t>solutions</w:t>
      </w:r>
      <w:r w:rsidRPr="00830F16">
        <w:rPr>
          <w:rFonts w:eastAsia="DengXian"/>
          <w:lang w:val="en-CA"/>
        </w:rPr>
        <w:t xml:space="preserve"> with simpler user interfaces. </w:t>
      </w:r>
    </w:p>
    <w:p w14:paraId="00209B8A" w14:textId="77777777" w:rsidR="000B09AB" w:rsidRPr="00830F16" w:rsidRDefault="000B09AB" w:rsidP="00D91823">
      <w:pPr>
        <w:pStyle w:val="BodyTextMain"/>
        <w:rPr>
          <w:rFonts w:eastAsia="DengXian"/>
          <w:lang w:val="en-CA"/>
        </w:rPr>
      </w:pPr>
    </w:p>
    <w:p w14:paraId="7DFBB45A" w14:textId="2BCDCBB3" w:rsidR="000B09AB" w:rsidRPr="00830F16" w:rsidRDefault="000B09AB" w:rsidP="00D91823">
      <w:pPr>
        <w:pStyle w:val="BodyTextMain"/>
        <w:rPr>
          <w:rFonts w:eastAsia="DengXian"/>
          <w:lang w:val="en-CA"/>
        </w:rPr>
      </w:pPr>
      <w:r w:rsidRPr="00830F16">
        <w:rPr>
          <w:rFonts w:eastAsia="DengXian"/>
          <w:lang w:val="en-CA"/>
        </w:rPr>
        <w:t xml:space="preserve">To create greater value in the sector, </w:t>
      </w:r>
      <w:proofErr w:type="spellStart"/>
      <w:r w:rsidRPr="00830F16">
        <w:rPr>
          <w:rFonts w:eastAsia="DengXian"/>
          <w:lang w:val="en-CA"/>
        </w:rPr>
        <w:t>StarHub</w:t>
      </w:r>
      <w:proofErr w:type="spellEnd"/>
      <w:r w:rsidRPr="00830F16">
        <w:rPr>
          <w:rFonts w:eastAsia="DengXian"/>
          <w:lang w:val="en-CA"/>
        </w:rPr>
        <w:t xml:space="preserve"> launched its new Smart Retail Solutions initiative in 2016. Supported by</w:t>
      </w:r>
      <w:r w:rsidR="00C80571" w:rsidRPr="00830F16">
        <w:rPr>
          <w:rFonts w:eastAsia="DengXian"/>
          <w:lang w:val="en-CA"/>
        </w:rPr>
        <w:t xml:space="preserve"> the</w:t>
      </w:r>
      <w:r w:rsidRPr="00830F16">
        <w:rPr>
          <w:rFonts w:eastAsia="DengXian"/>
          <w:lang w:val="en-CA"/>
        </w:rPr>
        <w:t xml:space="preserve"> </w:t>
      </w:r>
      <w:proofErr w:type="spellStart"/>
      <w:r w:rsidRPr="00830F16">
        <w:rPr>
          <w:rFonts w:eastAsia="DengXian"/>
          <w:lang w:val="en-CA"/>
        </w:rPr>
        <w:t>IMDA</w:t>
      </w:r>
      <w:proofErr w:type="spellEnd"/>
      <w:r w:rsidRPr="00830F16">
        <w:rPr>
          <w:rFonts w:eastAsia="DengXian"/>
          <w:lang w:val="en-CA"/>
        </w:rPr>
        <w:t xml:space="preserve"> under the SMEs</w:t>
      </w:r>
      <w:r w:rsidR="00F30BA8" w:rsidRPr="00830F16">
        <w:rPr>
          <w:rFonts w:eastAsia="DengXian"/>
          <w:lang w:val="en-CA"/>
        </w:rPr>
        <w:t>’</w:t>
      </w:r>
      <w:r w:rsidRPr="00830F16">
        <w:rPr>
          <w:rFonts w:eastAsia="DengXian"/>
          <w:lang w:val="en-CA"/>
        </w:rPr>
        <w:t xml:space="preserve"> Go Digital program, Smart Retail Solutions offered bundled broadband services with </w:t>
      </w:r>
      <w:r w:rsidR="00535DF6" w:rsidRPr="00830F16">
        <w:rPr>
          <w:rFonts w:eastAsia="DengXian"/>
          <w:lang w:val="en-CA"/>
        </w:rPr>
        <w:t xml:space="preserve">the </w:t>
      </w:r>
      <w:proofErr w:type="spellStart"/>
      <w:r w:rsidRPr="00830F16">
        <w:rPr>
          <w:rFonts w:eastAsia="DengXian"/>
          <w:lang w:val="en-CA"/>
        </w:rPr>
        <w:t>IMDA</w:t>
      </w:r>
      <w:r w:rsidR="00535DF6" w:rsidRPr="00830F16">
        <w:rPr>
          <w:rFonts w:eastAsia="DengXian"/>
          <w:lang w:val="en-CA"/>
        </w:rPr>
        <w:t>’s</w:t>
      </w:r>
      <w:proofErr w:type="spellEnd"/>
      <w:r w:rsidRPr="00830F16">
        <w:rPr>
          <w:rFonts w:eastAsia="DengXian"/>
          <w:lang w:val="en-CA"/>
        </w:rPr>
        <w:t xml:space="preserve"> pre-approved digital solutions to 1,000 SMEs from the retail and </w:t>
      </w:r>
      <w:proofErr w:type="spellStart"/>
      <w:r w:rsidRPr="00830F16">
        <w:rPr>
          <w:rFonts w:eastAsia="DengXian"/>
          <w:lang w:val="en-CA"/>
        </w:rPr>
        <w:t>F&amp;B</w:t>
      </w:r>
      <w:proofErr w:type="spellEnd"/>
      <w:r w:rsidRPr="00830F16">
        <w:rPr>
          <w:rFonts w:eastAsia="DengXian"/>
          <w:lang w:val="en-CA"/>
        </w:rPr>
        <w:t xml:space="preserve"> sector</w:t>
      </w:r>
      <w:r w:rsidR="00C80571" w:rsidRPr="00830F16">
        <w:rPr>
          <w:rFonts w:eastAsia="DengXian"/>
          <w:lang w:val="en-CA"/>
        </w:rPr>
        <w:t>s</w:t>
      </w:r>
      <w:r w:rsidRPr="00830F16">
        <w:rPr>
          <w:rFonts w:eastAsia="DengXian"/>
          <w:lang w:val="en-CA"/>
        </w:rPr>
        <w:t xml:space="preserve">. Some of these solutions included retail analytics, digital ordering and payment, </w:t>
      </w:r>
      <w:r w:rsidR="00550C52" w:rsidRPr="00830F16">
        <w:rPr>
          <w:rFonts w:eastAsia="DengXian"/>
          <w:lang w:val="en-CA"/>
        </w:rPr>
        <w:t>and</w:t>
      </w:r>
      <w:r w:rsidRPr="00830F16">
        <w:rPr>
          <w:rFonts w:eastAsia="DengXian"/>
          <w:lang w:val="en-CA"/>
        </w:rPr>
        <w:t xml:space="preserve"> video and Wi</w:t>
      </w:r>
      <w:r w:rsidR="00360AC2" w:rsidRPr="00830F16">
        <w:rPr>
          <w:rFonts w:eastAsia="DengXian"/>
          <w:lang w:val="en-CA"/>
        </w:rPr>
        <w:t>-</w:t>
      </w:r>
      <w:r w:rsidRPr="00830F16">
        <w:rPr>
          <w:rFonts w:eastAsia="DengXian"/>
          <w:lang w:val="en-CA"/>
        </w:rPr>
        <w:t xml:space="preserve">Fi analytics </w:t>
      </w:r>
      <w:r w:rsidR="00550C52" w:rsidRPr="00830F16">
        <w:rPr>
          <w:rFonts w:eastAsia="DengXian"/>
          <w:lang w:val="en-CA"/>
        </w:rPr>
        <w:t xml:space="preserve">that would allow the operators </w:t>
      </w:r>
      <w:r w:rsidRPr="00830F16">
        <w:rPr>
          <w:rFonts w:eastAsia="DengXian"/>
          <w:lang w:val="en-CA"/>
        </w:rPr>
        <w:t xml:space="preserve">to improve </w:t>
      </w:r>
      <w:r w:rsidR="00C80571" w:rsidRPr="00830F16">
        <w:rPr>
          <w:rFonts w:eastAsia="DengXian"/>
          <w:lang w:val="en-CA"/>
        </w:rPr>
        <w:t xml:space="preserve">both </w:t>
      </w:r>
      <w:r w:rsidRPr="00830F16">
        <w:rPr>
          <w:rFonts w:eastAsia="DengXian"/>
          <w:lang w:val="en-CA"/>
        </w:rPr>
        <w:t>product sales and customer experience</w:t>
      </w:r>
      <w:r w:rsidR="004C4DB5" w:rsidRPr="00830F16">
        <w:rPr>
          <w:rFonts w:eastAsia="DengXian"/>
          <w:lang w:val="en-CA"/>
        </w:rPr>
        <w:t>.</w:t>
      </w:r>
      <w:r w:rsidR="004C4DB5" w:rsidRPr="00830F16">
        <w:rPr>
          <w:rFonts w:eastAsia="DengXian"/>
          <w:vertAlign w:val="superscript"/>
          <w:lang w:val="en-CA"/>
        </w:rPr>
        <w:endnoteReference w:id="28"/>
      </w:r>
      <w:r w:rsidRPr="00830F16">
        <w:rPr>
          <w:rFonts w:eastAsia="DengXian"/>
          <w:lang w:val="en-CA"/>
        </w:rPr>
        <w:t xml:space="preserve"> </w:t>
      </w:r>
    </w:p>
    <w:p w14:paraId="3C42DBE1" w14:textId="1A205FFB" w:rsidR="000B09AB" w:rsidRPr="00830F16" w:rsidRDefault="000B09AB" w:rsidP="000B09AB">
      <w:pPr>
        <w:jc w:val="both"/>
        <w:rPr>
          <w:rFonts w:eastAsia="DengXian"/>
          <w:sz w:val="22"/>
          <w:szCs w:val="22"/>
          <w:lang w:val="en-CA"/>
        </w:rPr>
      </w:pPr>
    </w:p>
    <w:p w14:paraId="778D3391" w14:textId="77777777" w:rsidR="00D91823" w:rsidRPr="00830F16" w:rsidRDefault="00D91823" w:rsidP="000B09AB">
      <w:pPr>
        <w:jc w:val="both"/>
        <w:rPr>
          <w:rFonts w:eastAsia="DengXian"/>
          <w:sz w:val="22"/>
          <w:szCs w:val="22"/>
          <w:lang w:val="en-CA"/>
        </w:rPr>
      </w:pPr>
    </w:p>
    <w:p w14:paraId="6BFA2046" w14:textId="77777777" w:rsidR="000B09AB" w:rsidRPr="00830F16" w:rsidRDefault="000B09AB" w:rsidP="00D91823">
      <w:pPr>
        <w:pStyle w:val="Casehead2"/>
        <w:rPr>
          <w:rFonts w:eastAsia="DengXian"/>
          <w:lang w:val="en-CA"/>
        </w:rPr>
      </w:pPr>
      <w:r w:rsidRPr="00830F16">
        <w:rPr>
          <w:rFonts w:eastAsia="DengXian"/>
          <w:lang w:val="en-CA"/>
        </w:rPr>
        <w:t>Automation in the Hospitality Industry</w:t>
      </w:r>
    </w:p>
    <w:p w14:paraId="75B51FF4" w14:textId="77777777" w:rsidR="000B09AB" w:rsidRPr="00830F16" w:rsidRDefault="000B09AB" w:rsidP="000B09AB">
      <w:pPr>
        <w:tabs>
          <w:tab w:val="left" w:pos="3780"/>
        </w:tabs>
        <w:jc w:val="both"/>
        <w:rPr>
          <w:rFonts w:eastAsia="DengXian"/>
          <w:sz w:val="22"/>
          <w:szCs w:val="22"/>
          <w:lang w:val="en-CA"/>
        </w:rPr>
      </w:pPr>
    </w:p>
    <w:p w14:paraId="4097BDAA" w14:textId="2AD40F5E" w:rsidR="000B09AB" w:rsidRDefault="0003497A" w:rsidP="00D91823">
      <w:pPr>
        <w:pStyle w:val="BodyTextMain"/>
        <w:rPr>
          <w:rFonts w:eastAsia="DengXian"/>
          <w:lang w:val="en-CA"/>
        </w:rPr>
      </w:pPr>
      <w:r w:rsidRPr="00830F16">
        <w:rPr>
          <w:rFonts w:eastAsia="DengXian"/>
          <w:lang w:val="en-CA"/>
        </w:rPr>
        <w:t>V</w:t>
      </w:r>
      <w:r w:rsidR="000B09AB" w:rsidRPr="00830F16">
        <w:rPr>
          <w:rFonts w:eastAsia="DengXian"/>
          <w:lang w:val="en-CA"/>
        </w:rPr>
        <w:t>isitor arrivals to Singapore increased 7.7 per</w:t>
      </w:r>
      <w:r w:rsidR="005D0660" w:rsidRPr="00830F16">
        <w:rPr>
          <w:rFonts w:eastAsia="DengXian"/>
          <w:lang w:val="en-CA"/>
        </w:rPr>
        <w:t xml:space="preserve"> </w:t>
      </w:r>
      <w:r w:rsidR="000B09AB" w:rsidRPr="00830F16">
        <w:rPr>
          <w:rFonts w:eastAsia="DengXian"/>
          <w:lang w:val="en-CA"/>
        </w:rPr>
        <w:t xml:space="preserve">cent from 2015 to 2016, </w:t>
      </w:r>
      <w:r w:rsidRPr="00830F16">
        <w:rPr>
          <w:rFonts w:eastAsia="DengXian"/>
          <w:lang w:val="en-CA"/>
        </w:rPr>
        <w:t xml:space="preserve">and </w:t>
      </w:r>
      <w:proofErr w:type="spellStart"/>
      <w:r w:rsidRPr="00830F16">
        <w:rPr>
          <w:rFonts w:eastAsia="DengXian"/>
          <w:lang w:val="en-CA"/>
        </w:rPr>
        <w:t>StarHub</w:t>
      </w:r>
      <w:proofErr w:type="spellEnd"/>
      <w:r w:rsidRPr="00830F16">
        <w:rPr>
          <w:rFonts w:eastAsia="DengXian"/>
          <w:lang w:val="en-CA"/>
        </w:rPr>
        <w:t xml:space="preserve"> considered that </w:t>
      </w:r>
      <w:r w:rsidR="000B09AB" w:rsidRPr="00830F16">
        <w:rPr>
          <w:rFonts w:eastAsia="DengXian"/>
          <w:lang w:val="en-CA"/>
        </w:rPr>
        <w:t xml:space="preserve">automation </w:t>
      </w:r>
      <w:r w:rsidRPr="00830F16">
        <w:rPr>
          <w:rFonts w:eastAsia="DengXian"/>
          <w:lang w:val="en-CA"/>
        </w:rPr>
        <w:t xml:space="preserve">technology </w:t>
      </w:r>
      <w:r w:rsidR="000B09AB" w:rsidRPr="00830F16">
        <w:rPr>
          <w:rFonts w:eastAsia="DengXian"/>
          <w:lang w:val="en-CA"/>
        </w:rPr>
        <w:t xml:space="preserve">would help free up hotel staff from </w:t>
      </w:r>
      <w:r w:rsidRPr="00830F16">
        <w:rPr>
          <w:rFonts w:eastAsia="DengXian"/>
          <w:lang w:val="en-CA"/>
        </w:rPr>
        <w:t>simple</w:t>
      </w:r>
      <w:r w:rsidR="000B09AB" w:rsidRPr="00830F16">
        <w:rPr>
          <w:rFonts w:eastAsia="DengXian"/>
          <w:lang w:val="en-CA"/>
        </w:rPr>
        <w:t xml:space="preserve"> basic tasks and give them more time to focus on interacting with the guests.</w:t>
      </w:r>
      <w:r w:rsidR="000B09AB" w:rsidRPr="00830F16">
        <w:rPr>
          <w:rFonts w:eastAsia="DengXian"/>
          <w:vertAlign w:val="superscript"/>
          <w:lang w:val="en-CA"/>
        </w:rPr>
        <w:endnoteReference w:id="29"/>
      </w:r>
      <w:r w:rsidR="000B09AB" w:rsidRPr="00830F16">
        <w:rPr>
          <w:rFonts w:eastAsia="DengXian"/>
          <w:lang w:val="en-CA"/>
        </w:rPr>
        <w:t xml:space="preserve"> One robot could do the work of two to three people, and took </w:t>
      </w:r>
      <w:r w:rsidR="001F7582" w:rsidRPr="00830F16">
        <w:rPr>
          <w:rFonts w:eastAsia="DengXian"/>
          <w:lang w:val="en-CA"/>
        </w:rPr>
        <w:t xml:space="preserve">only </w:t>
      </w:r>
      <w:r w:rsidR="0014545D">
        <w:rPr>
          <w:rFonts w:eastAsia="DengXian"/>
          <w:lang w:val="en-CA"/>
        </w:rPr>
        <w:t>three</w:t>
      </w:r>
      <w:r w:rsidR="000B09AB" w:rsidRPr="00830F16">
        <w:rPr>
          <w:rFonts w:eastAsia="DengXian"/>
          <w:lang w:val="en-CA"/>
        </w:rPr>
        <w:t xml:space="preserve"> minutes to make </w:t>
      </w:r>
      <w:r w:rsidR="00EA163B" w:rsidRPr="00830F16">
        <w:rPr>
          <w:rFonts w:eastAsia="DengXian"/>
          <w:lang w:val="en-CA"/>
        </w:rPr>
        <w:t>a</w:t>
      </w:r>
      <w:r w:rsidR="000B09AB" w:rsidRPr="00830F16">
        <w:rPr>
          <w:rFonts w:eastAsia="DengXian"/>
          <w:lang w:val="en-CA"/>
        </w:rPr>
        <w:t xml:space="preserve"> </w:t>
      </w:r>
      <w:r w:rsidR="00550C52" w:rsidRPr="00830F16">
        <w:rPr>
          <w:rFonts w:eastAsia="DengXian"/>
          <w:lang w:val="en-CA"/>
        </w:rPr>
        <w:t xml:space="preserve">room </w:t>
      </w:r>
      <w:r w:rsidR="000B09AB" w:rsidRPr="00830F16">
        <w:rPr>
          <w:rFonts w:eastAsia="DengXian"/>
          <w:lang w:val="en-CA"/>
        </w:rPr>
        <w:t>delivery</w:t>
      </w:r>
      <w:r w:rsidR="0014545D">
        <w:rPr>
          <w:rFonts w:eastAsia="DengXian"/>
          <w:lang w:val="en-CA"/>
        </w:rPr>
        <w:t>, compared to five minutes of delivery by a human</w:t>
      </w:r>
      <w:r w:rsidR="000B09AB" w:rsidRPr="00830F16">
        <w:rPr>
          <w:rFonts w:eastAsia="DengXian"/>
          <w:lang w:val="en-CA"/>
        </w:rPr>
        <w:t>. With an array of available technology solutions</w:t>
      </w:r>
      <w:r w:rsidRPr="00830F16">
        <w:rPr>
          <w:rFonts w:eastAsia="DengXian"/>
          <w:lang w:val="en-CA"/>
        </w:rPr>
        <w:t xml:space="preserve"> </w:t>
      </w:r>
      <w:proofErr w:type="gramStart"/>
      <w:r w:rsidRPr="00830F16">
        <w:rPr>
          <w:rFonts w:eastAsia="DengXian"/>
          <w:lang w:val="en-CA"/>
        </w:rPr>
        <w:t>to rapidly meet</w:t>
      </w:r>
      <w:proofErr w:type="gramEnd"/>
      <w:r w:rsidRPr="00830F16">
        <w:rPr>
          <w:rFonts w:eastAsia="DengXian"/>
          <w:lang w:val="en-CA"/>
        </w:rPr>
        <w:t xml:space="preserve"> the demands of increasing visitors to Singapore</w:t>
      </w:r>
      <w:r w:rsidR="000B09AB" w:rsidRPr="00830F16">
        <w:rPr>
          <w:rFonts w:eastAsia="DengXian"/>
          <w:lang w:val="en-CA"/>
        </w:rPr>
        <w:t xml:space="preserve">, </w:t>
      </w:r>
      <w:proofErr w:type="spellStart"/>
      <w:r w:rsidR="000B09AB" w:rsidRPr="00830F16">
        <w:rPr>
          <w:rFonts w:eastAsia="DengXian"/>
          <w:lang w:val="en-CA"/>
        </w:rPr>
        <w:t>telcos</w:t>
      </w:r>
      <w:proofErr w:type="spellEnd"/>
      <w:r w:rsidR="000B09AB" w:rsidRPr="00830F16">
        <w:rPr>
          <w:rFonts w:eastAsia="DengXian"/>
          <w:lang w:val="en-CA"/>
        </w:rPr>
        <w:t xml:space="preserve"> such as </w:t>
      </w:r>
      <w:proofErr w:type="spellStart"/>
      <w:r w:rsidR="000B09AB" w:rsidRPr="00830F16">
        <w:rPr>
          <w:rFonts w:eastAsia="DengXian"/>
          <w:lang w:val="en-CA"/>
        </w:rPr>
        <w:t>StarHub</w:t>
      </w:r>
      <w:proofErr w:type="spellEnd"/>
      <w:r w:rsidR="000B09AB" w:rsidRPr="00830F16">
        <w:rPr>
          <w:rFonts w:eastAsia="DengXian"/>
          <w:lang w:val="en-CA"/>
        </w:rPr>
        <w:t xml:space="preserve"> would be well positioned to provide automation solutions to the hospitality industry to address the problem of productivity and</w:t>
      </w:r>
      <w:r w:rsidRPr="00830F16">
        <w:rPr>
          <w:rFonts w:eastAsia="DengXian"/>
          <w:lang w:val="en-CA"/>
        </w:rPr>
        <w:t xml:space="preserve"> the</w:t>
      </w:r>
      <w:r w:rsidR="000B09AB" w:rsidRPr="00830F16">
        <w:rPr>
          <w:rFonts w:eastAsia="DengXian"/>
          <w:lang w:val="en-CA"/>
        </w:rPr>
        <w:t xml:space="preserve"> </w:t>
      </w:r>
      <w:r w:rsidR="001F7582" w:rsidRPr="00830F16">
        <w:rPr>
          <w:rFonts w:eastAsia="DengXian"/>
          <w:lang w:val="en-CA"/>
        </w:rPr>
        <w:t xml:space="preserve">staffing </w:t>
      </w:r>
      <w:r w:rsidR="000B09AB" w:rsidRPr="00830F16">
        <w:rPr>
          <w:rFonts w:eastAsia="DengXian"/>
          <w:lang w:val="en-CA"/>
        </w:rPr>
        <w:t xml:space="preserve">crunch within </w:t>
      </w:r>
      <w:r w:rsidRPr="00830F16">
        <w:rPr>
          <w:rFonts w:eastAsia="DengXian"/>
          <w:lang w:val="en-CA"/>
        </w:rPr>
        <w:t>the sector</w:t>
      </w:r>
      <w:r w:rsidR="000B09AB" w:rsidRPr="00830F16">
        <w:rPr>
          <w:rFonts w:eastAsia="DengXian"/>
          <w:lang w:val="en-CA"/>
        </w:rPr>
        <w:t xml:space="preserve">. In October 2016, </w:t>
      </w:r>
      <w:proofErr w:type="spellStart"/>
      <w:r w:rsidR="000B09AB" w:rsidRPr="00830F16">
        <w:rPr>
          <w:rFonts w:eastAsia="DengXian"/>
          <w:lang w:val="en-CA"/>
        </w:rPr>
        <w:t>StarHub</w:t>
      </w:r>
      <w:proofErr w:type="spellEnd"/>
      <w:r w:rsidR="000B09AB" w:rsidRPr="00830F16">
        <w:rPr>
          <w:rFonts w:eastAsia="DengXian"/>
          <w:lang w:val="en-CA"/>
        </w:rPr>
        <w:t xml:space="preserve"> </w:t>
      </w:r>
      <w:proofErr w:type="gramStart"/>
      <w:r w:rsidR="000B09AB" w:rsidRPr="00830F16">
        <w:rPr>
          <w:rFonts w:eastAsia="DengXian"/>
          <w:lang w:val="en-CA"/>
        </w:rPr>
        <w:t>partnered</w:t>
      </w:r>
      <w:proofErr w:type="gramEnd"/>
      <w:r w:rsidR="000B09AB" w:rsidRPr="00830F16">
        <w:rPr>
          <w:rFonts w:eastAsia="DengXian"/>
          <w:lang w:val="en-CA"/>
        </w:rPr>
        <w:t xml:space="preserve"> with Republic Polytechnic and U</w:t>
      </w:r>
      <w:r w:rsidR="001F7582" w:rsidRPr="00830F16">
        <w:rPr>
          <w:rFonts w:eastAsia="DengXian"/>
          <w:lang w:val="en-CA"/>
        </w:rPr>
        <w:t>.</w:t>
      </w:r>
      <w:r w:rsidR="000B09AB" w:rsidRPr="00830F16">
        <w:rPr>
          <w:rFonts w:eastAsia="DengXian"/>
          <w:lang w:val="en-CA"/>
        </w:rPr>
        <w:t>S</w:t>
      </w:r>
      <w:r w:rsidR="001F7582" w:rsidRPr="00830F16">
        <w:rPr>
          <w:rFonts w:eastAsia="DengXian"/>
          <w:lang w:val="en-CA"/>
        </w:rPr>
        <w:t>.</w:t>
      </w:r>
      <w:r w:rsidR="000B09AB" w:rsidRPr="00830F16">
        <w:rPr>
          <w:rFonts w:eastAsia="DengXian"/>
          <w:lang w:val="en-CA"/>
        </w:rPr>
        <w:t xml:space="preserve">-based robotics firm </w:t>
      </w:r>
      <w:proofErr w:type="spellStart"/>
      <w:r w:rsidR="000B09AB" w:rsidRPr="00830F16">
        <w:rPr>
          <w:rFonts w:eastAsia="DengXian"/>
          <w:lang w:val="en-CA"/>
        </w:rPr>
        <w:t>Savioke</w:t>
      </w:r>
      <w:proofErr w:type="spellEnd"/>
      <w:r w:rsidR="001F7582" w:rsidRPr="00830F16">
        <w:rPr>
          <w:rFonts w:eastAsia="DengXian"/>
          <w:lang w:val="en-CA"/>
        </w:rPr>
        <w:t>,</w:t>
      </w:r>
      <w:r w:rsidR="000B09AB" w:rsidRPr="00830F16">
        <w:rPr>
          <w:rFonts w:eastAsia="DengXian"/>
          <w:lang w:val="en-CA"/>
        </w:rPr>
        <w:t xml:space="preserve"> Inc</w:t>
      </w:r>
      <w:r w:rsidRPr="00830F16">
        <w:rPr>
          <w:rFonts w:eastAsia="DengXian"/>
          <w:lang w:val="en-CA"/>
        </w:rPr>
        <w:t>.</w:t>
      </w:r>
      <w:r w:rsidR="000B09AB" w:rsidRPr="00830F16">
        <w:rPr>
          <w:rFonts w:eastAsia="DengXian"/>
          <w:lang w:val="en-CA"/>
        </w:rPr>
        <w:t xml:space="preserve"> to introduce an autonomous room-service delivery robot to enhance the operational efficiency of a local hotel</w:t>
      </w:r>
      <w:r w:rsidR="001F7582" w:rsidRPr="00830F16">
        <w:rPr>
          <w:rFonts w:eastAsia="DengXian"/>
          <w:lang w:val="en-CA"/>
        </w:rPr>
        <w:t>,</w:t>
      </w:r>
      <w:r w:rsidR="000B09AB" w:rsidRPr="00830F16">
        <w:rPr>
          <w:rFonts w:eastAsia="DengXian"/>
          <w:lang w:val="en-CA"/>
        </w:rPr>
        <w:t xml:space="preserve"> M Social Singapore</w:t>
      </w:r>
      <w:r w:rsidR="001F7582" w:rsidRPr="00830F16">
        <w:rPr>
          <w:rFonts w:eastAsia="DengXian"/>
          <w:lang w:val="en-CA"/>
        </w:rPr>
        <w:t>,</w:t>
      </w:r>
      <w:r w:rsidR="000B09AB" w:rsidRPr="00830F16">
        <w:rPr>
          <w:rFonts w:eastAsia="DengXian"/>
          <w:lang w:val="en-CA"/>
        </w:rPr>
        <w:t xml:space="preserve"> by automating the simple task of </w:t>
      </w:r>
      <w:r w:rsidR="001F7582" w:rsidRPr="00830F16">
        <w:rPr>
          <w:rFonts w:eastAsia="DengXian"/>
          <w:lang w:val="en-CA"/>
        </w:rPr>
        <w:t xml:space="preserve">delivering </w:t>
      </w:r>
      <w:r w:rsidR="000B09AB" w:rsidRPr="00830F16">
        <w:rPr>
          <w:rFonts w:eastAsia="DengXian"/>
          <w:lang w:val="en-CA"/>
        </w:rPr>
        <w:t>items to guest</w:t>
      </w:r>
      <w:r w:rsidRPr="00830F16">
        <w:rPr>
          <w:rFonts w:eastAsia="DengXian"/>
          <w:lang w:val="en-CA"/>
        </w:rPr>
        <w:t>s’</w:t>
      </w:r>
      <w:r w:rsidR="000B09AB" w:rsidRPr="00830F16">
        <w:rPr>
          <w:rFonts w:eastAsia="DengXian"/>
          <w:lang w:val="en-CA"/>
        </w:rPr>
        <w:t xml:space="preserve"> rooms upon request.</w:t>
      </w:r>
      <w:r w:rsidR="000B09AB" w:rsidRPr="00830F16">
        <w:rPr>
          <w:rFonts w:eastAsia="DengXian"/>
          <w:vertAlign w:val="superscript"/>
          <w:lang w:val="en-CA"/>
        </w:rPr>
        <w:endnoteReference w:id="30"/>
      </w:r>
      <w:r w:rsidR="000B09AB" w:rsidRPr="00830F16">
        <w:rPr>
          <w:rFonts w:eastAsia="DengXian"/>
          <w:lang w:val="en-CA"/>
        </w:rPr>
        <w:t xml:space="preserve"> </w:t>
      </w:r>
    </w:p>
    <w:p w14:paraId="5F06C61B" w14:textId="520CA383" w:rsidR="00843F97" w:rsidRPr="00830F16" w:rsidRDefault="000B09AB" w:rsidP="00D91823">
      <w:pPr>
        <w:pStyle w:val="BodyTextMain"/>
        <w:rPr>
          <w:rFonts w:eastAsia="DengXian"/>
          <w:lang w:val="en-CA"/>
        </w:rPr>
      </w:pPr>
      <w:r w:rsidRPr="00830F16">
        <w:rPr>
          <w:rFonts w:eastAsia="DengXian"/>
          <w:lang w:val="en-CA"/>
        </w:rPr>
        <w:t xml:space="preserve">Designing the robot for hotels was </w:t>
      </w:r>
      <w:r w:rsidR="00EA163B" w:rsidRPr="00830F16">
        <w:rPr>
          <w:rFonts w:eastAsia="DengXian"/>
          <w:lang w:val="en-CA"/>
        </w:rPr>
        <w:t>complicated</w:t>
      </w:r>
      <w:r w:rsidRPr="00830F16">
        <w:rPr>
          <w:rFonts w:eastAsia="DengXian"/>
          <w:lang w:val="en-CA"/>
        </w:rPr>
        <w:t xml:space="preserve">. By physically following the housekeeping staff to observe their work routines at the hotel, </w:t>
      </w:r>
      <w:r w:rsidR="001F7582" w:rsidRPr="00830F16">
        <w:rPr>
          <w:rFonts w:eastAsia="DengXian"/>
          <w:lang w:val="en-CA"/>
        </w:rPr>
        <w:t xml:space="preserve">the </w:t>
      </w:r>
      <w:proofErr w:type="spellStart"/>
      <w:r w:rsidRPr="00830F16">
        <w:rPr>
          <w:rFonts w:eastAsia="DengXian"/>
          <w:lang w:val="en-CA"/>
        </w:rPr>
        <w:t>EB</w:t>
      </w:r>
      <w:proofErr w:type="spellEnd"/>
      <w:r w:rsidRPr="00830F16">
        <w:rPr>
          <w:rFonts w:eastAsia="DengXian"/>
          <w:lang w:val="en-CA"/>
        </w:rPr>
        <w:t xml:space="preserve"> </w:t>
      </w:r>
      <w:r w:rsidR="001F7582" w:rsidRPr="00830F16">
        <w:rPr>
          <w:rFonts w:eastAsia="DengXian"/>
          <w:lang w:val="en-CA"/>
        </w:rPr>
        <w:t xml:space="preserve">unit </w:t>
      </w:r>
      <w:r w:rsidRPr="00830F16">
        <w:rPr>
          <w:rFonts w:eastAsia="DengXian"/>
          <w:lang w:val="en-CA"/>
        </w:rPr>
        <w:t xml:space="preserve">staff </w:t>
      </w:r>
      <w:r w:rsidR="00EA163B" w:rsidRPr="00830F16">
        <w:rPr>
          <w:rFonts w:eastAsia="DengXian"/>
          <w:lang w:val="en-CA"/>
        </w:rPr>
        <w:t>gained</w:t>
      </w:r>
      <w:r w:rsidRPr="00830F16">
        <w:rPr>
          <w:rFonts w:eastAsia="DengXian"/>
          <w:lang w:val="en-CA"/>
        </w:rPr>
        <w:t xml:space="preserve"> first-hand experience of housekeeping tasks</w:t>
      </w:r>
      <w:r w:rsidR="004C2E25" w:rsidRPr="00830F16">
        <w:rPr>
          <w:rFonts w:eastAsia="DengXian"/>
          <w:lang w:val="en-CA"/>
        </w:rPr>
        <w:sym w:font="Symbol" w:char="F0BE"/>
      </w:r>
      <w:r w:rsidRPr="00830F16">
        <w:rPr>
          <w:rFonts w:eastAsia="DengXian"/>
          <w:lang w:val="en-CA"/>
        </w:rPr>
        <w:t>refreshing hotel rooms, replenishing inventory</w:t>
      </w:r>
      <w:r w:rsidR="00EA163B" w:rsidRPr="00830F16">
        <w:rPr>
          <w:rFonts w:eastAsia="DengXian"/>
          <w:lang w:val="en-CA"/>
        </w:rPr>
        <w:t>,</w:t>
      </w:r>
      <w:r w:rsidRPr="00830F16">
        <w:rPr>
          <w:rFonts w:eastAsia="DengXian"/>
          <w:lang w:val="en-CA"/>
        </w:rPr>
        <w:t xml:space="preserve"> and responding to hotel guests’ requests in a timely </w:t>
      </w:r>
      <w:r w:rsidRPr="00830F16">
        <w:rPr>
          <w:rFonts w:eastAsia="DengXian"/>
          <w:lang w:val="en-CA"/>
        </w:rPr>
        <w:lastRenderedPageBreak/>
        <w:t>manner. A great deal of imagination was required to envisage the journey of such</w:t>
      </w:r>
      <w:r w:rsidR="00EA163B" w:rsidRPr="00830F16">
        <w:rPr>
          <w:rFonts w:eastAsia="DengXian"/>
          <w:lang w:val="en-CA"/>
        </w:rPr>
        <w:t xml:space="preserve"> a</w:t>
      </w:r>
      <w:r w:rsidRPr="00830F16">
        <w:rPr>
          <w:rFonts w:eastAsia="DengXian"/>
          <w:lang w:val="en-CA"/>
        </w:rPr>
        <w:t xml:space="preserve"> robot. These “service robots” would be very different from their predecessors</w:t>
      </w:r>
      <w:r w:rsidR="001F7582" w:rsidRPr="00830F16">
        <w:rPr>
          <w:rFonts w:eastAsia="DengXian"/>
          <w:lang w:val="en-CA"/>
        </w:rPr>
        <w:t>,</w:t>
      </w:r>
      <w:r w:rsidR="005D0660" w:rsidRPr="00830F16">
        <w:rPr>
          <w:rFonts w:eastAsia="DengXian"/>
          <w:lang w:val="en-CA"/>
        </w:rPr>
        <w:t xml:space="preserve"> </w:t>
      </w:r>
      <w:r w:rsidRPr="00830F16">
        <w:rPr>
          <w:rFonts w:eastAsia="DengXian"/>
          <w:lang w:val="en-CA"/>
        </w:rPr>
        <w:t xml:space="preserve">industrial robots </w:t>
      </w:r>
      <w:r w:rsidR="001F7582" w:rsidRPr="00830F16">
        <w:rPr>
          <w:rFonts w:eastAsia="DengXian"/>
          <w:lang w:val="en-CA"/>
        </w:rPr>
        <w:t xml:space="preserve">that </w:t>
      </w:r>
      <w:proofErr w:type="gramStart"/>
      <w:r w:rsidR="001F7582" w:rsidRPr="00830F16">
        <w:rPr>
          <w:rFonts w:eastAsia="DengXian"/>
          <w:lang w:val="en-CA"/>
        </w:rPr>
        <w:t xml:space="preserve">were </w:t>
      </w:r>
      <w:r w:rsidRPr="00830F16">
        <w:rPr>
          <w:rFonts w:eastAsia="DengXian"/>
          <w:lang w:val="en-CA"/>
        </w:rPr>
        <w:t>programmed</w:t>
      </w:r>
      <w:proofErr w:type="gramEnd"/>
      <w:r w:rsidRPr="00830F16">
        <w:rPr>
          <w:rFonts w:eastAsia="DengXian"/>
          <w:lang w:val="en-CA"/>
        </w:rPr>
        <w:t xml:space="preserve"> to perform tasks in a highly controlled factory environment with access granted only to staff </w:t>
      </w:r>
      <w:r w:rsidR="001F7582" w:rsidRPr="00830F16">
        <w:rPr>
          <w:rFonts w:eastAsia="DengXian"/>
          <w:lang w:val="en-CA"/>
        </w:rPr>
        <w:t xml:space="preserve">who had been </w:t>
      </w:r>
      <w:r w:rsidRPr="00830F16">
        <w:rPr>
          <w:rFonts w:eastAsia="DengXian"/>
          <w:lang w:val="en-CA"/>
        </w:rPr>
        <w:t xml:space="preserve">trained to handle </w:t>
      </w:r>
      <w:r w:rsidR="001F7582" w:rsidRPr="00830F16">
        <w:rPr>
          <w:rFonts w:eastAsia="DengXian"/>
          <w:lang w:val="en-CA"/>
        </w:rPr>
        <w:t xml:space="preserve">the </w:t>
      </w:r>
      <w:r w:rsidRPr="00830F16">
        <w:rPr>
          <w:rFonts w:eastAsia="DengXian"/>
          <w:lang w:val="en-CA"/>
        </w:rPr>
        <w:t>robots. Unlike industrial robots, service robots would need to be more sensitive</w:t>
      </w:r>
      <w:r w:rsidR="001F7582" w:rsidRPr="00830F16">
        <w:rPr>
          <w:rFonts w:eastAsia="DengXian"/>
          <w:lang w:val="en-CA"/>
        </w:rPr>
        <w:t>,</w:t>
      </w:r>
      <w:r w:rsidRPr="00830F16">
        <w:rPr>
          <w:rFonts w:eastAsia="DengXian"/>
          <w:lang w:val="en-CA"/>
        </w:rPr>
        <w:t xml:space="preserve"> as they handled </w:t>
      </w:r>
      <w:proofErr w:type="gramStart"/>
      <w:r w:rsidRPr="00830F16">
        <w:rPr>
          <w:rFonts w:eastAsia="DengXian"/>
          <w:lang w:val="en-CA"/>
        </w:rPr>
        <w:t>more complex tasks such as interacting with consumers</w:t>
      </w:r>
      <w:proofErr w:type="gramEnd"/>
      <w:r w:rsidRPr="00830F16">
        <w:rPr>
          <w:rFonts w:eastAsia="DengXian"/>
          <w:lang w:val="en-CA"/>
        </w:rPr>
        <w:t xml:space="preserve">. </w:t>
      </w:r>
    </w:p>
    <w:p w14:paraId="49DD2C6F" w14:textId="77777777" w:rsidR="00843F97" w:rsidRPr="00830F16" w:rsidRDefault="00843F97" w:rsidP="00D91823">
      <w:pPr>
        <w:pStyle w:val="BodyTextMain"/>
        <w:rPr>
          <w:rFonts w:eastAsia="DengXian"/>
          <w:lang w:val="en-CA"/>
        </w:rPr>
      </w:pPr>
    </w:p>
    <w:p w14:paraId="6930C9B3" w14:textId="6BD681B6" w:rsidR="000B09AB" w:rsidRPr="00830F16" w:rsidRDefault="000B09AB" w:rsidP="00843F97">
      <w:pPr>
        <w:pStyle w:val="BodyTextMain"/>
        <w:keepNext/>
        <w:rPr>
          <w:rFonts w:eastAsia="DengXian"/>
          <w:lang w:val="en-CA"/>
        </w:rPr>
      </w:pPr>
      <w:r w:rsidRPr="00830F16">
        <w:rPr>
          <w:rFonts w:eastAsia="DengXian"/>
          <w:lang w:val="en-CA"/>
        </w:rPr>
        <w:t xml:space="preserve">Sim described the considerations that went into </w:t>
      </w:r>
      <w:proofErr w:type="spellStart"/>
      <w:r w:rsidR="00687A85" w:rsidRPr="00830F16">
        <w:rPr>
          <w:rFonts w:eastAsia="DengXian"/>
          <w:lang w:val="en-CA"/>
        </w:rPr>
        <w:t>StarHub’s</w:t>
      </w:r>
      <w:proofErr w:type="spellEnd"/>
      <w:r w:rsidRPr="00830F16">
        <w:rPr>
          <w:rFonts w:eastAsia="DengXian"/>
          <w:lang w:val="en-CA"/>
        </w:rPr>
        <w:t xml:space="preserve"> design of service robots:</w:t>
      </w:r>
    </w:p>
    <w:p w14:paraId="0FB6CCB2" w14:textId="77777777" w:rsidR="000B09AB" w:rsidRPr="00830F16" w:rsidRDefault="000B09AB" w:rsidP="00843F97">
      <w:pPr>
        <w:pStyle w:val="BodyTextMain"/>
        <w:keepNext/>
        <w:rPr>
          <w:rFonts w:eastAsia="DengXian"/>
          <w:lang w:val="en-CA"/>
        </w:rPr>
      </w:pPr>
    </w:p>
    <w:p w14:paraId="72D77505" w14:textId="61E435C8" w:rsidR="000B09AB" w:rsidRPr="00830F16" w:rsidRDefault="000B09AB" w:rsidP="00843F97">
      <w:pPr>
        <w:pStyle w:val="BodyTextMain"/>
        <w:keepNext/>
        <w:ind w:left="720"/>
        <w:rPr>
          <w:rFonts w:eastAsia="DengXian"/>
          <w:lang w:val="en-CA"/>
        </w:rPr>
      </w:pPr>
      <w:proofErr w:type="gramStart"/>
      <w:r w:rsidRPr="00830F16">
        <w:rPr>
          <w:rFonts w:eastAsia="DengXian"/>
          <w:lang w:val="en-CA"/>
        </w:rPr>
        <w:t>It’s</w:t>
      </w:r>
      <w:proofErr w:type="gramEnd"/>
      <w:r w:rsidRPr="00830F16">
        <w:rPr>
          <w:rFonts w:eastAsia="DengXian"/>
          <w:lang w:val="en-CA"/>
        </w:rPr>
        <w:t xml:space="preserve"> a seemingly simple journey, but there is a lot of thinking through. The robot has no hands, how does </w:t>
      </w:r>
      <w:r w:rsidR="00687A85" w:rsidRPr="00830F16">
        <w:rPr>
          <w:rFonts w:eastAsia="DengXian"/>
          <w:lang w:val="en-CA"/>
        </w:rPr>
        <w:t>it</w:t>
      </w:r>
      <w:r w:rsidRPr="00830F16">
        <w:rPr>
          <w:rFonts w:eastAsia="DengXian"/>
          <w:lang w:val="en-CA"/>
        </w:rPr>
        <w:t xml:space="preserve"> press the lift? How does </w:t>
      </w:r>
      <w:r w:rsidR="00687A85" w:rsidRPr="00830F16">
        <w:rPr>
          <w:rFonts w:eastAsia="DengXian"/>
          <w:lang w:val="en-CA"/>
        </w:rPr>
        <w:t>it</w:t>
      </w:r>
      <w:r w:rsidRPr="00830F16">
        <w:rPr>
          <w:rFonts w:eastAsia="DengXian"/>
          <w:lang w:val="en-CA"/>
        </w:rPr>
        <w:t xml:space="preserve"> know which floor to exit? </w:t>
      </w:r>
      <w:proofErr w:type="gramStart"/>
      <w:r w:rsidRPr="00830F16">
        <w:rPr>
          <w:rFonts w:eastAsia="DengXian"/>
          <w:lang w:val="en-CA"/>
        </w:rPr>
        <w:t>And</w:t>
      </w:r>
      <w:proofErr w:type="gramEnd"/>
      <w:r w:rsidRPr="00830F16">
        <w:rPr>
          <w:rFonts w:eastAsia="DengXian"/>
          <w:lang w:val="en-CA"/>
        </w:rPr>
        <w:t xml:space="preserve"> can the robot coexist in the lift with humans? </w:t>
      </w:r>
      <w:proofErr w:type="gramStart"/>
      <w:r w:rsidRPr="00830F16">
        <w:rPr>
          <w:rFonts w:eastAsia="DengXian"/>
          <w:lang w:val="en-CA"/>
        </w:rPr>
        <w:t>Also</w:t>
      </w:r>
      <w:proofErr w:type="gramEnd"/>
      <w:r w:rsidRPr="00830F16">
        <w:rPr>
          <w:rFonts w:eastAsia="DengXian"/>
          <w:lang w:val="en-CA"/>
        </w:rPr>
        <w:t xml:space="preserve"> whether the hotel is suitable—the robot cannot take stairs. All these are considerations that our people actually have to discover by going down and walking the floor.</w:t>
      </w:r>
    </w:p>
    <w:p w14:paraId="4EB12F09" w14:textId="77777777" w:rsidR="000B09AB" w:rsidRPr="00830F16" w:rsidRDefault="000B09AB" w:rsidP="00D91823">
      <w:pPr>
        <w:pStyle w:val="BodyTextMain"/>
        <w:rPr>
          <w:rFonts w:eastAsia="DengXian"/>
          <w:lang w:val="en-CA"/>
        </w:rPr>
      </w:pPr>
    </w:p>
    <w:p w14:paraId="7E664D99" w14:textId="5741E2BC" w:rsidR="000B09AB" w:rsidRPr="00830F16" w:rsidRDefault="000B09AB" w:rsidP="00D91823">
      <w:pPr>
        <w:pStyle w:val="BodyTextMain"/>
        <w:rPr>
          <w:rFonts w:eastAsia="DengXian"/>
          <w:lang w:val="en-CA"/>
        </w:rPr>
      </w:pPr>
      <w:r w:rsidRPr="00830F16">
        <w:rPr>
          <w:rFonts w:eastAsia="DengXian"/>
          <w:lang w:val="en-CA"/>
        </w:rPr>
        <w:t xml:space="preserve">To address the complexity issues, robotics solutions </w:t>
      </w:r>
      <w:r w:rsidR="001F7582" w:rsidRPr="00830F16">
        <w:rPr>
          <w:rFonts w:eastAsia="DengXian"/>
          <w:lang w:val="en-CA"/>
        </w:rPr>
        <w:t xml:space="preserve">needed </w:t>
      </w:r>
      <w:r w:rsidRPr="00830F16">
        <w:rPr>
          <w:rFonts w:eastAsia="DengXian"/>
          <w:lang w:val="en-CA"/>
        </w:rPr>
        <w:t xml:space="preserve">to </w:t>
      </w:r>
      <w:proofErr w:type="gramStart"/>
      <w:r w:rsidRPr="00830F16">
        <w:rPr>
          <w:rFonts w:eastAsia="DengXian"/>
          <w:lang w:val="en-CA"/>
        </w:rPr>
        <w:t>be integrated</w:t>
      </w:r>
      <w:proofErr w:type="gramEnd"/>
      <w:r w:rsidRPr="00830F16">
        <w:rPr>
          <w:rFonts w:eastAsia="DengXian"/>
          <w:lang w:val="en-CA"/>
        </w:rPr>
        <w:t xml:space="preserve"> with the hotel’s existing technology infrastructure</w:t>
      </w:r>
      <w:r w:rsidR="00DC4BFF" w:rsidRPr="00830F16">
        <w:rPr>
          <w:rFonts w:eastAsia="DengXian"/>
          <w:lang w:val="en-CA"/>
        </w:rPr>
        <w:sym w:font="Symbol" w:char="F0BE"/>
      </w:r>
      <w:r w:rsidRPr="00830F16">
        <w:rPr>
          <w:rFonts w:eastAsia="DengXian"/>
          <w:lang w:val="en-CA"/>
        </w:rPr>
        <w:t xml:space="preserve">such as </w:t>
      </w:r>
      <w:r w:rsidR="00550C52" w:rsidRPr="00830F16">
        <w:rPr>
          <w:rFonts w:eastAsia="DengXian"/>
          <w:lang w:val="en-CA"/>
        </w:rPr>
        <w:t>elevator</w:t>
      </w:r>
      <w:r w:rsidRPr="00830F16">
        <w:rPr>
          <w:rFonts w:eastAsia="DengXian"/>
          <w:lang w:val="en-CA"/>
        </w:rPr>
        <w:t xml:space="preserve"> control</w:t>
      </w:r>
      <w:r w:rsidR="00550C52" w:rsidRPr="00830F16">
        <w:rPr>
          <w:rFonts w:eastAsia="DengXian"/>
          <w:lang w:val="en-CA"/>
        </w:rPr>
        <w:t>s</w:t>
      </w:r>
      <w:r w:rsidRPr="00830F16">
        <w:rPr>
          <w:rFonts w:eastAsia="DengXian"/>
          <w:lang w:val="en-CA"/>
        </w:rPr>
        <w:t xml:space="preserve"> and phone communication systems</w:t>
      </w:r>
      <w:r w:rsidR="00DC4BFF" w:rsidRPr="00830F16">
        <w:rPr>
          <w:rFonts w:eastAsia="DengXian"/>
          <w:lang w:val="en-CA"/>
        </w:rPr>
        <w:sym w:font="Symbol" w:char="F0BE"/>
      </w:r>
      <w:r w:rsidRPr="00830F16">
        <w:rPr>
          <w:rFonts w:eastAsia="DengXian"/>
          <w:lang w:val="en-CA"/>
        </w:rPr>
        <w:t xml:space="preserve">to coordinate </w:t>
      </w:r>
      <w:r w:rsidR="00550C52" w:rsidRPr="00830F16">
        <w:rPr>
          <w:rFonts w:eastAsia="DengXian"/>
          <w:lang w:val="en-CA"/>
        </w:rPr>
        <w:t xml:space="preserve">the </w:t>
      </w:r>
      <w:r w:rsidRPr="00830F16">
        <w:rPr>
          <w:rFonts w:eastAsia="DengXian"/>
          <w:lang w:val="en-CA"/>
        </w:rPr>
        <w:t xml:space="preserve">smooth mobility and functioning of </w:t>
      </w:r>
      <w:r w:rsidR="00550C52" w:rsidRPr="00830F16">
        <w:rPr>
          <w:rFonts w:eastAsia="DengXian"/>
          <w:lang w:val="en-CA"/>
        </w:rPr>
        <w:t xml:space="preserve">the </w:t>
      </w:r>
      <w:r w:rsidRPr="00830F16">
        <w:rPr>
          <w:rFonts w:eastAsia="DengXian"/>
          <w:lang w:val="en-CA"/>
        </w:rPr>
        <w:t xml:space="preserve">autonomous room-service delivery robots. This </w:t>
      </w:r>
      <w:r w:rsidR="001F7582" w:rsidRPr="00830F16">
        <w:rPr>
          <w:rFonts w:eastAsia="DengXian"/>
          <w:lang w:val="en-CA"/>
        </w:rPr>
        <w:t xml:space="preserve">integration </w:t>
      </w:r>
      <w:r w:rsidR="00687A85" w:rsidRPr="00830F16">
        <w:rPr>
          <w:rFonts w:eastAsia="DengXian"/>
          <w:lang w:val="en-CA"/>
        </w:rPr>
        <w:t xml:space="preserve">would </w:t>
      </w:r>
      <w:r w:rsidR="001F7582" w:rsidRPr="00830F16">
        <w:rPr>
          <w:rFonts w:eastAsia="DengXian"/>
          <w:lang w:val="en-CA"/>
        </w:rPr>
        <w:t xml:space="preserve">enable </w:t>
      </w:r>
      <w:r w:rsidRPr="00830F16">
        <w:rPr>
          <w:rFonts w:eastAsia="DengXian"/>
          <w:lang w:val="en-CA"/>
        </w:rPr>
        <w:t>the robot</w:t>
      </w:r>
      <w:r w:rsidR="00550C52" w:rsidRPr="00830F16">
        <w:rPr>
          <w:rFonts w:eastAsia="DengXian"/>
          <w:lang w:val="en-CA"/>
        </w:rPr>
        <w:t>s</w:t>
      </w:r>
      <w:r w:rsidRPr="00830F16">
        <w:rPr>
          <w:rFonts w:eastAsia="DengXian"/>
          <w:lang w:val="en-CA"/>
        </w:rPr>
        <w:t xml:space="preserve"> to ride existing rather than </w:t>
      </w:r>
      <w:proofErr w:type="gramStart"/>
      <w:r w:rsidR="00536A54" w:rsidRPr="00830F16">
        <w:rPr>
          <w:rFonts w:eastAsia="DengXian"/>
          <w:lang w:val="en-CA"/>
        </w:rPr>
        <w:t>specially-</w:t>
      </w:r>
      <w:r w:rsidRPr="00830F16">
        <w:rPr>
          <w:rFonts w:eastAsia="DengXian"/>
          <w:lang w:val="en-CA"/>
        </w:rPr>
        <w:t>designed</w:t>
      </w:r>
      <w:proofErr w:type="gramEnd"/>
      <w:r w:rsidRPr="00830F16">
        <w:rPr>
          <w:rFonts w:eastAsia="DengXian"/>
          <w:lang w:val="en-CA"/>
        </w:rPr>
        <w:t xml:space="preserve"> elevators with hotel guests, navigate to the guests’ rooms and</w:t>
      </w:r>
      <w:r w:rsidR="00550C52" w:rsidRPr="00830F16">
        <w:rPr>
          <w:rFonts w:eastAsia="DengXian"/>
          <w:lang w:val="en-CA"/>
        </w:rPr>
        <w:t>,</w:t>
      </w:r>
      <w:r w:rsidRPr="00830F16">
        <w:rPr>
          <w:rFonts w:eastAsia="DengXian"/>
          <w:lang w:val="en-CA"/>
        </w:rPr>
        <w:t xml:space="preserve"> </w:t>
      </w:r>
      <w:r w:rsidR="00DC4BFF" w:rsidRPr="00830F16">
        <w:rPr>
          <w:rFonts w:eastAsia="DengXian"/>
          <w:lang w:val="en-CA"/>
        </w:rPr>
        <w:t xml:space="preserve">upon arrival, </w:t>
      </w:r>
      <w:r w:rsidRPr="00830F16">
        <w:rPr>
          <w:rFonts w:eastAsia="DengXian"/>
          <w:lang w:val="en-CA"/>
        </w:rPr>
        <w:t>notify the guests</w:t>
      </w:r>
      <w:r w:rsidR="00DC4BFF" w:rsidRPr="00830F16">
        <w:rPr>
          <w:rFonts w:eastAsia="DengXian"/>
          <w:lang w:val="en-CA"/>
        </w:rPr>
        <w:t xml:space="preserve"> to open their doors</w:t>
      </w:r>
      <w:r w:rsidRPr="00830F16">
        <w:rPr>
          <w:rFonts w:eastAsia="DengXian"/>
          <w:lang w:val="en-CA"/>
        </w:rPr>
        <w:t>.</w:t>
      </w:r>
    </w:p>
    <w:p w14:paraId="0449A214" w14:textId="77777777" w:rsidR="000B09AB" w:rsidRPr="00830F16" w:rsidRDefault="000B09AB" w:rsidP="00D91823">
      <w:pPr>
        <w:pStyle w:val="BodyTextMain"/>
        <w:rPr>
          <w:rFonts w:eastAsia="DengXian"/>
          <w:lang w:val="en-CA"/>
        </w:rPr>
      </w:pPr>
    </w:p>
    <w:p w14:paraId="77AD51A4" w14:textId="77777777" w:rsidR="008B7918" w:rsidRPr="00830F16" w:rsidRDefault="008B7918" w:rsidP="00D91823">
      <w:pPr>
        <w:pStyle w:val="BodyTextMain"/>
        <w:rPr>
          <w:rFonts w:eastAsia="DengXian"/>
          <w:lang w:val="en-CA"/>
        </w:rPr>
      </w:pPr>
    </w:p>
    <w:p w14:paraId="17DB8E2B" w14:textId="77777777" w:rsidR="000B09AB" w:rsidRPr="00830F16" w:rsidRDefault="000B09AB" w:rsidP="00D91823">
      <w:pPr>
        <w:pStyle w:val="Casehead1"/>
        <w:rPr>
          <w:rFonts w:eastAsia="DengXian"/>
          <w:szCs w:val="24"/>
          <w:lang w:val="en-CA"/>
        </w:rPr>
      </w:pPr>
      <w:r w:rsidRPr="00830F16">
        <w:rPr>
          <w:rFonts w:eastAsia="DengXian"/>
          <w:lang w:val="en-CA"/>
        </w:rPr>
        <w:t>THE ROAD AHEAD</w:t>
      </w:r>
    </w:p>
    <w:p w14:paraId="5CE9C43D" w14:textId="77777777" w:rsidR="000B09AB" w:rsidRPr="00830F16" w:rsidRDefault="000B09AB" w:rsidP="00D91823">
      <w:pPr>
        <w:pStyle w:val="BodyTextMain"/>
        <w:rPr>
          <w:rFonts w:eastAsia="DengXian"/>
          <w:lang w:val="en-CA"/>
        </w:rPr>
      </w:pPr>
    </w:p>
    <w:p w14:paraId="0F1A2FFB" w14:textId="412E0AF7" w:rsidR="000B09AB" w:rsidRPr="00830F16" w:rsidRDefault="000B09AB" w:rsidP="00D91823">
      <w:pPr>
        <w:pStyle w:val="BodyTextMain"/>
        <w:rPr>
          <w:rFonts w:eastAsia="DengXian"/>
          <w:lang w:val="en-CA"/>
        </w:rPr>
      </w:pPr>
      <w:proofErr w:type="spellStart"/>
      <w:r w:rsidRPr="00830F16">
        <w:rPr>
          <w:rFonts w:eastAsia="DengXian"/>
          <w:lang w:val="en-CA"/>
        </w:rPr>
        <w:t>StarHub</w:t>
      </w:r>
      <w:proofErr w:type="spellEnd"/>
      <w:r w:rsidRPr="00830F16">
        <w:rPr>
          <w:rFonts w:eastAsia="DengXian"/>
          <w:lang w:val="en-CA"/>
        </w:rPr>
        <w:t xml:space="preserve"> hoped to create greater value by venturing into a range of solution offerings. Witnessing the positive responses of the </w:t>
      </w:r>
      <w:proofErr w:type="spellStart"/>
      <w:r w:rsidRPr="00830F16">
        <w:rPr>
          <w:rFonts w:eastAsia="DengXian"/>
          <w:lang w:val="en-CA"/>
        </w:rPr>
        <w:t>F&amp;B</w:t>
      </w:r>
      <w:proofErr w:type="spellEnd"/>
      <w:r w:rsidRPr="00830F16">
        <w:rPr>
          <w:rFonts w:eastAsia="DengXian"/>
          <w:lang w:val="en-CA"/>
        </w:rPr>
        <w:t xml:space="preserve"> and hotel operators to their smart retail and robotic solutions, management was upbeat about the potential of these two industry sectors as future growth engines for the company. </w:t>
      </w:r>
      <w:r w:rsidR="00416C09" w:rsidRPr="00830F16">
        <w:rPr>
          <w:rFonts w:eastAsia="DengXian"/>
          <w:lang w:val="en-CA"/>
        </w:rPr>
        <w:t>Because</w:t>
      </w:r>
      <w:r w:rsidRPr="00830F16">
        <w:rPr>
          <w:rFonts w:eastAsia="DengXian"/>
          <w:lang w:val="en-CA"/>
        </w:rPr>
        <w:t xml:space="preserve"> scaling of new operations would require extensive staff training and capability development, </w:t>
      </w:r>
      <w:r w:rsidR="0056333A" w:rsidRPr="00830F16">
        <w:rPr>
          <w:rFonts w:eastAsia="DengXian"/>
          <w:lang w:val="en-CA"/>
        </w:rPr>
        <w:t>and would involve a</w:t>
      </w:r>
      <w:r w:rsidRPr="00830F16">
        <w:rPr>
          <w:rFonts w:eastAsia="DengXian"/>
          <w:lang w:val="en-CA"/>
        </w:rPr>
        <w:t xml:space="preserve"> steep learning curve </w:t>
      </w:r>
      <w:r w:rsidR="0056333A" w:rsidRPr="00830F16">
        <w:rPr>
          <w:rFonts w:eastAsia="DengXian"/>
          <w:lang w:val="en-CA"/>
        </w:rPr>
        <w:t>to</w:t>
      </w:r>
      <w:r w:rsidRPr="00830F16">
        <w:rPr>
          <w:rFonts w:eastAsia="DengXian"/>
          <w:lang w:val="en-CA"/>
        </w:rPr>
        <w:t xml:space="preserve"> gain industry experience,</w:t>
      </w:r>
      <w:r w:rsidR="00687A85" w:rsidRPr="00830F16">
        <w:rPr>
          <w:rFonts w:eastAsia="DengXian"/>
          <w:lang w:val="en-CA"/>
        </w:rPr>
        <w:t xml:space="preserve"> </w:t>
      </w:r>
      <w:proofErr w:type="spellStart"/>
      <w:r w:rsidRPr="00830F16">
        <w:rPr>
          <w:rFonts w:eastAsia="DengXian"/>
          <w:lang w:val="en-CA"/>
        </w:rPr>
        <w:t>StarHub</w:t>
      </w:r>
      <w:proofErr w:type="spellEnd"/>
      <w:r w:rsidRPr="00830F16">
        <w:rPr>
          <w:rFonts w:eastAsia="DengXian"/>
          <w:lang w:val="en-CA"/>
        </w:rPr>
        <w:t xml:space="preserve"> </w:t>
      </w:r>
      <w:r w:rsidR="0056333A" w:rsidRPr="00830F16">
        <w:rPr>
          <w:rFonts w:eastAsia="DengXian"/>
          <w:lang w:val="en-CA"/>
        </w:rPr>
        <w:t xml:space="preserve">needed </w:t>
      </w:r>
      <w:r w:rsidRPr="00830F16">
        <w:rPr>
          <w:rFonts w:eastAsia="DengXian"/>
          <w:lang w:val="en-CA"/>
        </w:rPr>
        <w:t>to prioritize</w:t>
      </w:r>
      <w:r w:rsidR="00C452E8" w:rsidRPr="00830F16">
        <w:rPr>
          <w:rFonts w:eastAsia="DengXian"/>
          <w:lang w:val="en-CA"/>
        </w:rPr>
        <w:t xml:space="preserve"> </w:t>
      </w:r>
      <w:r w:rsidR="0056333A" w:rsidRPr="00830F16">
        <w:rPr>
          <w:rFonts w:eastAsia="DengXian"/>
          <w:lang w:val="en-CA"/>
        </w:rPr>
        <w:t xml:space="preserve">its efforts. On </w:t>
      </w:r>
      <w:r w:rsidR="00687A85" w:rsidRPr="00830F16">
        <w:rPr>
          <w:rFonts w:eastAsia="DengXian"/>
          <w:lang w:val="en-CA"/>
        </w:rPr>
        <w:t>w</w:t>
      </w:r>
      <w:r w:rsidRPr="00830F16">
        <w:rPr>
          <w:rFonts w:eastAsia="DengXian"/>
          <w:lang w:val="en-CA"/>
        </w:rPr>
        <w:t xml:space="preserve">hich of the two industry sectors should </w:t>
      </w:r>
      <w:proofErr w:type="spellStart"/>
      <w:r w:rsidRPr="00830F16">
        <w:rPr>
          <w:rFonts w:eastAsia="DengXian"/>
          <w:lang w:val="en-CA"/>
        </w:rPr>
        <w:t>StarHub</w:t>
      </w:r>
      <w:proofErr w:type="spellEnd"/>
      <w:r w:rsidRPr="00830F16">
        <w:rPr>
          <w:rFonts w:eastAsia="DengXian"/>
          <w:lang w:val="en-CA"/>
        </w:rPr>
        <w:t xml:space="preserve"> focus? </w:t>
      </w:r>
    </w:p>
    <w:p w14:paraId="7AAF5F29" w14:textId="77777777" w:rsidR="000B09AB" w:rsidRPr="00830F16" w:rsidRDefault="000B09AB" w:rsidP="00D91823">
      <w:pPr>
        <w:pStyle w:val="BodyTextMain"/>
        <w:rPr>
          <w:rFonts w:eastAsia="DengXian"/>
          <w:lang w:val="en-CA"/>
        </w:rPr>
      </w:pPr>
    </w:p>
    <w:p w14:paraId="34E2A3D4" w14:textId="5A39471E" w:rsidR="000B09AB" w:rsidRPr="00830F16" w:rsidRDefault="000B09AB" w:rsidP="00D91823">
      <w:pPr>
        <w:pStyle w:val="BodyTextMain"/>
        <w:rPr>
          <w:rFonts w:eastAsia="DengXian"/>
          <w:lang w:val="en-CA"/>
        </w:rPr>
      </w:pPr>
      <w:r w:rsidRPr="00830F16">
        <w:rPr>
          <w:rFonts w:eastAsia="DengXian"/>
          <w:lang w:val="en-CA"/>
        </w:rPr>
        <w:t xml:space="preserve">In Singapore, the </w:t>
      </w:r>
      <w:proofErr w:type="spellStart"/>
      <w:r w:rsidRPr="00830F16">
        <w:rPr>
          <w:rFonts w:eastAsia="DengXian"/>
          <w:lang w:val="en-CA"/>
        </w:rPr>
        <w:t>F&amp;B</w:t>
      </w:r>
      <w:proofErr w:type="spellEnd"/>
      <w:r w:rsidRPr="00830F16">
        <w:rPr>
          <w:rFonts w:eastAsia="DengXian"/>
          <w:lang w:val="en-CA"/>
        </w:rPr>
        <w:t xml:space="preserve"> industry had more than </w:t>
      </w:r>
      <w:r w:rsidR="00535DF6" w:rsidRPr="00830F16">
        <w:rPr>
          <w:rFonts w:eastAsia="DengXian"/>
          <w:lang w:val="en-CA"/>
        </w:rPr>
        <w:t xml:space="preserve">doubled the number </w:t>
      </w:r>
      <w:r w:rsidRPr="00830F16">
        <w:rPr>
          <w:rFonts w:eastAsia="DengXian"/>
          <w:lang w:val="en-CA"/>
        </w:rPr>
        <w:t xml:space="preserve">of </w:t>
      </w:r>
      <w:r w:rsidR="00535DF6" w:rsidRPr="00830F16">
        <w:rPr>
          <w:rFonts w:eastAsia="DengXian"/>
          <w:lang w:val="en-CA"/>
        </w:rPr>
        <w:t xml:space="preserve">its </w:t>
      </w:r>
      <w:r w:rsidRPr="00830F16">
        <w:rPr>
          <w:rFonts w:eastAsia="DengXian"/>
          <w:lang w:val="en-CA"/>
        </w:rPr>
        <w:t>establishments</w:t>
      </w:r>
      <w:r w:rsidR="00535DF6" w:rsidRPr="00830F16">
        <w:rPr>
          <w:rFonts w:eastAsia="DengXian"/>
          <w:lang w:val="en-CA"/>
        </w:rPr>
        <w:t>,</w:t>
      </w:r>
      <w:r w:rsidRPr="00830F16">
        <w:rPr>
          <w:rFonts w:eastAsia="DengXian"/>
          <w:lang w:val="en-CA"/>
        </w:rPr>
        <w:t xml:space="preserve"> from 3,356 in 2000 to 7,260 in 2015, contributing </w:t>
      </w:r>
      <w:r w:rsidR="0056333A" w:rsidRPr="00830F16">
        <w:rPr>
          <w:rFonts w:eastAsia="DengXian"/>
          <w:lang w:val="en-CA"/>
        </w:rPr>
        <w:t xml:space="preserve">more than </w:t>
      </w:r>
      <w:r w:rsidRPr="00830F16">
        <w:rPr>
          <w:rFonts w:eastAsia="DengXian"/>
          <w:lang w:val="en-CA"/>
        </w:rPr>
        <w:t>$3 billion in value-added and 0.8 per</w:t>
      </w:r>
      <w:r w:rsidR="008537D4" w:rsidRPr="00830F16">
        <w:rPr>
          <w:rFonts w:eastAsia="DengXian"/>
          <w:lang w:val="en-CA"/>
        </w:rPr>
        <w:t xml:space="preserve"> </w:t>
      </w:r>
      <w:r w:rsidRPr="00830F16">
        <w:rPr>
          <w:rFonts w:eastAsia="DengXian"/>
          <w:lang w:val="en-CA"/>
        </w:rPr>
        <w:t>cent of the nation’s gross domes</w:t>
      </w:r>
      <w:r w:rsidR="008537D4" w:rsidRPr="00830F16">
        <w:rPr>
          <w:rFonts w:eastAsia="DengXian"/>
          <w:lang w:val="en-CA"/>
        </w:rPr>
        <w:t>t</w:t>
      </w:r>
      <w:r w:rsidRPr="00830F16">
        <w:rPr>
          <w:rFonts w:eastAsia="DengXian"/>
          <w:lang w:val="en-CA"/>
        </w:rPr>
        <w:t>ic product.</w:t>
      </w:r>
      <w:r w:rsidRPr="00830F16">
        <w:rPr>
          <w:rFonts w:eastAsia="DengXian"/>
          <w:vertAlign w:val="superscript"/>
          <w:lang w:val="en-CA"/>
        </w:rPr>
        <w:endnoteReference w:id="31"/>
      </w:r>
      <w:r w:rsidRPr="00830F16">
        <w:rPr>
          <w:rFonts w:eastAsia="DengXian"/>
          <w:lang w:val="en-CA"/>
        </w:rPr>
        <w:t xml:space="preserve"> The growing population of </w:t>
      </w:r>
      <w:proofErr w:type="spellStart"/>
      <w:r w:rsidRPr="00830F16">
        <w:rPr>
          <w:rFonts w:eastAsia="DengXian"/>
          <w:lang w:val="en-CA"/>
        </w:rPr>
        <w:t>F&amp;B</w:t>
      </w:r>
      <w:proofErr w:type="spellEnd"/>
      <w:r w:rsidRPr="00830F16">
        <w:rPr>
          <w:rFonts w:eastAsia="DengXian"/>
          <w:lang w:val="en-CA"/>
        </w:rPr>
        <w:t xml:space="preserve"> operators </w:t>
      </w:r>
      <w:r w:rsidR="0056333A" w:rsidRPr="00830F16">
        <w:rPr>
          <w:rFonts w:eastAsia="DengXian"/>
          <w:lang w:val="en-CA"/>
        </w:rPr>
        <w:t>appeared to be</w:t>
      </w:r>
      <w:r w:rsidRPr="00830F16">
        <w:rPr>
          <w:rFonts w:eastAsia="DengXian"/>
          <w:lang w:val="en-CA"/>
        </w:rPr>
        <w:t xml:space="preserve"> a booming market for </w:t>
      </w:r>
      <w:proofErr w:type="spellStart"/>
      <w:r w:rsidRPr="00830F16">
        <w:rPr>
          <w:rFonts w:eastAsia="DengXian"/>
          <w:lang w:val="en-CA"/>
        </w:rPr>
        <w:t>StarHub’s</w:t>
      </w:r>
      <w:proofErr w:type="spellEnd"/>
      <w:r w:rsidRPr="00830F16">
        <w:rPr>
          <w:rFonts w:eastAsia="DengXian"/>
          <w:lang w:val="en-CA"/>
        </w:rPr>
        <w:t xml:space="preserve"> </w:t>
      </w:r>
      <w:r w:rsidR="00C452E8" w:rsidRPr="00830F16">
        <w:rPr>
          <w:rFonts w:eastAsia="DengXian"/>
          <w:lang w:val="en-CA"/>
        </w:rPr>
        <w:t>S</w:t>
      </w:r>
      <w:r w:rsidRPr="00830F16">
        <w:rPr>
          <w:rFonts w:eastAsia="DengXian"/>
          <w:lang w:val="en-CA"/>
        </w:rPr>
        <w:t xml:space="preserve">mart </w:t>
      </w:r>
      <w:r w:rsidR="00C452E8" w:rsidRPr="00830F16">
        <w:rPr>
          <w:rFonts w:eastAsia="DengXian"/>
          <w:lang w:val="en-CA"/>
        </w:rPr>
        <w:t>R</w:t>
      </w:r>
      <w:r w:rsidRPr="00830F16">
        <w:rPr>
          <w:rFonts w:eastAsia="DengXian"/>
          <w:lang w:val="en-CA"/>
        </w:rPr>
        <w:t xml:space="preserve">etail solutions, but the intense competition and long payback period on initial capital invested posed challenges for the establishments to stay afloat. On average, a typical </w:t>
      </w:r>
      <w:proofErr w:type="spellStart"/>
      <w:r w:rsidRPr="00830F16">
        <w:rPr>
          <w:rFonts w:eastAsia="DengXian"/>
          <w:lang w:val="en-CA"/>
        </w:rPr>
        <w:t>F&amp;B</w:t>
      </w:r>
      <w:proofErr w:type="spellEnd"/>
      <w:r w:rsidRPr="00830F16">
        <w:rPr>
          <w:rFonts w:eastAsia="DengXian"/>
          <w:lang w:val="en-CA"/>
        </w:rPr>
        <w:t xml:space="preserve"> establishment operated at </w:t>
      </w:r>
      <w:r w:rsidR="008537D4" w:rsidRPr="00830F16">
        <w:rPr>
          <w:rFonts w:eastAsia="DengXian"/>
          <w:lang w:val="en-CA"/>
        </w:rPr>
        <w:t xml:space="preserve">an </w:t>
      </w:r>
      <w:r w:rsidRPr="00830F16">
        <w:rPr>
          <w:rFonts w:eastAsia="DengXian"/>
          <w:lang w:val="en-CA"/>
        </w:rPr>
        <w:t xml:space="preserve">annual loss of </w:t>
      </w:r>
      <w:r w:rsidR="0056333A" w:rsidRPr="00830F16">
        <w:rPr>
          <w:rFonts w:eastAsia="DengXian"/>
          <w:lang w:val="en-CA"/>
        </w:rPr>
        <w:t xml:space="preserve">8 </w:t>
      </w:r>
      <w:r w:rsidRPr="00830F16">
        <w:rPr>
          <w:rFonts w:eastAsia="DengXian"/>
          <w:lang w:val="en-CA"/>
        </w:rPr>
        <w:t>per</w:t>
      </w:r>
      <w:r w:rsidR="008537D4" w:rsidRPr="00830F16">
        <w:rPr>
          <w:rFonts w:eastAsia="DengXian"/>
          <w:lang w:val="en-CA"/>
        </w:rPr>
        <w:t xml:space="preserve"> </w:t>
      </w:r>
      <w:r w:rsidRPr="00830F16">
        <w:rPr>
          <w:rFonts w:eastAsia="DengXian"/>
          <w:lang w:val="en-CA"/>
        </w:rPr>
        <w:t>cent with a payback period of two and a half years. These challenges had led to an exceptionally high annual churn rate of between 20 and 30 per</w:t>
      </w:r>
      <w:r w:rsidR="005D0660" w:rsidRPr="00830F16">
        <w:rPr>
          <w:rFonts w:eastAsia="DengXian"/>
          <w:lang w:val="en-CA"/>
        </w:rPr>
        <w:t xml:space="preserve"> </w:t>
      </w:r>
      <w:r w:rsidRPr="00830F16">
        <w:rPr>
          <w:rFonts w:eastAsia="DengXian"/>
          <w:lang w:val="en-CA"/>
        </w:rPr>
        <w:t xml:space="preserve">cent since the late 1990s. Rising staff salaries and space rentals further plagued the establishments. The Smart Retail Solutions initiative </w:t>
      </w:r>
      <w:proofErr w:type="spellStart"/>
      <w:r w:rsidR="008537D4" w:rsidRPr="00830F16">
        <w:rPr>
          <w:rFonts w:eastAsia="DengXian"/>
          <w:lang w:val="en-CA"/>
        </w:rPr>
        <w:t>StarHub</w:t>
      </w:r>
      <w:proofErr w:type="spellEnd"/>
      <w:r w:rsidRPr="00830F16">
        <w:rPr>
          <w:rFonts w:eastAsia="DengXian"/>
          <w:lang w:val="en-CA"/>
        </w:rPr>
        <w:t xml:space="preserve"> launched as part of the SMEs Go Digital Program to digitize 1,000 SMEs from retail and </w:t>
      </w:r>
      <w:proofErr w:type="spellStart"/>
      <w:r w:rsidRPr="00830F16">
        <w:rPr>
          <w:rFonts w:eastAsia="DengXian"/>
          <w:lang w:val="en-CA"/>
        </w:rPr>
        <w:t>F&amp;B</w:t>
      </w:r>
      <w:proofErr w:type="spellEnd"/>
      <w:r w:rsidRPr="00830F16">
        <w:rPr>
          <w:rFonts w:eastAsia="DengXian"/>
          <w:lang w:val="en-CA"/>
        </w:rPr>
        <w:t xml:space="preserve"> seemed promising</w:t>
      </w:r>
      <w:r w:rsidR="003424BF" w:rsidRPr="00830F16">
        <w:rPr>
          <w:rFonts w:eastAsia="DengXian"/>
          <w:lang w:val="en-CA"/>
        </w:rPr>
        <w:t>. It</w:t>
      </w:r>
      <w:r w:rsidRPr="00830F16">
        <w:rPr>
          <w:rFonts w:eastAsia="DengXian"/>
          <w:lang w:val="en-CA"/>
        </w:rPr>
        <w:t xml:space="preserve"> would transform the industry and enable the </w:t>
      </w:r>
      <w:proofErr w:type="spellStart"/>
      <w:r w:rsidRPr="00830F16">
        <w:rPr>
          <w:rFonts w:eastAsia="DengXian"/>
          <w:lang w:val="en-CA"/>
        </w:rPr>
        <w:t>F&amp;B</w:t>
      </w:r>
      <w:proofErr w:type="spellEnd"/>
      <w:r w:rsidRPr="00830F16">
        <w:rPr>
          <w:rFonts w:eastAsia="DengXian"/>
          <w:lang w:val="en-CA"/>
        </w:rPr>
        <w:t xml:space="preserve"> operators to increase their competitiveness</w:t>
      </w:r>
      <w:r w:rsidR="003424BF" w:rsidRPr="00830F16">
        <w:rPr>
          <w:rFonts w:eastAsia="DengXian"/>
          <w:lang w:val="en-CA"/>
        </w:rPr>
        <w:t xml:space="preserve"> but </w:t>
      </w:r>
      <w:proofErr w:type="spellStart"/>
      <w:r w:rsidRPr="00830F16">
        <w:rPr>
          <w:rFonts w:eastAsia="DengXian"/>
          <w:lang w:val="en-CA"/>
        </w:rPr>
        <w:t>StarHub</w:t>
      </w:r>
      <w:proofErr w:type="spellEnd"/>
      <w:r w:rsidRPr="00830F16">
        <w:rPr>
          <w:rFonts w:eastAsia="DengXian"/>
          <w:lang w:val="en-CA"/>
        </w:rPr>
        <w:t xml:space="preserve"> would need to make significant investments to develop its staff and build facilities to reach out </w:t>
      </w:r>
      <w:r w:rsidR="008537D4" w:rsidRPr="00830F16">
        <w:rPr>
          <w:rFonts w:eastAsia="DengXian"/>
          <w:lang w:val="en-CA"/>
        </w:rPr>
        <w:t xml:space="preserve">to </w:t>
      </w:r>
      <w:r w:rsidRPr="00830F16">
        <w:rPr>
          <w:rFonts w:eastAsia="DengXian"/>
          <w:lang w:val="en-CA"/>
        </w:rPr>
        <w:t xml:space="preserve">the </w:t>
      </w:r>
      <w:proofErr w:type="spellStart"/>
      <w:r w:rsidRPr="00830F16">
        <w:rPr>
          <w:rFonts w:eastAsia="DengXian"/>
          <w:lang w:val="en-CA"/>
        </w:rPr>
        <w:t>F&amp;B</w:t>
      </w:r>
      <w:proofErr w:type="spellEnd"/>
      <w:r w:rsidRPr="00830F16">
        <w:rPr>
          <w:rFonts w:eastAsia="DengXian"/>
          <w:lang w:val="en-CA"/>
        </w:rPr>
        <w:t xml:space="preserve"> operators, </w:t>
      </w:r>
      <w:r w:rsidR="008537D4" w:rsidRPr="00830F16">
        <w:rPr>
          <w:rFonts w:eastAsia="DengXian"/>
          <w:lang w:val="en-CA"/>
        </w:rPr>
        <w:t xml:space="preserve">and </w:t>
      </w:r>
      <w:r w:rsidRPr="00830F16">
        <w:rPr>
          <w:rFonts w:eastAsia="DengXian"/>
          <w:lang w:val="en-CA"/>
        </w:rPr>
        <w:t>to provide them with awareness training and re-training in an industry with</w:t>
      </w:r>
      <w:r w:rsidR="008537D4" w:rsidRPr="00830F16">
        <w:rPr>
          <w:rFonts w:eastAsia="DengXian"/>
          <w:lang w:val="en-CA"/>
        </w:rPr>
        <w:t xml:space="preserve"> a</w:t>
      </w:r>
      <w:r w:rsidRPr="00830F16">
        <w:rPr>
          <w:rFonts w:eastAsia="DengXian"/>
          <w:lang w:val="en-CA"/>
        </w:rPr>
        <w:t xml:space="preserve"> high churn rate. </w:t>
      </w:r>
    </w:p>
    <w:p w14:paraId="75B3C046" w14:textId="77777777" w:rsidR="000B09AB" w:rsidRPr="00830F16" w:rsidRDefault="000B09AB" w:rsidP="00D91823">
      <w:pPr>
        <w:pStyle w:val="BodyTextMain"/>
        <w:rPr>
          <w:rFonts w:eastAsia="DengXian"/>
          <w:lang w:val="en-CA"/>
        </w:rPr>
      </w:pPr>
    </w:p>
    <w:p w14:paraId="0BE4297B" w14:textId="23572617" w:rsidR="000B09AB" w:rsidRPr="00830F16" w:rsidRDefault="000B09AB" w:rsidP="00D91823">
      <w:pPr>
        <w:pStyle w:val="BodyTextMain"/>
        <w:rPr>
          <w:rFonts w:eastAsia="DengXian"/>
          <w:lang w:val="en-CA"/>
        </w:rPr>
      </w:pPr>
      <w:r w:rsidRPr="00830F16">
        <w:rPr>
          <w:rFonts w:eastAsia="DengXian"/>
          <w:lang w:val="en-CA"/>
        </w:rPr>
        <w:t>With regard to the hospitality industry, the recent growth results were interesting. In 2016, the supply of hotel rooms surged to 63,850 across 413 hotels, a 4.8 per</w:t>
      </w:r>
      <w:r w:rsidR="005D0660" w:rsidRPr="00830F16">
        <w:rPr>
          <w:rFonts w:eastAsia="DengXian"/>
          <w:lang w:val="en-CA"/>
        </w:rPr>
        <w:t xml:space="preserve"> </w:t>
      </w:r>
      <w:r w:rsidRPr="00830F16">
        <w:rPr>
          <w:rFonts w:eastAsia="DengXian"/>
          <w:lang w:val="en-CA"/>
        </w:rPr>
        <w:t xml:space="preserve">cent increase compared </w:t>
      </w:r>
      <w:r w:rsidR="0056333A" w:rsidRPr="00830F16">
        <w:rPr>
          <w:rFonts w:eastAsia="DengXian"/>
          <w:lang w:val="en-CA"/>
        </w:rPr>
        <w:t xml:space="preserve">with </w:t>
      </w:r>
      <w:r w:rsidRPr="00830F16">
        <w:rPr>
          <w:rFonts w:eastAsia="DengXian"/>
          <w:lang w:val="en-CA"/>
        </w:rPr>
        <w:t>the previous year. International visitor arrivals and tourism receipts grew at 7.7 per</w:t>
      </w:r>
      <w:r w:rsidR="005D0660" w:rsidRPr="00830F16">
        <w:rPr>
          <w:rFonts w:eastAsia="DengXian"/>
          <w:lang w:val="en-CA"/>
        </w:rPr>
        <w:t xml:space="preserve"> </w:t>
      </w:r>
      <w:r w:rsidRPr="00830F16">
        <w:rPr>
          <w:rFonts w:eastAsia="DengXian"/>
          <w:lang w:val="en-CA"/>
        </w:rPr>
        <w:t>cent and 13.9 per</w:t>
      </w:r>
      <w:r w:rsidR="005D0660" w:rsidRPr="00830F16">
        <w:rPr>
          <w:rFonts w:eastAsia="DengXian"/>
          <w:lang w:val="en-CA"/>
        </w:rPr>
        <w:t xml:space="preserve"> </w:t>
      </w:r>
      <w:r w:rsidRPr="00830F16">
        <w:rPr>
          <w:rFonts w:eastAsia="DengXian"/>
          <w:lang w:val="en-CA"/>
        </w:rPr>
        <w:t xml:space="preserve">cent from 2015 to </w:t>
      </w:r>
      <w:r w:rsidR="004F396A" w:rsidRPr="00830F16">
        <w:rPr>
          <w:rFonts w:eastAsia="DengXian"/>
          <w:lang w:val="en-CA"/>
        </w:rPr>
        <w:t xml:space="preserve">2016, to </w:t>
      </w:r>
      <w:r w:rsidRPr="00830F16">
        <w:rPr>
          <w:rFonts w:eastAsia="DengXian"/>
          <w:lang w:val="en-CA"/>
        </w:rPr>
        <w:t xml:space="preserve">16.4 million and $24.8 billion, respectively. Of the tourism receipts, about </w:t>
      </w:r>
      <w:r w:rsidR="0056333A" w:rsidRPr="00830F16">
        <w:rPr>
          <w:rFonts w:eastAsia="DengXian"/>
          <w:lang w:val="en-CA"/>
        </w:rPr>
        <w:t>one-</w:t>
      </w:r>
      <w:r w:rsidRPr="00830F16">
        <w:rPr>
          <w:rFonts w:eastAsia="DengXian"/>
          <w:lang w:val="en-CA"/>
        </w:rPr>
        <w:t>quarter</w:t>
      </w:r>
      <w:r w:rsidRPr="00830F16">
        <w:rPr>
          <w:rFonts w:eastAsia="DengXian"/>
          <w:lang w:val="en-CA"/>
        </w:rPr>
        <w:sym w:font="Symbol" w:char="F0BE"/>
      </w:r>
      <w:r w:rsidRPr="00830F16">
        <w:rPr>
          <w:rFonts w:eastAsia="DengXian"/>
          <w:lang w:val="en-CA"/>
        </w:rPr>
        <w:t>$4.4 billion</w:t>
      </w:r>
      <w:r w:rsidRPr="00830F16">
        <w:rPr>
          <w:rFonts w:eastAsia="DengXian"/>
          <w:lang w:val="en-CA"/>
        </w:rPr>
        <w:sym w:font="Symbol" w:char="F0BE"/>
      </w:r>
      <w:proofErr w:type="gramStart"/>
      <w:r w:rsidRPr="00830F16">
        <w:rPr>
          <w:rFonts w:eastAsia="DengXian"/>
          <w:lang w:val="en-CA"/>
        </w:rPr>
        <w:t>was spent</w:t>
      </w:r>
      <w:proofErr w:type="gramEnd"/>
      <w:r w:rsidRPr="00830F16">
        <w:rPr>
          <w:rFonts w:eastAsia="DengXian"/>
          <w:lang w:val="en-CA"/>
        </w:rPr>
        <w:t xml:space="preserve"> on accommodation. However, despite the increase in tourist arrivals and tourism receipts, hotel</w:t>
      </w:r>
      <w:r w:rsidR="00E4019D" w:rsidRPr="00830F16">
        <w:rPr>
          <w:rFonts w:eastAsia="DengXian"/>
          <w:lang w:val="en-CA"/>
        </w:rPr>
        <w:t>-</w:t>
      </w:r>
      <w:r w:rsidRPr="00830F16">
        <w:rPr>
          <w:rFonts w:eastAsia="DengXian"/>
          <w:lang w:val="en-CA"/>
        </w:rPr>
        <w:t>room revenue had declined by 1.7 per</w:t>
      </w:r>
      <w:r w:rsidR="005D0660" w:rsidRPr="00830F16">
        <w:rPr>
          <w:rFonts w:eastAsia="DengXian"/>
          <w:lang w:val="en-CA"/>
        </w:rPr>
        <w:t xml:space="preserve"> </w:t>
      </w:r>
      <w:r w:rsidRPr="00830F16">
        <w:rPr>
          <w:rFonts w:eastAsia="DengXian"/>
          <w:lang w:val="en-CA"/>
        </w:rPr>
        <w:t>cent from $1.58</w:t>
      </w:r>
      <w:r w:rsidR="00E4019D" w:rsidRPr="00830F16">
        <w:rPr>
          <w:rFonts w:eastAsia="DengXian"/>
          <w:lang w:val="en-CA"/>
        </w:rPr>
        <w:t xml:space="preserve"> billion</w:t>
      </w:r>
      <w:r w:rsidRPr="00830F16">
        <w:rPr>
          <w:rFonts w:eastAsia="DengXian"/>
          <w:lang w:val="en-CA"/>
        </w:rPr>
        <w:t xml:space="preserve"> in the first half of 2016 to </w:t>
      </w:r>
      <w:r w:rsidRPr="00830F16">
        <w:rPr>
          <w:rFonts w:eastAsia="DengXian"/>
          <w:lang w:val="en-CA"/>
        </w:rPr>
        <w:lastRenderedPageBreak/>
        <w:t>$1.55 billion in the first half of 2017. Hotels actually sold 0.6 per</w:t>
      </w:r>
      <w:r w:rsidR="005D0660" w:rsidRPr="00830F16">
        <w:rPr>
          <w:rFonts w:eastAsia="DengXian"/>
          <w:lang w:val="en-CA"/>
        </w:rPr>
        <w:t xml:space="preserve"> </w:t>
      </w:r>
      <w:r w:rsidRPr="00830F16">
        <w:rPr>
          <w:rFonts w:eastAsia="DengXian"/>
          <w:lang w:val="en-CA"/>
        </w:rPr>
        <w:t xml:space="preserve">cent </w:t>
      </w:r>
      <w:r w:rsidR="005D0660" w:rsidRPr="00830F16">
        <w:rPr>
          <w:rFonts w:eastAsia="DengXian"/>
          <w:lang w:val="en-CA"/>
        </w:rPr>
        <w:t>fewer</w:t>
      </w:r>
      <w:r w:rsidRPr="00830F16">
        <w:rPr>
          <w:rFonts w:eastAsia="DengXian"/>
          <w:lang w:val="en-CA"/>
        </w:rPr>
        <w:t xml:space="preserve"> room nights in the first half of 2017 compared </w:t>
      </w:r>
      <w:r w:rsidR="0056333A" w:rsidRPr="00830F16">
        <w:rPr>
          <w:rFonts w:eastAsia="DengXian"/>
          <w:lang w:val="en-CA"/>
        </w:rPr>
        <w:t xml:space="preserve">with </w:t>
      </w:r>
      <w:r w:rsidRPr="00830F16">
        <w:rPr>
          <w:rFonts w:eastAsia="DengXian"/>
          <w:lang w:val="en-CA"/>
        </w:rPr>
        <w:t xml:space="preserve">the same period in 2016. </w:t>
      </w:r>
      <w:r w:rsidR="004F396A" w:rsidRPr="00830F16">
        <w:rPr>
          <w:rFonts w:eastAsia="DengXian"/>
          <w:lang w:val="en-CA"/>
        </w:rPr>
        <w:t>From 2016</w:t>
      </w:r>
      <w:r w:rsidR="00C0094A" w:rsidRPr="00830F16">
        <w:rPr>
          <w:rFonts w:eastAsia="DengXian"/>
          <w:lang w:val="en-CA"/>
        </w:rPr>
        <w:t xml:space="preserve"> to 2017</w:t>
      </w:r>
      <w:r w:rsidR="004F396A" w:rsidRPr="00830F16">
        <w:rPr>
          <w:rFonts w:eastAsia="DengXian"/>
          <w:lang w:val="en-CA"/>
        </w:rPr>
        <w:t>, t</w:t>
      </w:r>
      <w:r w:rsidRPr="00830F16">
        <w:rPr>
          <w:rFonts w:eastAsia="DengXian"/>
          <w:lang w:val="en-CA"/>
        </w:rPr>
        <w:t xml:space="preserve">he revenue per available room fell nearly </w:t>
      </w:r>
      <w:r w:rsidR="0056333A" w:rsidRPr="00830F16">
        <w:rPr>
          <w:rFonts w:eastAsia="DengXian"/>
          <w:lang w:val="en-CA"/>
        </w:rPr>
        <w:t xml:space="preserve">5 </w:t>
      </w:r>
      <w:r w:rsidRPr="00830F16">
        <w:rPr>
          <w:rFonts w:eastAsia="DengXian"/>
          <w:lang w:val="en-CA"/>
        </w:rPr>
        <w:t>per</w:t>
      </w:r>
      <w:r w:rsidR="005D0660" w:rsidRPr="00830F16">
        <w:rPr>
          <w:rFonts w:eastAsia="DengXian"/>
          <w:lang w:val="en-CA"/>
        </w:rPr>
        <w:t xml:space="preserve"> </w:t>
      </w:r>
      <w:r w:rsidRPr="00830F16">
        <w:rPr>
          <w:rFonts w:eastAsia="DengXian"/>
          <w:lang w:val="en-CA"/>
        </w:rPr>
        <w:t>cent to $199, and the average occupancy rate dropped</w:t>
      </w:r>
      <w:r w:rsidR="005D0660" w:rsidRPr="00830F16">
        <w:rPr>
          <w:rFonts w:eastAsia="DengXian"/>
          <w:lang w:val="en-CA"/>
        </w:rPr>
        <w:t xml:space="preserve"> by 0.9 per cent</w:t>
      </w:r>
      <w:r w:rsidRPr="00830F16">
        <w:rPr>
          <w:rFonts w:eastAsia="DengXian"/>
          <w:lang w:val="en-CA"/>
        </w:rPr>
        <w:t xml:space="preserve"> to 84.2 per</w:t>
      </w:r>
      <w:r w:rsidR="005D0660" w:rsidRPr="00830F16">
        <w:rPr>
          <w:rFonts w:eastAsia="DengXian"/>
          <w:lang w:val="en-CA"/>
        </w:rPr>
        <w:t xml:space="preserve"> </w:t>
      </w:r>
      <w:r w:rsidRPr="00830F16">
        <w:rPr>
          <w:rFonts w:eastAsia="DengXian"/>
          <w:lang w:val="en-CA"/>
        </w:rPr>
        <w:t>cent.</w:t>
      </w:r>
      <w:r w:rsidRPr="00830F16">
        <w:rPr>
          <w:rFonts w:eastAsia="DengXian"/>
          <w:vertAlign w:val="superscript"/>
          <w:lang w:val="en-CA"/>
        </w:rPr>
        <w:endnoteReference w:id="32"/>
      </w:r>
      <w:r w:rsidRPr="00830F16">
        <w:rPr>
          <w:rFonts w:eastAsia="DengXian"/>
          <w:lang w:val="en-CA"/>
        </w:rPr>
        <w:t xml:space="preserve"> Some market analysts attributed the decline to </w:t>
      </w:r>
      <w:r w:rsidR="0056333A" w:rsidRPr="00830F16">
        <w:rPr>
          <w:rFonts w:eastAsia="DengXian"/>
          <w:lang w:val="en-CA"/>
        </w:rPr>
        <w:t xml:space="preserve">an </w:t>
      </w:r>
      <w:r w:rsidRPr="00830F16">
        <w:rPr>
          <w:rFonts w:eastAsia="DengXian"/>
          <w:lang w:val="en-CA"/>
        </w:rPr>
        <w:t xml:space="preserve">oversupply </w:t>
      </w:r>
      <w:r w:rsidR="0056333A" w:rsidRPr="00830F16">
        <w:rPr>
          <w:rFonts w:eastAsia="DengXian"/>
          <w:lang w:val="en-CA"/>
        </w:rPr>
        <w:t xml:space="preserve">of </w:t>
      </w:r>
      <w:r w:rsidRPr="00830F16">
        <w:rPr>
          <w:rFonts w:eastAsia="DengXian"/>
          <w:lang w:val="en-CA"/>
        </w:rPr>
        <w:t>hotel rooms</w:t>
      </w:r>
      <w:r w:rsidR="00AF600D" w:rsidRPr="00830F16">
        <w:rPr>
          <w:rFonts w:eastAsia="DengXian"/>
          <w:lang w:val="en-CA"/>
        </w:rPr>
        <w:t>,</w:t>
      </w:r>
      <w:r w:rsidRPr="00830F16">
        <w:rPr>
          <w:rFonts w:eastAsia="DengXian"/>
          <w:lang w:val="en-CA"/>
        </w:rPr>
        <w:t xml:space="preserve"> </w:t>
      </w:r>
      <w:r w:rsidR="0056333A" w:rsidRPr="00830F16">
        <w:rPr>
          <w:rFonts w:eastAsia="DengXian"/>
          <w:lang w:val="en-CA"/>
        </w:rPr>
        <w:t xml:space="preserve">which </w:t>
      </w:r>
      <w:proofErr w:type="gramStart"/>
      <w:r w:rsidR="0056333A" w:rsidRPr="00830F16">
        <w:rPr>
          <w:rFonts w:eastAsia="DengXian"/>
          <w:lang w:val="en-CA"/>
        </w:rPr>
        <w:t xml:space="preserve">was </w:t>
      </w:r>
      <w:r w:rsidRPr="00830F16">
        <w:rPr>
          <w:rFonts w:eastAsia="DengXian"/>
          <w:lang w:val="en-CA"/>
        </w:rPr>
        <w:t>softened</w:t>
      </w:r>
      <w:proofErr w:type="gramEnd"/>
      <w:r w:rsidRPr="00830F16">
        <w:rPr>
          <w:rFonts w:eastAsia="DengXian"/>
          <w:lang w:val="en-CA"/>
        </w:rPr>
        <w:t xml:space="preserve"> by the increased tourist arrivals. As the growth in the number of hotel rooms </w:t>
      </w:r>
      <w:proofErr w:type="gramStart"/>
      <w:r w:rsidRPr="00830F16">
        <w:rPr>
          <w:rFonts w:eastAsia="DengXian"/>
          <w:lang w:val="en-CA"/>
        </w:rPr>
        <w:t>was expected</w:t>
      </w:r>
      <w:proofErr w:type="gramEnd"/>
      <w:r w:rsidRPr="00830F16">
        <w:rPr>
          <w:rFonts w:eastAsia="DengXian"/>
          <w:lang w:val="en-CA"/>
        </w:rPr>
        <w:t xml:space="preserve"> to exceed the growth in </w:t>
      </w:r>
      <w:r w:rsidR="005D0660" w:rsidRPr="00830F16">
        <w:rPr>
          <w:rFonts w:eastAsia="DengXian"/>
          <w:lang w:val="en-CA"/>
        </w:rPr>
        <w:t>the</w:t>
      </w:r>
      <w:r w:rsidR="00E4019D" w:rsidRPr="00830F16">
        <w:rPr>
          <w:rFonts w:eastAsia="DengXian"/>
          <w:lang w:val="en-CA"/>
        </w:rPr>
        <w:t xml:space="preserve"> hotel</w:t>
      </w:r>
      <w:r w:rsidR="005D0660" w:rsidRPr="00830F16">
        <w:rPr>
          <w:rFonts w:eastAsia="DengXian"/>
          <w:lang w:val="en-CA"/>
        </w:rPr>
        <w:t xml:space="preserve"> </w:t>
      </w:r>
      <w:r w:rsidRPr="00830F16">
        <w:rPr>
          <w:rFonts w:eastAsia="DengXian"/>
          <w:lang w:val="en-CA"/>
        </w:rPr>
        <w:t>workforce, the hospitality industry would be pressured to adopt a labo</w:t>
      </w:r>
      <w:r w:rsidR="00E4019D" w:rsidRPr="00830F16">
        <w:rPr>
          <w:rFonts w:eastAsia="DengXian"/>
          <w:lang w:val="en-CA"/>
        </w:rPr>
        <w:t>u</w:t>
      </w:r>
      <w:r w:rsidRPr="00830F16">
        <w:rPr>
          <w:rFonts w:eastAsia="DengXian"/>
          <w:lang w:val="en-CA"/>
        </w:rPr>
        <w:t xml:space="preserve">r-light business model by automating </w:t>
      </w:r>
      <w:r w:rsidR="0056333A" w:rsidRPr="00830F16">
        <w:rPr>
          <w:rFonts w:eastAsia="DengXian"/>
          <w:lang w:val="en-CA"/>
        </w:rPr>
        <w:t xml:space="preserve">its </w:t>
      </w:r>
      <w:r w:rsidRPr="00830F16">
        <w:rPr>
          <w:rFonts w:eastAsia="DengXian"/>
          <w:lang w:val="en-CA"/>
        </w:rPr>
        <w:t xml:space="preserve">operations. With its initial success in piloting robotic solutions with </w:t>
      </w:r>
      <w:r w:rsidR="00287E2A" w:rsidRPr="00830F16">
        <w:rPr>
          <w:rFonts w:eastAsia="DengXian"/>
          <w:lang w:val="en-CA"/>
        </w:rPr>
        <w:t>a</w:t>
      </w:r>
      <w:r w:rsidRPr="00830F16">
        <w:rPr>
          <w:rFonts w:eastAsia="DengXian"/>
          <w:lang w:val="en-CA"/>
        </w:rPr>
        <w:t xml:space="preserve"> local hotel, </w:t>
      </w:r>
      <w:proofErr w:type="spellStart"/>
      <w:r w:rsidRPr="00830F16">
        <w:rPr>
          <w:rFonts w:eastAsia="DengXian"/>
          <w:lang w:val="en-CA"/>
        </w:rPr>
        <w:t>StarHub</w:t>
      </w:r>
      <w:proofErr w:type="spellEnd"/>
      <w:r w:rsidRPr="00830F16">
        <w:rPr>
          <w:rFonts w:eastAsia="DengXian"/>
          <w:lang w:val="en-CA"/>
        </w:rPr>
        <w:t xml:space="preserve"> </w:t>
      </w:r>
      <w:proofErr w:type="gramStart"/>
      <w:r w:rsidRPr="00830F16">
        <w:rPr>
          <w:rFonts w:eastAsia="DengXian"/>
          <w:lang w:val="en-CA"/>
        </w:rPr>
        <w:t>would be well positioned</w:t>
      </w:r>
      <w:proofErr w:type="gramEnd"/>
      <w:r w:rsidRPr="00830F16">
        <w:rPr>
          <w:rFonts w:eastAsia="DengXian"/>
          <w:lang w:val="en-CA"/>
        </w:rPr>
        <w:t xml:space="preserve"> to use its expertise to reach out to other hotels. However, scaling these automation solutions to more hotels would require time and resources</w:t>
      </w:r>
      <w:r w:rsidR="00A85EEE" w:rsidRPr="00830F16">
        <w:rPr>
          <w:rFonts w:eastAsia="DengXian"/>
          <w:lang w:val="en-CA"/>
        </w:rPr>
        <w:t>,</w:t>
      </w:r>
      <w:r w:rsidRPr="00830F16">
        <w:rPr>
          <w:rFonts w:eastAsia="DengXian"/>
          <w:lang w:val="en-CA"/>
        </w:rPr>
        <w:t xml:space="preserve"> not only in building internal capability but also </w:t>
      </w:r>
      <w:r w:rsidR="00A85EEE" w:rsidRPr="00830F16">
        <w:rPr>
          <w:rFonts w:eastAsia="DengXian"/>
          <w:lang w:val="en-CA"/>
        </w:rPr>
        <w:t xml:space="preserve">in </w:t>
      </w:r>
      <w:r w:rsidRPr="00830F16">
        <w:rPr>
          <w:rFonts w:eastAsia="DengXian"/>
          <w:lang w:val="en-CA"/>
        </w:rPr>
        <w:t>developing and customizing complex and intelligent service robots to cater to hotels with vastly different operational routines</w:t>
      </w:r>
      <w:r w:rsidR="00E44BA2" w:rsidRPr="00830F16">
        <w:rPr>
          <w:rFonts w:eastAsia="DengXian"/>
          <w:lang w:val="en-CA"/>
        </w:rPr>
        <w:t>, building styles,</w:t>
      </w:r>
      <w:r w:rsidRPr="00830F16">
        <w:rPr>
          <w:rFonts w:eastAsia="DengXian"/>
          <w:lang w:val="en-CA"/>
        </w:rPr>
        <w:t xml:space="preserve"> and floor layout</w:t>
      </w:r>
      <w:r w:rsidR="005D0660" w:rsidRPr="00830F16">
        <w:rPr>
          <w:rFonts w:eastAsia="DengXian"/>
          <w:lang w:val="en-CA"/>
        </w:rPr>
        <w:t>s</w:t>
      </w:r>
      <w:r w:rsidRPr="00830F16">
        <w:rPr>
          <w:rFonts w:eastAsia="DengXian"/>
          <w:lang w:val="en-CA"/>
        </w:rPr>
        <w:t xml:space="preserve">. </w:t>
      </w:r>
    </w:p>
    <w:p w14:paraId="4B180476" w14:textId="77777777" w:rsidR="000B09AB" w:rsidRPr="00830F16" w:rsidRDefault="000B09AB" w:rsidP="00D91823">
      <w:pPr>
        <w:pStyle w:val="BodyTextMain"/>
        <w:rPr>
          <w:rFonts w:eastAsia="DengXian"/>
          <w:lang w:val="en-CA"/>
        </w:rPr>
      </w:pPr>
    </w:p>
    <w:p w14:paraId="6329AC77" w14:textId="1C0466FA" w:rsidR="00843F97" w:rsidRPr="00830F16" w:rsidRDefault="000B09AB" w:rsidP="00D91823">
      <w:pPr>
        <w:pStyle w:val="BodyTextMain"/>
        <w:rPr>
          <w:rFonts w:eastAsia="DengXian"/>
          <w:lang w:val="en-CA"/>
        </w:rPr>
      </w:pPr>
      <w:r w:rsidRPr="00830F16">
        <w:rPr>
          <w:rFonts w:eastAsia="DengXian"/>
          <w:lang w:val="en-CA"/>
        </w:rPr>
        <w:t xml:space="preserve">Given both the opportunities and risks in entering either sector, </w:t>
      </w:r>
      <w:proofErr w:type="spellStart"/>
      <w:r w:rsidRPr="00830F16">
        <w:rPr>
          <w:rFonts w:eastAsia="DengXian"/>
          <w:lang w:val="en-CA"/>
        </w:rPr>
        <w:t>StarHub’s</w:t>
      </w:r>
      <w:proofErr w:type="spellEnd"/>
      <w:r w:rsidRPr="00830F16">
        <w:rPr>
          <w:rFonts w:eastAsia="DengXian"/>
          <w:lang w:val="en-CA"/>
        </w:rPr>
        <w:t xml:space="preserve"> senior management </w:t>
      </w:r>
      <w:r w:rsidR="00BE2DC6" w:rsidRPr="00830F16">
        <w:rPr>
          <w:rFonts w:eastAsia="DengXian"/>
          <w:lang w:val="en-CA"/>
        </w:rPr>
        <w:t xml:space="preserve">needed to </w:t>
      </w:r>
      <w:r w:rsidR="00BA5C8D" w:rsidRPr="00830F16">
        <w:rPr>
          <w:rFonts w:eastAsia="DengXian"/>
          <w:lang w:val="en-CA"/>
        </w:rPr>
        <w:t>consider</w:t>
      </w:r>
      <w:r w:rsidRPr="00830F16">
        <w:rPr>
          <w:rFonts w:eastAsia="DengXian"/>
          <w:lang w:val="en-CA"/>
        </w:rPr>
        <w:t xml:space="preserve"> the</w:t>
      </w:r>
      <w:r w:rsidR="00A85EEE" w:rsidRPr="00830F16">
        <w:rPr>
          <w:rFonts w:eastAsia="DengXian"/>
          <w:lang w:val="en-CA"/>
        </w:rPr>
        <w:t xml:space="preserve"> company’s</w:t>
      </w:r>
      <w:r w:rsidRPr="00830F16">
        <w:rPr>
          <w:rFonts w:eastAsia="DengXian"/>
          <w:lang w:val="en-CA"/>
        </w:rPr>
        <w:t xml:space="preserve"> options as it entered the </w:t>
      </w:r>
      <w:proofErr w:type="gramStart"/>
      <w:r w:rsidR="0056333A" w:rsidRPr="00830F16">
        <w:rPr>
          <w:rFonts w:eastAsia="DengXian"/>
          <w:lang w:val="en-CA"/>
        </w:rPr>
        <w:t>n</w:t>
      </w:r>
      <w:r w:rsidRPr="00830F16">
        <w:rPr>
          <w:rFonts w:eastAsia="DengXian"/>
          <w:lang w:val="en-CA"/>
        </w:rPr>
        <w:t xml:space="preserve">ew </w:t>
      </w:r>
      <w:r w:rsidR="0056333A" w:rsidRPr="00830F16">
        <w:rPr>
          <w:rFonts w:eastAsia="DengXian"/>
          <w:lang w:val="en-CA"/>
        </w:rPr>
        <w:t>y</w:t>
      </w:r>
      <w:r w:rsidRPr="00830F16">
        <w:rPr>
          <w:rFonts w:eastAsia="DengXian"/>
          <w:lang w:val="en-CA"/>
        </w:rPr>
        <w:t>ear</w:t>
      </w:r>
      <w:proofErr w:type="gramEnd"/>
      <w:r w:rsidRPr="00830F16">
        <w:rPr>
          <w:rFonts w:eastAsia="DengXian"/>
          <w:lang w:val="en-CA"/>
        </w:rPr>
        <w:t>.</w:t>
      </w:r>
    </w:p>
    <w:p w14:paraId="0C89BF90" w14:textId="77777777" w:rsidR="00843F97" w:rsidRPr="00830F16" w:rsidRDefault="00843F97">
      <w:pPr>
        <w:spacing w:after="200" w:line="276" w:lineRule="auto"/>
        <w:rPr>
          <w:rFonts w:eastAsia="DengXian"/>
          <w:sz w:val="22"/>
          <w:szCs w:val="22"/>
          <w:lang w:val="en-CA"/>
        </w:rPr>
      </w:pPr>
      <w:r w:rsidRPr="00830F16">
        <w:rPr>
          <w:rFonts w:eastAsia="DengXian"/>
          <w:lang w:val="en-CA"/>
        </w:rPr>
        <w:br w:type="page"/>
      </w:r>
    </w:p>
    <w:p w14:paraId="300CAB2E" w14:textId="30D9C544" w:rsidR="00843F97" w:rsidRPr="00830F16" w:rsidRDefault="00843F97" w:rsidP="00843F97">
      <w:pPr>
        <w:pStyle w:val="ExhibitHeading"/>
        <w:rPr>
          <w:rFonts w:eastAsia="DengXian"/>
          <w:lang w:val="en-CA"/>
        </w:rPr>
      </w:pPr>
      <w:r w:rsidRPr="00830F16">
        <w:rPr>
          <w:rFonts w:eastAsia="DengXian"/>
          <w:lang w:val="en-CA"/>
        </w:rPr>
        <w:lastRenderedPageBreak/>
        <w:t>EXHIBIT 1: MOBILE PHONE PENETRATION RATE (2006</w:t>
      </w:r>
      <w:r w:rsidR="00536A54" w:rsidRPr="00830F16">
        <w:rPr>
          <w:rFonts w:eastAsia="DengXian"/>
          <w:szCs w:val="22"/>
          <w:lang w:val="en-CA"/>
        </w:rPr>
        <w:t>–</w:t>
      </w:r>
      <w:r w:rsidRPr="00830F16">
        <w:rPr>
          <w:rFonts w:eastAsia="DengXian"/>
          <w:lang w:val="en-CA"/>
        </w:rPr>
        <w:t>2016)</w:t>
      </w:r>
    </w:p>
    <w:p w14:paraId="3A45C23F" w14:textId="2D7189DC" w:rsidR="00843F97" w:rsidRPr="00830F16" w:rsidRDefault="002064EA" w:rsidP="00843F97">
      <w:pPr>
        <w:jc w:val="center"/>
        <w:rPr>
          <w:rFonts w:ascii="Arial" w:eastAsia="DengXian" w:hAnsi="Arial" w:cs="Arial"/>
          <w:b/>
          <w:szCs w:val="22"/>
          <w:lang w:val="en-CA"/>
        </w:rPr>
      </w:pPr>
      <w:r w:rsidRPr="00830F16">
        <w:rPr>
          <w:rFonts w:ascii="Calibri" w:eastAsia="DengXian" w:hAnsi="Calibri"/>
          <w:noProof/>
          <w:sz w:val="24"/>
          <w:szCs w:val="24"/>
        </w:rPr>
        <w:drawing>
          <wp:anchor distT="0" distB="0" distL="114300" distR="114300" simplePos="0" relativeHeight="251658240" behindDoc="0" locked="0" layoutInCell="1" allowOverlap="1" wp14:anchorId="6283E50B" wp14:editId="1C0AD939">
            <wp:simplePos x="0" y="0"/>
            <wp:positionH relativeFrom="column">
              <wp:posOffset>5715</wp:posOffset>
            </wp:positionH>
            <wp:positionV relativeFrom="paragraph">
              <wp:posOffset>158750</wp:posOffset>
            </wp:positionV>
            <wp:extent cx="5866130" cy="2274570"/>
            <wp:effectExtent l="0" t="0" r="13970" b="11430"/>
            <wp:wrapTopAndBottom/>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615CA89" w14:textId="77777777" w:rsidR="00843F97" w:rsidRPr="00830F16" w:rsidRDefault="00843F97" w:rsidP="00843F97">
      <w:pPr>
        <w:rPr>
          <w:rFonts w:eastAsia="DengXian"/>
          <w:sz w:val="22"/>
          <w:szCs w:val="22"/>
          <w:lang w:val="en-CA"/>
        </w:rPr>
      </w:pPr>
    </w:p>
    <w:p w14:paraId="4D07D2D2" w14:textId="2C79A656" w:rsidR="00843F97" w:rsidRPr="00830F16" w:rsidRDefault="00843F97" w:rsidP="005F5B50">
      <w:pPr>
        <w:pStyle w:val="Footnote"/>
        <w:rPr>
          <w:rFonts w:eastAsia="DengXian"/>
          <w:lang w:val="en-CA"/>
        </w:rPr>
      </w:pPr>
      <w:r w:rsidRPr="00830F16">
        <w:rPr>
          <w:rFonts w:eastAsia="DengXian"/>
          <w:lang w:val="en-CA"/>
        </w:rPr>
        <w:t xml:space="preserve">Source: </w:t>
      </w:r>
      <w:proofErr w:type="spellStart"/>
      <w:r w:rsidR="008A7812" w:rsidRPr="00830F16">
        <w:rPr>
          <w:rFonts w:eastAsia="DengXian"/>
          <w:lang w:val="en-CA"/>
        </w:rPr>
        <w:t>Infocomm</w:t>
      </w:r>
      <w:proofErr w:type="spellEnd"/>
      <w:r w:rsidR="008A7812" w:rsidRPr="00830F16">
        <w:rPr>
          <w:rFonts w:eastAsia="DengXian"/>
          <w:lang w:val="en-CA"/>
        </w:rPr>
        <w:t xml:space="preserve"> Media Development Authority (</w:t>
      </w:r>
      <w:proofErr w:type="spellStart"/>
      <w:r w:rsidR="008A7812" w:rsidRPr="00830F16">
        <w:rPr>
          <w:rFonts w:eastAsia="DengXian"/>
          <w:lang w:val="en-CA"/>
        </w:rPr>
        <w:t>IMDA</w:t>
      </w:r>
      <w:proofErr w:type="spellEnd"/>
      <w:r w:rsidR="008A7812" w:rsidRPr="00830F16">
        <w:rPr>
          <w:rFonts w:eastAsia="DengXian"/>
          <w:lang w:val="en-CA"/>
        </w:rPr>
        <w:t xml:space="preserve">), </w:t>
      </w:r>
      <w:r w:rsidRPr="00830F16">
        <w:rPr>
          <w:rFonts w:eastAsia="DengXian"/>
          <w:lang w:val="en-CA"/>
        </w:rPr>
        <w:t>“Telecommunications</w:t>
      </w:r>
      <w:r w:rsidR="00556F04" w:rsidRPr="00830F16">
        <w:rPr>
          <w:rFonts w:eastAsia="DengXian"/>
          <w:lang w:val="en-CA"/>
        </w:rPr>
        <w:t>,</w:t>
      </w:r>
      <w:r w:rsidRPr="00830F16">
        <w:rPr>
          <w:rFonts w:eastAsia="DengXian"/>
          <w:lang w:val="en-CA"/>
        </w:rPr>
        <w:t xml:space="preserve">” accessed January 10, 2018, </w:t>
      </w:r>
      <w:r w:rsidR="005F5B50" w:rsidRPr="00830F16">
        <w:rPr>
          <w:rFonts w:eastAsia="DengXian"/>
          <w:lang w:val="en-CA"/>
        </w:rPr>
        <w:t>www.imda.gov.sg/industry-development/facts-and-figures/telecommunications#6x.</w:t>
      </w:r>
    </w:p>
    <w:p w14:paraId="402F8F17" w14:textId="77777777" w:rsidR="00843F97" w:rsidRPr="00830F16" w:rsidRDefault="00843F97" w:rsidP="0044691E">
      <w:pPr>
        <w:pStyle w:val="BodyTextMain"/>
        <w:rPr>
          <w:lang w:val="en-CA"/>
        </w:rPr>
      </w:pPr>
    </w:p>
    <w:p w14:paraId="7B914629" w14:textId="77777777" w:rsidR="00843F97" w:rsidRPr="00830F16" w:rsidRDefault="00843F97" w:rsidP="0044691E">
      <w:pPr>
        <w:pStyle w:val="BodyTextMain"/>
        <w:rPr>
          <w:lang w:val="en-CA"/>
        </w:rPr>
      </w:pPr>
    </w:p>
    <w:p w14:paraId="0F3D86D0" w14:textId="7FD8F4C6" w:rsidR="00843F97" w:rsidRPr="00830F16" w:rsidRDefault="00843F97" w:rsidP="00385413">
      <w:pPr>
        <w:pStyle w:val="ExhibitHeading"/>
        <w:rPr>
          <w:rFonts w:eastAsia="DengXian"/>
          <w:sz w:val="22"/>
          <w:lang w:val="en-CA"/>
        </w:rPr>
      </w:pPr>
      <w:r w:rsidRPr="00830F16">
        <w:rPr>
          <w:rFonts w:eastAsia="DengXian"/>
          <w:lang w:val="en-CA"/>
        </w:rPr>
        <w:t>EXHIBIT 2: SINGAPORE MONTHLY BLENDED A</w:t>
      </w:r>
      <w:r w:rsidR="0056333A" w:rsidRPr="00830F16">
        <w:rPr>
          <w:rFonts w:eastAsia="DengXian"/>
          <w:lang w:val="en-CA"/>
        </w:rPr>
        <w:t xml:space="preserve">verage </w:t>
      </w:r>
      <w:r w:rsidRPr="00830F16">
        <w:rPr>
          <w:rFonts w:eastAsia="DengXian"/>
          <w:lang w:val="en-CA"/>
        </w:rPr>
        <w:t>R</w:t>
      </w:r>
      <w:r w:rsidR="0056333A" w:rsidRPr="00830F16">
        <w:rPr>
          <w:rFonts w:eastAsia="DengXian"/>
          <w:lang w:val="en-CA"/>
        </w:rPr>
        <w:t xml:space="preserve">evenue </w:t>
      </w:r>
      <w:r w:rsidRPr="00830F16">
        <w:rPr>
          <w:rFonts w:eastAsia="DengXian"/>
          <w:lang w:val="en-CA"/>
        </w:rPr>
        <w:t>P</w:t>
      </w:r>
      <w:r w:rsidR="0056333A" w:rsidRPr="00830F16">
        <w:rPr>
          <w:rFonts w:eastAsia="DengXian"/>
          <w:lang w:val="en-CA"/>
        </w:rPr>
        <w:t xml:space="preserve">er </w:t>
      </w:r>
      <w:r w:rsidRPr="00830F16">
        <w:rPr>
          <w:rFonts w:eastAsia="DengXian"/>
          <w:lang w:val="en-CA"/>
        </w:rPr>
        <w:t>U</w:t>
      </w:r>
      <w:r w:rsidR="0056333A" w:rsidRPr="00830F16">
        <w:rPr>
          <w:rFonts w:eastAsia="DengXian"/>
          <w:lang w:val="en-CA"/>
        </w:rPr>
        <w:t>ser</w:t>
      </w:r>
      <w:r w:rsidRPr="00830F16">
        <w:rPr>
          <w:rFonts w:eastAsia="DengXian"/>
          <w:lang w:val="en-CA"/>
        </w:rPr>
        <w:t xml:space="preserve"> (2014</w:t>
      </w:r>
      <w:r w:rsidR="0059423E" w:rsidRPr="00830F16">
        <w:rPr>
          <w:rFonts w:eastAsia="DengXian"/>
          <w:szCs w:val="22"/>
          <w:lang w:val="en-CA"/>
        </w:rPr>
        <w:t>–</w:t>
      </w:r>
      <w:r w:rsidRPr="00830F16">
        <w:rPr>
          <w:rFonts w:eastAsia="DengXian"/>
          <w:lang w:val="en-CA"/>
        </w:rPr>
        <w:t>2016)</w:t>
      </w:r>
    </w:p>
    <w:p w14:paraId="46698D0A" w14:textId="77777777" w:rsidR="00843F97" w:rsidRPr="00830F16" w:rsidRDefault="00843F97" w:rsidP="00843F97">
      <w:pPr>
        <w:jc w:val="both"/>
        <w:rPr>
          <w:rFonts w:eastAsia="DengXian"/>
          <w:sz w:val="22"/>
          <w:szCs w:val="22"/>
          <w:lang w:val="en-CA"/>
        </w:rPr>
      </w:pPr>
    </w:p>
    <w:p w14:paraId="5A548A4E" w14:textId="77777777" w:rsidR="00843F97" w:rsidRPr="00830F16" w:rsidRDefault="00843F97" w:rsidP="00843F97">
      <w:pPr>
        <w:jc w:val="center"/>
        <w:rPr>
          <w:rFonts w:eastAsia="DengXian"/>
          <w:sz w:val="22"/>
          <w:szCs w:val="22"/>
          <w:lang w:val="en-CA"/>
        </w:rPr>
      </w:pPr>
      <w:r w:rsidRPr="00830F16">
        <w:rPr>
          <w:rFonts w:ascii="Calibri" w:eastAsia="DengXian" w:hAnsi="Calibri"/>
          <w:noProof/>
          <w:sz w:val="24"/>
          <w:szCs w:val="24"/>
        </w:rPr>
        <w:drawing>
          <wp:inline distT="0" distB="0" distL="0" distR="0" wp14:anchorId="518F6A67" wp14:editId="08B25E9B">
            <wp:extent cx="5815152" cy="3394075"/>
            <wp:effectExtent l="0" t="0" r="1460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4AABB9" w14:textId="77777777" w:rsidR="00843F97" w:rsidRPr="00830F16" w:rsidRDefault="00843F97" w:rsidP="00843F97">
      <w:pPr>
        <w:rPr>
          <w:rFonts w:eastAsia="DengXian"/>
          <w:sz w:val="22"/>
          <w:szCs w:val="22"/>
          <w:lang w:val="en-CA"/>
        </w:rPr>
      </w:pPr>
    </w:p>
    <w:p w14:paraId="09D12253" w14:textId="3D6BA711" w:rsidR="0056333A" w:rsidRPr="00830F16" w:rsidRDefault="0056333A" w:rsidP="00385413">
      <w:pPr>
        <w:pStyle w:val="Footnote"/>
        <w:rPr>
          <w:rFonts w:eastAsia="DengXian"/>
          <w:lang w:val="en-CA"/>
        </w:rPr>
      </w:pPr>
      <w:r w:rsidRPr="00830F16">
        <w:rPr>
          <w:rFonts w:eastAsia="DengXian"/>
          <w:lang w:val="en-CA"/>
        </w:rPr>
        <w:t xml:space="preserve">Note: </w:t>
      </w:r>
      <w:proofErr w:type="spellStart"/>
      <w:r w:rsidRPr="00830F16">
        <w:rPr>
          <w:rFonts w:eastAsia="DengXian"/>
          <w:lang w:val="en-CA"/>
        </w:rPr>
        <w:t>ARPU</w:t>
      </w:r>
      <w:proofErr w:type="spellEnd"/>
      <w:r w:rsidRPr="00830F16">
        <w:rPr>
          <w:rFonts w:eastAsia="DengXian"/>
          <w:lang w:val="en-CA"/>
        </w:rPr>
        <w:t xml:space="preserve"> = average revenue per user; SGD = SG$ = Singapore dollar; SG$1 = US$0.74 on February 14, 2018</w:t>
      </w:r>
    </w:p>
    <w:p w14:paraId="63AACCCB" w14:textId="08633A17" w:rsidR="00843F97" w:rsidRPr="00830F16" w:rsidRDefault="00843F97" w:rsidP="00385413">
      <w:pPr>
        <w:pStyle w:val="Footnote"/>
        <w:rPr>
          <w:rFonts w:eastAsia="DengXian"/>
          <w:lang w:val="en-CA"/>
        </w:rPr>
      </w:pPr>
      <w:r w:rsidRPr="00830F16">
        <w:rPr>
          <w:rFonts w:eastAsia="DengXian"/>
          <w:lang w:val="en-CA"/>
        </w:rPr>
        <w:t xml:space="preserve">Source: </w:t>
      </w:r>
      <w:r w:rsidR="008A7812" w:rsidRPr="00830F16">
        <w:rPr>
          <w:rFonts w:eastAsia="DengXian"/>
          <w:lang w:val="en-CA"/>
        </w:rPr>
        <w:t xml:space="preserve">Business Monitor International (BMI) Research, </w:t>
      </w:r>
      <w:r w:rsidRPr="00830F16">
        <w:rPr>
          <w:rFonts w:eastAsia="DengXian"/>
          <w:lang w:val="en-CA"/>
        </w:rPr>
        <w:t>“Competitive Landscape – Singapore (Q4 2015, Q4 2016, Q4 2017)</w:t>
      </w:r>
      <w:r w:rsidR="008A7812" w:rsidRPr="00830F16">
        <w:rPr>
          <w:rFonts w:eastAsia="DengXian"/>
          <w:lang w:val="en-CA"/>
        </w:rPr>
        <w:t>,</w:t>
      </w:r>
      <w:r w:rsidRPr="00830F16">
        <w:rPr>
          <w:rFonts w:eastAsia="DengXian"/>
          <w:lang w:val="en-CA"/>
        </w:rPr>
        <w:t>” accessed January 18, 2018</w:t>
      </w:r>
      <w:r w:rsidR="00556F04" w:rsidRPr="00830F16">
        <w:rPr>
          <w:rFonts w:eastAsia="DengXian"/>
          <w:lang w:val="en-CA"/>
        </w:rPr>
        <w:t>.</w:t>
      </w:r>
    </w:p>
    <w:p w14:paraId="2A7F79DD" w14:textId="77777777" w:rsidR="00843F97" w:rsidRPr="00830F16" w:rsidRDefault="00843F97" w:rsidP="00843F97">
      <w:pPr>
        <w:rPr>
          <w:rFonts w:eastAsia="DengXian"/>
          <w:b/>
          <w:sz w:val="22"/>
          <w:szCs w:val="22"/>
          <w:lang w:val="en-CA"/>
        </w:rPr>
      </w:pPr>
      <w:r w:rsidRPr="00830F16">
        <w:rPr>
          <w:rFonts w:eastAsia="DengXian"/>
          <w:b/>
          <w:sz w:val="22"/>
          <w:szCs w:val="22"/>
          <w:lang w:val="en-CA"/>
        </w:rPr>
        <w:br w:type="page"/>
      </w:r>
    </w:p>
    <w:p w14:paraId="3577951B" w14:textId="49D5BFF2" w:rsidR="00843F97" w:rsidRPr="00830F16" w:rsidRDefault="00843F97" w:rsidP="00385413">
      <w:pPr>
        <w:pStyle w:val="ExhibitHeading"/>
        <w:rPr>
          <w:rFonts w:eastAsia="DengXian"/>
          <w:lang w:val="en-CA"/>
        </w:rPr>
      </w:pPr>
      <w:r w:rsidRPr="00830F16">
        <w:rPr>
          <w:rFonts w:eastAsia="DengXian"/>
          <w:lang w:val="en-CA"/>
        </w:rPr>
        <w:lastRenderedPageBreak/>
        <w:t xml:space="preserve">EXHIBIT </w:t>
      </w:r>
      <w:r w:rsidR="004A2D51" w:rsidRPr="00830F16">
        <w:rPr>
          <w:rFonts w:eastAsia="DengXian"/>
          <w:lang w:val="en-CA"/>
        </w:rPr>
        <w:t>3</w:t>
      </w:r>
      <w:r w:rsidRPr="00830F16">
        <w:rPr>
          <w:rFonts w:eastAsia="DengXian"/>
          <w:lang w:val="en-CA"/>
        </w:rPr>
        <w:t>: SINGAPORE</w:t>
      </w:r>
      <w:r w:rsidR="008A7812" w:rsidRPr="00830F16">
        <w:rPr>
          <w:rFonts w:eastAsia="DengXian"/>
          <w:lang w:val="en-CA"/>
        </w:rPr>
        <w:t>’s annual</w:t>
      </w:r>
      <w:r w:rsidRPr="00830F16">
        <w:rPr>
          <w:rFonts w:eastAsia="DengXian"/>
          <w:lang w:val="en-CA"/>
        </w:rPr>
        <w:t xml:space="preserve"> </w:t>
      </w:r>
      <w:r w:rsidR="0056333A" w:rsidRPr="00830F16">
        <w:rPr>
          <w:rFonts w:eastAsia="DengXian"/>
          <w:lang w:val="en-CA"/>
        </w:rPr>
        <w:t>short message service (</w:t>
      </w:r>
      <w:r w:rsidRPr="00830F16">
        <w:rPr>
          <w:rFonts w:eastAsia="DengXian"/>
          <w:lang w:val="en-CA"/>
        </w:rPr>
        <w:t>SMS</w:t>
      </w:r>
      <w:r w:rsidR="0056333A" w:rsidRPr="00830F16">
        <w:rPr>
          <w:rFonts w:eastAsia="DengXian"/>
          <w:lang w:val="en-CA"/>
        </w:rPr>
        <w:t>)</w:t>
      </w:r>
      <w:r w:rsidRPr="00830F16">
        <w:rPr>
          <w:rFonts w:eastAsia="DengXian"/>
          <w:lang w:val="en-CA"/>
        </w:rPr>
        <w:t xml:space="preserve"> GROWTH (2012</w:t>
      </w:r>
      <w:r w:rsidR="0059423E" w:rsidRPr="00830F16">
        <w:rPr>
          <w:rFonts w:eastAsia="DengXian"/>
          <w:szCs w:val="22"/>
          <w:lang w:val="en-CA"/>
        </w:rPr>
        <w:t>–</w:t>
      </w:r>
      <w:r w:rsidRPr="00830F16">
        <w:rPr>
          <w:rFonts w:eastAsia="DengXian"/>
          <w:lang w:val="en-CA"/>
        </w:rPr>
        <w:t>2016)</w:t>
      </w:r>
    </w:p>
    <w:p w14:paraId="47A00646" w14:textId="77777777" w:rsidR="00843F97" w:rsidRPr="00830F16" w:rsidRDefault="00843F97" w:rsidP="00843F97">
      <w:pPr>
        <w:jc w:val="both"/>
        <w:rPr>
          <w:rFonts w:eastAsia="DengXian"/>
          <w:sz w:val="22"/>
          <w:szCs w:val="22"/>
          <w:lang w:val="en-CA"/>
        </w:rPr>
      </w:pPr>
    </w:p>
    <w:p w14:paraId="43DC41C2" w14:textId="36A9016D" w:rsidR="00843F97" w:rsidRPr="00830F16" w:rsidRDefault="00843F97" w:rsidP="005F5B50">
      <w:pPr>
        <w:ind w:firstLine="720"/>
        <w:jc w:val="both"/>
        <w:rPr>
          <w:rFonts w:ascii="Arial" w:eastAsia="DengXian" w:hAnsi="Arial" w:cs="Arial"/>
          <w:sz w:val="17"/>
          <w:szCs w:val="17"/>
          <w:lang w:val="en-CA"/>
        </w:rPr>
      </w:pPr>
      <w:r w:rsidRPr="00830F16">
        <w:rPr>
          <w:rFonts w:ascii="Calibri" w:eastAsia="DengXian" w:hAnsi="Calibri"/>
          <w:noProof/>
          <w:sz w:val="24"/>
          <w:szCs w:val="24"/>
        </w:rPr>
        <w:drawing>
          <wp:anchor distT="0" distB="0" distL="114300" distR="114300" simplePos="0" relativeHeight="251661312" behindDoc="0" locked="0" layoutInCell="1" allowOverlap="1" wp14:anchorId="11FE533E" wp14:editId="58CB3549">
            <wp:simplePos x="1371600" y="1443789"/>
            <wp:positionH relativeFrom="page">
              <wp:align>center</wp:align>
            </wp:positionH>
            <wp:positionV relativeFrom="paragraph">
              <wp:posOffset>0</wp:posOffset>
            </wp:positionV>
            <wp:extent cx="4572000" cy="2743200"/>
            <wp:effectExtent l="0" t="0" r="12700" b="12700"/>
            <wp:wrapTopAndBottom/>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73D37BD3" w14:textId="2AF0766A" w:rsidR="00843F97" w:rsidRPr="00830F16" w:rsidRDefault="00843F97" w:rsidP="002952ED">
      <w:pPr>
        <w:jc w:val="both"/>
        <w:rPr>
          <w:rFonts w:ascii="Arial" w:eastAsia="DengXian" w:hAnsi="Arial" w:cs="Arial"/>
          <w:sz w:val="17"/>
          <w:szCs w:val="17"/>
          <w:lang w:val="en-CA"/>
        </w:rPr>
      </w:pPr>
      <w:r w:rsidRPr="00830F16">
        <w:rPr>
          <w:rStyle w:val="FootnoteChar"/>
          <w:lang w:val="en-CA"/>
        </w:rPr>
        <w:t xml:space="preserve">Source: </w:t>
      </w:r>
      <w:r w:rsidR="00D83452" w:rsidRPr="00830F16">
        <w:rPr>
          <w:rStyle w:val="FootnoteChar"/>
          <w:lang w:val="en-CA"/>
        </w:rPr>
        <w:t xml:space="preserve">Government of Singapore, </w:t>
      </w:r>
      <w:r w:rsidRPr="00830F16">
        <w:rPr>
          <w:rStyle w:val="FootnoteChar"/>
          <w:lang w:val="en-CA"/>
        </w:rPr>
        <w:t>“Mobile Data Usage</w:t>
      </w:r>
      <w:r w:rsidR="00556F04" w:rsidRPr="00830F16">
        <w:rPr>
          <w:rStyle w:val="FootnoteChar"/>
          <w:lang w:val="en-CA"/>
        </w:rPr>
        <w:t>,</w:t>
      </w:r>
      <w:r w:rsidRPr="00830F16">
        <w:rPr>
          <w:rStyle w:val="FootnoteChar"/>
          <w:lang w:val="en-CA"/>
        </w:rPr>
        <w:t xml:space="preserve">” accessed January 18, 2018, </w:t>
      </w:r>
      <w:r w:rsidR="005F5B50" w:rsidRPr="00830F16">
        <w:rPr>
          <w:rStyle w:val="FootnoteChar"/>
          <w:lang w:val="en-CA"/>
        </w:rPr>
        <w:t>https://data.gov.sg/dataset/mobile-data-usage?resource_id=a807b7ab-6cad-4aa6-87d0-e283a7353a0f</w:t>
      </w:r>
      <w:r w:rsidR="005F5B50" w:rsidRPr="00830F16">
        <w:rPr>
          <w:rFonts w:ascii="Arial" w:eastAsia="DengXian" w:hAnsi="Arial" w:cs="Arial"/>
          <w:sz w:val="17"/>
          <w:szCs w:val="17"/>
          <w:lang w:val="en-CA"/>
        </w:rPr>
        <w:t>.</w:t>
      </w:r>
    </w:p>
    <w:p w14:paraId="44E2314E" w14:textId="77777777" w:rsidR="00F21D1D" w:rsidRPr="00830F16" w:rsidRDefault="00F21D1D" w:rsidP="00D83452">
      <w:pPr>
        <w:pStyle w:val="BodyTextMain"/>
        <w:rPr>
          <w:rFonts w:eastAsia="DengXian"/>
          <w:lang w:val="en-CA"/>
        </w:rPr>
      </w:pPr>
    </w:p>
    <w:p w14:paraId="348A44F8" w14:textId="77777777" w:rsidR="00F21D1D" w:rsidRPr="00830F16" w:rsidRDefault="00F21D1D" w:rsidP="00F21D1D">
      <w:pPr>
        <w:pStyle w:val="BodyTextMain"/>
        <w:rPr>
          <w:rFonts w:eastAsia="DengXian"/>
          <w:lang w:val="en-CA"/>
        </w:rPr>
      </w:pPr>
    </w:p>
    <w:p w14:paraId="7238B64D" w14:textId="47BCF737" w:rsidR="00843F97" w:rsidRPr="00830F16" w:rsidRDefault="00843F97" w:rsidP="00F21D1D">
      <w:pPr>
        <w:jc w:val="center"/>
        <w:rPr>
          <w:rFonts w:ascii="Arial" w:eastAsia="DengXian" w:hAnsi="Arial" w:cs="Arial"/>
          <w:b/>
          <w:szCs w:val="22"/>
          <w:lang w:val="en-CA"/>
        </w:rPr>
      </w:pPr>
      <w:r w:rsidRPr="00830F16">
        <w:rPr>
          <w:rFonts w:ascii="Arial" w:eastAsia="DengXian" w:hAnsi="Arial" w:cs="Arial"/>
          <w:b/>
          <w:szCs w:val="22"/>
          <w:lang w:val="en-CA"/>
        </w:rPr>
        <w:t xml:space="preserve">EXHIBIT </w:t>
      </w:r>
      <w:r w:rsidR="004A2D51" w:rsidRPr="00830F16">
        <w:rPr>
          <w:rFonts w:ascii="Arial" w:eastAsia="DengXian" w:hAnsi="Arial" w:cs="Arial"/>
          <w:b/>
          <w:szCs w:val="22"/>
          <w:lang w:val="en-CA"/>
        </w:rPr>
        <w:t>4</w:t>
      </w:r>
      <w:r w:rsidRPr="00830F16">
        <w:rPr>
          <w:rFonts w:ascii="Arial" w:eastAsia="DengXian" w:hAnsi="Arial" w:cs="Arial"/>
          <w:b/>
          <w:szCs w:val="22"/>
          <w:lang w:val="en-CA"/>
        </w:rPr>
        <w:t>: SINGAPORE PAY</w:t>
      </w:r>
      <w:r w:rsidR="003174CD" w:rsidRPr="00830F16">
        <w:rPr>
          <w:rFonts w:ascii="Arial" w:eastAsia="DengXian" w:hAnsi="Arial" w:cs="Arial"/>
          <w:b/>
          <w:szCs w:val="22"/>
          <w:lang w:val="en-CA"/>
        </w:rPr>
        <w:t xml:space="preserve"> </w:t>
      </w:r>
      <w:r w:rsidRPr="00830F16">
        <w:rPr>
          <w:rFonts w:ascii="Arial" w:eastAsia="DengXian" w:hAnsi="Arial" w:cs="Arial"/>
          <w:b/>
          <w:szCs w:val="22"/>
          <w:lang w:val="en-CA"/>
        </w:rPr>
        <w:t>TV SUBSCRIBERS</w:t>
      </w:r>
      <w:r w:rsidR="003174CD" w:rsidRPr="00830F16">
        <w:rPr>
          <w:rFonts w:ascii="Arial" w:eastAsia="DengXian" w:hAnsi="Arial" w:cs="Arial"/>
          <w:b/>
          <w:szCs w:val="22"/>
          <w:lang w:val="en-CA"/>
        </w:rPr>
        <w:t>,</w:t>
      </w:r>
      <w:r w:rsidRPr="00830F16">
        <w:rPr>
          <w:rFonts w:ascii="Arial" w:eastAsia="DengXian" w:hAnsi="Arial" w:cs="Arial"/>
          <w:b/>
          <w:szCs w:val="22"/>
          <w:lang w:val="en-CA"/>
        </w:rPr>
        <w:t xml:space="preserve"> 2010</w:t>
      </w:r>
      <w:r w:rsidR="0059423E" w:rsidRPr="00830F16">
        <w:rPr>
          <w:rFonts w:ascii="Arial" w:eastAsia="DengXian" w:hAnsi="Arial" w:cs="Arial"/>
          <w:szCs w:val="22"/>
          <w:lang w:val="en-CA"/>
        </w:rPr>
        <w:t>–</w:t>
      </w:r>
      <w:r w:rsidRPr="00830F16">
        <w:rPr>
          <w:rFonts w:ascii="Arial" w:eastAsia="DengXian" w:hAnsi="Arial" w:cs="Arial"/>
          <w:b/>
          <w:szCs w:val="22"/>
          <w:lang w:val="en-CA"/>
        </w:rPr>
        <w:t>2015</w:t>
      </w:r>
      <w:r w:rsidR="003174CD" w:rsidRPr="00830F16">
        <w:rPr>
          <w:rFonts w:ascii="Arial" w:eastAsia="DengXian" w:hAnsi="Arial" w:cs="Arial"/>
          <w:b/>
          <w:szCs w:val="22"/>
          <w:lang w:val="en-CA"/>
        </w:rPr>
        <w:t xml:space="preserve"> (in thousands)</w:t>
      </w:r>
    </w:p>
    <w:p w14:paraId="04B68D6E" w14:textId="77777777" w:rsidR="00843F97" w:rsidRPr="00830F16" w:rsidRDefault="00843F97" w:rsidP="00843F97">
      <w:pPr>
        <w:rPr>
          <w:rFonts w:ascii="Calibri" w:eastAsia="DengXian" w:hAnsi="Calibri"/>
          <w:b/>
          <w:sz w:val="24"/>
          <w:szCs w:val="24"/>
          <w:lang w:val="en-CA"/>
        </w:rPr>
      </w:pPr>
    </w:p>
    <w:p w14:paraId="75CEE5FA" w14:textId="4646BECB" w:rsidR="00843F97" w:rsidRPr="00830F16" w:rsidRDefault="00843F97" w:rsidP="005F5B50">
      <w:pPr>
        <w:ind w:firstLine="720"/>
        <w:jc w:val="both"/>
        <w:rPr>
          <w:rFonts w:eastAsia="DengXian"/>
          <w:sz w:val="22"/>
          <w:szCs w:val="22"/>
          <w:lang w:val="en-CA"/>
        </w:rPr>
      </w:pPr>
      <w:r w:rsidRPr="00830F16">
        <w:rPr>
          <w:rFonts w:ascii="Calibri" w:eastAsia="DengXian" w:hAnsi="Calibri"/>
          <w:noProof/>
          <w:sz w:val="24"/>
          <w:szCs w:val="24"/>
        </w:rPr>
        <w:drawing>
          <wp:anchor distT="0" distB="0" distL="114300" distR="114300" simplePos="0" relativeHeight="251659264" behindDoc="0" locked="0" layoutInCell="1" allowOverlap="1" wp14:anchorId="0C045B72" wp14:editId="399CEDAA">
            <wp:simplePos x="1371600" y="1467853"/>
            <wp:positionH relativeFrom="column">
              <wp:align>center</wp:align>
            </wp:positionH>
            <wp:positionV relativeFrom="paragraph">
              <wp:posOffset>0</wp:posOffset>
            </wp:positionV>
            <wp:extent cx="4498848" cy="2139696"/>
            <wp:effectExtent l="0" t="0" r="10160" b="698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D59A7E0" w14:textId="6FC7062B" w:rsidR="00843F97" w:rsidRPr="00830F16" w:rsidRDefault="00843F97" w:rsidP="00843F97">
      <w:pPr>
        <w:rPr>
          <w:rFonts w:ascii="Arial" w:eastAsia="DengXian" w:hAnsi="Arial" w:cs="Arial"/>
          <w:sz w:val="17"/>
          <w:szCs w:val="17"/>
          <w:lang w:val="en-CA"/>
        </w:rPr>
      </w:pPr>
      <w:r w:rsidRPr="00830F16">
        <w:rPr>
          <w:rFonts w:ascii="Arial" w:eastAsia="DengXian" w:hAnsi="Arial" w:cs="Arial"/>
          <w:sz w:val="17"/>
          <w:szCs w:val="17"/>
          <w:lang w:val="en-CA"/>
        </w:rPr>
        <w:t xml:space="preserve">Source: </w:t>
      </w:r>
      <w:r w:rsidR="003174CD" w:rsidRPr="00830F16">
        <w:rPr>
          <w:rFonts w:ascii="Arial" w:eastAsia="DengXian" w:hAnsi="Arial" w:cs="Arial"/>
          <w:sz w:val="17"/>
          <w:szCs w:val="17"/>
          <w:lang w:val="en-CA"/>
        </w:rPr>
        <w:t xml:space="preserve">Business Monitor International (BMI) Research, </w:t>
      </w:r>
      <w:r w:rsidRPr="00830F16">
        <w:rPr>
          <w:rFonts w:ascii="Arial" w:eastAsia="DengXian" w:hAnsi="Arial" w:cs="Arial"/>
          <w:sz w:val="17"/>
          <w:szCs w:val="17"/>
          <w:lang w:val="en-CA"/>
        </w:rPr>
        <w:t>“Market Overview – Singapore (Q4 2012</w:t>
      </w:r>
      <w:r w:rsidR="00FF6564" w:rsidRPr="00830F16">
        <w:rPr>
          <w:rFonts w:ascii="Arial" w:eastAsia="DengXian" w:hAnsi="Arial" w:cs="Arial"/>
          <w:sz w:val="17"/>
          <w:szCs w:val="17"/>
          <w:lang w:val="en-CA"/>
        </w:rPr>
        <w:t>–</w:t>
      </w:r>
      <w:r w:rsidRPr="00830F16">
        <w:rPr>
          <w:rFonts w:ascii="Arial" w:eastAsia="DengXian" w:hAnsi="Arial" w:cs="Arial"/>
          <w:sz w:val="17"/>
          <w:szCs w:val="17"/>
          <w:lang w:val="en-CA"/>
        </w:rPr>
        <w:t>Q4 2016)</w:t>
      </w:r>
      <w:r w:rsidR="00556F04" w:rsidRPr="00830F16">
        <w:rPr>
          <w:rFonts w:ascii="Arial" w:eastAsia="DengXian" w:hAnsi="Arial" w:cs="Arial"/>
          <w:sz w:val="17"/>
          <w:szCs w:val="17"/>
          <w:lang w:val="en-CA"/>
        </w:rPr>
        <w:t>,”</w:t>
      </w:r>
      <w:r w:rsidRPr="00830F16">
        <w:rPr>
          <w:rFonts w:ascii="Arial" w:eastAsia="DengXian" w:hAnsi="Arial" w:cs="Arial"/>
          <w:sz w:val="17"/>
          <w:szCs w:val="17"/>
          <w:lang w:val="en-CA"/>
        </w:rPr>
        <w:t xml:space="preserve"> accessed January 18, 2018</w:t>
      </w:r>
      <w:r w:rsidR="00285BFD">
        <w:rPr>
          <w:rFonts w:ascii="Arial" w:eastAsia="DengXian" w:hAnsi="Arial" w:cs="Arial"/>
          <w:sz w:val="17"/>
          <w:szCs w:val="17"/>
          <w:lang w:val="en-CA"/>
        </w:rPr>
        <w:t xml:space="preserve"> via https://bmo.bmiresearch.com/home</w:t>
      </w:r>
      <w:r w:rsidR="00556F04" w:rsidRPr="00830F16">
        <w:rPr>
          <w:rFonts w:ascii="Arial" w:eastAsia="DengXian" w:hAnsi="Arial" w:cs="Arial"/>
          <w:sz w:val="17"/>
          <w:szCs w:val="17"/>
          <w:lang w:val="en-CA"/>
        </w:rPr>
        <w:t>.</w:t>
      </w:r>
    </w:p>
    <w:p w14:paraId="138A0030" w14:textId="77777777" w:rsidR="00843F97" w:rsidRPr="00830F16" w:rsidRDefault="00843F97" w:rsidP="00385413">
      <w:pPr>
        <w:pStyle w:val="BodyTextMain"/>
        <w:rPr>
          <w:rFonts w:eastAsia="DengXian"/>
          <w:lang w:val="en-CA"/>
        </w:rPr>
      </w:pPr>
    </w:p>
    <w:p w14:paraId="3035F3AD" w14:textId="3784AA72" w:rsidR="00F21D1D" w:rsidRPr="00830F16" w:rsidRDefault="00F21D1D">
      <w:pPr>
        <w:spacing w:after="200" w:line="276" w:lineRule="auto"/>
        <w:rPr>
          <w:rFonts w:eastAsia="DengXian"/>
          <w:sz w:val="22"/>
          <w:szCs w:val="22"/>
          <w:lang w:val="en-CA"/>
        </w:rPr>
      </w:pPr>
      <w:r w:rsidRPr="00830F16">
        <w:rPr>
          <w:rFonts w:eastAsia="DengXian"/>
          <w:lang w:val="en-CA"/>
        </w:rPr>
        <w:br w:type="page"/>
      </w:r>
    </w:p>
    <w:p w14:paraId="20D1FD34" w14:textId="6F8D5D5B" w:rsidR="00843F97" w:rsidRPr="00830F16" w:rsidRDefault="00843F97" w:rsidP="00843F97">
      <w:pPr>
        <w:jc w:val="center"/>
        <w:rPr>
          <w:rFonts w:ascii="Arial" w:eastAsia="DengXian" w:hAnsi="Arial" w:cs="Arial"/>
          <w:b/>
          <w:lang w:val="en-CA"/>
        </w:rPr>
      </w:pPr>
      <w:r w:rsidRPr="00830F16">
        <w:rPr>
          <w:rFonts w:ascii="Arial" w:eastAsia="DengXian" w:hAnsi="Arial" w:cs="Arial"/>
          <w:b/>
          <w:lang w:val="en-CA"/>
        </w:rPr>
        <w:lastRenderedPageBreak/>
        <w:t xml:space="preserve">EXHIBIT </w:t>
      </w:r>
      <w:r w:rsidR="004A2D51" w:rsidRPr="00830F16">
        <w:rPr>
          <w:rFonts w:ascii="Arial" w:eastAsia="DengXian" w:hAnsi="Arial" w:cs="Arial"/>
          <w:b/>
          <w:lang w:val="en-CA"/>
        </w:rPr>
        <w:t>5</w:t>
      </w:r>
      <w:r w:rsidRPr="00830F16">
        <w:rPr>
          <w:rFonts w:ascii="Arial" w:eastAsia="DengXian" w:hAnsi="Arial" w:cs="Arial"/>
          <w:b/>
          <w:lang w:val="en-CA"/>
        </w:rPr>
        <w:t xml:space="preserve">: </w:t>
      </w:r>
      <w:proofErr w:type="spellStart"/>
      <w:r w:rsidRPr="00830F16">
        <w:rPr>
          <w:rFonts w:ascii="Arial" w:eastAsia="DengXian" w:hAnsi="Arial" w:cs="Arial"/>
          <w:b/>
          <w:lang w:val="en-CA"/>
        </w:rPr>
        <w:t>STARHUB’S</w:t>
      </w:r>
      <w:proofErr w:type="spellEnd"/>
      <w:r w:rsidRPr="00830F16">
        <w:rPr>
          <w:rFonts w:ascii="Arial" w:eastAsia="DengXian" w:hAnsi="Arial" w:cs="Arial"/>
          <w:b/>
          <w:lang w:val="en-CA"/>
        </w:rPr>
        <w:t xml:space="preserve"> EBITDA FIGURES (2012</w:t>
      </w:r>
      <w:r w:rsidR="0059423E" w:rsidRPr="00830F16">
        <w:rPr>
          <w:rFonts w:ascii="Arial" w:eastAsia="DengXian" w:hAnsi="Arial" w:cs="Arial"/>
          <w:szCs w:val="22"/>
          <w:lang w:val="en-CA"/>
        </w:rPr>
        <w:t>–</w:t>
      </w:r>
      <w:r w:rsidRPr="00830F16">
        <w:rPr>
          <w:rFonts w:ascii="Arial" w:eastAsia="DengXian" w:hAnsi="Arial" w:cs="Arial"/>
          <w:b/>
          <w:lang w:val="en-CA"/>
        </w:rPr>
        <w:t>2016)</w:t>
      </w:r>
    </w:p>
    <w:p w14:paraId="32EB8710" w14:textId="77777777" w:rsidR="00843F97" w:rsidRPr="00830F16" w:rsidRDefault="00843F97" w:rsidP="00843F97">
      <w:pPr>
        <w:jc w:val="center"/>
        <w:rPr>
          <w:rFonts w:ascii="Arial" w:eastAsia="DengXian" w:hAnsi="Arial" w:cs="Arial"/>
          <w:b/>
          <w:lang w:val="en-CA"/>
        </w:rPr>
      </w:pPr>
    </w:p>
    <w:p w14:paraId="4774136E" w14:textId="11AD73F8" w:rsidR="00843F97" w:rsidRPr="00830F16" w:rsidRDefault="00843F97" w:rsidP="00843F97">
      <w:pPr>
        <w:jc w:val="center"/>
        <w:rPr>
          <w:rFonts w:eastAsia="DengXian"/>
          <w:sz w:val="22"/>
          <w:szCs w:val="22"/>
          <w:lang w:val="en-CA"/>
        </w:rPr>
      </w:pPr>
      <w:r w:rsidRPr="00830F16">
        <w:rPr>
          <w:rFonts w:ascii="Calibri" w:eastAsia="DengXian" w:hAnsi="Calibri"/>
          <w:noProof/>
          <w:sz w:val="24"/>
          <w:szCs w:val="24"/>
        </w:rPr>
        <w:drawing>
          <wp:anchor distT="0" distB="0" distL="114300" distR="114300" simplePos="0" relativeHeight="251660288" behindDoc="0" locked="0" layoutInCell="1" allowOverlap="1" wp14:anchorId="34F45162" wp14:editId="6FE67307">
            <wp:simplePos x="998621" y="4788568"/>
            <wp:positionH relativeFrom="page">
              <wp:align>center</wp:align>
            </wp:positionH>
            <wp:positionV relativeFrom="paragraph">
              <wp:posOffset>0</wp:posOffset>
            </wp:positionV>
            <wp:extent cx="5769864" cy="2295144"/>
            <wp:effectExtent l="0" t="0" r="8890" b="16510"/>
            <wp:wrapTopAndBottom/>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830F16">
        <w:rPr>
          <w:rFonts w:eastAsia="DengXian"/>
          <w:b/>
          <w:sz w:val="22"/>
          <w:szCs w:val="22"/>
          <w:lang w:val="en-CA"/>
        </w:rPr>
        <w:t xml:space="preserve"> </w:t>
      </w:r>
    </w:p>
    <w:p w14:paraId="2C3D6FC2" w14:textId="0DD9EA88" w:rsidR="00D83452" w:rsidRPr="00830F16" w:rsidRDefault="00D83452" w:rsidP="00385413">
      <w:pPr>
        <w:pStyle w:val="Footnote"/>
        <w:rPr>
          <w:rFonts w:eastAsia="DengXian"/>
          <w:lang w:val="en-CA"/>
        </w:rPr>
      </w:pPr>
      <w:r w:rsidRPr="00830F16">
        <w:rPr>
          <w:rFonts w:eastAsia="DengXian"/>
          <w:lang w:val="en-CA"/>
        </w:rPr>
        <w:t>Note: EBITDA = earnings before interest, taxes, depreciation, and amortization</w:t>
      </w:r>
    </w:p>
    <w:p w14:paraId="4B1A3635" w14:textId="5F110D70" w:rsidR="00843F97" w:rsidRPr="00830F16" w:rsidRDefault="00843F97" w:rsidP="00385413">
      <w:pPr>
        <w:pStyle w:val="Footnote"/>
        <w:rPr>
          <w:rFonts w:eastAsia="DengXian"/>
          <w:lang w:val="en-CA"/>
        </w:rPr>
      </w:pPr>
      <w:r w:rsidRPr="00830F16">
        <w:rPr>
          <w:rFonts w:eastAsia="DengXian"/>
          <w:lang w:val="en-CA"/>
        </w:rPr>
        <w:t xml:space="preserve">Source: </w:t>
      </w:r>
      <w:proofErr w:type="spellStart"/>
      <w:r w:rsidR="00532701" w:rsidRPr="00830F16">
        <w:rPr>
          <w:rFonts w:eastAsia="DengXian"/>
          <w:lang w:val="en-CA"/>
        </w:rPr>
        <w:t>StarHub</w:t>
      </w:r>
      <w:proofErr w:type="spellEnd"/>
      <w:r w:rsidR="00532701" w:rsidRPr="00830F16">
        <w:rPr>
          <w:rFonts w:eastAsia="DengXian"/>
          <w:lang w:val="en-CA"/>
        </w:rPr>
        <w:t xml:space="preserve">, </w:t>
      </w:r>
      <w:r w:rsidRPr="00830F16">
        <w:rPr>
          <w:rFonts w:eastAsia="DengXian"/>
          <w:lang w:val="en-CA"/>
        </w:rPr>
        <w:t>“Full Year Financial Statement and Dividend Announcement (2012</w:t>
      </w:r>
      <w:r w:rsidR="00FF6564" w:rsidRPr="00830F16">
        <w:rPr>
          <w:rFonts w:eastAsia="DengXian"/>
          <w:lang w:val="en-CA"/>
        </w:rPr>
        <w:t>–</w:t>
      </w:r>
      <w:r w:rsidRPr="00830F16">
        <w:rPr>
          <w:rFonts w:eastAsia="DengXian"/>
          <w:lang w:val="en-CA"/>
        </w:rPr>
        <w:t>2016)</w:t>
      </w:r>
      <w:r w:rsidR="00556F04" w:rsidRPr="00830F16">
        <w:rPr>
          <w:rFonts w:eastAsia="DengXian"/>
          <w:lang w:val="en-CA"/>
        </w:rPr>
        <w:t>,</w:t>
      </w:r>
      <w:r w:rsidRPr="00830F16">
        <w:rPr>
          <w:rFonts w:eastAsia="DengXian"/>
          <w:lang w:val="en-CA"/>
        </w:rPr>
        <w:t>” accessed January 18, 2018, http://ir.starhub.com/investors/?page=Results</w:t>
      </w:r>
      <w:r w:rsidR="00556F04" w:rsidRPr="00830F16">
        <w:rPr>
          <w:rFonts w:eastAsia="DengXian"/>
          <w:lang w:val="en-CA"/>
        </w:rPr>
        <w:t>.</w:t>
      </w:r>
    </w:p>
    <w:p w14:paraId="479E6186" w14:textId="77777777" w:rsidR="00843F97" w:rsidRPr="00830F16" w:rsidRDefault="00843F97" w:rsidP="00385413">
      <w:pPr>
        <w:pStyle w:val="BodyTextMain"/>
        <w:rPr>
          <w:rFonts w:eastAsia="DengXian"/>
          <w:lang w:val="en-CA"/>
        </w:rPr>
      </w:pPr>
    </w:p>
    <w:p w14:paraId="22103C74" w14:textId="77777777" w:rsidR="00843F97" w:rsidRPr="00830F16" w:rsidRDefault="00843F97" w:rsidP="00385413">
      <w:pPr>
        <w:pStyle w:val="BodyTextMain"/>
        <w:rPr>
          <w:rFonts w:eastAsia="DengXian"/>
          <w:lang w:val="en-CA"/>
        </w:rPr>
      </w:pPr>
    </w:p>
    <w:p w14:paraId="63EC01C2" w14:textId="30DF19B7" w:rsidR="00843F97" w:rsidRPr="00830F16" w:rsidRDefault="00843F97" w:rsidP="00385413">
      <w:pPr>
        <w:pStyle w:val="ExhibitHeading"/>
        <w:rPr>
          <w:rFonts w:eastAsia="DengXian"/>
          <w:lang w:val="en-CA"/>
        </w:rPr>
      </w:pPr>
      <w:r w:rsidRPr="00830F16">
        <w:rPr>
          <w:rFonts w:eastAsia="DengXian"/>
          <w:lang w:val="en-CA"/>
        </w:rPr>
        <w:t xml:space="preserve">EXHIBIT </w:t>
      </w:r>
      <w:r w:rsidR="004A2D51" w:rsidRPr="00830F16">
        <w:rPr>
          <w:rFonts w:eastAsia="DengXian"/>
          <w:lang w:val="en-CA"/>
        </w:rPr>
        <w:t>6</w:t>
      </w:r>
      <w:r w:rsidRPr="00830F16">
        <w:rPr>
          <w:rFonts w:eastAsia="DengXian"/>
          <w:lang w:val="en-CA"/>
        </w:rPr>
        <w:t xml:space="preserve">: </w:t>
      </w:r>
      <w:proofErr w:type="spellStart"/>
      <w:r w:rsidRPr="00830F16">
        <w:rPr>
          <w:rFonts w:eastAsia="DengXian"/>
          <w:lang w:val="en-CA"/>
        </w:rPr>
        <w:t>STARHUB’S</w:t>
      </w:r>
      <w:proofErr w:type="spellEnd"/>
      <w:r w:rsidRPr="00830F16">
        <w:rPr>
          <w:rFonts w:eastAsia="DengXian"/>
          <w:lang w:val="en-CA"/>
        </w:rPr>
        <w:t xml:space="preserve"> DESIGN</w:t>
      </w:r>
      <w:r w:rsidR="00CE725D" w:rsidRPr="00830F16">
        <w:rPr>
          <w:rFonts w:eastAsia="DengXian"/>
          <w:lang w:val="en-CA"/>
        </w:rPr>
        <w:t>-</w:t>
      </w:r>
      <w:r w:rsidRPr="00830F16">
        <w:rPr>
          <w:rFonts w:eastAsia="DengXian"/>
          <w:lang w:val="en-CA"/>
        </w:rPr>
        <w:t>THINKING PROCESS</w:t>
      </w:r>
    </w:p>
    <w:p w14:paraId="700C6496" w14:textId="77777777" w:rsidR="00843F97" w:rsidRPr="00830F16" w:rsidRDefault="00843F97" w:rsidP="00843F97">
      <w:pPr>
        <w:jc w:val="center"/>
        <w:rPr>
          <w:rFonts w:eastAsia="DengXian"/>
          <w:sz w:val="22"/>
          <w:szCs w:val="22"/>
          <w:lang w:val="en-CA"/>
        </w:rPr>
      </w:pPr>
    </w:p>
    <w:p w14:paraId="267BCB06" w14:textId="77777777" w:rsidR="00843F97" w:rsidRPr="00830F16" w:rsidRDefault="00843F97" w:rsidP="002952ED">
      <w:pPr>
        <w:numPr>
          <w:ilvl w:val="0"/>
          <w:numId w:val="13"/>
        </w:numPr>
        <w:ind w:left="360" w:hanging="360"/>
        <w:contextualSpacing/>
        <w:rPr>
          <w:rFonts w:ascii="Arial" w:eastAsia="DengXian" w:hAnsi="Arial" w:cs="Arial"/>
          <w:szCs w:val="22"/>
          <w:lang w:val="en-CA"/>
        </w:rPr>
      </w:pPr>
      <w:r w:rsidRPr="00830F16">
        <w:rPr>
          <w:rFonts w:ascii="Arial" w:eastAsia="DengXian" w:hAnsi="Arial" w:cs="Arial"/>
          <w:szCs w:val="22"/>
          <w:lang w:val="en-CA"/>
        </w:rPr>
        <w:t>Identify the customers you want to work with.</w:t>
      </w:r>
    </w:p>
    <w:p w14:paraId="76287AD2" w14:textId="77777777" w:rsidR="00843F97" w:rsidRPr="00830F16" w:rsidRDefault="00843F97" w:rsidP="002952ED">
      <w:pPr>
        <w:numPr>
          <w:ilvl w:val="0"/>
          <w:numId w:val="13"/>
        </w:numPr>
        <w:ind w:left="360" w:hanging="360"/>
        <w:contextualSpacing/>
        <w:rPr>
          <w:rFonts w:ascii="Arial" w:eastAsia="DengXian" w:hAnsi="Arial" w:cs="Arial"/>
          <w:szCs w:val="22"/>
          <w:lang w:val="en-CA"/>
        </w:rPr>
      </w:pPr>
      <w:r w:rsidRPr="00830F16">
        <w:rPr>
          <w:rFonts w:ascii="Arial" w:eastAsia="DengXian" w:hAnsi="Arial" w:cs="Arial"/>
          <w:szCs w:val="22"/>
          <w:lang w:val="en-CA"/>
        </w:rPr>
        <w:t>Formulate problem statements encountered by the customers.</w:t>
      </w:r>
    </w:p>
    <w:p w14:paraId="09FCBBBC" w14:textId="0BDC02CE" w:rsidR="00843F97" w:rsidRPr="00830F16" w:rsidRDefault="00843F97" w:rsidP="002952ED">
      <w:pPr>
        <w:numPr>
          <w:ilvl w:val="0"/>
          <w:numId w:val="13"/>
        </w:numPr>
        <w:ind w:left="360" w:hanging="360"/>
        <w:contextualSpacing/>
        <w:rPr>
          <w:rFonts w:ascii="Arial" w:eastAsia="DengXian" w:hAnsi="Arial" w:cs="Arial"/>
          <w:szCs w:val="22"/>
          <w:lang w:val="en-CA"/>
        </w:rPr>
      </w:pPr>
      <w:r w:rsidRPr="00830F16">
        <w:rPr>
          <w:rFonts w:ascii="Arial" w:eastAsia="DengXian" w:hAnsi="Arial" w:cs="Arial"/>
          <w:szCs w:val="22"/>
          <w:lang w:val="en-CA"/>
        </w:rPr>
        <w:t>Walk the customer’s journey</w:t>
      </w:r>
      <w:r w:rsidR="00CE725D" w:rsidRPr="00830F16">
        <w:rPr>
          <w:rFonts w:ascii="Arial" w:eastAsia="DengXian" w:hAnsi="Arial" w:cs="Arial"/>
          <w:szCs w:val="22"/>
          <w:lang w:val="en-CA"/>
        </w:rPr>
        <w:t>.</w:t>
      </w:r>
      <w:r w:rsidRPr="00830F16">
        <w:rPr>
          <w:rFonts w:ascii="Arial" w:eastAsia="DengXian" w:hAnsi="Arial" w:cs="Arial"/>
          <w:szCs w:val="22"/>
          <w:lang w:val="en-CA"/>
        </w:rPr>
        <w:t xml:space="preserve"> </w:t>
      </w:r>
      <w:r w:rsidR="00CE725D" w:rsidRPr="00830F16">
        <w:rPr>
          <w:rFonts w:ascii="Arial" w:eastAsia="DengXian" w:hAnsi="Arial" w:cs="Arial"/>
          <w:szCs w:val="22"/>
          <w:lang w:val="en-CA"/>
        </w:rPr>
        <w:t>E</w:t>
      </w:r>
      <w:r w:rsidRPr="00830F16">
        <w:rPr>
          <w:rFonts w:ascii="Arial" w:eastAsia="DengXian" w:hAnsi="Arial" w:cs="Arial"/>
          <w:szCs w:val="22"/>
          <w:lang w:val="en-CA"/>
        </w:rPr>
        <w:t xml:space="preserve">mpathize with the customer’s perspective of the problem and know why they are frustrated. </w:t>
      </w:r>
    </w:p>
    <w:p w14:paraId="3FBACF13" w14:textId="77777777" w:rsidR="00843F97" w:rsidRPr="00830F16" w:rsidRDefault="00843F97" w:rsidP="002952ED">
      <w:pPr>
        <w:numPr>
          <w:ilvl w:val="0"/>
          <w:numId w:val="13"/>
        </w:numPr>
        <w:ind w:left="360" w:hanging="360"/>
        <w:contextualSpacing/>
        <w:rPr>
          <w:rFonts w:ascii="Arial" w:eastAsia="DengXian" w:hAnsi="Arial" w:cs="Arial"/>
          <w:szCs w:val="22"/>
          <w:lang w:val="en-CA"/>
        </w:rPr>
      </w:pPr>
      <w:r w:rsidRPr="00830F16">
        <w:rPr>
          <w:rFonts w:ascii="Arial" w:eastAsia="DengXian" w:hAnsi="Arial" w:cs="Arial"/>
          <w:szCs w:val="22"/>
          <w:lang w:val="en-CA"/>
        </w:rPr>
        <w:t>Ideate and come up with a workable concept to build the prototype.</w:t>
      </w:r>
    </w:p>
    <w:p w14:paraId="7CA6D315" w14:textId="40ACC09B" w:rsidR="00843F97" w:rsidRPr="00830F16" w:rsidRDefault="00843F97" w:rsidP="002952ED">
      <w:pPr>
        <w:numPr>
          <w:ilvl w:val="0"/>
          <w:numId w:val="13"/>
        </w:numPr>
        <w:ind w:left="360" w:hanging="360"/>
        <w:contextualSpacing/>
        <w:rPr>
          <w:rFonts w:ascii="Arial" w:eastAsia="DengXian" w:hAnsi="Arial" w:cs="Arial"/>
          <w:szCs w:val="22"/>
          <w:lang w:val="en-CA"/>
        </w:rPr>
      </w:pPr>
      <w:r w:rsidRPr="00830F16">
        <w:rPr>
          <w:rFonts w:ascii="Arial" w:eastAsia="DengXian" w:hAnsi="Arial" w:cs="Arial"/>
          <w:szCs w:val="22"/>
          <w:lang w:val="en-CA"/>
        </w:rPr>
        <w:t>Test the prototype with the customers to gauge the suitability of the solution.</w:t>
      </w:r>
    </w:p>
    <w:p w14:paraId="23125973" w14:textId="77777777" w:rsidR="005F5B50" w:rsidRPr="00830F16" w:rsidRDefault="005F5B50" w:rsidP="00843F97">
      <w:pPr>
        <w:rPr>
          <w:rFonts w:ascii="Arial" w:eastAsia="DengXian" w:hAnsi="Arial" w:cs="Arial"/>
          <w:sz w:val="17"/>
          <w:szCs w:val="17"/>
          <w:lang w:val="en-CA"/>
        </w:rPr>
      </w:pPr>
    </w:p>
    <w:p w14:paraId="48C1365A" w14:textId="5DCE3AB3" w:rsidR="00F21D1D" w:rsidRPr="00830F16" w:rsidRDefault="00843F97" w:rsidP="00843F97">
      <w:pPr>
        <w:rPr>
          <w:rFonts w:ascii="Arial" w:eastAsia="DengXian" w:hAnsi="Arial" w:cs="Arial"/>
          <w:sz w:val="17"/>
          <w:szCs w:val="17"/>
          <w:lang w:val="en-CA"/>
        </w:rPr>
      </w:pPr>
      <w:r w:rsidRPr="00830F16">
        <w:rPr>
          <w:rFonts w:ascii="Arial" w:eastAsia="DengXian" w:hAnsi="Arial" w:cs="Arial"/>
          <w:sz w:val="17"/>
          <w:szCs w:val="17"/>
          <w:lang w:val="en-CA"/>
        </w:rPr>
        <w:t xml:space="preserve">Source: </w:t>
      </w:r>
      <w:r w:rsidR="00CE725D" w:rsidRPr="00830F16">
        <w:rPr>
          <w:rFonts w:ascii="Arial" w:eastAsia="DengXian" w:hAnsi="Arial" w:cs="Arial"/>
          <w:sz w:val="17"/>
          <w:szCs w:val="17"/>
          <w:lang w:val="en-CA"/>
        </w:rPr>
        <w:t xml:space="preserve">Michael </w:t>
      </w:r>
      <w:r w:rsidRPr="00830F16">
        <w:rPr>
          <w:rFonts w:ascii="Arial" w:eastAsia="DengXian" w:hAnsi="Arial" w:cs="Arial"/>
          <w:sz w:val="17"/>
          <w:szCs w:val="17"/>
          <w:lang w:val="en-CA"/>
        </w:rPr>
        <w:t xml:space="preserve">Sim, interview with </w:t>
      </w:r>
      <w:r w:rsidR="00E41FFB" w:rsidRPr="00830F16">
        <w:rPr>
          <w:rFonts w:ascii="Arial" w:eastAsia="DengXian" w:hAnsi="Arial" w:cs="Arial"/>
          <w:sz w:val="17"/>
          <w:szCs w:val="17"/>
          <w:lang w:val="en-CA"/>
        </w:rPr>
        <w:t xml:space="preserve">case </w:t>
      </w:r>
      <w:r w:rsidRPr="00830F16">
        <w:rPr>
          <w:rFonts w:ascii="Arial" w:eastAsia="DengXian" w:hAnsi="Arial" w:cs="Arial"/>
          <w:sz w:val="17"/>
          <w:szCs w:val="17"/>
          <w:lang w:val="en-CA"/>
        </w:rPr>
        <w:t>authors, October 20, 2017.</w:t>
      </w:r>
    </w:p>
    <w:p w14:paraId="741F1FFF" w14:textId="77777777" w:rsidR="00F21D1D" w:rsidRPr="00830F16" w:rsidRDefault="00F21D1D">
      <w:pPr>
        <w:spacing w:after="200" w:line="276" w:lineRule="auto"/>
        <w:rPr>
          <w:rFonts w:ascii="Arial" w:eastAsia="DengXian" w:hAnsi="Arial" w:cs="Arial"/>
          <w:sz w:val="17"/>
          <w:szCs w:val="17"/>
          <w:lang w:val="en-CA"/>
        </w:rPr>
      </w:pPr>
      <w:r w:rsidRPr="00830F16">
        <w:rPr>
          <w:rFonts w:ascii="Arial" w:eastAsia="DengXian" w:hAnsi="Arial" w:cs="Arial"/>
          <w:sz w:val="17"/>
          <w:szCs w:val="17"/>
          <w:lang w:val="en-CA"/>
        </w:rPr>
        <w:br w:type="page"/>
      </w:r>
    </w:p>
    <w:p w14:paraId="6AA23002" w14:textId="6B189D62" w:rsidR="005E19B4" w:rsidRPr="00830F16" w:rsidRDefault="005E19B4" w:rsidP="005E19B4">
      <w:pPr>
        <w:pStyle w:val="Casehead1"/>
        <w:rPr>
          <w:rFonts w:eastAsia="DengXian"/>
          <w:lang w:val="en-CA"/>
        </w:rPr>
      </w:pPr>
      <w:r w:rsidRPr="00830F16">
        <w:rPr>
          <w:rFonts w:eastAsia="DengXian"/>
          <w:lang w:val="en-CA"/>
        </w:rPr>
        <w:lastRenderedPageBreak/>
        <w:t>ENDNOTES</w:t>
      </w:r>
    </w:p>
    <w:sectPr w:rsidR="005E19B4" w:rsidRPr="00830F16"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49A1A" w16cid:durableId="20911C86"/>
  <w16cid:commentId w16cid:paraId="768065B6" w16cid:durableId="20895E6E"/>
  <w16cid:commentId w16cid:paraId="5D4BBD5E" w16cid:durableId="20895FBE"/>
  <w16cid:commentId w16cid:paraId="71C06007" w16cid:durableId="209126B0"/>
  <w16cid:commentId w16cid:paraId="301CF2DE" w16cid:durableId="20913774"/>
  <w16cid:commentId w16cid:paraId="0151FA11" w16cid:durableId="208FDAA3"/>
  <w16cid:commentId w16cid:paraId="270DB393" w16cid:durableId="20913176"/>
  <w16cid:commentId w16cid:paraId="033E52C7" w16cid:durableId="2089651D"/>
  <w16cid:commentId w16cid:paraId="32AB190A" w16cid:durableId="20911E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ADD49" w14:textId="77777777" w:rsidR="00DE6CB1" w:rsidRDefault="00DE6CB1" w:rsidP="00D75295">
      <w:r>
        <w:separator/>
      </w:r>
    </w:p>
  </w:endnote>
  <w:endnote w:type="continuationSeparator" w:id="0">
    <w:p w14:paraId="11DC53BF" w14:textId="77777777" w:rsidR="00DE6CB1" w:rsidRDefault="00DE6CB1" w:rsidP="00D75295">
      <w:r>
        <w:continuationSeparator/>
      </w:r>
    </w:p>
  </w:endnote>
  <w:endnote w:id="1">
    <w:p w14:paraId="2C0F3949" w14:textId="729278D5" w:rsidR="00164FB3" w:rsidRPr="008F7473" w:rsidRDefault="00164FB3" w:rsidP="000B09AB">
      <w:pPr>
        <w:pStyle w:val="EndnoteText"/>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lang w:val="en-SG"/>
        </w:rPr>
        <w:t xml:space="preserve">SG$ = </w:t>
      </w:r>
      <w:r>
        <w:rPr>
          <w:rFonts w:ascii="Arial" w:hAnsi="Arial" w:cs="Arial"/>
          <w:sz w:val="17"/>
          <w:szCs w:val="17"/>
          <w:lang w:val="en-SG"/>
        </w:rPr>
        <w:t xml:space="preserve">SGD = </w:t>
      </w:r>
      <w:r w:rsidRPr="008F7473">
        <w:rPr>
          <w:rFonts w:ascii="Arial" w:hAnsi="Arial" w:cs="Arial"/>
          <w:sz w:val="17"/>
          <w:szCs w:val="17"/>
          <w:lang w:val="en-SG"/>
        </w:rPr>
        <w:t>Singapore dollar; SG$1 = US$0.74 on February 14, 2018; all currency amounts are in Singapore dollars.</w:t>
      </w:r>
    </w:p>
  </w:endnote>
  <w:endnote w:id="2">
    <w:p w14:paraId="34134177" w14:textId="6239FF9E" w:rsidR="00164FB3" w:rsidRPr="008F7473" w:rsidRDefault="00164FB3" w:rsidP="002952ED">
      <w:pPr>
        <w:pStyle w:val="EndnoteText"/>
        <w:jc w:val="both"/>
        <w:rPr>
          <w:rFonts w:ascii="Arial" w:hAnsi="Arial" w:cs="Arial"/>
          <w:sz w:val="17"/>
          <w:szCs w:val="17"/>
          <w:lang w:val="en-US"/>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Style w:val="FootnoteChar"/>
          <w:rFonts w:eastAsia="Calibri"/>
        </w:rPr>
        <w:t>World Population Review, “Singapore Population (Demographics, Maps, Graphs)</w:t>
      </w:r>
      <w:r>
        <w:rPr>
          <w:rStyle w:val="FootnoteChar"/>
          <w:rFonts w:eastAsia="Calibri"/>
          <w:lang w:val="en-CA"/>
        </w:rPr>
        <w:t>,</w:t>
      </w:r>
      <w:r w:rsidRPr="008F7473">
        <w:rPr>
          <w:rStyle w:val="FootnoteChar"/>
          <w:rFonts w:eastAsia="Calibri"/>
        </w:rPr>
        <w:t>” accessed November 17, 2017, http://worldpopulationreview.com/countries/singapore-population/.</w:t>
      </w:r>
    </w:p>
  </w:endnote>
  <w:endnote w:id="3">
    <w:p w14:paraId="5F157AF0" w14:textId="2CDD801F"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proofErr w:type="spellStart"/>
      <w:r w:rsidRPr="008F7473">
        <w:rPr>
          <w:rFonts w:ascii="Arial" w:hAnsi="Arial" w:cs="Arial"/>
          <w:sz w:val="17"/>
          <w:szCs w:val="17"/>
        </w:rPr>
        <w:t>Infocomm</w:t>
      </w:r>
      <w:proofErr w:type="spellEnd"/>
      <w:r w:rsidRPr="008F7473">
        <w:rPr>
          <w:rFonts w:ascii="Arial" w:hAnsi="Arial" w:cs="Arial"/>
          <w:sz w:val="17"/>
          <w:szCs w:val="17"/>
        </w:rPr>
        <w:t xml:space="preserve"> Media Development Authority (</w:t>
      </w:r>
      <w:proofErr w:type="spellStart"/>
      <w:r w:rsidRPr="008F7473">
        <w:rPr>
          <w:rFonts w:ascii="Arial" w:hAnsi="Arial" w:cs="Arial"/>
          <w:sz w:val="17"/>
          <w:szCs w:val="17"/>
        </w:rPr>
        <w:t>IMDA</w:t>
      </w:r>
      <w:proofErr w:type="spellEnd"/>
      <w:r w:rsidRPr="008F7473">
        <w:rPr>
          <w:rFonts w:ascii="Arial" w:hAnsi="Arial" w:cs="Arial"/>
          <w:sz w:val="17"/>
          <w:szCs w:val="17"/>
        </w:rPr>
        <w:t>)</w:t>
      </w:r>
      <w:r w:rsidRPr="008F7473">
        <w:rPr>
          <w:rFonts w:ascii="Arial" w:hAnsi="Arial" w:cs="Arial"/>
          <w:sz w:val="17"/>
          <w:szCs w:val="17"/>
          <w:lang w:val="en-CA"/>
        </w:rPr>
        <w:t>, “</w:t>
      </w:r>
      <w:r w:rsidRPr="008F7473">
        <w:rPr>
          <w:rFonts w:ascii="Arial" w:hAnsi="Arial" w:cs="Arial"/>
          <w:sz w:val="17"/>
          <w:szCs w:val="17"/>
        </w:rPr>
        <w:t>Telecommunications</w:t>
      </w:r>
      <w:r>
        <w:rPr>
          <w:rFonts w:ascii="Arial" w:hAnsi="Arial" w:cs="Arial"/>
          <w:sz w:val="17"/>
          <w:szCs w:val="17"/>
          <w:lang w:val="en-CA"/>
        </w:rPr>
        <w:t>,</w:t>
      </w:r>
      <w:r w:rsidRPr="008F7473">
        <w:rPr>
          <w:rFonts w:ascii="Arial" w:hAnsi="Arial" w:cs="Arial"/>
          <w:sz w:val="17"/>
          <w:szCs w:val="17"/>
        </w:rPr>
        <w:t xml:space="preserve">” accessed June 19, 2017, </w:t>
      </w:r>
      <w:proofErr w:type="spellStart"/>
      <w:r w:rsidRPr="008F7473">
        <w:rPr>
          <w:rFonts w:ascii="Arial" w:hAnsi="Arial" w:cs="Arial"/>
          <w:sz w:val="17"/>
          <w:szCs w:val="17"/>
        </w:rPr>
        <w:t>w</w:t>
      </w:r>
      <w:r w:rsidRPr="008F7473">
        <w:rPr>
          <w:rFonts w:ascii="Arial" w:hAnsi="Arial" w:cs="Arial"/>
          <w:sz w:val="17"/>
          <w:szCs w:val="17"/>
          <w:lang w:val="en-US"/>
        </w:rPr>
        <w:t>w</w:t>
      </w:r>
      <w:proofErr w:type="spellEnd"/>
      <w:r w:rsidRPr="008F7473">
        <w:rPr>
          <w:rFonts w:ascii="Arial" w:hAnsi="Arial" w:cs="Arial"/>
          <w:sz w:val="17"/>
          <w:szCs w:val="17"/>
        </w:rPr>
        <w:t>w.imda.gov.sg/industry-development/facts-and-figures/telecommunications#1x</w:t>
      </w:r>
      <w:r w:rsidRPr="008F7473">
        <w:rPr>
          <w:rFonts w:ascii="Arial" w:hAnsi="Arial" w:cs="Arial"/>
          <w:sz w:val="17"/>
          <w:szCs w:val="17"/>
          <w:lang w:val="en-CA"/>
        </w:rPr>
        <w:t>.</w:t>
      </w:r>
    </w:p>
  </w:endnote>
  <w:endnote w:id="4">
    <w:p w14:paraId="03561C70" w14:textId="08D02A72"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r>
        <w:rPr>
          <w:rFonts w:ascii="Arial" w:hAnsi="Arial" w:cs="Arial"/>
          <w:sz w:val="17"/>
          <w:szCs w:val="17"/>
          <w:lang w:val="en-CA"/>
        </w:rPr>
        <w:t xml:space="preserve">Tan </w:t>
      </w:r>
      <w:proofErr w:type="spellStart"/>
      <w:r>
        <w:rPr>
          <w:rFonts w:ascii="Arial" w:hAnsi="Arial" w:cs="Arial"/>
          <w:sz w:val="17"/>
          <w:szCs w:val="17"/>
          <w:lang w:val="en-CA"/>
        </w:rPr>
        <w:t>Weizhen</w:t>
      </w:r>
      <w:proofErr w:type="spellEnd"/>
      <w:r>
        <w:rPr>
          <w:rFonts w:ascii="Arial" w:hAnsi="Arial" w:cs="Arial"/>
          <w:sz w:val="17"/>
          <w:szCs w:val="17"/>
          <w:lang w:val="en-CA"/>
        </w:rPr>
        <w:t xml:space="preserve">, </w:t>
      </w:r>
      <w:r w:rsidRPr="008F7473">
        <w:rPr>
          <w:rFonts w:ascii="Arial" w:hAnsi="Arial" w:cs="Arial"/>
          <w:sz w:val="17"/>
          <w:szCs w:val="17"/>
        </w:rPr>
        <w:t xml:space="preserve">“The Big Read: </w:t>
      </w:r>
      <w:proofErr w:type="spellStart"/>
      <w:r w:rsidRPr="008F7473">
        <w:rPr>
          <w:rFonts w:ascii="Arial" w:hAnsi="Arial" w:cs="Arial"/>
          <w:sz w:val="17"/>
          <w:szCs w:val="17"/>
        </w:rPr>
        <w:t>Telcos</w:t>
      </w:r>
      <w:proofErr w:type="spellEnd"/>
      <w:r w:rsidRPr="008F7473">
        <w:rPr>
          <w:rFonts w:ascii="Arial" w:hAnsi="Arial" w:cs="Arial"/>
          <w:sz w:val="17"/>
          <w:szCs w:val="17"/>
        </w:rPr>
        <w:t xml:space="preserve"> </w:t>
      </w:r>
      <w:r>
        <w:rPr>
          <w:rFonts w:ascii="Arial" w:hAnsi="Arial" w:cs="Arial"/>
          <w:sz w:val="17"/>
          <w:szCs w:val="17"/>
          <w:lang w:val="en-CA"/>
        </w:rPr>
        <w:t>R</w:t>
      </w:r>
      <w:proofErr w:type="spellStart"/>
      <w:r w:rsidRPr="008F7473">
        <w:rPr>
          <w:rFonts w:ascii="Arial" w:hAnsi="Arial" w:cs="Arial"/>
          <w:sz w:val="17"/>
          <w:szCs w:val="17"/>
        </w:rPr>
        <w:t>ing</w:t>
      </w:r>
      <w:proofErr w:type="spellEnd"/>
      <w:r w:rsidRPr="008F7473">
        <w:rPr>
          <w:rFonts w:ascii="Arial" w:hAnsi="Arial" w:cs="Arial"/>
          <w:sz w:val="17"/>
          <w:szCs w:val="17"/>
        </w:rPr>
        <w:t xml:space="preserve"> </w:t>
      </w:r>
      <w:r>
        <w:rPr>
          <w:rFonts w:ascii="Arial" w:hAnsi="Arial" w:cs="Arial"/>
          <w:sz w:val="17"/>
          <w:szCs w:val="17"/>
          <w:lang w:val="en-CA"/>
        </w:rPr>
        <w:t>C</w:t>
      </w:r>
      <w:proofErr w:type="spellStart"/>
      <w:r w:rsidRPr="008F7473">
        <w:rPr>
          <w:rFonts w:ascii="Arial" w:hAnsi="Arial" w:cs="Arial"/>
          <w:sz w:val="17"/>
          <w:szCs w:val="17"/>
        </w:rPr>
        <w:t>hanges</w:t>
      </w:r>
      <w:proofErr w:type="spellEnd"/>
      <w:r w:rsidRPr="008F7473">
        <w:rPr>
          <w:rFonts w:ascii="Arial" w:hAnsi="Arial" w:cs="Arial"/>
          <w:sz w:val="17"/>
          <w:szCs w:val="17"/>
        </w:rPr>
        <w:t xml:space="preserve"> as the </w:t>
      </w:r>
      <w:r>
        <w:rPr>
          <w:rFonts w:ascii="Arial" w:hAnsi="Arial" w:cs="Arial"/>
          <w:sz w:val="17"/>
          <w:szCs w:val="17"/>
          <w:lang w:val="en-CA"/>
        </w:rPr>
        <w:t>C</w:t>
      </w:r>
      <w:proofErr w:type="spellStart"/>
      <w:r w:rsidRPr="008F7473">
        <w:rPr>
          <w:rFonts w:ascii="Arial" w:hAnsi="Arial" w:cs="Arial"/>
          <w:sz w:val="17"/>
          <w:szCs w:val="17"/>
        </w:rPr>
        <w:t>onsumer</w:t>
      </w:r>
      <w:proofErr w:type="spellEnd"/>
      <w:r w:rsidRPr="008F7473">
        <w:rPr>
          <w:rFonts w:ascii="Arial" w:hAnsi="Arial" w:cs="Arial"/>
          <w:sz w:val="17"/>
          <w:szCs w:val="17"/>
        </w:rPr>
        <w:t xml:space="preserve"> </w:t>
      </w:r>
      <w:r>
        <w:rPr>
          <w:rFonts w:ascii="Arial" w:hAnsi="Arial" w:cs="Arial"/>
          <w:sz w:val="17"/>
          <w:szCs w:val="17"/>
          <w:lang w:val="en-CA"/>
        </w:rPr>
        <w:t>B</w:t>
      </w:r>
      <w:proofErr w:type="spellStart"/>
      <w:r w:rsidRPr="008F7473">
        <w:rPr>
          <w:rFonts w:ascii="Arial" w:hAnsi="Arial" w:cs="Arial"/>
          <w:sz w:val="17"/>
          <w:szCs w:val="17"/>
        </w:rPr>
        <w:t>ecomes</w:t>
      </w:r>
      <w:proofErr w:type="spellEnd"/>
      <w:r w:rsidRPr="008F7473">
        <w:rPr>
          <w:rFonts w:ascii="Arial" w:hAnsi="Arial" w:cs="Arial"/>
          <w:sz w:val="17"/>
          <w:szCs w:val="17"/>
        </w:rPr>
        <w:t xml:space="preserve"> </w:t>
      </w:r>
      <w:r>
        <w:rPr>
          <w:rFonts w:ascii="Arial" w:hAnsi="Arial" w:cs="Arial"/>
          <w:sz w:val="17"/>
          <w:szCs w:val="17"/>
          <w:lang w:val="en-CA"/>
        </w:rPr>
        <w:t>K</w:t>
      </w:r>
      <w:proofErr w:type="spellStart"/>
      <w:r w:rsidRPr="008F7473">
        <w:rPr>
          <w:rFonts w:ascii="Arial" w:hAnsi="Arial" w:cs="Arial"/>
          <w:sz w:val="17"/>
          <w:szCs w:val="17"/>
        </w:rPr>
        <w:t>ing</w:t>
      </w:r>
      <w:proofErr w:type="spellEnd"/>
      <w:r w:rsidRPr="008F7473">
        <w:rPr>
          <w:rFonts w:ascii="Arial" w:hAnsi="Arial" w:cs="Arial"/>
          <w:sz w:val="17"/>
          <w:szCs w:val="17"/>
          <w:lang w:val="en-CA"/>
        </w:rPr>
        <w:t>,</w:t>
      </w:r>
      <w:r w:rsidRPr="008F7473">
        <w:rPr>
          <w:rFonts w:ascii="Arial" w:hAnsi="Arial" w:cs="Arial"/>
          <w:sz w:val="17"/>
          <w:szCs w:val="17"/>
        </w:rPr>
        <w:t xml:space="preserve">” </w:t>
      </w:r>
      <w:r w:rsidRPr="008F7473">
        <w:rPr>
          <w:rFonts w:ascii="Arial" w:hAnsi="Arial" w:cs="Arial"/>
          <w:sz w:val="17"/>
          <w:szCs w:val="17"/>
          <w:lang w:val="en-CA"/>
        </w:rPr>
        <w:t xml:space="preserve">Today Online, </w:t>
      </w:r>
      <w:r>
        <w:rPr>
          <w:rFonts w:ascii="Arial" w:hAnsi="Arial" w:cs="Arial"/>
          <w:sz w:val="17"/>
          <w:szCs w:val="17"/>
          <w:lang w:val="en-CA"/>
        </w:rPr>
        <w:t xml:space="preserve">June 3, 2016, </w:t>
      </w:r>
      <w:r w:rsidRPr="008F7473">
        <w:rPr>
          <w:rFonts w:ascii="Arial" w:hAnsi="Arial" w:cs="Arial"/>
          <w:sz w:val="17"/>
          <w:szCs w:val="17"/>
        </w:rPr>
        <w:t>accessed January 10, 2017, www.todayonline.com/singapore/telcos-ring-changes-consumer-becomes-king</w:t>
      </w:r>
      <w:r w:rsidRPr="008F7473">
        <w:rPr>
          <w:rFonts w:ascii="Arial" w:hAnsi="Arial" w:cs="Arial"/>
          <w:sz w:val="17"/>
          <w:szCs w:val="17"/>
          <w:lang w:val="en-CA"/>
        </w:rPr>
        <w:t>.</w:t>
      </w:r>
    </w:p>
  </w:endnote>
  <w:endnote w:id="5">
    <w:p w14:paraId="198DAA0A" w14:textId="5C3A46AE"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2952ED">
        <w:rPr>
          <w:rFonts w:ascii="Arial" w:hAnsi="Arial" w:cs="Arial"/>
          <w:sz w:val="17"/>
          <w:szCs w:val="17"/>
        </w:rPr>
        <w:t>Business Monitor International (BMI) Research</w:t>
      </w:r>
      <w:r w:rsidRPr="00FF2D18">
        <w:rPr>
          <w:rFonts w:ascii="Arial" w:hAnsi="Arial" w:cs="Arial"/>
          <w:sz w:val="17"/>
          <w:szCs w:val="17"/>
        </w:rPr>
        <w:t>,</w:t>
      </w:r>
      <w:r>
        <w:rPr>
          <w:rFonts w:ascii="Arial" w:hAnsi="Arial" w:cs="Arial"/>
          <w:sz w:val="17"/>
          <w:szCs w:val="17"/>
          <w:lang w:val="en-CA"/>
        </w:rPr>
        <w:t xml:space="preserve"> </w:t>
      </w:r>
      <w:r w:rsidRPr="008F7473">
        <w:rPr>
          <w:rFonts w:ascii="Arial" w:hAnsi="Arial" w:cs="Arial"/>
          <w:sz w:val="17"/>
          <w:szCs w:val="17"/>
        </w:rPr>
        <w:t>“</w:t>
      </w:r>
      <w:r w:rsidRPr="008F7473">
        <w:rPr>
          <w:rFonts w:ascii="Arial" w:hAnsi="Arial" w:cs="Arial"/>
          <w:sz w:val="17"/>
          <w:szCs w:val="17"/>
          <w:lang w:eastAsia="zh-CN"/>
        </w:rPr>
        <w:t>Market</w:t>
      </w:r>
      <w:r w:rsidRPr="008F7473">
        <w:rPr>
          <w:rFonts w:ascii="Arial" w:hAnsi="Arial" w:cs="Arial"/>
          <w:sz w:val="17"/>
          <w:szCs w:val="17"/>
          <w:lang w:val="en-GB" w:eastAsia="zh-CN"/>
        </w:rPr>
        <w:t xml:space="preserve"> Overview – Singapore – Q3 2017,” accessed January 11, 2017, https://bmo.bmiresearch.com/article/view?article=1283029.</w:t>
      </w:r>
    </w:p>
  </w:endnote>
  <w:endnote w:id="6">
    <w:p w14:paraId="6AC101B2" w14:textId="218103A9" w:rsidR="00164FB3" w:rsidRPr="008F7473" w:rsidRDefault="00164FB3" w:rsidP="002952ED">
      <w:pPr>
        <w:pStyle w:val="EndnoteText"/>
        <w:jc w:val="both"/>
        <w:rPr>
          <w:rFonts w:ascii="Arial" w:hAnsi="Arial" w:cs="Arial"/>
          <w:sz w:val="17"/>
          <w:szCs w:val="17"/>
          <w:lang w:val="en-GB" w:eastAsia="zh-CN"/>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B67CAE">
        <w:rPr>
          <w:rFonts w:ascii="Arial" w:hAnsi="Arial" w:cs="Arial"/>
          <w:sz w:val="17"/>
          <w:szCs w:val="17"/>
        </w:rPr>
        <w:t>Business Monitor International (BMI) Research</w:t>
      </w:r>
      <w:r w:rsidRPr="00FF2D18">
        <w:rPr>
          <w:rFonts w:ascii="Arial" w:hAnsi="Arial" w:cs="Arial"/>
          <w:sz w:val="17"/>
          <w:szCs w:val="17"/>
        </w:rPr>
        <w:t>,</w:t>
      </w:r>
      <w:r>
        <w:rPr>
          <w:rFonts w:ascii="Arial" w:hAnsi="Arial" w:cs="Arial"/>
          <w:sz w:val="17"/>
          <w:szCs w:val="17"/>
          <w:lang w:val="en-CA"/>
        </w:rPr>
        <w:t xml:space="preserve"> </w:t>
      </w:r>
      <w:r w:rsidRPr="008F7473">
        <w:rPr>
          <w:rFonts w:ascii="Arial" w:hAnsi="Arial" w:cs="Arial"/>
          <w:sz w:val="17"/>
          <w:szCs w:val="17"/>
        </w:rPr>
        <w:t>“</w:t>
      </w:r>
      <w:r w:rsidRPr="008F7473">
        <w:rPr>
          <w:rFonts w:ascii="Arial" w:hAnsi="Arial" w:cs="Arial"/>
          <w:sz w:val="17"/>
          <w:szCs w:val="17"/>
          <w:lang w:eastAsia="zh-CN"/>
        </w:rPr>
        <w:t>Market</w:t>
      </w:r>
      <w:r w:rsidRPr="008F7473">
        <w:rPr>
          <w:rFonts w:ascii="Arial" w:hAnsi="Arial" w:cs="Arial"/>
          <w:sz w:val="17"/>
          <w:szCs w:val="17"/>
          <w:lang w:val="en-GB" w:eastAsia="zh-CN"/>
        </w:rPr>
        <w:t xml:space="preserve"> Overview – Singapore – Q4 2016,”</w:t>
      </w:r>
      <w:r w:rsidRPr="008F7473">
        <w:rPr>
          <w:rFonts w:ascii="Arial" w:hAnsi="Arial" w:cs="Arial"/>
          <w:sz w:val="17"/>
          <w:szCs w:val="17"/>
          <w:lang w:val="en-GB"/>
        </w:rPr>
        <w:t xml:space="preserve"> </w:t>
      </w:r>
      <w:r w:rsidRPr="008F7473">
        <w:rPr>
          <w:rFonts w:ascii="Arial" w:hAnsi="Arial" w:cs="Arial"/>
          <w:sz w:val="17"/>
          <w:szCs w:val="17"/>
          <w:lang w:val="en-GB" w:eastAsia="zh-CN"/>
        </w:rPr>
        <w:t>accessed January 11, 2017, https://bmo.bmiresearch.com/article/view?article=1202204.</w:t>
      </w:r>
    </w:p>
  </w:endnote>
  <w:endnote w:id="7">
    <w:p w14:paraId="096AEF1F" w14:textId="681331D2"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B67CAE">
        <w:rPr>
          <w:rFonts w:ascii="Arial" w:hAnsi="Arial" w:cs="Arial"/>
          <w:sz w:val="17"/>
          <w:szCs w:val="17"/>
        </w:rPr>
        <w:t>Business Monitor International (BMI) Research</w:t>
      </w:r>
      <w:r w:rsidRPr="00FF2D18">
        <w:rPr>
          <w:rFonts w:ascii="Arial" w:hAnsi="Arial" w:cs="Arial"/>
          <w:sz w:val="17"/>
          <w:szCs w:val="17"/>
        </w:rPr>
        <w:t>,</w:t>
      </w:r>
      <w:r>
        <w:rPr>
          <w:rFonts w:ascii="Arial" w:hAnsi="Arial" w:cs="Arial"/>
          <w:sz w:val="17"/>
          <w:szCs w:val="17"/>
          <w:lang w:val="en-CA"/>
        </w:rPr>
        <w:t xml:space="preserve"> </w:t>
      </w:r>
      <w:r w:rsidRPr="008F7473">
        <w:rPr>
          <w:rFonts w:ascii="Arial" w:hAnsi="Arial" w:cs="Arial"/>
          <w:sz w:val="17"/>
          <w:szCs w:val="17"/>
        </w:rPr>
        <w:t>“Market Overview – Singapore – Q2 2017</w:t>
      </w:r>
      <w:r w:rsidRPr="008F7473">
        <w:rPr>
          <w:rFonts w:ascii="Arial" w:hAnsi="Arial" w:cs="Arial"/>
          <w:sz w:val="17"/>
          <w:szCs w:val="17"/>
          <w:lang w:val="en-US"/>
        </w:rPr>
        <w:t>,</w:t>
      </w:r>
      <w:r w:rsidRPr="008F7473">
        <w:rPr>
          <w:rFonts w:ascii="Arial" w:hAnsi="Arial" w:cs="Arial"/>
          <w:sz w:val="17"/>
          <w:szCs w:val="17"/>
        </w:rPr>
        <w:t xml:space="preserve">” </w:t>
      </w:r>
      <w:r w:rsidRPr="008F7473">
        <w:rPr>
          <w:rFonts w:ascii="Arial" w:hAnsi="Arial" w:cs="Arial"/>
          <w:sz w:val="17"/>
          <w:szCs w:val="17"/>
          <w:lang w:val="en-GB"/>
        </w:rPr>
        <w:t>accessed January 9, 2018, https://bmo.bmiresearch.com/article/view?article=1254888.</w:t>
      </w:r>
    </w:p>
  </w:endnote>
  <w:endnote w:id="8">
    <w:p w14:paraId="6664297D" w14:textId="044D5059"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B67CAE">
        <w:rPr>
          <w:rFonts w:ascii="Arial" w:hAnsi="Arial" w:cs="Arial"/>
          <w:sz w:val="17"/>
          <w:szCs w:val="17"/>
        </w:rPr>
        <w:t>Business Monitor International (BMI) Research</w:t>
      </w:r>
      <w:r w:rsidRPr="00FF2D18">
        <w:rPr>
          <w:rFonts w:ascii="Arial" w:hAnsi="Arial" w:cs="Arial"/>
          <w:sz w:val="17"/>
          <w:szCs w:val="17"/>
        </w:rPr>
        <w:t>,</w:t>
      </w:r>
      <w:r>
        <w:rPr>
          <w:rFonts w:ascii="Arial" w:hAnsi="Arial" w:cs="Arial"/>
          <w:sz w:val="17"/>
          <w:szCs w:val="17"/>
          <w:lang w:val="en-CA"/>
        </w:rPr>
        <w:t xml:space="preserve"> </w:t>
      </w:r>
      <w:r w:rsidRPr="008F7473">
        <w:rPr>
          <w:rFonts w:ascii="Arial" w:hAnsi="Arial" w:cs="Arial"/>
          <w:sz w:val="17"/>
          <w:szCs w:val="17"/>
          <w:lang w:val="en-US"/>
        </w:rPr>
        <w:t>“</w:t>
      </w:r>
      <w:r w:rsidRPr="008F7473">
        <w:rPr>
          <w:rFonts w:ascii="Arial" w:hAnsi="Arial" w:cs="Arial"/>
          <w:sz w:val="17"/>
          <w:szCs w:val="17"/>
        </w:rPr>
        <w:t>Market Overview –</w:t>
      </w:r>
      <w:r w:rsidRPr="008F7473">
        <w:rPr>
          <w:rFonts w:ascii="Arial" w:hAnsi="Arial" w:cs="Arial"/>
          <w:sz w:val="17"/>
          <w:szCs w:val="17"/>
          <w:lang w:val="en-US"/>
        </w:rPr>
        <w:t xml:space="preserve"> </w:t>
      </w:r>
      <w:r w:rsidRPr="008F7473">
        <w:rPr>
          <w:rFonts w:ascii="Arial" w:hAnsi="Arial" w:cs="Arial"/>
          <w:sz w:val="17"/>
          <w:szCs w:val="17"/>
        </w:rPr>
        <w:t>Singapore – Q1 2017</w:t>
      </w:r>
      <w:r w:rsidRPr="008F7473">
        <w:rPr>
          <w:rFonts w:ascii="Arial" w:hAnsi="Arial" w:cs="Arial"/>
          <w:sz w:val="17"/>
          <w:szCs w:val="17"/>
          <w:lang w:val="en-CA"/>
        </w:rPr>
        <w:t>,</w:t>
      </w:r>
      <w:r w:rsidRPr="008F7473">
        <w:rPr>
          <w:rFonts w:ascii="Arial" w:hAnsi="Arial" w:cs="Arial"/>
          <w:sz w:val="17"/>
          <w:szCs w:val="17"/>
        </w:rPr>
        <w:t>”</w:t>
      </w:r>
      <w:r w:rsidRPr="008F7473">
        <w:rPr>
          <w:rFonts w:ascii="Arial" w:hAnsi="Arial" w:cs="Arial"/>
          <w:sz w:val="17"/>
          <w:szCs w:val="17"/>
          <w:lang w:val="en-GB"/>
        </w:rPr>
        <w:t xml:space="preserve"> accessed January 9, 2018, https://bmo.bmiresearch.com/article/view?article=1233952.</w:t>
      </w:r>
    </w:p>
  </w:endnote>
  <w:endnote w:id="9">
    <w:p w14:paraId="1588048D" w14:textId="48312969"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2952ED">
        <w:rPr>
          <w:rFonts w:ascii="Arial" w:hAnsi="Arial" w:cs="Arial"/>
          <w:sz w:val="17"/>
          <w:szCs w:val="17"/>
        </w:rPr>
        <w:t>Business Monitor International (BMI) Research</w:t>
      </w:r>
      <w:r w:rsidRPr="002952ED">
        <w:rPr>
          <w:rFonts w:ascii="Arial" w:hAnsi="Arial" w:cs="Arial"/>
          <w:sz w:val="17"/>
          <w:szCs w:val="17"/>
          <w:lang w:val="en-CA"/>
        </w:rPr>
        <w:t>,</w:t>
      </w:r>
      <w:r w:rsidRPr="008F7473">
        <w:rPr>
          <w:rFonts w:ascii="Arial" w:hAnsi="Arial" w:cs="Arial"/>
          <w:sz w:val="17"/>
          <w:szCs w:val="17"/>
        </w:rPr>
        <w:t xml:space="preserve"> </w:t>
      </w:r>
      <w:r w:rsidRPr="008F7473">
        <w:rPr>
          <w:rFonts w:ascii="Arial" w:hAnsi="Arial" w:cs="Arial"/>
          <w:sz w:val="17"/>
          <w:szCs w:val="17"/>
          <w:lang w:val="en-CA"/>
        </w:rPr>
        <w:t>“</w:t>
      </w:r>
      <w:r w:rsidRPr="008F7473">
        <w:rPr>
          <w:rFonts w:ascii="Arial" w:hAnsi="Arial" w:cs="Arial"/>
          <w:sz w:val="17"/>
          <w:szCs w:val="17"/>
        </w:rPr>
        <w:t>Market Overview Singapore – Q1 2017,</w:t>
      </w:r>
      <w:r w:rsidRPr="008F7473">
        <w:rPr>
          <w:rFonts w:ascii="Arial" w:hAnsi="Arial" w:cs="Arial"/>
          <w:sz w:val="17"/>
          <w:szCs w:val="17"/>
          <w:lang w:val="en-CA"/>
        </w:rPr>
        <w:t>”</w:t>
      </w:r>
      <w:r w:rsidRPr="008F7473">
        <w:rPr>
          <w:rFonts w:ascii="Arial" w:hAnsi="Arial" w:cs="Arial"/>
          <w:sz w:val="17"/>
          <w:szCs w:val="17"/>
        </w:rPr>
        <w:t xml:space="preserve"> </w:t>
      </w:r>
      <w:r w:rsidRPr="00830F16">
        <w:rPr>
          <w:rFonts w:ascii="Arial" w:hAnsi="Arial" w:cs="Arial"/>
          <w:sz w:val="17"/>
          <w:szCs w:val="17"/>
          <w:lang w:val="en-CA"/>
        </w:rPr>
        <w:t xml:space="preserve">op. </w:t>
      </w:r>
      <w:proofErr w:type="spellStart"/>
      <w:r w:rsidRPr="00830F16">
        <w:rPr>
          <w:rFonts w:ascii="Arial" w:hAnsi="Arial" w:cs="Arial"/>
          <w:sz w:val="17"/>
          <w:szCs w:val="17"/>
          <w:lang w:val="en-CA"/>
        </w:rPr>
        <w:t>cit</w:t>
      </w:r>
      <w:proofErr w:type="spellEnd"/>
      <w:r w:rsidRPr="008F7473">
        <w:rPr>
          <w:rFonts w:ascii="Arial" w:hAnsi="Arial" w:cs="Arial"/>
          <w:sz w:val="17"/>
          <w:szCs w:val="17"/>
          <w:lang w:val="en-GB"/>
        </w:rPr>
        <w:t>.</w:t>
      </w:r>
    </w:p>
  </w:endnote>
  <w:endnote w:id="10">
    <w:p w14:paraId="2F2C5008" w14:textId="2F437746" w:rsidR="00FF12D4" w:rsidRPr="008F7473" w:rsidRDefault="00FF12D4" w:rsidP="00FF12D4">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proofErr w:type="spellStart"/>
      <w:r>
        <w:rPr>
          <w:rFonts w:ascii="Arial" w:hAnsi="Arial" w:cs="Arial"/>
          <w:sz w:val="17"/>
          <w:szCs w:val="17"/>
          <w:lang w:val="en-CA"/>
        </w:rPr>
        <w:t>Infocomm</w:t>
      </w:r>
      <w:proofErr w:type="spellEnd"/>
      <w:r>
        <w:rPr>
          <w:rFonts w:ascii="Arial" w:hAnsi="Arial" w:cs="Arial"/>
          <w:sz w:val="17"/>
          <w:szCs w:val="17"/>
          <w:lang w:val="en-CA"/>
        </w:rPr>
        <w:t xml:space="preserve"> Media Development Authority, “Statistics on Telecom Services for 2015 (Jul – Dec)”, accessed January 11, 2018, </w:t>
      </w:r>
      <w:r w:rsidRPr="00FF12D4">
        <w:rPr>
          <w:rFonts w:ascii="Arial" w:hAnsi="Arial" w:cs="Arial"/>
          <w:sz w:val="17"/>
          <w:szCs w:val="17"/>
          <w:lang w:val="en-CA"/>
        </w:rPr>
        <w:t>https://www2.imda.gov.sg/infocomm-media-landscape/research-and-statistics/telecommunications/statistics-on-telecom-services/statistic-on-telecom-service-for-2015-jul</w:t>
      </w:r>
      <w:r>
        <w:rPr>
          <w:rFonts w:ascii="Arial" w:hAnsi="Arial" w:cs="Arial"/>
          <w:sz w:val="17"/>
          <w:szCs w:val="17"/>
          <w:lang w:val="en-CA"/>
        </w:rPr>
        <w:t>.</w:t>
      </w:r>
    </w:p>
  </w:endnote>
  <w:endnote w:id="11">
    <w:p w14:paraId="4CFBD1EE" w14:textId="61445F31"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2952ED">
        <w:rPr>
          <w:rFonts w:ascii="Arial" w:hAnsi="Arial" w:cs="Arial"/>
          <w:sz w:val="17"/>
          <w:szCs w:val="17"/>
        </w:rPr>
        <w:t>Business Monitor International (BMI) Research</w:t>
      </w:r>
      <w:r w:rsidRPr="008A7812">
        <w:rPr>
          <w:rFonts w:ascii="Arial" w:hAnsi="Arial" w:cs="Arial"/>
          <w:sz w:val="17"/>
          <w:szCs w:val="17"/>
        </w:rPr>
        <w:t>,</w:t>
      </w:r>
      <w:r>
        <w:rPr>
          <w:rFonts w:ascii="Arial" w:hAnsi="Arial" w:cs="Arial"/>
          <w:sz w:val="17"/>
          <w:szCs w:val="17"/>
          <w:lang w:val="en-CA"/>
        </w:rPr>
        <w:t xml:space="preserve"> </w:t>
      </w:r>
      <w:r w:rsidRPr="008F7473">
        <w:rPr>
          <w:rFonts w:ascii="Arial" w:hAnsi="Arial" w:cs="Arial"/>
          <w:sz w:val="17"/>
          <w:szCs w:val="17"/>
        </w:rPr>
        <w:t xml:space="preserve">“Company Profile – </w:t>
      </w:r>
      <w:proofErr w:type="spellStart"/>
      <w:r w:rsidRPr="008F7473">
        <w:rPr>
          <w:rFonts w:ascii="Arial" w:hAnsi="Arial" w:cs="Arial"/>
          <w:sz w:val="17"/>
          <w:szCs w:val="17"/>
        </w:rPr>
        <w:t>StarHub</w:t>
      </w:r>
      <w:proofErr w:type="spellEnd"/>
      <w:r w:rsidRPr="008F7473">
        <w:rPr>
          <w:rFonts w:ascii="Arial" w:hAnsi="Arial" w:cs="Arial"/>
          <w:sz w:val="17"/>
          <w:szCs w:val="17"/>
        </w:rPr>
        <w:t xml:space="preserve"> – Q4 2012</w:t>
      </w:r>
      <w:r w:rsidRPr="008F7473">
        <w:rPr>
          <w:rFonts w:ascii="Arial" w:hAnsi="Arial" w:cs="Arial"/>
          <w:sz w:val="17"/>
          <w:szCs w:val="17"/>
          <w:lang w:val="en-CA"/>
        </w:rPr>
        <w:t>,</w:t>
      </w:r>
      <w:r w:rsidRPr="008F7473">
        <w:rPr>
          <w:rFonts w:ascii="Arial" w:hAnsi="Arial" w:cs="Arial"/>
          <w:sz w:val="17"/>
          <w:szCs w:val="17"/>
        </w:rPr>
        <w:t>” accessed January 11, 2018</w:t>
      </w:r>
      <w:r w:rsidRPr="008F7473">
        <w:rPr>
          <w:rFonts w:ascii="Arial" w:hAnsi="Arial" w:cs="Arial"/>
          <w:sz w:val="17"/>
          <w:szCs w:val="17"/>
          <w:lang w:val="en-US"/>
        </w:rPr>
        <w:t>, https://bmo.bmiresearch.com/article/view?article=663122</w:t>
      </w:r>
      <w:r w:rsidRPr="008F7473">
        <w:rPr>
          <w:rFonts w:ascii="Arial" w:hAnsi="Arial" w:cs="Arial"/>
          <w:sz w:val="17"/>
          <w:szCs w:val="17"/>
          <w:lang w:val="en-CA"/>
        </w:rPr>
        <w:t>.</w:t>
      </w:r>
    </w:p>
  </w:endnote>
  <w:endnote w:id="12">
    <w:p w14:paraId="73B167C8" w14:textId="1553E071"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Irene </w:t>
      </w:r>
      <w:proofErr w:type="spellStart"/>
      <w:r w:rsidRPr="008F7473">
        <w:rPr>
          <w:rFonts w:ascii="Arial" w:hAnsi="Arial" w:cs="Arial"/>
          <w:sz w:val="17"/>
          <w:szCs w:val="17"/>
        </w:rPr>
        <w:t>Tham</w:t>
      </w:r>
      <w:proofErr w:type="spellEnd"/>
      <w:r w:rsidRPr="008F7473">
        <w:rPr>
          <w:rFonts w:ascii="Arial" w:hAnsi="Arial" w:cs="Arial"/>
          <w:sz w:val="17"/>
          <w:szCs w:val="17"/>
        </w:rPr>
        <w:t>, “</w:t>
      </w:r>
      <w:proofErr w:type="spellStart"/>
      <w:r w:rsidRPr="008F7473">
        <w:rPr>
          <w:rFonts w:ascii="Arial" w:hAnsi="Arial" w:cs="Arial"/>
          <w:sz w:val="17"/>
          <w:szCs w:val="17"/>
        </w:rPr>
        <w:t>MyRepublic</w:t>
      </w:r>
      <w:proofErr w:type="spellEnd"/>
      <w:r w:rsidRPr="008F7473">
        <w:rPr>
          <w:rFonts w:ascii="Arial" w:hAnsi="Arial" w:cs="Arial"/>
          <w:sz w:val="17"/>
          <w:szCs w:val="17"/>
        </w:rPr>
        <w:t xml:space="preserve"> </w:t>
      </w:r>
      <w:r>
        <w:rPr>
          <w:rFonts w:ascii="Arial" w:hAnsi="Arial" w:cs="Arial"/>
          <w:sz w:val="17"/>
          <w:szCs w:val="17"/>
          <w:lang w:val="en-CA"/>
        </w:rPr>
        <w:t>P</w:t>
      </w:r>
      <w:proofErr w:type="spellStart"/>
      <w:r w:rsidRPr="008F7473">
        <w:rPr>
          <w:rFonts w:ascii="Arial" w:hAnsi="Arial" w:cs="Arial"/>
          <w:sz w:val="17"/>
          <w:szCs w:val="17"/>
        </w:rPr>
        <w:t>lans</w:t>
      </w:r>
      <w:proofErr w:type="spellEnd"/>
      <w:r w:rsidRPr="008F7473">
        <w:rPr>
          <w:rFonts w:ascii="Arial" w:hAnsi="Arial" w:cs="Arial"/>
          <w:sz w:val="17"/>
          <w:szCs w:val="17"/>
        </w:rPr>
        <w:t xml:space="preserve"> to </w:t>
      </w:r>
      <w:r>
        <w:rPr>
          <w:rFonts w:ascii="Arial" w:hAnsi="Arial" w:cs="Arial"/>
          <w:sz w:val="17"/>
          <w:szCs w:val="17"/>
          <w:lang w:val="en-CA"/>
        </w:rPr>
        <w:t>L</w:t>
      </w:r>
      <w:proofErr w:type="spellStart"/>
      <w:r w:rsidRPr="008F7473">
        <w:rPr>
          <w:rFonts w:ascii="Arial" w:hAnsi="Arial" w:cs="Arial"/>
          <w:sz w:val="17"/>
          <w:szCs w:val="17"/>
        </w:rPr>
        <w:t>aunch</w:t>
      </w:r>
      <w:proofErr w:type="spellEnd"/>
      <w:r w:rsidRPr="008F7473">
        <w:rPr>
          <w:rFonts w:ascii="Arial" w:hAnsi="Arial" w:cs="Arial"/>
          <w:sz w:val="17"/>
          <w:szCs w:val="17"/>
        </w:rPr>
        <w:t xml:space="preserve"> </w:t>
      </w:r>
      <w:r>
        <w:rPr>
          <w:rFonts w:ascii="Arial" w:hAnsi="Arial" w:cs="Arial"/>
          <w:sz w:val="17"/>
          <w:szCs w:val="17"/>
          <w:lang w:val="en-CA"/>
        </w:rPr>
        <w:t>M</w:t>
      </w:r>
      <w:proofErr w:type="spellStart"/>
      <w:r w:rsidRPr="008F7473">
        <w:rPr>
          <w:rFonts w:ascii="Arial" w:hAnsi="Arial" w:cs="Arial"/>
          <w:sz w:val="17"/>
          <w:szCs w:val="17"/>
        </w:rPr>
        <w:t>obile</w:t>
      </w:r>
      <w:proofErr w:type="spellEnd"/>
      <w:r w:rsidRPr="008F7473">
        <w:rPr>
          <w:rFonts w:ascii="Arial" w:hAnsi="Arial" w:cs="Arial"/>
          <w:sz w:val="17"/>
          <w:szCs w:val="17"/>
        </w:rPr>
        <w:t xml:space="preserve"> </w:t>
      </w:r>
      <w:r>
        <w:rPr>
          <w:rFonts w:ascii="Arial" w:hAnsi="Arial" w:cs="Arial"/>
          <w:sz w:val="17"/>
          <w:szCs w:val="17"/>
          <w:lang w:val="en-CA"/>
        </w:rPr>
        <w:t>S</w:t>
      </w:r>
      <w:proofErr w:type="spellStart"/>
      <w:r w:rsidRPr="008F7473">
        <w:rPr>
          <w:rFonts w:ascii="Arial" w:hAnsi="Arial" w:cs="Arial"/>
          <w:sz w:val="17"/>
          <w:szCs w:val="17"/>
        </w:rPr>
        <w:t>ervices</w:t>
      </w:r>
      <w:proofErr w:type="spellEnd"/>
      <w:r w:rsidRPr="008F7473">
        <w:rPr>
          <w:rFonts w:ascii="Arial" w:hAnsi="Arial" w:cs="Arial"/>
          <w:sz w:val="17"/>
          <w:szCs w:val="17"/>
        </w:rPr>
        <w:t xml:space="preserve"> in Singapore as </w:t>
      </w:r>
      <w:r>
        <w:rPr>
          <w:rFonts w:ascii="Arial" w:hAnsi="Arial" w:cs="Arial"/>
          <w:sz w:val="17"/>
          <w:szCs w:val="17"/>
          <w:lang w:val="en-CA"/>
        </w:rPr>
        <w:t>E</w:t>
      </w:r>
      <w:proofErr w:type="spellStart"/>
      <w:r w:rsidRPr="008F7473">
        <w:rPr>
          <w:rFonts w:ascii="Arial" w:hAnsi="Arial" w:cs="Arial"/>
          <w:sz w:val="17"/>
          <w:szCs w:val="17"/>
        </w:rPr>
        <w:t>arly</w:t>
      </w:r>
      <w:proofErr w:type="spellEnd"/>
      <w:r w:rsidRPr="008F7473">
        <w:rPr>
          <w:rFonts w:ascii="Arial" w:hAnsi="Arial" w:cs="Arial"/>
          <w:sz w:val="17"/>
          <w:szCs w:val="17"/>
        </w:rPr>
        <w:t xml:space="preserve"> as October</w:t>
      </w:r>
      <w:r w:rsidRPr="008F7473">
        <w:rPr>
          <w:rFonts w:ascii="Arial" w:hAnsi="Arial" w:cs="Arial"/>
          <w:sz w:val="17"/>
          <w:szCs w:val="17"/>
          <w:lang w:val="en-CA"/>
        </w:rPr>
        <w:t>,</w:t>
      </w:r>
      <w:r w:rsidRPr="008F7473">
        <w:rPr>
          <w:rFonts w:ascii="Arial" w:hAnsi="Arial" w:cs="Arial"/>
          <w:sz w:val="17"/>
          <w:szCs w:val="17"/>
        </w:rPr>
        <w:t xml:space="preserve">” </w:t>
      </w:r>
      <w:r w:rsidRPr="002952ED">
        <w:rPr>
          <w:rFonts w:ascii="Arial" w:hAnsi="Arial" w:cs="Arial"/>
          <w:i/>
          <w:sz w:val="17"/>
          <w:szCs w:val="17"/>
        </w:rPr>
        <w:t>Straits Times</w:t>
      </w:r>
      <w:r w:rsidRPr="008F7473">
        <w:rPr>
          <w:rFonts w:ascii="Arial" w:hAnsi="Arial" w:cs="Arial"/>
          <w:sz w:val="17"/>
          <w:szCs w:val="17"/>
        </w:rPr>
        <w:t>, July 6, 2017, accessed January 11, 2018</w:t>
      </w:r>
      <w:r w:rsidRPr="008F7473">
        <w:rPr>
          <w:rFonts w:ascii="Arial" w:hAnsi="Arial" w:cs="Arial"/>
          <w:sz w:val="17"/>
          <w:szCs w:val="17"/>
          <w:lang w:val="en-CA"/>
        </w:rPr>
        <w:t xml:space="preserve">, </w:t>
      </w:r>
      <w:r w:rsidRPr="008F7473">
        <w:rPr>
          <w:rFonts w:ascii="Arial" w:hAnsi="Arial" w:cs="Arial"/>
          <w:sz w:val="17"/>
          <w:szCs w:val="17"/>
        </w:rPr>
        <w:t>www.straitstimes.com/tech/myrepublic-plans-to-launch-mobile-services-in-singapore-in-october.</w:t>
      </w:r>
    </w:p>
  </w:endnote>
  <w:endnote w:id="13">
    <w:p w14:paraId="5ACD1760" w14:textId="34BE753F" w:rsidR="006C35B4" w:rsidRPr="006C35B4" w:rsidRDefault="006C35B4">
      <w:pPr>
        <w:pStyle w:val="EndnoteText"/>
        <w:rPr>
          <w:lang w:val="en-US"/>
        </w:rPr>
      </w:pPr>
      <w:r w:rsidRPr="006C35B4">
        <w:rPr>
          <w:rStyle w:val="EndnoteReference"/>
          <w:rFonts w:ascii="Arial" w:hAnsi="Arial" w:cs="Arial"/>
          <w:sz w:val="17"/>
          <w:szCs w:val="17"/>
        </w:rPr>
        <w:endnoteRef/>
      </w:r>
      <w:r>
        <w:t xml:space="preserve"> </w:t>
      </w:r>
      <w:r w:rsidRPr="008F7473">
        <w:rPr>
          <w:rFonts w:ascii="Arial" w:hAnsi="Arial" w:cs="Arial"/>
          <w:sz w:val="17"/>
          <w:szCs w:val="17"/>
        </w:rPr>
        <w:t xml:space="preserve">Irene </w:t>
      </w:r>
      <w:proofErr w:type="spellStart"/>
      <w:r w:rsidRPr="008F7473">
        <w:rPr>
          <w:rFonts w:ascii="Arial" w:hAnsi="Arial" w:cs="Arial"/>
          <w:sz w:val="17"/>
          <w:szCs w:val="17"/>
        </w:rPr>
        <w:t>Tham</w:t>
      </w:r>
      <w:proofErr w:type="spellEnd"/>
      <w:r w:rsidRPr="008F7473">
        <w:rPr>
          <w:rFonts w:ascii="Arial" w:hAnsi="Arial" w:cs="Arial"/>
          <w:sz w:val="17"/>
          <w:szCs w:val="17"/>
        </w:rPr>
        <w:t>, “</w:t>
      </w:r>
      <w:r w:rsidRPr="006C35B4">
        <w:t xml:space="preserve"> </w:t>
      </w:r>
      <w:proofErr w:type="spellStart"/>
      <w:r>
        <w:rPr>
          <w:rFonts w:ascii="Arial" w:hAnsi="Arial" w:cs="Arial"/>
          <w:sz w:val="17"/>
          <w:szCs w:val="17"/>
        </w:rPr>
        <w:t>ViewQwest</w:t>
      </w:r>
      <w:proofErr w:type="spellEnd"/>
      <w:r>
        <w:rPr>
          <w:rFonts w:ascii="Arial" w:hAnsi="Arial" w:cs="Arial"/>
          <w:sz w:val="17"/>
          <w:szCs w:val="17"/>
        </w:rPr>
        <w:t xml:space="preserve"> O</w:t>
      </w:r>
      <w:r w:rsidRPr="006C35B4">
        <w:rPr>
          <w:rFonts w:ascii="Arial" w:hAnsi="Arial" w:cs="Arial"/>
          <w:sz w:val="17"/>
          <w:szCs w:val="17"/>
        </w:rPr>
        <w:t>ffers '</w:t>
      </w:r>
      <w:r>
        <w:rPr>
          <w:rFonts w:ascii="Arial" w:hAnsi="Arial" w:cs="Arial"/>
          <w:sz w:val="17"/>
          <w:szCs w:val="17"/>
          <w:lang w:val="en-US"/>
        </w:rPr>
        <w:t>S</w:t>
      </w:r>
      <w:r w:rsidRPr="006C35B4">
        <w:rPr>
          <w:rFonts w:ascii="Arial" w:hAnsi="Arial" w:cs="Arial"/>
          <w:sz w:val="17"/>
          <w:szCs w:val="17"/>
        </w:rPr>
        <w:t xml:space="preserve">mart </w:t>
      </w:r>
      <w:r>
        <w:rPr>
          <w:rFonts w:ascii="Arial" w:hAnsi="Arial" w:cs="Arial"/>
          <w:sz w:val="17"/>
          <w:szCs w:val="17"/>
          <w:lang w:val="en-US"/>
        </w:rPr>
        <w:t>H</w:t>
      </w:r>
      <w:proofErr w:type="spellStart"/>
      <w:r w:rsidRPr="006C35B4">
        <w:rPr>
          <w:rFonts w:ascii="Arial" w:hAnsi="Arial" w:cs="Arial"/>
          <w:sz w:val="17"/>
          <w:szCs w:val="17"/>
        </w:rPr>
        <w:t>ome</w:t>
      </w:r>
      <w:proofErr w:type="spellEnd"/>
      <w:r w:rsidRPr="006C35B4">
        <w:rPr>
          <w:rFonts w:ascii="Arial" w:hAnsi="Arial" w:cs="Arial"/>
          <w:sz w:val="17"/>
          <w:szCs w:val="17"/>
        </w:rPr>
        <w:t xml:space="preserve">' </w:t>
      </w:r>
      <w:proofErr w:type="spellStart"/>
      <w:r>
        <w:rPr>
          <w:rFonts w:ascii="Arial" w:hAnsi="Arial" w:cs="Arial"/>
          <w:sz w:val="17"/>
          <w:szCs w:val="17"/>
          <w:lang w:val="en-US"/>
        </w:rPr>
        <w:t>S</w:t>
      </w:r>
      <w:r w:rsidRPr="006C35B4">
        <w:rPr>
          <w:rFonts w:ascii="Arial" w:hAnsi="Arial" w:cs="Arial"/>
          <w:sz w:val="17"/>
          <w:szCs w:val="17"/>
        </w:rPr>
        <w:t>et</w:t>
      </w:r>
      <w:proofErr w:type="spellEnd"/>
      <w:r w:rsidRPr="006C35B4">
        <w:rPr>
          <w:rFonts w:ascii="Arial" w:hAnsi="Arial" w:cs="Arial"/>
          <w:sz w:val="17"/>
          <w:szCs w:val="17"/>
        </w:rPr>
        <w:t xml:space="preserve">-ups with </w:t>
      </w:r>
      <w:r>
        <w:rPr>
          <w:rFonts w:ascii="Arial" w:hAnsi="Arial" w:cs="Arial"/>
          <w:sz w:val="17"/>
          <w:szCs w:val="17"/>
          <w:lang w:val="en-US"/>
        </w:rPr>
        <w:t>F</w:t>
      </w:r>
      <w:proofErr w:type="spellStart"/>
      <w:r w:rsidRPr="006C35B4">
        <w:rPr>
          <w:rFonts w:ascii="Arial" w:hAnsi="Arial" w:cs="Arial"/>
          <w:sz w:val="17"/>
          <w:szCs w:val="17"/>
        </w:rPr>
        <w:t>ibre</w:t>
      </w:r>
      <w:proofErr w:type="spellEnd"/>
      <w:r w:rsidRPr="006C35B4">
        <w:rPr>
          <w:rFonts w:ascii="Arial" w:hAnsi="Arial" w:cs="Arial"/>
          <w:sz w:val="17"/>
          <w:szCs w:val="17"/>
        </w:rPr>
        <w:t xml:space="preserve"> </w:t>
      </w:r>
      <w:r>
        <w:rPr>
          <w:rFonts w:ascii="Arial" w:hAnsi="Arial" w:cs="Arial"/>
          <w:sz w:val="17"/>
          <w:szCs w:val="17"/>
          <w:lang w:val="en-US"/>
        </w:rPr>
        <w:t>B</w:t>
      </w:r>
      <w:proofErr w:type="spellStart"/>
      <w:r w:rsidRPr="006C35B4">
        <w:rPr>
          <w:rFonts w:ascii="Arial" w:hAnsi="Arial" w:cs="Arial"/>
          <w:sz w:val="17"/>
          <w:szCs w:val="17"/>
        </w:rPr>
        <w:t>roadband</w:t>
      </w:r>
      <w:proofErr w:type="spellEnd"/>
      <w:r w:rsidRPr="006C35B4">
        <w:rPr>
          <w:rFonts w:ascii="Arial" w:hAnsi="Arial" w:cs="Arial"/>
          <w:sz w:val="17"/>
          <w:szCs w:val="17"/>
        </w:rPr>
        <w:t xml:space="preserve"> </w:t>
      </w:r>
      <w:r>
        <w:rPr>
          <w:rFonts w:ascii="Arial" w:hAnsi="Arial" w:cs="Arial"/>
          <w:sz w:val="17"/>
          <w:szCs w:val="17"/>
          <w:lang w:val="en-US"/>
        </w:rPr>
        <w:t>P</w:t>
      </w:r>
      <w:proofErr w:type="spellStart"/>
      <w:r w:rsidRPr="006C35B4">
        <w:rPr>
          <w:rFonts w:ascii="Arial" w:hAnsi="Arial" w:cs="Arial"/>
          <w:sz w:val="17"/>
          <w:szCs w:val="17"/>
        </w:rPr>
        <w:t>lans</w:t>
      </w:r>
      <w:proofErr w:type="spellEnd"/>
      <w:r w:rsidRPr="008F7473">
        <w:rPr>
          <w:rFonts w:ascii="Arial" w:hAnsi="Arial" w:cs="Arial"/>
          <w:sz w:val="17"/>
          <w:szCs w:val="17"/>
          <w:lang w:val="en-CA"/>
        </w:rPr>
        <w:t>,</w:t>
      </w:r>
      <w:r w:rsidRPr="008F7473">
        <w:rPr>
          <w:rFonts w:ascii="Arial" w:hAnsi="Arial" w:cs="Arial"/>
          <w:sz w:val="17"/>
          <w:szCs w:val="17"/>
        </w:rPr>
        <w:t xml:space="preserve">” </w:t>
      </w:r>
      <w:r w:rsidRPr="002952ED">
        <w:rPr>
          <w:rFonts w:ascii="Arial" w:hAnsi="Arial" w:cs="Arial"/>
          <w:i/>
          <w:sz w:val="17"/>
          <w:szCs w:val="17"/>
        </w:rPr>
        <w:t>Straits Times</w:t>
      </w:r>
      <w:r w:rsidRPr="008F7473">
        <w:rPr>
          <w:rFonts w:ascii="Arial" w:hAnsi="Arial" w:cs="Arial"/>
          <w:sz w:val="17"/>
          <w:szCs w:val="17"/>
        </w:rPr>
        <w:t xml:space="preserve">, </w:t>
      </w:r>
      <w:r>
        <w:rPr>
          <w:rFonts w:ascii="Arial" w:hAnsi="Arial" w:cs="Arial"/>
          <w:sz w:val="17"/>
          <w:szCs w:val="17"/>
          <w:lang w:val="en-US"/>
        </w:rPr>
        <w:t>November 20, 2015</w:t>
      </w:r>
      <w:r w:rsidRPr="008F7473">
        <w:rPr>
          <w:rFonts w:ascii="Arial" w:hAnsi="Arial" w:cs="Arial"/>
          <w:sz w:val="17"/>
          <w:szCs w:val="17"/>
        </w:rPr>
        <w:t xml:space="preserve">, </w:t>
      </w:r>
      <w:r w:rsidRPr="006C35B4">
        <w:rPr>
          <w:rFonts w:ascii="Arial" w:hAnsi="Arial" w:cs="Arial"/>
          <w:spacing w:val="-4"/>
          <w:sz w:val="17"/>
          <w:szCs w:val="17"/>
        </w:rPr>
        <w:t>accessed</w:t>
      </w:r>
      <w:r w:rsidRPr="006C35B4">
        <w:rPr>
          <w:rFonts w:ascii="Arial" w:hAnsi="Arial" w:cs="Arial"/>
          <w:spacing w:val="-4"/>
          <w:sz w:val="17"/>
          <w:szCs w:val="17"/>
          <w:lang w:val="en-US"/>
        </w:rPr>
        <w:t xml:space="preserve"> January 11, 2018</w:t>
      </w:r>
      <w:r w:rsidRPr="006C35B4">
        <w:rPr>
          <w:rFonts w:ascii="Arial" w:hAnsi="Arial" w:cs="Arial"/>
          <w:spacing w:val="-4"/>
          <w:sz w:val="17"/>
          <w:szCs w:val="17"/>
          <w:lang w:val="en-CA"/>
        </w:rPr>
        <w:t xml:space="preserve">, </w:t>
      </w:r>
      <w:r w:rsidRPr="006C35B4">
        <w:rPr>
          <w:rFonts w:ascii="Arial" w:hAnsi="Arial" w:cs="Arial"/>
          <w:spacing w:val="-4"/>
          <w:sz w:val="17"/>
          <w:szCs w:val="17"/>
        </w:rPr>
        <w:t>www.straitstimes.com/singapore/viewqwest-offers-smart-home-set-ups-with-fibre-broadband-plans</w:t>
      </w:r>
      <w:r w:rsidRPr="006C35B4">
        <w:rPr>
          <w:rFonts w:ascii="Arial" w:hAnsi="Arial" w:cs="Arial"/>
          <w:spacing w:val="-4"/>
          <w:sz w:val="17"/>
          <w:szCs w:val="17"/>
        </w:rPr>
        <w:t>.</w:t>
      </w:r>
    </w:p>
  </w:endnote>
  <w:endnote w:id="14">
    <w:p w14:paraId="77E75911" w14:textId="76BC0E10"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Irene </w:t>
      </w:r>
      <w:proofErr w:type="spellStart"/>
      <w:r w:rsidRPr="008F7473">
        <w:rPr>
          <w:rFonts w:ascii="Arial" w:hAnsi="Arial" w:cs="Arial"/>
          <w:sz w:val="17"/>
          <w:szCs w:val="17"/>
        </w:rPr>
        <w:t>Tham</w:t>
      </w:r>
      <w:proofErr w:type="spellEnd"/>
      <w:r w:rsidRPr="008F7473">
        <w:rPr>
          <w:rFonts w:ascii="Arial" w:hAnsi="Arial" w:cs="Arial"/>
          <w:sz w:val="17"/>
          <w:szCs w:val="17"/>
        </w:rPr>
        <w:t>, “</w:t>
      </w:r>
      <w:proofErr w:type="spellStart"/>
      <w:r w:rsidRPr="008F7473">
        <w:rPr>
          <w:rFonts w:ascii="Arial" w:hAnsi="Arial" w:cs="Arial"/>
          <w:sz w:val="17"/>
          <w:szCs w:val="17"/>
        </w:rPr>
        <w:t>ViewQwest</w:t>
      </w:r>
      <w:proofErr w:type="spellEnd"/>
      <w:r w:rsidRPr="008F7473">
        <w:rPr>
          <w:rFonts w:ascii="Arial" w:hAnsi="Arial" w:cs="Arial"/>
          <w:sz w:val="17"/>
          <w:szCs w:val="17"/>
        </w:rPr>
        <w:t xml:space="preserve"> </w:t>
      </w:r>
      <w:r>
        <w:rPr>
          <w:rFonts w:ascii="Arial" w:hAnsi="Arial" w:cs="Arial"/>
          <w:sz w:val="17"/>
          <w:szCs w:val="17"/>
          <w:lang w:val="en-CA"/>
        </w:rPr>
        <w:t>B</w:t>
      </w:r>
      <w:proofErr w:type="spellStart"/>
      <w:r w:rsidRPr="008F7473">
        <w:rPr>
          <w:rFonts w:ascii="Arial" w:hAnsi="Arial" w:cs="Arial"/>
          <w:sz w:val="17"/>
          <w:szCs w:val="17"/>
        </w:rPr>
        <w:t>attles</w:t>
      </w:r>
      <w:proofErr w:type="spellEnd"/>
      <w:r w:rsidRPr="008F7473">
        <w:rPr>
          <w:rFonts w:ascii="Arial" w:hAnsi="Arial" w:cs="Arial"/>
          <w:sz w:val="17"/>
          <w:szCs w:val="17"/>
        </w:rPr>
        <w:t xml:space="preserve"> SingTel, </w:t>
      </w:r>
      <w:proofErr w:type="spellStart"/>
      <w:r w:rsidRPr="008F7473">
        <w:rPr>
          <w:rFonts w:ascii="Arial" w:hAnsi="Arial" w:cs="Arial"/>
          <w:sz w:val="17"/>
          <w:szCs w:val="17"/>
        </w:rPr>
        <w:t>StarHub</w:t>
      </w:r>
      <w:proofErr w:type="spellEnd"/>
      <w:r w:rsidRPr="008F7473">
        <w:rPr>
          <w:rFonts w:ascii="Arial" w:hAnsi="Arial" w:cs="Arial"/>
          <w:sz w:val="17"/>
          <w:szCs w:val="17"/>
        </w:rPr>
        <w:t xml:space="preserve">, M1 for </w:t>
      </w:r>
      <w:r>
        <w:rPr>
          <w:rFonts w:ascii="Arial" w:hAnsi="Arial" w:cs="Arial"/>
          <w:sz w:val="17"/>
          <w:szCs w:val="17"/>
          <w:lang w:val="en-CA"/>
        </w:rPr>
        <w:t>C</w:t>
      </w:r>
      <w:proofErr w:type="spellStart"/>
      <w:r w:rsidRPr="008F7473">
        <w:rPr>
          <w:rFonts w:ascii="Arial" w:hAnsi="Arial" w:cs="Arial"/>
          <w:sz w:val="17"/>
          <w:szCs w:val="17"/>
        </w:rPr>
        <w:t>yber</w:t>
      </w:r>
      <w:proofErr w:type="spellEnd"/>
      <w:r w:rsidRPr="008F7473">
        <w:rPr>
          <w:rFonts w:ascii="Arial" w:hAnsi="Arial" w:cs="Arial"/>
          <w:sz w:val="17"/>
          <w:szCs w:val="17"/>
        </w:rPr>
        <w:t>-</w:t>
      </w:r>
      <w:r>
        <w:rPr>
          <w:rFonts w:ascii="Arial" w:hAnsi="Arial" w:cs="Arial"/>
          <w:sz w:val="17"/>
          <w:szCs w:val="17"/>
          <w:lang w:val="en-CA"/>
        </w:rPr>
        <w:t>S</w:t>
      </w:r>
      <w:proofErr w:type="spellStart"/>
      <w:r w:rsidRPr="008F7473">
        <w:rPr>
          <w:rFonts w:ascii="Arial" w:hAnsi="Arial" w:cs="Arial"/>
          <w:sz w:val="17"/>
          <w:szCs w:val="17"/>
        </w:rPr>
        <w:t>ecurity</w:t>
      </w:r>
      <w:proofErr w:type="spellEnd"/>
      <w:r w:rsidRPr="008F7473">
        <w:rPr>
          <w:rFonts w:ascii="Arial" w:hAnsi="Arial" w:cs="Arial"/>
          <w:sz w:val="17"/>
          <w:szCs w:val="17"/>
        </w:rPr>
        <w:t xml:space="preserve"> </w:t>
      </w:r>
      <w:r>
        <w:rPr>
          <w:rFonts w:ascii="Arial" w:hAnsi="Arial" w:cs="Arial"/>
          <w:sz w:val="17"/>
          <w:szCs w:val="17"/>
          <w:lang w:val="en-CA"/>
        </w:rPr>
        <w:t>M</w:t>
      </w:r>
      <w:proofErr w:type="spellStart"/>
      <w:r w:rsidRPr="008F7473">
        <w:rPr>
          <w:rFonts w:ascii="Arial" w:hAnsi="Arial" w:cs="Arial"/>
          <w:sz w:val="17"/>
          <w:szCs w:val="17"/>
        </w:rPr>
        <w:t>arket</w:t>
      </w:r>
      <w:proofErr w:type="spellEnd"/>
      <w:r w:rsidRPr="008F7473">
        <w:rPr>
          <w:rFonts w:ascii="Arial" w:hAnsi="Arial" w:cs="Arial"/>
          <w:sz w:val="17"/>
          <w:szCs w:val="17"/>
        </w:rPr>
        <w:t xml:space="preserve"> with </w:t>
      </w:r>
      <w:r>
        <w:rPr>
          <w:rFonts w:ascii="Arial" w:hAnsi="Arial" w:cs="Arial"/>
          <w:sz w:val="17"/>
          <w:szCs w:val="17"/>
          <w:lang w:val="en-CA"/>
        </w:rPr>
        <w:t>I</w:t>
      </w:r>
      <w:proofErr w:type="spellStart"/>
      <w:r w:rsidRPr="008F7473">
        <w:rPr>
          <w:rFonts w:ascii="Arial" w:hAnsi="Arial" w:cs="Arial"/>
          <w:sz w:val="17"/>
          <w:szCs w:val="17"/>
        </w:rPr>
        <w:t>ts</w:t>
      </w:r>
      <w:proofErr w:type="spellEnd"/>
      <w:r w:rsidRPr="008F7473">
        <w:rPr>
          <w:rFonts w:ascii="Arial" w:hAnsi="Arial" w:cs="Arial"/>
          <w:sz w:val="17"/>
          <w:szCs w:val="17"/>
        </w:rPr>
        <w:t xml:space="preserve"> </w:t>
      </w:r>
      <w:r>
        <w:rPr>
          <w:rFonts w:ascii="Arial" w:hAnsi="Arial" w:cs="Arial"/>
          <w:sz w:val="17"/>
          <w:szCs w:val="17"/>
          <w:lang w:val="en-CA"/>
        </w:rPr>
        <w:t>O</w:t>
      </w:r>
      <w:proofErr w:type="spellStart"/>
      <w:r w:rsidRPr="008F7473">
        <w:rPr>
          <w:rFonts w:ascii="Arial" w:hAnsi="Arial" w:cs="Arial"/>
          <w:sz w:val="17"/>
          <w:szCs w:val="17"/>
        </w:rPr>
        <w:t>wn</w:t>
      </w:r>
      <w:proofErr w:type="spellEnd"/>
      <w:r w:rsidRPr="008F7473">
        <w:rPr>
          <w:rFonts w:ascii="Arial" w:hAnsi="Arial" w:cs="Arial"/>
          <w:sz w:val="17"/>
          <w:szCs w:val="17"/>
        </w:rPr>
        <w:t xml:space="preserve"> </w:t>
      </w:r>
      <w:r>
        <w:rPr>
          <w:rFonts w:ascii="Arial" w:hAnsi="Arial" w:cs="Arial"/>
          <w:sz w:val="17"/>
          <w:szCs w:val="17"/>
          <w:lang w:val="en-CA"/>
        </w:rPr>
        <w:t>S</w:t>
      </w:r>
      <w:proofErr w:type="spellStart"/>
      <w:r w:rsidRPr="008F7473">
        <w:rPr>
          <w:rFonts w:ascii="Arial" w:hAnsi="Arial" w:cs="Arial"/>
          <w:sz w:val="17"/>
          <w:szCs w:val="17"/>
        </w:rPr>
        <w:t>ecurity</w:t>
      </w:r>
      <w:proofErr w:type="spellEnd"/>
      <w:r w:rsidRPr="008F7473">
        <w:rPr>
          <w:rFonts w:ascii="Arial" w:hAnsi="Arial" w:cs="Arial"/>
          <w:sz w:val="17"/>
          <w:szCs w:val="17"/>
        </w:rPr>
        <w:t xml:space="preserve"> </w:t>
      </w:r>
      <w:r>
        <w:rPr>
          <w:rFonts w:ascii="Arial" w:hAnsi="Arial" w:cs="Arial"/>
          <w:sz w:val="17"/>
          <w:szCs w:val="17"/>
          <w:lang w:val="en-CA"/>
        </w:rPr>
        <w:t>O</w:t>
      </w:r>
      <w:proofErr w:type="spellStart"/>
      <w:r w:rsidRPr="008F7473">
        <w:rPr>
          <w:rFonts w:ascii="Arial" w:hAnsi="Arial" w:cs="Arial"/>
          <w:sz w:val="17"/>
          <w:szCs w:val="17"/>
        </w:rPr>
        <w:t>perations</w:t>
      </w:r>
      <w:proofErr w:type="spellEnd"/>
      <w:r w:rsidRPr="008F7473">
        <w:rPr>
          <w:rFonts w:ascii="Arial" w:hAnsi="Arial" w:cs="Arial"/>
          <w:sz w:val="17"/>
          <w:szCs w:val="17"/>
        </w:rPr>
        <w:t xml:space="preserve"> </w:t>
      </w:r>
      <w:r>
        <w:rPr>
          <w:rFonts w:ascii="Arial" w:hAnsi="Arial" w:cs="Arial"/>
          <w:sz w:val="17"/>
          <w:szCs w:val="17"/>
          <w:lang w:val="en-CA"/>
        </w:rPr>
        <w:t>C</w:t>
      </w:r>
      <w:r w:rsidRPr="008F7473">
        <w:rPr>
          <w:rFonts w:ascii="Arial" w:hAnsi="Arial" w:cs="Arial"/>
          <w:sz w:val="17"/>
          <w:szCs w:val="17"/>
        </w:rPr>
        <w:t>entre</w:t>
      </w:r>
      <w:r w:rsidRPr="008F7473">
        <w:rPr>
          <w:rFonts w:ascii="Arial" w:hAnsi="Arial" w:cs="Arial"/>
          <w:sz w:val="17"/>
          <w:szCs w:val="17"/>
          <w:lang w:val="en-CA"/>
        </w:rPr>
        <w:t>,</w:t>
      </w:r>
      <w:r w:rsidRPr="008F7473">
        <w:rPr>
          <w:rFonts w:ascii="Arial" w:hAnsi="Arial" w:cs="Arial"/>
          <w:sz w:val="17"/>
          <w:szCs w:val="17"/>
        </w:rPr>
        <w:t xml:space="preserve">” </w:t>
      </w:r>
      <w:r w:rsidRPr="008F7473">
        <w:rPr>
          <w:rFonts w:ascii="Arial" w:hAnsi="Arial" w:cs="Arial"/>
          <w:i/>
          <w:sz w:val="17"/>
          <w:szCs w:val="17"/>
        </w:rPr>
        <w:t>Straits Times,</w:t>
      </w:r>
      <w:r w:rsidRPr="008F7473">
        <w:rPr>
          <w:rFonts w:ascii="Arial" w:hAnsi="Arial" w:cs="Arial"/>
          <w:sz w:val="17"/>
          <w:szCs w:val="17"/>
        </w:rPr>
        <w:t xml:space="preserve"> July 28, 2017, </w:t>
      </w:r>
      <w:r w:rsidRPr="008F7473">
        <w:rPr>
          <w:rFonts w:ascii="Arial" w:hAnsi="Arial" w:cs="Arial"/>
          <w:sz w:val="17"/>
          <w:szCs w:val="17"/>
          <w:lang w:val="en-CA"/>
        </w:rPr>
        <w:t xml:space="preserve">accessed January 11, 2018, </w:t>
      </w:r>
      <w:r w:rsidRPr="008F7473">
        <w:rPr>
          <w:rFonts w:ascii="Arial" w:hAnsi="Arial" w:cs="Arial"/>
          <w:sz w:val="17"/>
          <w:szCs w:val="17"/>
        </w:rPr>
        <w:t>www.straitstimes.com/business/companies-markets/viewqwest-battles-singtel-starhub-m1-for-cyber-security-market-with-own.</w:t>
      </w:r>
    </w:p>
  </w:endnote>
  <w:endnote w:id="15">
    <w:p w14:paraId="221549CE" w14:textId="6DE9DCA2" w:rsidR="006C35B4" w:rsidRPr="006C35B4" w:rsidRDefault="006C35B4">
      <w:pPr>
        <w:pStyle w:val="EndnoteText"/>
        <w:rPr>
          <w:rFonts w:ascii="Arial" w:hAnsi="Arial" w:cs="Arial"/>
          <w:sz w:val="17"/>
          <w:szCs w:val="17"/>
          <w:lang w:val="en-US"/>
        </w:rPr>
      </w:pPr>
      <w:r w:rsidRPr="006C35B4">
        <w:rPr>
          <w:rStyle w:val="EndnoteReference"/>
          <w:rFonts w:ascii="Arial" w:hAnsi="Arial" w:cs="Arial"/>
          <w:sz w:val="17"/>
          <w:szCs w:val="17"/>
        </w:rPr>
        <w:endnoteRef/>
      </w:r>
      <w:r w:rsidRPr="006C35B4">
        <w:rPr>
          <w:rFonts w:ascii="Arial" w:hAnsi="Arial" w:cs="Arial"/>
          <w:sz w:val="17"/>
          <w:szCs w:val="17"/>
        </w:rPr>
        <w:t xml:space="preserve"> </w:t>
      </w:r>
      <w:r w:rsidRPr="006C35B4">
        <w:rPr>
          <w:rFonts w:ascii="Arial" w:hAnsi="Arial" w:cs="Arial"/>
          <w:sz w:val="17"/>
          <w:szCs w:val="17"/>
          <w:lang w:val="en-US"/>
        </w:rPr>
        <w:t>Ibid.</w:t>
      </w:r>
    </w:p>
  </w:endnote>
  <w:endnote w:id="16">
    <w:p w14:paraId="0150D34C" w14:textId="2B0C56F2"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2952ED">
        <w:rPr>
          <w:rFonts w:ascii="Arial" w:hAnsi="Arial" w:cs="Arial"/>
          <w:sz w:val="17"/>
          <w:szCs w:val="17"/>
        </w:rPr>
        <w:t>Business Monitor International (BMI) Research</w:t>
      </w:r>
      <w:r w:rsidRPr="002952ED">
        <w:rPr>
          <w:rFonts w:ascii="Arial" w:hAnsi="Arial" w:cs="Arial"/>
          <w:sz w:val="17"/>
          <w:szCs w:val="17"/>
          <w:lang w:val="en-CA"/>
        </w:rPr>
        <w:t>,</w:t>
      </w:r>
      <w:r>
        <w:rPr>
          <w:rFonts w:ascii="Arial" w:hAnsi="Arial" w:cs="Arial"/>
          <w:i/>
          <w:sz w:val="17"/>
          <w:szCs w:val="17"/>
          <w:lang w:val="en-CA"/>
        </w:rPr>
        <w:t xml:space="preserve"> </w:t>
      </w:r>
      <w:r w:rsidRPr="008F7473">
        <w:rPr>
          <w:rFonts w:ascii="Arial" w:hAnsi="Arial" w:cs="Arial"/>
          <w:sz w:val="17"/>
          <w:szCs w:val="17"/>
        </w:rPr>
        <w:t>“Singapore Telecommunications Report – Q3 2013</w:t>
      </w:r>
      <w:r w:rsidRPr="008F7473">
        <w:rPr>
          <w:rFonts w:ascii="Arial" w:hAnsi="Arial" w:cs="Arial"/>
          <w:sz w:val="17"/>
          <w:szCs w:val="17"/>
          <w:lang w:val="en-CA"/>
        </w:rPr>
        <w:t>,</w:t>
      </w:r>
      <w:r w:rsidRPr="008F7473">
        <w:rPr>
          <w:rFonts w:ascii="Arial" w:hAnsi="Arial" w:cs="Arial"/>
          <w:sz w:val="17"/>
          <w:szCs w:val="17"/>
        </w:rPr>
        <w:t>”</w:t>
      </w:r>
      <w:r w:rsidRPr="008F7473">
        <w:rPr>
          <w:rFonts w:ascii="Arial" w:hAnsi="Arial" w:cs="Arial"/>
          <w:sz w:val="17"/>
          <w:szCs w:val="17"/>
          <w:lang w:val="en-GB"/>
        </w:rPr>
        <w:t xml:space="preserve"> a</w:t>
      </w:r>
      <w:proofErr w:type="spellStart"/>
      <w:r w:rsidRPr="008F7473">
        <w:rPr>
          <w:rFonts w:ascii="Arial" w:hAnsi="Arial" w:cs="Arial"/>
          <w:sz w:val="17"/>
          <w:szCs w:val="17"/>
        </w:rPr>
        <w:t>cc</w:t>
      </w:r>
      <w:r w:rsidRPr="008F7473">
        <w:rPr>
          <w:rFonts w:ascii="Arial" w:hAnsi="Arial" w:cs="Arial"/>
          <w:sz w:val="17"/>
          <w:szCs w:val="17"/>
          <w:lang w:val="en-GB"/>
        </w:rPr>
        <w:t>essed</w:t>
      </w:r>
      <w:proofErr w:type="spellEnd"/>
      <w:r w:rsidRPr="008F7473">
        <w:rPr>
          <w:rFonts w:ascii="Arial" w:hAnsi="Arial" w:cs="Arial"/>
          <w:sz w:val="17"/>
          <w:szCs w:val="17"/>
          <w:lang w:val="en-GB"/>
        </w:rPr>
        <w:t xml:space="preserve"> January 9, 2018,</w:t>
      </w:r>
      <w:r w:rsidRPr="008F7473">
        <w:rPr>
          <w:rFonts w:ascii="Arial" w:hAnsi="Arial" w:cs="Arial"/>
          <w:sz w:val="17"/>
          <w:szCs w:val="17"/>
        </w:rPr>
        <w:t xml:space="preserve"> </w:t>
      </w:r>
      <w:r w:rsidRPr="008F7473">
        <w:rPr>
          <w:rFonts w:ascii="Arial" w:hAnsi="Arial" w:cs="Arial"/>
          <w:sz w:val="17"/>
          <w:szCs w:val="17"/>
          <w:lang w:val="en-GB"/>
        </w:rPr>
        <w:t xml:space="preserve">https://bmo.bmiresearch.com/reports/view?productid=171&amp;issue=20130701. </w:t>
      </w:r>
    </w:p>
  </w:endnote>
  <w:endnote w:id="17">
    <w:p w14:paraId="14C6B04D" w14:textId="140E3421" w:rsidR="00164FB3" w:rsidRPr="008F7473" w:rsidRDefault="00164FB3" w:rsidP="002952ED">
      <w:pPr>
        <w:pStyle w:val="EndnoteText"/>
        <w:jc w:val="both"/>
        <w:rPr>
          <w:rFonts w:ascii="Arial" w:hAnsi="Arial" w:cs="Arial"/>
          <w:sz w:val="17"/>
          <w:szCs w:val="17"/>
          <w:lang w:val="en-US"/>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Style w:val="FootnoteChar"/>
          <w:rFonts w:eastAsia="Calibri"/>
        </w:rPr>
        <w:t>Business Monitor International (BMI) Research,</w:t>
      </w:r>
      <w:r>
        <w:rPr>
          <w:rStyle w:val="FootnoteChar"/>
          <w:rFonts w:eastAsia="Calibri"/>
          <w:lang w:val="en-CA"/>
        </w:rPr>
        <w:t xml:space="preserve"> </w:t>
      </w:r>
      <w:r w:rsidRPr="008F7473">
        <w:rPr>
          <w:rStyle w:val="FootnoteChar"/>
          <w:rFonts w:eastAsia="Calibri"/>
        </w:rPr>
        <w:t>“Market Overview – Broadband – Q4 2013,” accessed January 9, 2018, https://bmo.bmiresearch.com/article/view?article=813584</w:t>
      </w:r>
      <w:r w:rsidRPr="008F7473">
        <w:rPr>
          <w:rStyle w:val="FootnoteChar"/>
          <w:rFonts w:eastAsia="Calibri"/>
          <w:lang w:val="en-US"/>
        </w:rPr>
        <w:t>.</w:t>
      </w:r>
    </w:p>
  </w:endnote>
  <w:endnote w:id="18">
    <w:p w14:paraId="25663B77" w14:textId="1584099F"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The </w:t>
      </w:r>
      <w:r>
        <w:rPr>
          <w:rFonts w:ascii="Arial" w:hAnsi="Arial" w:cs="Arial"/>
          <w:sz w:val="17"/>
          <w:szCs w:val="17"/>
          <w:lang w:val="en-CA"/>
        </w:rPr>
        <w:t>e</w:t>
      </w:r>
      <w:proofErr w:type="spellStart"/>
      <w:r w:rsidRPr="008F7473">
        <w:rPr>
          <w:rFonts w:ascii="Arial" w:hAnsi="Arial" w:cs="Arial"/>
          <w:sz w:val="17"/>
          <w:szCs w:val="17"/>
        </w:rPr>
        <w:t>arnings</w:t>
      </w:r>
      <w:proofErr w:type="spellEnd"/>
      <w:r w:rsidRPr="008F7473">
        <w:rPr>
          <w:rFonts w:ascii="Arial" w:hAnsi="Arial" w:cs="Arial"/>
          <w:sz w:val="17"/>
          <w:szCs w:val="17"/>
        </w:rPr>
        <w:t xml:space="preserve"> </w:t>
      </w:r>
      <w:r>
        <w:rPr>
          <w:rFonts w:ascii="Arial" w:hAnsi="Arial" w:cs="Arial"/>
          <w:sz w:val="17"/>
          <w:szCs w:val="17"/>
          <w:lang w:val="en-CA"/>
        </w:rPr>
        <w:t>b</w:t>
      </w:r>
      <w:proofErr w:type="spellStart"/>
      <w:r w:rsidRPr="008F7473">
        <w:rPr>
          <w:rFonts w:ascii="Arial" w:hAnsi="Arial" w:cs="Arial"/>
          <w:sz w:val="17"/>
          <w:szCs w:val="17"/>
        </w:rPr>
        <w:t>efore</w:t>
      </w:r>
      <w:proofErr w:type="spellEnd"/>
      <w:r w:rsidRPr="008F7473">
        <w:rPr>
          <w:rFonts w:ascii="Arial" w:hAnsi="Arial" w:cs="Arial"/>
          <w:sz w:val="17"/>
          <w:szCs w:val="17"/>
        </w:rPr>
        <w:t xml:space="preserve"> </w:t>
      </w:r>
      <w:proofErr w:type="spellStart"/>
      <w:r>
        <w:rPr>
          <w:rFonts w:ascii="Arial" w:hAnsi="Arial" w:cs="Arial"/>
          <w:sz w:val="17"/>
          <w:szCs w:val="17"/>
          <w:lang w:val="en-CA"/>
        </w:rPr>
        <w:t>i</w:t>
      </w:r>
      <w:r w:rsidRPr="008F7473">
        <w:rPr>
          <w:rFonts w:ascii="Arial" w:hAnsi="Arial" w:cs="Arial"/>
          <w:sz w:val="17"/>
          <w:szCs w:val="17"/>
        </w:rPr>
        <w:t>nterest</w:t>
      </w:r>
      <w:proofErr w:type="spellEnd"/>
      <w:r w:rsidRPr="008F7473">
        <w:rPr>
          <w:rFonts w:ascii="Arial" w:hAnsi="Arial" w:cs="Arial"/>
          <w:sz w:val="17"/>
          <w:szCs w:val="17"/>
        </w:rPr>
        <w:t xml:space="preserve">, </w:t>
      </w:r>
      <w:r>
        <w:rPr>
          <w:rFonts w:ascii="Arial" w:hAnsi="Arial" w:cs="Arial"/>
          <w:sz w:val="17"/>
          <w:szCs w:val="17"/>
          <w:lang w:val="en-CA"/>
        </w:rPr>
        <w:t>t</w:t>
      </w:r>
      <w:r w:rsidRPr="008F7473">
        <w:rPr>
          <w:rFonts w:ascii="Arial" w:hAnsi="Arial" w:cs="Arial"/>
          <w:sz w:val="17"/>
          <w:szCs w:val="17"/>
        </w:rPr>
        <w:t xml:space="preserve">axes, </w:t>
      </w:r>
      <w:r>
        <w:rPr>
          <w:rFonts w:ascii="Arial" w:hAnsi="Arial" w:cs="Arial"/>
          <w:sz w:val="17"/>
          <w:szCs w:val="17"/>
          <w:lang w:val="en-CA"/>
        </w:rPr>
        <w:t>d</w:t>
      </w:r>
      <w:proofErr w:type="spellStart"/>
      <w:r w:rsidRPr="008F7473">
        <w:rPr>
          <w:rFonts w:ascii="Arial" w:hAnsi="Arial" w:cs="Arial"/>
          <w:sz w:val="17"/>
          <w:szCs w:val="17"/>
        </w:rPr>
        <w:t>epreciation</w:t>
      </w:r>
      <w:proofErr w:type="spellEnd"/>
      <w:r>
        <w:rPr>
          <w:rFonts w:ascii="Arial" w:hAnsi="Arial" w:cs="Arial"/>
          <w:sz w:val="17"/>
          <w:szCs w:val="17"/>
          <w:lang w:val="en-CA"/>
        </w:rPr>
        <w:t>,</w:t>
      </w:r>
      <w:r w:rsidRPr="008F7473">
        <w:rPr>
          <w:rFonts w:ascii="Arial" w:hAnsi="Arial" w:cs="Arial"/>
          <w:sz w:val="17"/>
          <w:szCs w:val="17"/>
        </w:rPr>
        <w:t xml:space="preserve"> and </w:t>
      </w:r>
      <w:r>
        <w:rPr>
          <w:rFonts w:ascii="Arial" w:hAnsi="Arial" w:cs="Arial"/>
          <w:sz w:val="17"/>
          <w:szCs w:val="17"/>
          <w:lang w:val="en-CA"/>
        </w:rPr>
        <w:t>a</w:t>
      </w:r>
      <w:proofErr w:type="spellStart"/>
      <w:r w:rsidRPr="008F7473">
        <w:rPr>
          <w:rFonts w:ascii="Arial" w:hAnsi="Arial" w:cs="Arial"/>
          <w:sz w:val="17"/>
          <w:szCs w:val="17"/>
        </w:rPr>
        <w:t>mortization</w:t>
      </w:r>
      <w:proofErr w:type="spellEnd"/>
      <w:r w:rsidRPr="008F7473">
        <w:rPr>
          <w:rFonts w:ascii="Arial" w:hAnsi="Arial" w:cs="Arial"/>
          <w:sz w:val="17"/>
          <w:szCs w:val="17"/>
        </w:rPr>
        <w:t xml:space="preserve"> (EBITDA) was an important measurement that reflected a company’s profitability and cash flow before </w:t>
      </w:r>
      <w:r>
        <w:rPr>
          <w:rFonts w:ascii="Arial" w:hAnsi="Arial" w:cs="Arial"/>
          <w:sz w:val="17"/>
          <w:szCs w:val="17"/>
          <w:lang w:val="en-CA"/>
        </w:rPr>
        <w:t xml:space="preserve">considering the effects of </w:t>
      </w:r>
      <w:r w:rsidRPr="008F7473">
        <w:rPr>
          <w:rFonts w:ascii="Arial" w:hAnsi="Arial" w:cs="Arial"/>
          <w:sz w:val="17"/>
          <w:szCs w:val="17"/>
        </w:rPr>
        <w:t xml:space="preserve">tax deductions and other financial aspects. Higher EBITDA margins </w:t>
      </w:r>
      <w:proofErr w:type="spellStart"/>
      <w:r w:rsidRPr="008F7473">
        <w:rPr>
          <w:rFonts w:ascii="Arial" w:hAnsi="Arial" w:cs="Arial"/>
          <w:sz w:val="17"/>
          <w:szCs w:val="17"/>
        </w:rPr>
        <w:t>signal</w:t>
      </w:r>
      <w:r>
        <w:rPr>
          <w:rFonts w:ascii="Arial" w:hAnsi="Arial" w:cs="Arial"/>
          <w:sz w:val="17"/>
          <w:szCs w:val="17"/>
          <w:lang w:val="en-CA"/>
        </w:rPr>
        <w:t>l</w:t>
      </w:r>
      <w:r w:rsidRPr="008F7473">
        <w:rPr>
          <w:rFonts w:ascii="Arial" w:hAnsi="Arial" w:cs="Arial"/>
          <w:sz w:val="17"/>
          <w:szCs w:val="17"/>
        </w:rPr>
        <w:t>ed</w:t>
      </w:r>
      <w:proofErr w:type="spellEnd"/>
      <w:r w:rsidRPr="008F7473">
        <w:rPr>
          <w:rFonts w:ascii="Arial" w:hAnsi="Arial" w:cs="Arial"/>
          <w:sz w:val="17"/>
          <w:szCs w:val="17"/>
        </w:rPr>
        <w:t xml:space="preserve"> lower operating costs in relation to total revenue, resulting in more lucrative operations.</w:t>
      </w:r>
    </w:p>
  </w:endnote>
  <w:endnote w:id="19">
    <w:p w14:paraId="5991B8DE" w14:textId="56926477"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Pr>
          <w:rFonts w:ascii="Arial" w:hAnsi="Arial" w:cs="Arial"/>
          <w:sz w:val="17"/>
          <w:szCs w:val="17"/>
          <w:lang w:val="en-CA"/>
        </w:rPr>
        <w:t>The Internet of Things (</w:t>
      </w:r>
      <w:proofErr w:type="spellStart"/>
      <w:r w:rsidRPr="008F7473">
        <w:rPr>
          <w:rFonts w:ascii="Arial" w:hAnsi="Arial" w:cs="Arial"/>
          <w:sz w:val="17"/>
          <w:szCs w:val="17"/>
        </w:rPr>
        <w:t>IoT</w:t>
      </w:r>
      <w:proofErr w:type="spellEnd"/>
      <w:r>
        <w:rPr>
          <w:rFonts w:ascii="Arial" w:hAnsi="Arial" w:cs="Arial"/>
          <w:sz w:val="17"/>
          <w:szCs w:val="17"/>
          <w:lang w:val="en-CA"/>
        </w:rPr>
        <w:t>)</w:t>
      </w:r>
      <w:r w:rsidRPr="008F7473">
        <w:rPr>
          <w:rFonts w:ascii="Arial" w:hAnsi="Arial" w:cs="Arial"/>
          <w:sz w:val="17"/>
          <w:szCs w:val="17"/>
        </w:rPr>
        <w:t xml:space="preserve"> referred to a network of </w:t>
      </w:r>
      <w:r>
        <w:rPr>
          <w:rFonts w:ascii="Arial" w:hAnsi="Arial" w:cs="Arial"/>
          <w:sz w:val="17"/>
          <w:szCs w:val="17"/>
          <w:lang w:val="en-CA"/>
        </w:rPr>
        <w:t>I</w:t>
      </w:r>
      <w:proofErr w:type="spellStart"/>
      <w:r w:rsidRPr="008F7473">
        <w:rPr>
          <w:rFonts w:ascii="Arial" w:hAnsi="Arial" w:cs="Arial"/>
          <w:sz w:val="17"/>
          <w:szCs w:val="17"/>
        </w:rPr>
        <w:t>nternet</w:t>
      </w:r>
      <w:proofErr w:type="spellEnd"/>
      <w:r w:rsidRPr="008F7473">
        <w:rPr>
          <w:rFonts w:ascii="Arial" w:hAnsi="Arial" w:cs="Arial"/>
          <w:sz w:val="17"/>
          <w:szCs w:val="17"/>
        </w:rPr>
        <w:t>-connected physical items, buildings, vehicles</w:t>
      </w:r>
      <w:r>
        <w:rPr>
          <w:rFonts w:ascii="Arial" w:hAnsi="Arial" w:cs="Arial"/>
          <w:sz w:val="17"/>
          <w:szCs w:val="17"/>
          <w:lang w:val="en-CA"/>
        </w:rPr>
        <w:t>,</w:t>
      </w:r>
      <w:r w:rsidRPr="008F7473">
        <w:rPr>
          <w:rFonts w:ascii="Arial" w:hAnsi="Arial" w:cs="Arial"/>
          <w:sz w:val="17"/>
          <w:szCs w:val="17"/>
        </w:rPr>
        <w:t xml:space="preserve"> and other objects </w:t>
      </w:r>
      <w:r>
        <w:rPr>
          <w:rFonts w:ascii="Arial" w:hAnsi="Arial" w:cs="Arial"/>
          <w:sz w:val="17"/>
          <w:szCs w:val="17"/>
          <w:lang w:val="en-CA"/>
        </w:rPr>
        <w:t xml:space="preserve">that </w:t>
      </w:r>
      <w:proofErr w:type="gramStart"/>
      <w:r>
        <w:rPr>
          <w:rFonts w:ascii="Arial" w:hAnsi="Arial" w:cs="Arial"/>
          <w:sz w:val="17"/>
          <w:szCs w:val="17"/>
          <w:lang w:val="en-CA"/>
        </w:rPr>
        <w:t xml:space="preserve">were </w:t>
      </w:r>
      <w:r w:rsidRPr="008F7473">
        <w:rPr>
          <w:rFonts w:ascii="Arial" w:hAnsi="Arial" w:cs="Arial"/>
          <w:sz w:val="17"/>
          <w:szCs w:val="17"/>
        </w:rPr>
        <w:t>embedded</w:t>
      </w:r>
      <w:proofErr w:type="gramEnd"/>
      <w:r w:rsidRPr="008F7473">
        <w:rPr>
          <w:rFonts w:ascii="Arial" w:hAnsi="Arial" w:cs="Arial"/>
          <w:sz w:val="17"/>
          <w:szCs w:val="17"/>
        </w:rPr>
        <w:t xml:space="preserve"> with sensors and software applications that could collect data without any human intervention.</w:t>
      </w:r>
    </w:p>
  </w:endnote>
  <w:endnote w:id="20">
    <w:p w14:paraId="427F4A2B" w14:textId="57511645"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Pr>
          <w:rFonts w:ascii="Arial" w:hAnsi="Arial" w:cs="Arial"/>
          <w:sz w:val="17"/>
          <w:szCs w:val="17"/>
          <w:lang w:val="en-CA"/>
        </w:rPr>
        <w:t xml:space="preserve">Smart Nation, </w:t>
      </w:r>
      <w:r w:rsidRPr="008F7473">
        <w:rPr>
          <w:rFonts w:ascii="Arial" w:eastAsia="SimSun" w:hAnsi="Arial" w:cs="Arial"/>
          <w:sz w:val="17"/>
          <w:szCs w:val="17"/>
          <w:lang w:val="en-SG"/>
        </w:rPr>
        <w:t xml:space="preserve">“About Smart Nation,” 2016, </w:t>
      </w:r>
      <w:r w:rsidRPr="008F7473">
        <w:rPr>
          <w:rFonts w:ascii="Arial" w:hAnsi="Arial" w:cs="Arial"/>
          <w:sz w:val="17"/>
          <w:szCs w:val="17"/>
        </w:rPr>
        <w:t xml:space="preserve">accessed June 12, 2017, </w:t>
      </w:r>
      <w:r w:rsidRPr="008F7473">
        <w:rPr>
          <w:rFonts w:ascii="Arial" w:eastAsia="SimSun" w:hAnsi="Arial" w:cs="Arial"/>
          <w:sz w:val="17"/>
          <w:szCs w:val="17"/>
          <w:lang w:val="en-SG"/>
        </w:rPr>
        <w:t>www.smartnation.sg/about-smart-nation.</w:t>
      </w:r>
    </w:p>
  </w:endnote>
  <w:endnote w:id="21">
    <w:p w14:paraId="284D3B66" w14:textId="374838E3"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“Opening Keynote </w:t>
      </w:r>
      <w:r>
        <w:rPr>
          <w:rFonts w:ascii="Arial" w:hAnsi="Arial" w:cs="Arial"/>
          <w:sz w:val="17"/>
          <w:szCs w:val="17"/>
          <w:lang w:val="en-CA"/>
        </w:rPr>
        <w:t>b</w:t>
      </w:r>
      <w:r w:rsidRPr="008F7473">
        <w:rPr>
          <w:rFonts w:ascii="Arial" w:hAnsi="Arial" w:cs="Arial"/>
          <w:sz w:val="17"/>
          <w:szCs w:val="17"/>
        </w:rPr>
        <w:t>y Dr</w:t>
      </w:r>
      <w:r>
        <w:rPr>
          <w:rFonts w:ascii="Arial" w:hAnsi="Arial" w:cs="Arial"/>
          <w:sz w:val="17"/>
          <w:szCs w:val="17"/>
          <w:lang w:val="en-CA"/>
        </w:rPr>
        <w:t>.</w:t>
      </w:r>
      <w:r w:rsidRPr="008F7473">
        <w:rPr>
          <w:rFonts w:ascii="Arial" w:hAnsi="Arial" w:cs="Arial"/>
          <w:sz w:val="17"/>
          <w:szCs w:val="17"/>
        </w:rPr>
        <w:t xml:space="preserve"> Vivian </w:t>
      </w:r>
      <w:proofErr w:type="spellStart"/>
      <w:r w:rsidRPr="008F7473">
        <w:rPr>
          <w:rFonts w:ascii="Arial" w:hAnsi="Arial" w:cs="Arial"/>
          <w:sz w:val="17"/>
          <w:szCs w:val="17"/>
        </w:rPr>
        <w:t>Balakrishnan</w:t>
      </w:r>
      <w:proofErr w:type="spellEnd"/>
      <w:r w:rsidRPr="008F7473">
        <w:rPr>
          <w:rFonts w:ascii="Arial" w:hAnsi="Arial" w:cs="Arial"/>
          <w:sz w:val="17"/>
          <w:szCs w:val="17"/>
        </w:rPr>
        <w:t xml:space="preserve">, Minister </w:t>
      </w:r>
      <w:r>
        <w:rPr>
          <w:rFonts w:ascii="Arial" w:hAnsi="Arial" w:cs="Arial"/>
          <w:sz w:val="17"/>
          <w:szCs w:val="17"/>
          <w:lang w:val="en-CA"/>
        </w:rPr>
        <w:t>f</w:t>
      </w:r>
      <w:r w:rsidRPr="008F7473">
        <w:rPr>
          <w:rFonts w:ascii="Arial" w:hAnsi="Arial" w:cs="Arial"/>
          <w:sz w:val="17"/>
          <w:szCs w:val="17"/>
        </w:rPr>
        <w:t xml:space="preserve">or Foreign Affairs </w:t>
      </w:r>
      <w:r>
        <w:rPr>
          <w:rFonts w:ascii="Arial" w:hAnsi="Arial" w:cs="Arial"/>
          <w:sz w:val="17"/>
          <w:szCs w:val="17"/>
          <w:lang w:val="en-CA"/>
        </w:rPr>
        <w:t>a</w:t>
      </w:r>
      <w:proofErr w:type="spellStart"/>
      <w:r w:rsidRPr="008F7473">
        <w:rPr>
          <w:rFonts w:ascii="Arial" w:hAnsi="Arial" w:cs="Arial"/>
          <w:sz w:val="17"/>
          <w:szCs w:val="17"/>
        </w:rPr>
        <w:t>nd</w:t>
      </w:r>
      <w:proofErr w:type="spellEnd"/>
      <w:r w:rsidRPr="008F7473">
        <w:rPr>
          <w:rFonts w:ascii="Arial" w:hAnsi="Arial" w:cs="Arial"/>
          <w:sz w:val="17"/>
          <w:szCs w:val="17"/>
        </w:rPr>
        <w:t xml:space="preserve"> Minister-In-Charge </w:t>
      </w:r>
      <w:r>
        <w:rPr>
          <w:rFonts w:ascii="Arial" w:hAnsi="Arial" w:cs="Arial"/>
          <w:sz w:val="17"/>
          <w:szCs w:val="17"/>
          <w:lang w:val="en-CA"/>
        </w:rPr>
        <w:t>o</w:t>
      </w:r>
      <w:r w:rsidRPr="008F7473">
        <w:rPr>
          <w:rFonts w:ascii="Arial" w:hAnsi="Arial" w:cs="Arial"/>
          <w:sz w:val="17"/>
          <w:szCs w:val="17"/>
        </w:rPr>
        <w:t xml:space="preserve">f </w:t>
      </w:r>
      <w:r>
        <w:rPr>
          <w:rFonts w:ascii="Arial" w:hAnsi="Arial" w:cs="Arial"/>
          <w:sz w:val="17"/>
          <w:szCs w:val="17"/>
          <w:lang w:val="en-CA"/>
        </w:rPr>
        <w:t>t</w:t>
      </w:r>
      <w:r w:rsidRPr="008F7473">
        <w:rPr>
          <w:rFonts w:ascii="Arial" w:hAnsi="Arial" w:cs="Arial"/>
          <w:sz w:val="17"/>
          <w:szCs w:val="17"/>
        </w:rPr>
        <w:t>he Smart Nation Initiative 29 March 2017</w:t>
      </w:r>
      <w:r w:rsidRPr="008F7473">
        <w:rPr>
          <w:rFonts w:ascii="Arial" w:hAnsi="Arial" w:cs="Arial"/>
          <w:sz w:val="17"/>
          <w:szCs w:val="17"/>
          <w:lang w:val="en-CA"/>
        </w:rPr>
        <w:t>,</w:t>
      </w:r>
      <w:r w:rsidRPr="008F7473">
        <w:rPr>
          <w:rFonts w:ascii="Arial" w:hAnsi="Arial" w:cs="Arial"/>
          <w:sz w:val="17"/>
          <w:szCs w:val="17"/>
        </w:rPr>
        <w:t xml:space="preserve">” </w:t>
      </w:r>
      <w:proofErr w:type="spellStart"/>
      <w:r w:rsidRPr="008F7473">
        <w:rPr>
          <w:rFonts w:ascii="Arial" w:hAnsi="Arial" w:cs="Arial"/>
          <w:sz w:val="17"/>
          <w:szCs w:val="17"/>
        </w:rPr>
        <w:t>IoT</w:t>
      </w:r>
      <w:proofErr w:type="spellEnd"/>
      <w:r w:rsidRPr="008F7473">
        <w:rPr>
          <w:rFonts w:ascii="Arial" w:hAnsi="Arial" w:cs="Arial"/>
          <w:sz w:val="17"/>
          <w:szCs w:val="17"/>
        </w:rPr>
        <w:t xml:space="preserve"> ASIA 2017, accessed June 12, 2017, www.smartnation.sg/newsroom/speeches/iot-asia-2017</w:t>
      </w:r>
      <w:r w:rsidRPr="008F7473">
        <w:rPr>
          <w:rFonts w:ascii="Arial" w:hAnsi="Arial" w:cs="Arial"/>
          <w:sz w:val="17"/>
          <w:szCs w:val="17"/>
          <w:lang w:val="en-CA"/>
        </w:rPr>
        <w:t>.</w:t>
      </w:r>
    </w:p>
  </w:endnote>
  <w:endnote w:id="22">
    <w:p w14:paraId="35EC817C" w14:textId="0308731D"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“Internet-of-Things Technologies to Play a Key Role in Singapore’s Smart Nation Push</w:t>
      </w:r>
      <w:r w:rsidRPr="008F7473">
        <w:rPr>
          <w:rFonts w:ascii="Arial" w:hAnsi="Arial" w:cs="Arial"/>
          <w:sz w:val="17"/>
          <w:szCs w:val="17"/>
          <w:lang w:val="en-CA"/>
        </w:rPr>
        <w:t>,</w:t>
      </w:r>
      <w:r w:rsidRPr="008F7473">
        <w:rPr>
          <w:rFonts w:ascii="Arial" w:hAnsi="Arial" w:cs="Arial"/>
          <w:sz w:val="17"/>
          <w:szCs w:val="17"/>
        </w:rPr>
        <w:t xml:space="preserve">” </w:t>
      </w:r>
      <w:proofErr w:type="spellStart"/>
      <w:r w:rsidRPr="008F7473">
        <w:rPr>
          <w:rFonts w:ascii="Arial" w:hAnsi="Arial" w:cs="Arial"/>
          <w:sz w:val="17"/>
          <w:szCs w:val="17"/>
        </w:rPr>
        <w:t>Fintechnews</w:t>
      </w:r>
      <w:proofErr w:type="spellEnd"/>
      <w:r w:rsidRPr="008F7473">
        <w:rPr>
          <w:rFonts w:ascii="Arial" w:hAnsi="Arial" w:cs="Arial"/>
          <w:sz w:val="17"/>
          <w:szCs w:val="17"/>
        </w:rPr>
        <w:t xml:space="preserve"> Singapore, August 2, 2017, accessed August 3, 2017, http://fintechnews.sg/10437/iot/internet-things-singapore-key-role-singapores-smart-nation-push/</w:t>
      </w:r>
      <w:r w:rsidRPr="008F7473">
        <w:rPr>
          <w:rFonts w:ascii="Arial" w:hAnsi="Arial" w:cs="Arial"/>
          <w:sz w:val="17"/>
          <w:szCs w:val="17"/>
          <w:lang w:val="en-CA"/>
        </w:rPr>
        <w:t>.</w:t>
      </w:r>
    </w:p>
  </w:endnote>
  <w:endnote w:id="23">
    <w:p w14:paraId="50B24FD8" w14:textId="22DC8B60" w:rsidR="00164FB3" w:rsidRPr="008F7473" w:rsidRDefault="00164FB3" w:rsidP="008F67B4">
      <w:pPr>
        <w:pStyle w:val="EndnoteText"/>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lang w:val="en-CA"/>
        </w:rPr>
        <w:t>Rainmaker Labs,</w:t>
      </w:r>
      <w:r>
        <w:rPr>
          <w:rFonts w:ascii="Arial" w:hAnsi="Arial" w:cs="Arial"/>
          <w:sz w:val="17"/>
          <w:szCs w:val="17"/>
          <w:lang w:val="en-CA"/>
        </w:rPr>
        <w:t xml:space="preserve"> </w:t>
      </w:r>
      <w:r w:rsidRPr="008F7473">
        <w:rPr>
          <w:rFonts w:ascii="Arial" w:hAnsi="Arial" w:cs="Arial"/>
          <w:sz w:val="17"/>
          <w:szCs w:val="17"/>
        </w:rPr>
        <w:t xml:space="preserve">“What </w:t>
      </w:r>
      <w:r>
        <w:rPr>
          <w:rFonts w:ascii="Arial" w:hAnsi="Arial" w:cs="Arial"/>
          <w:sz w:val="17"/>
          <w:szCs w:val="17"/>
          <w:lang w:val="en-CA"/>
        </w:rPr>
        <w:t>We D</w:t>
      </w:r>
      <w:r w:rsidRPr="008F7473">
        <w:rPr>
          <w:rFonts w:ascii="Arial" w:hAnsi="Arial" w:cs="Arial"/>
          <w:sz w:val="17"/>
          <w:szCs w:val="17"/>
        </w:rPr>
        <w:t xml:space="preserve">id for </w:t>
      </w:r>
      <w:proofErr w:type="spellStart"/>
      <w:r w:rsidRPr="008F7473">
        <w:rPr>
          <w:rFonts w:ascii="Arial" w:hAnsi="Arial" w:cs="Arial"/>
          <w:sz w:val="17"/>
          <w:szCs w:val="17"/>
        </w:rPr>
        <w:t>StarHub</w:t>
      </w:r>
      <w:proofErr w:type="spellEnd"/>
      <w:r w:rsidRPr="008F7473">
        <w:rPr>
          <w:rFonts w:ascii="Arial" w:hAnsi="Arial" w:cs="Arial"/>
          <w:sz w:val="17"/>
          <w:szCs w:val="17"/>
        </w:rPr>
        <w:t xml:space="preserve"> </w:t>
      </w:r>
      <w:r>
        <w:rPr>
          <w:rFonts w:ascii="Arial" w:hAnsi="Arial" w:cs="Arial"/>
          <w:sz w:val="17"/>
          <w:szCs w:val="17"/>
          <w:lang w:val="en-CA"/>
        </w:rPr>
        <w:t>M</w:t>
      </w:r>
      <w:proofErr w:type="spellStart"/>
      <w:r w:rsidRPr="008F7473">
        <w:rPr>
          <w:rFonts w:ascii="Arial" w:hAnsi="Arial" w:cs="Arial"/>
          <w:sz w:val="17"/>
          <w:szCs w:val="17"/>
        </w:rPr>
        <w:t>obile</w:t>
      </w:r>
      <w:proofErr w:type="spellEnd"/>
      <w:r w:rsidRPr="008F7473">
        <w:rPr>
          <w:rFonts w:ascii="Arial" w:hAnsi="Arial" w:cs="Arial"/>
          <w:sz w:val="17"/>
          <w:szCs w:val="17"/>
        </w:rPr>
        <w:t xml:space="preserve"> </w:t>
      </w:r>
      <w:r>
        <w:rPr>
          <w:rFonts w:ascii="Arial" w:hAnsi="Arial" w:cs="Arial"/>
          <w:sz w:val="17"/>
          <w:szCs w:val="17"/>
          <w:lang w:val="en-CA"/>
        </w:rPr>
        <w:t>A</w:t>
      </w:r>
      <w:r w:rsidRPr="008F7473">
        <w:rPr>
          <w:rFonts w:ascii="Arial" w:hAnsi="Arial" w:cs="Arial"/>
          <w:sz w:val="17"/>
          <w:szCs w:val="17"/>
        </w:rPr>
        <w:t>pp</w:t>
      </w:r>
      <w:r w:rsidRPr="008F7473">
        <w:rPr>
          <w:rFonts w:ascii="Arial" w:hAnsi="Arial" w:cs="Arial"/>
          <w:sz w:val="17"/>
          <w:szCs w:val="17"/>
          <w:lang w:val="en-CA"/>
        </w:rPr>
        <w:t>,</w:t>
      </w:r>
      <w:r w:rsidRPr="008F7473">
        <w:rPr>
          <w:rFonts w:ascii="Arial" w:hAnsi="Arial" w:cs="Arial"/>
          <w:sz w:val="17"/>
          <w:szCs w:val="17"/>
        </w:rPr>
        <w:t>” accessed October 11, 2017, http://rainmaker-labs.com/mobile-app-case-studies/starhub-mobile-app/#</w:t>
      </w:r>
      <w:r w:rsidRPr="008F7473">
        <w:rPr>
          <w:rFonts w:ascii="Arial" w:hAnsi="Arial" w:cs="Arial"/>
          <w:sz w:val="17"/>
          <w:szCs w:val="17"/>
          <w:lang w:val="en-CA"/>
        </w:rPr>
        <w:t>.</w:t>
      </w:r>
    </w:p>
  </w:endnote>
  <w:endnote w:id="24">
    <w:p w14:paraId="23AFF5C9" w14:textId="27BE0479"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proofErr w:type="spellStart"/>
      <w:r>
        <w:rPr>
          <w:rFonts w:ascii="Arial" w:hAnsi="Arial" w:cs="Arial"/>
          <w:sz w:val="17"/>
          <w:szCs w:val="17"/>
          <w:lang w:val="en-CA"/>
        </w:rPr>
        <w:t>IMDA</w:t>
      </w:r>
      <w:proofErr w:type="spellEnd"/>
      <w:r>
        <w:rPr>
          <w:rFonts w:ascii="Arial" w:hAnsi="Arial" w:cs="Arial"/>
          <w:sz w:val="17"/>
          <w:szCs w:val="17"/>
          <w:lang w:val="en-CA"/>
        </w:rPr>
        <w:t xml:space="preserve">, </w:t>
      </w:r>
      <w:r w:rsidRPr="008F7473">
        <w:rPr>
          <w:rFonts w:ascii="Arial" w:hAnsi="Arial" w:cs="Arial"/>
          <w:sz w:val="17"/>
          <w:szCs w:val="17"/>
        </w:rPr>
        <w:t>“</w:t>
      </w:r>
      <w:proofErr w:type="spellStart"/>
      <w:r w:rsidRPr="008F7473">
        <w:rPr>
          <w:rFonts w:ascii="Arial" w:hAnsi="Arial" w:cs="Arial"/>
          <w:sz w:val="17"/>
          <w:szCs w:val="17"/>
        </w:rPr>
        <w:t>Infocomm</w:t>
      </w:r>
      <w:proofErr w:type="spellEnd"/>
      <w:r w:rsidRPr="008F7473">
        <w:rPr>
          <w:rFonts w:ascii="Arial" w:hAnsi="Arial" w:cs="Arial"/>
          <w:sz w:val="17"/>
          <w:szCs w:val="17"/>
        </w:rPr>
        <w:t xml:space="preserve"> Media Industry Transformation Map</w:t>
      </w:r>
      <w:r w:rsidRPr="008F7473">
        <w:rPr>
          <w:rFonts w:ascii="Arial" w:hAnsi="Arial" w:cs="Arial"/>
          <w:sz w:val="17"/>
          <w:szCs w:val="17"/>
          <w:lang w:val="en-CA"/>
        </w:rPr>
        <w:t>,</w:t>
      </w:r>
      <w:r w:rsidRPr="008F7473">
        <w:rPr>
          <w:rFonts w:ascii="Arial" w:hAnsi="Arial" w:cs="Arial"/>
          <w:sz w:val="17"/>
          <w:szCs w:val="17"/>
        </w:rPr>
        <w:t xml:space="preserve">” </w:t>
      </w:r>
      <w:r>
        <w:rPr>
          <w:rFonts w:ascii="Arial" w:hAnsi="Arial" w:cs="Arial"/>
          <w:sz w:val="17"/>
          <w:szCs w:val="17"/>
          <w:lang w:val="en-CA"/>
        </w:rPr>
        <w:t>media release, November 3, 2017</w:t>
      </w:r>
      <w:r w:rsidRPr="008F7473">
        <w:rPr>
          <w:rFonts w:ascii="Arial" w:hAnsi="Arial" w:cs="Arial"/>
          <w:sz w:val="17"/>
          <w:szCs w:val="17"/>
          <w:lang w:val="en-CA"/>
        </w:rPr>
        <w:t xml:space="preserve">, </w:t>
      </w:r>
      <w:r w:rsidRPr="008F7473">
        <w:rPr>
          <w:rFonts w:ascii="Arial" w:hAnsi="Arial" w:cs="Arial"/>
          <w:sz w:val="17"/>
          <w:szCs w:val="17"/>
        </w:rPr>
        <w:t>accessed November 3, 2017, www.imda.gov.sg/about/newsroom/media-releases/2017/infocomm-media-industry-transformation-map</w:t>
      </w:r>
      <w:r w:rsidRPr="008F7473">
        <w:rPr>
          <w:rFonts w:ascii="Arial" w:hAnsi="Arial" w:cs="Arial"/>
          <w:sz w:val="17"/>
          <w:szCs w:val="17"/>
          <w:lang w:val="en-CA"/>
        </w:rPr>
        <w:t>.</w:t>
      </w:r>
    </w:p>
  </w:endnote>
  <w:endnote w:id="25">
    <w:p w14:paraId="3074E208" w14:textId="4A912538"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proofErr w:type="spellStart"/>
      <w:r>
        <w:rPr>
          <w:rFonts w:ascii="Arial" w:hAnsi="Arial" w:cs="Arial"/>
          <w:sz w:val="17"/>
          <w:szCs w:val="17"/>
          <w:lang w:val="en-CA"/>
        </w:rPr>
        <w:t>IMDA</w:t>
      </w:r>
      <w:proofErr w:type="spellEnd"/>
      <w:r>
        <w:rPr>
          <w:rFonts w:ascii="Arial" w:hAnsi="Arial" w:cs="Arial"/>
          <w:sz w:val="17"/>
          <w:szCs w:val="17"/>
          <w:lang w:val="en-CA"/>
        </w:rPr>
        <w:t xml:space="preserve">, </w:t>
      </w:r>
      <w:r w:rsidRPr="008F7473">
        <w:rPr>
          <w:rFonts w:ascii="Arial" w:hAnsi="Arial" w:cs="Arial"/>
          <w:sz w:val="17"/>
          <w:szCs w:val="17"/>
        </w:rPr>
        <w:t xml:space="preserve">“For SMEs, the </w:t>
      </w:r>
      <w:r>
        <w:rPr>
          <w:rFonts w:ascii="Arial" w:hAnsi="Arial" w:cs="Arial"/>
          <w:sz w:val="17"/>
          <w:szCs w:val="17"/>
          <w:lang w:val="en-CA"/>
        </w:rPr>
        <w:t>F</w:t>
      </w:r>
      <w:proofErr w:type="spellStart"/>
      <w:r w:rsidRPr="008F7473">
        <w:rPr>
          <w:rFonts w:ascii="Arial" w:hAnsi="Arial" w:cs="Arial"/>
          <w:sz w:val="17"/>
          <w:szCs w:val="17"/>
        </w:rPr>
        <w:t>uture</w:t>
      </w:r>
      <w:proofErr w:type="spellEnd"/>
      <w:r w:rsidRPr="008F7473">
        <w:rPr>
          <w:rFonts w:ascii="Arial" w:hAnsi="Arial" w:cs="Arial"/>
          <w:sz w:val="17"/>
          <w:szCs w:val="17"/>
        </w:rPr>
        <w:t xml:space="preserve"> </w:t>
      </w:r>
      <w:r>
        <w:rPr>
          <w:rFonts w:ascii="Arial" w:hAnsi="Arial" w:cs="Arial"/>
          <w:sz w:val="17"/>
          <w:szCs w:val="17"/>
          <w:lang w:val="en-CA"/>
        </w:rPr>
        <w:t>I</w:t>
      </w:r>
      <w:r w:rsidRPr="008F7473">
        <w:rPr>
          <w:rFonts w:ascii="Arial" w:hAnsi="Arial" w:cs="Arial"/>
          <w:sz w:val="17"/>
          <w:szCs w:val="17"/>
        </w:rPr>
        <w:t xml:space="preserve">s </w:t>
      </w:r>
      <w:r>
        <w:rPr>
          <w:rFonts w:ascii="Arial" w:hAnsi="Arial" w:cs="Arial"/>
          <w:sz w:val="17"/>
          <w:szCs w:val="17"/>
          <w:lang w:val="en-CA"/>
        </w:rPr>
        <w:t>D</w:t>
      </w:r>
      <w:proofErr w:type="spellStart"/>
      <w:r w:rsidRPr="008F7473">
        <w:rPr>
          <w:rFonts w:ascii="Arial" w:hAnsi="Arial" w:cs="Arial"/>
          <w:sz w:val="17"/>
          <w:szCs w:val="17"/>
        </w:rPr>
        <w:t>igital</w:t>
      </w:r>
      <w:proofErr w:type="spellEnd"/>
      <w:r w:rsidRPr="008F7473">
        <w:rPr>
          <w:rFonts w:ascii="Arial" w:hAnsi="Arial" w:cs="Arial"/>
          <w:sz w:val="17"/>
          <w:szCs w:val="17"/>
          <w:lang w:val="en-CA"/>
        </w:rPr>
        <w:t>,</w:t>
      </w:r>
      <w:r w:rsidRPr="008F7473">
        <w:rPr>
          <w:rFonts w:ascii="Arial" w:hAnsi="Arial" w:cs="Arial"/>
          <w:sz w:val="17"/>
          <w:szCs w:val="17"/>
        </w:rPr>
        <w:t>”</w:t>
      </w:r>
      <w:r w:rsidRPr="008F7473">
        <w:rPr>
          <w:rFonts w:ascii="Arial" w:hAnsi="Arial" w:cs="Arial"/>
          <w:sz w:val="17"/>
          <w:szCs w:val="17"/>
          <w:lang w:val="en-CA"/>
        </w:rPr>
        <w:t xml:space="preserve"> </w:t>
      </w:r>
      <w:r>
        <w:rPr>
          <w:rFonts w:ascii="Arial" w:hAnsi="Arial" w:cs="Arial"/>
          <w:sz w:val="17"/>
          <w:szCs w:val="17"/>
          <w:lang w:val="en-CA"/>
        </w:rPr>
        <w:t xml:space="preserve">November 3, 2017, </w:t>
      </w:r>
      <w:r w:rsidRPr="008F7473">
        <w:rPr>
          <w:rFonts w:ascii="Arial" w:hAnsi="Arial" w:cs="Arial"/>
          <w:sz w:val="17"/>
          <w:szCs w:val="17"/>
        </w:rPr>
        <w:t>accessed November 14, 2017, www.imda.gov.sg/infocomm-and-media-news/buzz-central/2017/5/for-smes-the-future-is-digital</w:t>
      </w:r>
      <w:r w:rsidRPr="008F7473">
        <w:rPr>
          <w:rFonts w:ascii="Arial" w:hAnsi="Arial" w:cs="Arial"/>
          <w:sz w:val="17"/>
          <w:szCs w:val="17"/>
          <w:lang w:val="en-CA"/>
        </w:rPr>
        <w:t>.</w:t>
      </w:r>
    </w:p>
  </w:endnote>
  <w:endnote w:id="26">
    <w:p w14:paraId="0F1027B9" w14:textId="5F166844"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proofErr w:type="spellStart"/>
      <w:r w:rsidRPr="008F7473">
        <w:rPr>
          <w:rFonts w:ascii="Arial" w:hAnsi="Arial" w:cs="Arial"/>
          <w:color w:val="000000"/>
          <w:sz w:val="17"/>
          <w:szCs w:val="17"/>
          <w:lang w:val="en-CA"/>
        </w:rPr>
        <w:t>IMDA</w:t>
      </w:r>
      <w:proofErr w:type="spellEnd"/>
      <w:r w:rsidRPr="008F7473">
        <w:rPr>
          <w:rFonts w:ascii="Arial" w:hAnsi="Arial" w:cs="Arial"/>
          <w:color w:val="000000"/>
          <w:sz w:val="17"/>
          <w:szCs w:val="17"/>
          <w:lang w:val="en-CA"/>
        </w:rPr>
        <w:t>,</w:t>
      </w:r>
      <w:r>
        <w:rPr>
          <w:rFonts w:ascii="Arial" w:hAnsi="Arial" w:cs="Arial"/>
          <w:color w:val="000000"/>
          <w:sz w:val="17"/>
          <w:szCs w:val="17"/>
          <w:lang w:val="en-CA"/>
        </w:rPr>
        <w:t xml:space="preserve"> </w:t>
      </w:r>
      <w:r w:rsidRPr="008F7473">
        <w:rPr>
          <w:rFonts w:ascii="Arial" w:hAnsi="Arial" w:cs="Arial"/>
          <w:color w:val="000000"/>
          <w:sz w:val="17"/>
          <w:szCs w:val="17"/>
        </w:rPr>
        <w:t>“Banking, Telco Players Collaborate to Help SMEs Adopt Connected, Transformative Tech</w:t>
      </w:r>
      <w:r>
        <w:rPr>
          <w:rFonts w:ascii="Arial" w:hAnsi="Arial" w:cs="Arial"/>
          <w:color w:val="000000"/>
          <w:sz w:val="17"/>
          <w:szCs w:val="17"/>
          <w:lang w:val="en-CA"/>
        </w:rPr>
        <w:t>,</w:t>
      </w:r>
      <w:r w:rsidRPr="008F7473">
        <w:rPr>
          <w:rFonts w:ascii="Arial" w:hAnsi="Arial" w:cs="Arial"/>
          <w:color w:val="000000"/>
          <w:sz w:val="17"/>
          <w:szCs w:val="17"/>
        </w:rPr>
        <w:t xml:space="preserve">” </w:t>
      </w:r>
      <w:r>
        <w:rPr>
          <w:rFonts w:ascii="Arial" w:hAnsi="Arial" w:cs="Arial"/>
          <w:color w:val="000000"/>
          <w:sz w:val="17"/>
          <w:szCs w:val="17"/>
          <w:lang w:val="en-CA"/>
        </w:rPr>
        <w:t xml:space="preserve">media release, August 16, 2007, </w:t>
      </w:r>
      <w:r w:rsidRPr="008F7473">
        <w:rPr>
          <w:rFonts w:ascii="Arial" w:hAnsi="Arial" w:cs="Arial"/>
          <w:color w:val="000000"/>
          <w:sz w:val="17"/>
          <w:szCs w:val="17"/>
        </w:rPr>
        <w:t>accessed November 14, 2017,</w:t>
      </w:r>
      <w:r w:rsidRPr="008F7473">
        <w:rPr>
          <w:rFonts w:ascii="Arial" w:hAnsi="Arial" w:cs="Arial"/>
          <w:sz w:val="17"/>
          <w:szCs w:val="17"/>
        </w:rPr>
        <w:t xml:space="preserve"> </w:t>
      </w:r>
      <w:r w:rsidRPr="008F7473">
        <w:rPr>
          <w:rFonts w:ascii="Arial" w:hAnsi="Arial" w:cs="Arial"/>
          <w:color w:val="000000"/>
          <w:sz w:val="17"/>
          <w:szCs w:val="17"/>
        </w:rPr>
        <w:t>www.imda.gov.sg/about/newsroom/media-releases/2017/banking-telco-players-collaborate-to-help-smes-adopt-connected-transformative-tech</w:t>
      </w:r>
      <w:r w:rsidRPr="008F7473">
        <w:rPr>
          <w:rFonts w:ascii="Arial" w:hAnsi="Arial" w:cs="Arial"/>
          <w:color w:val="000000"/>
          <w:sz w:val="17"/>
          <w:szCs w:val="17"/>
          <w:lang w:val="en-CA"/>
        </w:rPr>
        <w:t>.</w:t>
      </w:r>
    </w:p>
  </w:endnote>
  <w:endnote w:id="27">
    <w:p w14:paraId="5FC3634F" w14:textId="3639E8FA"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Annabeth </w:t>
      </w:r>
      <w:proofErr w:type="spellStart"/>
      <w:r w:rsidRPr="008F7473">
        <w:rPr>
          <w:rFonts w:ascii="Arial" w:hAnsi="Arial" w:cs="Arial"/>
          <w:sz w:val="17"/>
          <w:szCs w:val="17"/>
        </w:rPr>
        <w:t>Leow</w:t>
      </w:r>
      <w:proofErr w:type="spellEnd"/>
      <w:r w:rsidRPr="008F7473">
        <w:rPr>
          <w:rFonts w:ascii="Arial" w:hAnsi="Arial" w:cs="Arial"/>
          <w:sz w:val="17"/>
          <w:szCs w:val="17"/>
        </w:rPr>
        <w:t>, “</w:t>
      </w:r>
      <w:proofErr w:type="spellStart"/>
      <w:r w:rsidRPr="008F7473">
        <w:rPr>
          <w:rFonts w:ascii="Arial" w:hAnsi="Arial" w:cs="Arial"/>
          <w:sz w:val="17"/>
          <w:szCs w:val="17"/>
        </w:rPr>
        <w:t>StarHub</w:t>
      </w:r>
      <w:proofErr w:type="spellEnd"/>
      <w:r w:rsidRPr="008F7473">
        <w:rPr>
          <w:rFonts w:ascii="Arial" w:hAnsi="Arial" w:cs="Arial"/>
          <w:sz w:val="17"/>
          <w:szCs w:val="17"/>
        </w:rPr>
        <w:t xml:space="preserve"> </w:t>
      </w:r>
      <w:r>
        <w:rPr>
          <w:rFonts w:ascii="Arial" w:hAnsi="Arial" w:cs="Arial"/>
          <w:sz w:val="17"/>
          <w:szCs w:val="17"/>
          <w:lang w:val="en-CA"/>
        </w:rPr>
        <w:t>P</w:t>
      </w:r>
      <w:proofErr w:type="spellStart"/>
      <w:r w:rsidRPr="008F7473">
        <w:rPr>
          <w:rFonts w:ascii="Arial" w:hAnsi="Arial" w:cs="Arial"/>
          <w:sz w:val="17"/>
          <w:szCs w:val="17"/>
        </w:rPr>
        <w:t>osts</w:t>
      </w:r>
      <w:proofErr w:type="spellEnd"/>
      <w:r w:rsidRPr="008F7473">
        <w:rPr>
          <w:rFonts w:ascii="Arial" w:hAnsi="Arial" w:cs="Arial"/>
          <w:sz w:val="17"/>
          <w:szCs w:val="17"/>
        </w:rPr>
        <w:t xml:space="preserve"> 74% </w:t>
      </w:r>
      <w:r>
        <w:rPr>
          <w:rFonts w:ascii="Arial" w:hAnsi="Arial" w:cs="Arial"/>
          <w:sz w:val="17"/>
          <w:szCs w:val="17"/>
          <w:lang w:val="en-CA"/>
        </w:rPr>
        <w:t>F</w:t>
      </w:r>
      <w:r w:rsidRPr="008F7473">
        <w:rPr>
          <w:rFonts w:ascii="Arial" w:hAnsi="Arial" w:cs="Arial"/>
          <w:sz w:val="17"/>
          <w:szCs w:val="17"/>
        </w:rPr>
        <w:t xml:space="preserve">all in Q4 </w:t>
      </w:r>
      <w:r>
        <w:rPr>
          <w:rFonts w:ascii="Arial" w:hAnsi="Arial" w:cs="Arial"/>
          <w:sz w:val="17"/>
          <w:szCs w:val="17"/>
          <w:lang w:val="en-CA"/>
        </w:rPr>
        <w:t>N</w:t>
      </w:r>
      <w:r w:rsidRPr="008F7473">
        <w:rPr>
          <w:rFonts w:ascii="Arial" w:hAnsi="Arial" w:cs="Arial"/>
          <w:sz w:val="17"/>
          <w:szCs w:val="17"/>
        </w:rPr>
        <w:t xml:space="preserve">et </w:t>
      </w:r>
      <w:r>
        <w:rPr>
          <w:rFonts w:ascii="Arial" w:hAnsi="Arial" w:cs="Arial"/>
          <w:sz w:val="17"/>
          <w:szCs w:val="17"/>
          <w:lang w:val="en-CA"/>
        </w:rPr>
        <w:t>P</w:t>
      </w:r>
      <w:proofErr w:type="spellStart"/>
      <w:r w:rsidRPr="008F7473">
        <w:rPr>
          <w:rFonts w:ascii="Arial" w:hAnsi="Arial" w:cs="Arial"/>
          <w:sz w:val="17"/>
          <w:szCs w:val="17"/>
        </w:rPr>
        <w:t>rofit</w:t>
      </w:r>
      <w:proofErr w:type="spellEnd"/>
      <w:r w:rsidRPr="008F7473">
        <w:rPr>
          <w:rFonts w:ascii="Arial" w:hAnsi="Arial" w:cs="Arial"/>
          <w:sz w:val="17"/>
          <w:szCs w:val="17"/>
        </w:rPr>
        <w:t xml:space="preserve">, as </w:t>
      </w:r>
      <w:r>
        <w:rPr>
          <w:rFonts w:ascii="Arial" w:hAnsi="Arial" w:cs="Arial"/>
          <w:sz w:val="17"/>
          <w:szCs w:val="17"/>
          <w:lang w:val="en-CA"/>
        </w:rPr>
        <w:t>E</w:t>
      </w:r>
      <w:proofErr w:type="spellStart"/>
      <w:r w:rsidRPr="008F7473">
        <w:rPr>
          <w:rFonts w:ascii="Arial" w:hAnsi="Arial" w:cs="Arial"/>
          <w:sz w:val="17"/>
          <w:szCs w:val="17"/>
        </w:rPr>
        <w:t>xpenses</w:t>
      </w:r>
      <w:proofErr w:type="spellEnd"/>
      <w:r w:rsidRPr="008F7473">
        <w:rPr>
          <w:rFonts w:ascii="Arial" w:hAnsi="Arial" w:cs="Arial"/>
          <w:sz w:val="17"/>
          <w:szCs w:val="17"/>
        </w:rPr>
        <w:t xml:space="preserve"> </w:t>
      </w:r>
      <w:r>
        <w:rPr>
          <w:rFonts w:ascii="Arial" w:hAnsi="Arial" w:cs="Arial"/>
          <w:sz w:val="17"/>
          <w:szCs w:val="17"/>
          <w:lang w:val="en-CA"/>
        </w:rPr>
        <w:t>J</w:t>
      </w:r>
      <w:r w:rsidRPr="008F7473">
        <w:rPr>
          <w:rFonts w:ascii="Arial" w:hAnsi="Arial" w:cs="Arial"/>
          <w:sz w:val="17"/>
          <w:szCs w:val="17"/>
        </w:rPr>
        <w:t xml:space="preserve">ump on </w:t>
      </w:r>
      <w:r>
        <w:rPr>
          <w:rFonts w:ascii="Arial" w:hAnsi="Arial" w:cs="Arial"/>
          <w:sz w:val="17"/>
          <w:szCs w:val="17"/>
          <w:lang w:val="en-CA"/>
        </w:rPr>
        <w:t>O</w:t>
      </w:r>
      <w:r w:rsidRPr="008F7473">
        <w:rPr>
          <w:rFonts w:ascii="Arial" w:hAnsi="Arial" w:cs="Arial"/>
          <w:sz w:val="17"/>
          <w:szCs w:val="17"/>
        </w:rPr>
        <w:t>ne-</w:t>
      </w:r>
      <w:r>
        <w:rPr>
          <w:rFonts w:ascii="Arial" w:hAnsi="Arial" w:cs="Arial"/>
          <w:sz w:val="17"/>
          <w:szCs w:val="17"/>
          <w:lang w:val="en-CA"/>
        </w:rPr>
        <w:t>O</w:t>
      </w:r>
      <w:proofErr w:type="spellStart"/>
      <w:r w:rsidRPr="008F7473">
        <w:rPr>
          <w:rFonts w:ascii="Arial" w:hAnsi="Arial" w:cs="Arial"/>
          <w:sz w:val="17"/>
          <w:szCs w:val="17"/>
        </w:rPr>
        <w:t>ff</w:t>
      </w:r>
      <w:proofErr w:type="spellEnd"/>
      <w:r w:rsidRPr="008F7473">
        <w:rPr>
          <w:rFonts w:ascii="Arial" w:hAnsi="Arial" w:cs="Arial"/>
          <w:sz w:val="17"/>
          <w:szCs w:val="17"/>
        </w:rPr>
        <w:t xml:space="preserve"> </w:t>
      </w:r>
      <w:r>
        <w:rPr>
          <w:rFonts w:ascii="Arial" w:hAnsi="Arial" w:cs="Arial"/>
          <w:sz w:val="17"/>
          <w:szCs w:val="17"/>
          <w:lang w:val="en-CA"/>
        </w:rPr>
        <w:t>P</w:t>
      </w:r>
      <w:proofErr w:type="spellStart"/>
      <w:r w:rsidRPr="008F7473">
        <w:rPr>
          <w:rFonts w:ascii="Arial" w:hAnsi="Arial" w:cs="Arial"/>
          <w:sz w:val="17"/>
          <w:szCs w:val="17"/>
        </w:rPr>
        <w:t>rovisions</w:t>
      </w:r>
      <w:proofErr w:type="spellEnd"/>
      <w:r w:rsidRPr="008F7473">
        <w:rPr>
          <w:rFonts w:ascii="Arial" w:hAnsi="Arial" w:cs="Arial"/>
          <w:sz w:val="17"/>
          <w:szCs w:val="17"/>
          <w:lang w:val="en-CA"/>
        </w:rPr>
        <w:t>,</w:t>
      </w:r>
      <w:r w:rsidRPr="008F7473">
        <w:rPr>
          <w:rFonts w:ascii="Arial" w:hAnsi="Arial" w:cs="Arial"/>
          <w:sz w:val="17"/>
          <w:szCs w:val="17"/>
        </w:rPr>
        <w:t xml:space="preserve">” </w:t>
      </w:r>
      <w:r w:rsidRPr="008F7473">
        <w:rPr>
          <w:rFonts w:ascii="Arial" w:hAnsi="Arial" w:cs="Arial"/>
          <w:i/>
          <w:sz w:val="17"/>
          <w:szCs w:val="17"/>
        </w:rPr>
        <w:t>Business Times,</w:t>
      </w:r>
      <w:r w:rsidRPr="008F7473">
        <w:rPr>
          <w:rFonts w:ascii="Arial" w:hAnsi="Arial" w:cs="Arial"/>
          <w:sz w:val="17"/>
          <w:szCs w:val="17"/>
        </w:rPr>
        <w:t xml:space="preserve"> February 14, 2018, </w:t>
      </w:r>
      <w:r w:rsidRPr="008F7473">
        <w:rPr>
          <w:rFonts w:ascii="Arial" w:hAnsi="Arial" w:cs="Arial"/>
          <w:sz w:val="17"/>
          <w:szCs w:val="17"/>
          <w:lang w:val="en-CA"/>
        </w:rPr>
        <w:t xml:space="preserve">accessed March 11, 2018, </w:t>
      </w:r>
      <w:r w:rsidRPr="008F7473">
        <w:rPr>
          <w:rStyle w:val="Hyperlink"/>
          <w:rFonts w:ascii="Arial" w:hAnsi="Arial" w:cs="Arial"/>
          <w:color w:val="auto"/>
          <w:sz w:val="17"/>
          <w:szCs w:val="17"/>
          <w:u w:val="none"/>
        </w:rPr>
        <w:t>www.businesstimes.com.sg/companies-markets/starhub-posts-74-fall-in-q4-net-profit-as-expenses-jump-on-one-off-provisions</w:t>
      </w:r>
      <w:r w:rsidRPr="008F7473">
        <w:rPr>
          <w:rFonts w:ascii="Arial" w:hAnsi="Arial" w:cs="Arial"/>
          <w:sz w:val="17"/>
          <w:szCs w:val="17"/>
        </w:rPr>
        <w:t>.</w:t>
      </w:r>
    </w:p>
  </w:endnote>
  <w:endnote w:id="28">
    <w:p w14:paraId="6EA295FF" w14:textId="2A1CF60D" w:rsidR="00164FB3" w:rsidRPr="008F7473" w:rsidRDefault="00164FB3" w:rsidP="002952ED">
      <w:pPr>
        <w:pStyle w:val="EndnoteText"/>
        <w:jc w:val="both"/>
        <w:rPr>
          <w:rFonts w:ascii="Arial" w:hAnsi="Arial" w:cs="Arial"/>
          <w:sz w:val="17"/>
          <w:szCs w:val="17"/>
          <w:lang w:val="en-US"/>
        </w:rPr>
      </w:pPr>
      <w:r w:rsidRPr="008F7473">
        <w:rPr>
          <w:rStyle w:val="EndnoteReference"/>
          <w:rFonts w:ascii="Arial" w:hAnsi="Arial" w:cs="Arial"/>
          <w:sz w:val="17"/>
          <w:szCs w:val="17"/>
        </w:rPr>
        <w:endnoteRef/>
      </w:r>
      <w:r w:rsidRPr="008F7473">
        <w:rPr>
          <w:rFonts w:ascii="Arial" w:hAnsi="Arial" w:cs="Arial"/>
          <w:sz w:val="17"/>
          <w:szCs w:val="17"/>
        </w:rPr>
        <w:t xml:space="preserve"> </w:t>
      </w:r>
      <w:r>
        <w:rPr>
          <w:rFonts w:ascii="Arial" w:hAnsi="Arial" w:cs="Arial"/>
          <w:sz w:val="17"/>
          <w:szCs w:val="17"/>
          <w:lang w:val="en-CA"/>
        </w:rPr>
        <w:t xml:space="preserve">Irene </w:t>
      </w:r>
      <w:proofErr w:type="spellStart"/>
      <w:r>
        <w:rPr>
          <w:rFonts w:ascii="Arial" w:hAnsi="Arial" w:cs="Arial"/>
          <w:sz w:val="17"/>
          <w:szCs w:val="17"/>
          <w:lang w:val="en-CA"/>
        </w:rPr>
        <w:t>Tham</w:t>
      </w:r>
      <w:proofErr w:type="spellEnd"/>
      <w:r>
        <w:rPr>
          <w:rFonts w:ascii="Arial" w:hAnsi="Arial" w:cs="Arial"/>
          <w:sz w:val="17"/>
          <w:szCs w:val="17"/>
          <w:lang w:val="en-CA"/>
        </w:rPr>
        <w:t xml:space="preserve">, </w:t>
      </w:r>
      <w:r w:rsidRPr="008F7473">
        <w:rPr>
          <w:rFonts w:ascii="Arial" w:hAnsi="Arial" w:cs="Arial"/>
          <w:sz w:val="17"/>
          <w:szCs w:val="17"/>
        </w:rPr>
        <w:t xml:space="preserve">“Going </w:t>
      </w:r>
      <w:r>
        <w:rPr>
          <w:rFonts w:ascii="Arial" w:hAnsi="Arial" w:cs="Arial"/>
          <w:sz w:val="17"/>
          <w:szCs w:val="17"/>
          <w:lang w:val="en-CA"/>
        </w:rPr>
        <w:t>A</w:t>
      </w:r>
      <w:proofErr w:type="spellStart"/>
      <w:r w:rsidRPr="008F7473">
        <w:rPr>
          <w:rFonts w:ascii="Arial" w:hAnsi="Arial" w:cs="Arial"/>
          <w:sz w:val="17"/>
          <w:szCs w:val="17"/>
        </w:rPr>
        <w:t>ll</w:t>
      </w:r>
      <w:proofErr w:type="spellEnd"/>
      <w:r w:rsidRPr="008F7473">
        <w:rPr>
          <w:rFonts w:ascii="Arial" w:hAnsi="Arial" w:cs="Arial"/>
          <w:sz w:val="17"/>
          <w:szCs w:val="17"/>
        </w:rPr>
        <w:t xml:space="preserve"> </w:t>
      </w:r>
      <w:r>
        <w:rPr>
          <w:rFonts w:ascii="Arial" w:hAnsi="Arial" w:cs="Arial"/>
          <w:sz w:val="17"/>
          <w:szCs w:val="17"/>
          <w:lang w:val="en-CA"/>
        </w:rPr>
        <w:t>O</w:t>
      </w:r>
      <w:proofErr w:type="spellStart"/>
      <w:r w:rsidRPr="008F7473">
        <w:rPr>
          <w:rFonts w:ascii="Arial" w:hAnsi="Arial" w:cs="Arial"/>
          <w:sz w:val="17"/>
          <w:szCs w:val="17"/>
        </w:rPr>
        <w:t>ut</w:t>
      </w:r>
      <w:proofErr w:type="spellEnd"/>
      <w:r w:rsidRPr="008F7473">
        <w:rPr>
          <w:rFonts w:ascii="Arial" w:hAnsi="Arial" w:cs="Arial"/>
          <w:sz w:val="17"/>
          <w:szCs w:val="17"/>
        </w:rPr>
        <w:t xml:space="preserve"> to </w:t>
      </w:r>
      <w:r>
        <w:rPr>
          <w:rFonts w:ascii="Arial" w:hAnsi="Arial" w:cs="Arial"/>
          <w:sz w:val="17"/>
          <w:szCs w:val="17"/>
          <w:lang w:val="en-CA"/>
        </w:rPr>
        <w:t>H</w:t>
      </w:r>
      <w:proofErr w:type="spellStart"/>
      <w:r w:rsidRPr="008F7473">
        <w:rPr>
          <w:rFonts w:ascii="Arial" w:hAnsi="Arial" w:cs="Arial"/>
          <w:sz w:val="17"/>
          <w:szCs w:val="17"/>
        </w:rPr>
        <w:t>elp</w:t>
      </w:r>
      <w:proofErr w:type="spellEnd"/>
      <w:r w:rsidRPr="008F7473">
        <w:rPr>
          <w:rFonts w:ascii="Arial" w:hAnsi="Arial" w:cs="Arial"/>
          <w:sz w:val="17"/>
          <w:szCs w:val="17"/>
        </w:rPr>
        <w:t xml:space="preserve"> </w:t>
      </w:r>
      <w:r>
        <w:rPr>
          <w:rFonts w:ascii="Arial" w:hAnsi="Arial" w:cs="Arial"/>
          <w:sz w:val="17"/>
          <w:szCs w:val="17"/>
          <w:lang w:val="en-CA"/>
        </w:rPr>
        <w:t>M</w:t>
      </w:r>
      <w:r w:rsidRPr="008F7473">
        <w:rPr>
          <w:rFonts w:ascii="Arial" w:hAnsi="Arial" w:cs="Arial"/>
          <w:sz w:val="17"/>
          <w:szCs w:val="17"/>
        </w:rPr>
        <w:t xml:space="preserve">ore SMEs </w:t>
      </w:r>
      <w:r>
        <w:rPr>
          <w:rFonts w:ascii="Arial" w:hAnsi="Arial" w:cs="Arial"/>
          <w:sz w:val="17"/>
          <w:szCs w:val="17"/>
          <w:lang w:val="en-CA"/>
        </w:rPr>
        <w:t>G</w:t>
      </w:r>
      <w:r w:rsidRPr="008F7473">
        <w:rPr>
          <w:rFonts w:ascii="Arial" w:hAnsi="Arial" w:cs="Arial"/>
          <w:sz w:val="17"/>
          <w:szCs w:val="17"/>
        </w:rPr>
        <w:t xml:space="preserve">o </w:t>
      </w:r>
      <w:r>
        <w:rPr>
          <w:rFonts w:ascii="Arial" w:hAnsi="Arial" w:cs="Arial"/>
          <w:sz w:val="17"/>
          <w:szCs w:val="17"/>
          <w:lang w:val="en-CA"/>
        </w:rPr>
        <w:t>D</w:t>
      </w:r>
      <w:proofErr w:type="spellStart"/>
      <w:r w:rsidRPr="008F7473">
        <w:rPr>
          <w:rFonts w:ascii="Arial" w:hAnsi="Arial" w:cs="Arial"/>
          <w:sz w:val="17"/>
          <w:szCs w:val="17"/>
        </w:rPr>
        <w:t>igital</w:t>
      </w:r>
      <w:proofErr w:type="spellEnd"/>
      <w:r w:rsidRPr="008F7473">
        <w:rPr>
          <w:rFonts w:ascii="Arial" w:hAnsi="Arial" w:cs="Arial"/>
          <w:sz w:val="17"/>
          <w:szCs w:val="17"/>
          <w:lang w:val="en-CA"/>
        </w:rPr>
        <w:t>,</w:t>
      </w:r>
      <w:r w:rsidRPr="008F7473">
        <w:rPr>
          <w:rFonts w:ascii="Arial" w:hAnsi="Arial" w:cs="Arial"/>
          <w:sz w:val="17"/>
          <w:szCs w:val="17"/>
        </w:rPr>
        <w:t xml:space="preserve">” </w:t>
      </w:r>
      <w:r w:rsidRPr="002952ED">
        <w:rPr>
          <w:rFonts w:ascii="Arial" w:hAnsi="Arial" w:cs="Arial"/>
          <w:i/>
          <w:sz w:val="17"/>
          <w:szCs w:val="17"/>
          <w:lang w:val="en-CA"/>
        </w:rPr>
        <w:t>Straits Times</w:t>
      </w:r>
      <w:r w:rsidRPr="008F7473">
        <w:rPr>
          <w:rFonts w:ascii="Arial" w:hAnsi="Arial" w:cs="Arial"/>
          <w:sz w:val="17"/>
          <w:szCs w:val="17"/>
          <w:lang w:val="en-CA"/>
        </w:rPr>
        <w:t xml:space="preserve">, March 7, 2017, </w:t>
      </w:r>
      <w:r w:rsidRPr="008F7473">
        <w:rPr>
          <w:rFonts w:ascii="Arial" w:hAnsi="Arial" w:cs="Arial"/>
          <w:sz w:val="17"/>
          <w:szCs w:val="17"/>
        </w:rPr>
        <w:t>accessed March 7, 2017, www.straitstimes.com/singapore/going-all-out-to-help-more-smes-go-digita</w:t>
      </w:r>
      <w:r w:rsidRPr="008F7473">
        <w:rPr>
          <w:rFonts w:ascii="Arial" w:hAnsi="Arial" w:cs="Arial"/>
          <w:sz w:val="17"/>
          <w:szCs w:val="17"/>
          <w:lang w:val="en-US"/>
        </w:rPr>
        <w:t>l.</w:t>
      </w:r>
    </w:p>
  </w:endnote>
  <w:endnote w:id="29">
    <w:p w14:paraId="05DAF39A" w14:textId="1B64922D" w:rsidR="00164FB3" w:rsidRPr="002952ED" w:rsidRDefault="00164FB3" w:rsidP="002952ED">
      <w:pPr>
        <w:pStyle w:val="EndnoteText"/>
        <w:jc w:val="both"/>
        <w:rPr>
          <w:rFonts w:ascii="Arial" w:hAnsi="Arial" w:cs="Arial"/>
          <w:b/>
          <w:sz w:val="17"/>
          <w:szCs w:val="17"/>
          <w:lang w:val="en-CA"/>
        </w:rPr>
      </w:pPr>
      <w:r w:rsidRPr="008F7473">
        <w:rPr>
          <w:rStyle w:val="EndnoteReference"/>
          <w:rFonts w:ascii="Arial" w:hAnsi="Arial" w:cs="Arial"/>
          <w:sz w:val="17"/>
          <w:szCs w:val="17"/>
        </w:rPr>
        <w:endnoteRef/>
      </w:r>
      <w:r>
        <w:rPr>
          <w:rFonts w:ascii="Arial" w:hAnsi="Arial" w:cs="Arial"/>
          <w:sz w:val="17"/>
          <w:szCs w:val="17"/>
          <w:lang w:val="en-CA"/>
        </w:rPr>
        <w:t xml:space="preserve"> Aung </w:t>
      </w:r>
      <w:proofErr w:type="spellStart"/>
      <w:r>
        <w:rPr>
          <w:rFonts w:ascii="Arial" w:hAnsi="Arial" w:cs="Arial"/>
          <w:sz w:val="17"/>
          <w:szCs w:val="17"/>
          <w:lang w:val="en-CA"/>
        </w:rPr>
        <w:t>Kyaw</w:t>
      </w:r>
      <w:proofErr w:type="spellEnd"/>
      <w:r>
        <w:rPr>
          <w:rFonts w:ascii="Arial" w:hAnsi="Arial" w:cs="Arial"/>
          <w:sz w:val="17"/>
          <w:szCs w:val="17"/>
          <w:lang w:val="en-CA"/>
        </w:rPr>
        <w:t xml:space="preserve"> Moe, </w:t>
      </w:r>
      <w:r w:rsidRPr="008F7473">
        <w:rPr>
          <w:rFonts w:ascii="Arial" w:hAnsi="Arial" w:cs="Arial"/>
          <w:sz w:val="17"/>
          <w:szCs w:val="17"/>
        </w:rPr>
        <w:t xml:space="preserve">“Introducing </w:t>
      </w:r>
      <w:r>
        <w:rPr>
          <w:rFonts w:ascii="Arial" w:hAnsi="Arial" w:cs="Arial"/>
          <w:sz w:val="17"/>
          <w:szCs w:val="17"/>
          <w:lang w:val="en-CA"/>
        </w:rPr>
        <w:t>R</w:t>
      </w:r>
      <w:proofErr w:type="spellStart"/>
      <w:r w:rsidRPr="008F7473">
        <w:rPr>
          <w:rFonts w:ascii="Arial" w:hAnsi="Arial" w:cs="Arial"/>
          <w:sz w:val="17"/>
          <w:szCs w:val="17"/>
        </w:rPr>
        <w:t>obots</w:t>
      </w:r>
      <w:proofErr w:type="spellEnd"/>
      <w:r w:rsidRPr="008F7473">
        <w:rPr>
          <w:rFonts w:ascii="Arial" w:hAnsi="Arial" w:cs="Arial"/>
          <w:sz w:val="17"/>
          <w:szCs w:val="17"/>
        </w:rPr>
        <w:t xml:space="preserve"> in </w:t>
      </w:r>
      <w:r>
        <w:rPr>
          <w:rFonts w:ascii="Arial" w:hAnsi="Arial" w:cs="Arial"/>
          <w:sz w:val="17"/>
          <w:szCs w:val="17"/>
          <w:lang w:val="en-CA"/>
        </w:rPr>
        <w:t>H</w:t>
      </w:r>
      <w:proofErr w:type="spellStart"/>
      <w:r w:rsidRPr="008F7473">
        <w:rPr>
          <w:rFonts w:ascii="Arial" w:hAnsi="Arial" w:cs="Arial"/>
          <w:sz w:val="17"/>
          <w:szCs w:val="17"/>
        </w:rPr>
        <w:t>otels</w:t>
      </w:r>
      <w:proofErr w:type="spellEnd"/>
      <w:r w:rsidRPr="008F7473">
        <w:rPr>
          <w:rFonts w:ascii="Arial" w:hAnsi="Arial" w:cs="Arial"/>
          <w:sz w:val="17"/>
          <w:szCs w:val="17"/>
        </w:rPr>
        <w:t xml:space="preserve"> in Singapore </w:t>
      </w:r>
      <w:r>
        <w:rPr>
          <w:rFonts w:ascii="Arial" w:hAnsi="Arial" w:cs="Arial"/>
          <w:sz w:val="17"/>
          <w:szCs w:val="17"/>
          <w:lang w:val="en-CA"/>
        </w:rPr>
        <w:t>I</w:t>
      </w:r>
      <w:r w:rsidRPr="008F7473">
        <w:rPr>
          <w:rFonts w:ascii="Arial" w:hAnsi="Arial" w:cs="Arial"/>
          <w:sz w:val="17"/>
          <w:szCs w:val="17"/>
        </w:rPr>
        <w:t xml:space="preserve">s a </w:t>
      </w:r>
      <w:r>
        <w:rPr>
          <w:rFonts w:ascii="Arial" w:hAnsi="Arial" w:cs="Arial"/>
          <w:sz w:val="17"/>
          <w:szCs w:val="17"/>
          <w:lang w:val="en-CA"/>
        </w:rPr>
        <w:t>G</w:t>
      </w:r>
      <w:proofErr w:type="spellStart"/>
      <w:r w:rsidRPr="008F7473">
        <w:rPr>
          <w:rFonts w:ascii="Arial" w:hAnsi="Arial" w:cs="Arial"/>
          <w:sz w:val="17"/>
          <w:szCs w:val="17"/>
        </w:rPr>
        <w:t>ood</w:t>
      </w:r>
      <w:proofErr w:type="spellEnd"/>
      <w:r w:rsidRPr="008F7473">
        <w:rPr>
          <w:rFonts w:ascii="Arial" w:hAnsi="Arial" w:cs="Arial"/>
          <w:sz w:val="17"/>
          <w:szCs w:val="17"/>
        </w:rPr>
        <w:t xml:space="preserve"> </w:t>
      </w:r>
      <w:r>
        <w:rPr>
          <w:rFonts w:ascii="Arial" w:hAnsi="Arial" w:cs="Arial"/>
          <w:sz w:val="17"/>
          <w:szCs w:val="17"/>
          <w:lang w:val="en-CA"/>
        </w:rPr>
        <w:t>I</w:t>
      </w:r>
      <w:proofErr w:type="spellStart"/>
      <w:r w:rsidRPr="008F7473">
        <w:rPr>
          <w:rFonts w:ascii="Arial" w:hAnsi="Arial" w:cs="Arial"/>
          <w:sz w:val="17"/>
          <w:szCs w:val="17"/>
        </w:rPr>
        <w:t>dea</w:t>
      </w:r>
      <w:proofErr w:type="spellEnd"/>
      <w:r w:rsidRPr="008F7473">
        <w:rPr>
          <w:rFonts w:ascii="Arial" w:hAnsi="Arial" w:cs="Arial"/>
          <w:sz w:val="17"/>
          <w:szCs w:val="17"/>
          <w:lang w:val="en-CA"/>
        </w:rPr>
        <w:t>,</w:t>
      </w:r>
      <w:r w:rsidRPr="008F7473">
        <w:rPr>
          <w:rFonts w:ascii="Arial" w:hAnsi="Arial" w:cs="Arial"/>
          <w:sz w:val="17"/>
          <w:szCs w:val="17"/>
        </w:rPr>
        <w:t xml:space="preserve">” </w:t>
      </w:r>
      <w:r w:rsidRPr="008F7473">
        <w:rPr>
          <w:rFonts w:ascii="Arial" w:hAnsi="Arial" w:cs="Arial"/>
          <w:sz w:val="17"/>
          <w:szCs w:val="17"/>
          <w:lang w:val="en-CA"/>
        </w:rPr>
        <w:t xml:space="preserve">Channel </w:t>
      </w:r>
      <w:proofErr w:type="spellStart"/>
      <w:r w:rsidRPr="008F7473">
        <w:rPr>
          <w:rFonts w:ascii="Arial" w:hAnsi="Arial" w:cs="Arial"/>
          <w:sz w:val="17"/>
          <w:szCs w:val="17"/>
          <w:lang w:val="en-CA"/>
        </w:rPr>
        <w:t>NewsAsia</w:t>
      </w:r>
      <w:proofErr w:type="spellEnd"/>
      <w:r w:rsidRPr="008F7473">
        <w:rPr>
          <w:rFonts w:ascii="Arial" w:hAnsi="Arial" w:cs="Arial"/>
          <w:sz w:val="17"/>
          <w:szCs w:val="17"/>
          <w:lang w:val="en-CA"/>
        </w:rPr>
        <w:t xml:space="preserve">, updated July 14, 2017, </w:t>
      </w:r>
      <w:r w:rsidRPr="008F7473">
        <w:rPr>
          <w:rFonts w:ascii="Arial" w:hAnsi="Arial" w:cs="Arial"/>
          <w:sz w:val="17"/>
          <w:szCs w:val="17"/>
        </w:rPr>
        <w:t xml:space="preserve">accessed </w:t>
      </w:r>
      <w:r w:rsidR="007B328D">
        <w:rPr>
          <w:rFonts w:ascii="Arial" w:hAnsi="Arial" w:cs="Arial"/>
          <w:sz w:val="17"/>
          <w:szCs w:val="17"/>
          <w:lang w:val="en-US"/>
        </w:rPr>
        <w:t>July</w:t>
      </w:r>
      <w:r w:rsidRPr="008F7473">
        <w:rPr>
          <w:rFonts w:ascii="Arial" w:hAnsi="Arial" w:cs="Arial"/>
          <w:sz w:val="17"/>
          <w:szCs w:val="17"/>
        </w:rPr>
        <w:t xml:space="preserve"> 21, 2017, </w:t>
      </w:r>
      <w:r w:rsidRPr="00F30BA8">
        <w:rPr>
          <w:rFonts w:ascii="Arial" w:hAnsi="Arial" w:cs="Arial"/>
          <w:sz w:val="17"/>
          <w:szCs w:val="17"/>
        </w:rPr>
        <w:t>www.channelnewsasia.com/news/business/commentary-introducing-robots-in-hotels-in-singapore-is-a-good-8843958</w:t>
      </w:r>
      <w:r w:rsidRPr="008F7473">
        <w:rPr>
          <w:rFonts w:ascii="Arial" w:hAnsi="Arial" w:cs="Arial"/>
          <w:sz w:val="17"/>
          <w:szCs w:val="17"/>
          <w:lang w:val="en-CA"/>
        </w:rPr>
        <w:t>.</w:t>
      </w:r>
      <w:r>
        <w:rPr>
          <w:rFonts w:ascii="Arial" w:hAnsi="Arial" w:cs="Arial"/>
          <w:sz w:val="17"/>
          <w:szCs w:val="17"/>
          <w:lang w:val="en-CA"/>
        </w:rPr>
        <w:t xml:space="preserve"> </w:t>
      </w:r>
    </w:p>
  </w:endnote>
  <w:endnote w:id="30">
    <w:p w14:paraId="3BC00D26" w14:textId="29DC1F74"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Pr>
          <w:rFonts w:ascii="Arial" w:hAnsi="Arial" w:cs="Arial"/>
          <w:sz w:val="17"/>
          <w:szCs w:val="17"/>
          <w:lang w:val="en-CA"/>
        </w:rPr>
        <w:t xml:space="preserve"> Lai Zit Seng, </w:t>
      </w:r>
      <w:r w:rsidRPr="008F7473">
        <w:rPr>
          <w:rFonts w:ascii="Arial" w:hAnsi="Arial" w:cs="Arial"/>
          <w:sz w:val="17"/>
          <w:szCs w:val="17"/>
        </w:rPr>
        <w:t>“M Social’s Robot at Your Service</w:t>
      </w:r>
      <w:r w:rsidRPr="008F7473">
        <w:rPr>
          <w:rFonts w:ascii="Arial" w:hAnsi="Arial" w:cs="Arial"/>
          <w:sz w:val="17"/>
          <w:szCs w:val="17"/>
          <w:lang w:val="en-CA"/>
        </w:rPr>
        <w:t>,</w:t>
      </w:r>
      <w:r w:rsidRPr="008F7473">
        <w:rPr>
          <w:rFonts w:ascii="Arial" w:hAnsi="Arial" w:cs="Arial"/>
          <w:sz w:val="17"/>
          <w:szCs w:val="17"/>
        </w:rPr>
        <w:t xml:space="preserve">” </w:t>
      </w:r>
      <w:r w:rsidRPr="002952ED">
        <w:rPr>
          <w:rFonts w:ascii="Arial" w:hAnsi="Arial" w:cs="Arial"/>
          <w:i/>
          <w:sz w:val="17"/>
          <w:szCs w:val="17"/>
        </w:rPr>
        <w:t>Zit Seng’s Blog</w:t>
      </w:r>
      <w:r w:rsidRPr="008F7473">
        <w:rPr>
          <w:rFonts w:ascii="Arial" w:hAnsi="Arial" w:cs="Arial"/>
          <w:sz w:val="17"/>
          <w:szCs w:val="17"/>
          <w:lang w:val="en-CA"/>
        </w:rPr>
        <w:t>,</w:t>
      </w:r>
      <w:r w:rsidRPr="008F7473">
        <w:rPr>
          <w:rFonts w:ascii="Arial" w:hAnsi="Arial" w:cs="Arial"/>
          <w:sz w:val="17"/>
          <w:szCs w:val="17"/>
        </w:rPr>
        <w:t xml:space="preserve"> December 19, 2016, </w:t>
      </w:r>
      <w:r w:rsidRPr="008F7473">
        <w:rPr>
          <w:rFonts w:ascii="Arial" w:hAnsi="Arial" w:cs="Arial"/>
          <w:sz w:val="17"/>
          <w:szCs w:val="17"/>
          <w:lang w:val="en-CA"/>
        </w:rPr>
        <w:t xml:space="preserve">accessed </w:t>
      </w:r>
      <w:r w:rsidRPr="008F7473">
        <w:rPr>
          <w:rFonts w:ascii="Arial" w:hAnsi="Arial" w:cs="Arial"/>
          <w:sz w:val="17"/>
          <w:szCs w:val="17"/>
        </w:rPr>
        <w:t xml:space="preserve">November </w:t>
      </w:r>
      <w:r w:rsidRPr="008F7473">
        <w:rPr>
          <w:rFonts w:ascii="Arial" w:hAnsi="Arial" w:cs="Arial"/>
          <w:sz w:val="17"/>
          <w:szCs w:val="17"/>
          <w:lang w:val="en-US"/>
        </w:rPr>
        <w:t xml:space="preserve">15, </w:t>
      </w:r>
      <w:r w:rsidRPr="008F7473">
        <w:rPr>
          <w:rFonts w:ascii="Arial" w:hAnsi="Arial" w:cs="Arial"/>
          <w:sz w:val="17"/>
          <w:szCs w:val="17"/>
        </w:rPr>
        <w:t>2017, https://zitseng.com/archives/12930</w:t>
      </w:r>
      <w:r w:rsidRPr="008F7473">
        <w:rPr>
          <w:rFonts w:ascii="Arial" w:hAnsi="Arial" w:cs="Arial"/>
          <w:sz w:val="17"/>
          <w:szCs w:val="17"/>
          <w:lang w:val="en-CA"/>
        </w:rPr>
        <w:t>.</w:t>
      </w:r>
      <w:r w:rsidRPr="008F7473">
        <w:rPr>
          <w:rFonts w:ascii="Arial" w:hAnsi="Arial" w:cs="Arial"/>
          <w:sz w:val="17"/>
          <w:szCs w:val="17"/>
        </w:rPr>
        <w:t xml:space="preserve"> </w:t>
      </w:r>
    </w:p>
  </w:endnote>
  <w:endnote w:id="31">
    <w:p w14:paraId="51C5391B" w14:textId="5C19FFAD" w:rsidR="00164FB3" w:rsidRPr="008F7473" w:rsidRDefault="00164FB3" w:rsidP="002952ED">
      <w:pPr>
        <w:pStyle w:val="EndnoteText"/>
        <w:jc w:val="both"/>
        <w:rPr>
          <w:rFonts w:ascii="Arial" w:hAnsi="Arial" w:cs="Arial"/>
          <w:sz w:val="17"/>
          <w:szCs w:val="17"/>
          <w:lang w:val="en-CA"/>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lang w:val="en-CA"/>
        </w:rPr>
        <w:t>“</w:t>
      </w:r>
      <w:r w:rsidRPr="008F7473">
        <w:rPr>
          <w:rFonts w:ascii="Arial" w:eastAsia="SimSun" w:hAnsi="Arial" w:cs="Arial"/>
          <w:sz w:val="17"/>
          <w:szCs w:val="17"/>
        </w:rPr>
        <w:t xml:space="preserve">Statistics: Food and Beverage Services,” accessed March 4, 2018, </w:t>
      </w:r>
      <w:r w:rsidRPr="008F7473">
        <w:rPr>
          <w:rFonts w:ascii="Arial" w:hAnsi="Arial" w:cs="Arial"/>
          <w:sz w:val="17"/>
          <w:szCs w:val="17"/>
        </w:rPr>
        <w:t>www.spring.gov.sg/Developing-Industries/FBS/Pages/statistics-food-beverage-services.aspx</w:t>
      </w:r>
      <w:r w:rsidRPr="008F7473">
        <w:rPr>
          <w:rFonts w:ascii="Arial" w:hAnsi="Arial" w:cs="Arial"/>
          <w:sz w:val="17"/>
          <w:szCs w:val="17"/>
          <w:lang w:val="en-CA"/>
        </w:rPr>
        <w:t>.</w:t>
      </w:r>
    </w:p>
  </w:endnote>
  <w:endnote w:id="32">
    <w:p w14:paraId="3C6E859D" w14:textId="7368CDA2" w:rsidR="00164FB3" w:rsidRPr="008F7473" w:rsidRDefault="00164FB3" w:rsidP="002952ED">
      <w:pPr>
        <w:pStyle w:val="EndnoteText"/>
        <w:jc w:val="both"/>
        <w:rPr>
          <w:rFonts w:ascii="Arial" w:hAnsi="Arial" w:cs="Arial"/>
          <w:sz w:val="17"/>
          <w:szCs w:val="17"/>
        </w:rPr>
      </w:pPr>
      <w:r w:rsidRPr="008F7473">
        <w:rPr>
          <w:rStyle w:val="EndnoteReference"/>
          <w:rFonts w:ascii="Arial" w:hAnsi="Arial" w:cs="Arial"/>
          <w:sz w:val="17"/>
          <w:szCs w:val="17"/>
        </w:rPr>
        <w:endnoteRef/>
      </w:r>
      <w:r w:rsidRPr="008F7473">
        <w:rPr>
          <w:rFonts w:ascii="Arial" w:hAnsi="Arial" w:cs="Arial"/>
          <w:sz w:val="17"/>
          <w:szCs w:val="17"/>
        </w:rPr>
        <w:t xml:space="preserve"> </w:t>
      </w:r>
      <w:r w:rsidRPr="008F7473">
        <w:rPr>
          <w:rFonts w:ascii="Arial" w:hAnsi="Arial" w:cs="Arial"/>
          <w:sz w:val="17"/>
          <w:szCs w:val="17"/>
        </w:rPr>
        <w:t xml:space="preserve">Tiffany Fumiko </w:t>
      </w:r>
      <w:proofErr w:type="spellStart"/>
      <w:r w:rsidRPr="008F7473">
        <w:rPr>
          <w:rFonts w:ascii="Arial" w:hAnsi="Arial" w:cs="Arial"/>
          <w:sz w:val="17"/>
          <w:szCs w:val="17"/>
        </w:rPr>
        <w:t>Tay</w:t>
      </w:r>
      <w:proofErr w:type="spellEnd"/>
      <w:r w:rsidRPr="008F7473">
        <w:rPr>
          <w:rFonts w:ascii="Arial" w:hAnsi="Arial" w:cs="Arial"/>
          <w:sz w:val="17"/>
          <w:szCs w:val="17"/>
        </w:rPr>
        <w:t xml:space="preserve">, “More </w:t>
      </w:r>
      <w:r>
        <w:rPr>
          <w:rFonts w:ascii="Arial" w:hAnsi="Arial" w:cs="Arial"/>
          <w:sz w:val="17"/>
          <w:szCs w:val="17"/>
          <w:lang w:val="en-CA"/>
        </w:rPr>
        <w:t>S</w:t>
      </w:r>
      <w:r w:rsidRPr="008F7473">
        <w:rPr>
          <w:rFonts w:ascii="Arial" w:hAnsi="Arial" w:cs="Arial"/>
          <w:sz w:val="17"/>
          <w:szCs w:val="17"/>
        </w:rPr>
        <w:t xml:space="preserve">pending on </w:t>
      </w:r>
      <w:r>
        <w:rPr>
          <w:rFonts w:ascii="Arial" w:hAnsi="Arial" w:cs="Arial"/>
          <w:sz w:val="17"/>
          <w:szCs w:val="17"/>
          <w:lang w:val="en-CA"/>
        </w:rPr>
        <w:t>R</w:t>
      </w:r>
      <w:proofErr w:type="spellStart"/>
      <w:r w:rsidRPr="008F7473">
        <w:rPr>
          <w:rFonts w:ascii="Arial" w:hAnsi="Arial" w:cs="Arial"/>
          <w:sz w:val="17"/>
          <w:szCs w:val="17"/>
        </w:rPr>
        <w:t>ooms</w:t>
      </w:r>
      <w:proofErr w:type="spellEnd"/>
      <w:r w:rsidRPr="008F7473">
        <w:rPr>
          <w:rFonts w:ascii="Arial" w:hAnsi="Arial" w:cs="Arial"/>
          <w:sz w:val="17"/>
          <w:szCs w:val="17"/>
        </w:rPr>
        <w:t xml:space="preserve">, but </w:t>
      </w:r>
      <w:r>
        <w:rPr>
          <w:rFonts w:ascii="Arial" w:hAnsi="Arial" w:cs="Arial"/>
          <w:sz w:val="17"/>
          <w:szCs w:val="17"/>
          <w:lang w:val="en-CA"/>
        </w:rPr>
        <w:t>N</w:t>
      </w:r>
      <w:proofErr w:type="spellStart"/>
      <w:r w:rsidRPr="008F7473">
        <w:rPr>
          <w:rFonts w:ascii="Arial" w:hAnsi="Arial" w:cs="Arial"/>
          <w:sz w:val="17"/>
          <w:szCs w:val="17"/>
        </w:rPr>
        <w:t>ot</w:t>
      </w:r>
      <w:proofErr w:type="spellEnd"/>
      <w:r w:rsidRPr="008F7473">
        <w:rPr>
          <w:rFonts w:ascii="Arial" w:hAnsi="Arial" w:cs="Arial"/>
          <w:sz w:val="17"/>
          <w:szCs w:val="17"/>
        </w:rPr>
        <w:t xml:space="preserve"> </w:t>
      </w:r>
      <w:r>
        <w:rPr>
          <w:rFonts w:ascii="Arial" w:hAnsi="Arial" w:cs="Arial"/>
          <w:sz w:val="17"/>
          <w:szCs w:val="17"/>
          <w:lang w:val="en-CA"/>
        </w:rPr>
        <w:t>A</w:t>
      </w:r>
      <w:proofErr w:type="spellStart"/>
      <w:r w:rsidRPr="008F7473">
        <w:rPr>
          <w:rFonts w:ascii="Arial" w:hAnsi="Arial" w:cs="Arial"/>
          <w:sz w:val="17"/>
          <w:szCs w:val="17"/>
        </w:rPr>
        <w:t>ll</w:t>
      </w:r>
      <w:proofErr w:type="spellEnd"/>
      <w:r w:rsidRPr="008F7473">
        <w:rPr>
          <w:rFonts w:ascii="Arial" w:hAnsi="Arial" w:cs="Arial"/>
          <w:sz w:val="17"/>
          <w:szCs w:val="17"/>
        </w:rPr>
        <w:t xml:space="preserve"> </w:t>
      </w:r>
      <w:r>
        <w:rPr>
          <w:rFonts w:ascii="Arial" w:hAnsi="Arial" w:cs="Arial"/>
          <w:sz w:val="17"/>
          <w:szCs w:val="17"/>
          <w:lang w:val="en-CA"/>
        </w:rPr>
        <w:t>R</w:t>
      </w:r>
      <w:proofErr w:type="spellStart"/>
      <w:r w:rsidRPr="008F7473">
        <w:rPr>
          <w:rFonts w:ascii="Arial" w:hAnsi="Arial" w:cs="Arial"/>
          <w:sz w:val="17"/>
          <w:szCs w:val="17"/>
        </w:rPr>
        <w:t>osy</w:t>
      </w:r>
      <w:proofErr w:type="spellEnd"/>
      <w:r w:rsidRPr="008F7473">
        <w:rPr>
          <w:rFonts w:ascii="Arial" w:hAnsi="Arial" w:cs="Arial"/>
          <w:sz w:val="17"/>
          <w:szCs w:val="17"/>
        </w:rPr>
        <w:t xml:space="preserve"> for </w:t>
      </w:r>
      <w:r>
        <w:rPr>
          <w:rFonts w:ascii="Arial" w:hAnsi="Arial" w:cs="Arial"/>
          <w:sz w:val="17"/>
          <w:szCs w:val="17"/>
          <w:lang w:val="en-CA"/>
        </w:rPr>
        <w:t>H</w:t>
      </w:r>
      <w:proofErr w:type="spellStart"/>
      <w:r w:rsidRPr="008F7473">
        <w:rPr>
          <w:rFonts w:ascii="Arial" w:hAnsi="Arial" w:cs="Arial"/>
          <w:sz w:val="17"/>
          <w:szCs w:val="17"/>
        </w:rPr>
        <w:t>otels</w:t>
      </w:r>
      <w:proofErr w:type="spellEnd"/>
      <w:r>
        <w:rPr>
          <w:rFonts w:ascii="Arial" w:hAnsi="Arial" w:cs="Arial"/>
          <w:sz w:val="17"/>
          <w:szCs w:val="17"/>
          <w:lang w:val="en-CA"/>
        </w:rPr>
        <w:t>,</w:t>
      </w:r>
      <w:r w:rsidRPr="008F7473">
        <w:rPr>
          <w:rFonts w:ascii="Arial" w:hAnsi="Arial" w:cs="Arial"/>
          <w:sz w:val="17"/>
          <w:szCs w:val="17"/>
        </w:rPr>
        <w:t xml:space="preserve">” </w:t>
      </w:r>
      <w:r w:rsidRPr="002952ED">
        <w:rPr>
          <w:rFonts w:ascii="Arial" w:hAnsi="Arial" w:cs="Arial"/>
          <w:i/>
          <w:sz w:val="17"/>
          <w:szCs w:val="17"/>
        </w:rPr>
        <w:t>Straits Times</w:t>
      </w:r>
      <w:r w:rsidRPr="008F7473">
        <w:rPr>
          <w:rFonts w:ascii="Arial" w:hAnsi="Arial" w:cs="Arial"/>
          <w:sz w:val="17"/>
          <w:szCs w:val="17"/>
        </w:rPr>
        <w:t>, February 16, 2017, accessed February 20, 2017</w:t>
      </w:r>
      <w:r w:rsidRPr="008F7473">
        <w:rPr>
          <w:rFonts w:ascii="Arial" w:hAnsi="Arial" w:cs="Arial"/>
          <w:sz w:val="17"/>
          <w:szCs w:val="17"/>
          <w:lang w:val="en-CA"/>
        </w:rPr>
        <w:t xml:space="preserve">, </w:t>
      </w:r>
      <w:r w:rsidRPr="008F7473">
        <w:rPr>
          <w:rFonts w:ascii="Arial" w:hAnsi="Arial" w:cs="Arial"/>
          <w:sz w:val="17"/>
          <w:szCs w:val="17"/>
        </w:rPr>
        <w:t>www.straitstimes.com/singapore/more-spending-on-rooms-but-not-all-rosy-for-hotels.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 w:name="DengXian">
    <w:altName w:val="等线"/>
    <w:panose1 w:val="00000000000000000000"/>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3C16C" w14:textId="77777777" w:rsidR="00DE6CB1" w:rsidRDefault="00DE6CB1" w:rsidP="00D75295">
      <w:r>
        <w:separator/>
      </w:r>
    </w:p>
  </w:footnote>
  <w:footnote w:type="continuationSeparator" w:id="0">
    <w:p w14:paraId="723FEEA1" w14:textId="77777777" w:rsidR="00DE6CB1" w:rsidRDefault="00DE6CB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20CE849" w:rsidR="00164FB3" w:rsidRPr="00C92CC4" w:rsidRDefault="00164FB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060F">
      <w:rPr>
        <w:rFonts w:ascii="Arial" w:hAnsi="Arial"/>
        <w:b/>
        <w:noProof/>
      </w:rPr>
      <w:t>15</w:t>
    </w:r>
    <w:r>
      <w:rPr>
        <w:rFonts w:ascii="Arial" w:hAnsi="Arial"/>
        <w:b/>
      </w:rPr>
      <w:fldChar w:fldCharType="end"/>
    </w:r>
    <w:r>
      <w:rPr>
        <w:rFonts w:ascii="Arial" w:hAnsi="Arial"/>
        <w:b/>
      </w:rPr>
      <w:tab/>
      <w:t>9B19M</w:t>
    </w:r>
    <w:r w:rsidR="00F878FE">
      <w:rPr>
        <w:rFonts w:ascii="Arial" w:hAnsi="Arial"/>
        <w:b/>
      </w:rPr>
      <w:t>048</w:t>
    </w:r>
  </w:p>
  <w:p w14:paraId="2B53C0A0" w14:textId="77777777" w:rsidR="00164FB3" w:rsidRDefault="00164FB3" w:rsidP="00D13667">
    <w:pPr>
      <w:pStyle w:val="Header"/>
      <w:tabs>
        <w:tab w:val="clear" w:pos="4680"/>
      </w:tabs>
      <w:rPr>
        <w:sz w:val="18"/>
        <w:szCs w:val="18"/>
      </w:rPr>
    </w:pPr>
  </w:p>
  <w:p w14:paraId="47119730" w14:textId="77777777" w:rsidR="00164FB3" w:rsidRPr="00C92CC4" w:rsidRDefault="00164FB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4652A"/>
    <w:multiLevelType w:val="hybridMultilevel"/>
    <w:tmpl w:val="CD0866F6"/>
    <w:lvl w:ilvl="0" w:tplc="0718780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 w:numId="1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8DD"/>
    <w:rsid w:val="00010716"/>
    <w:rsid w:val="00011019"/>
    <w:rsid w:val="0001145D"/>
    <w:rsid w:val="00013360"/>
    <w:rsid w:val="00014F4A"/>
    <w:rsid w:val="00016759"/>
    <w:rsid w:val="00016C2D"/>
    <w:rsid w:val="000216CE"/>
    <w:rsid w:val="00023552"/>
    <w:rsid w:val="00024ED4"/>
    <w:rsid w:val="00025DC7"/>
    <w:rsid w:val="00026615"/>
    <w:rsid w:val="00026736"/>
    <w:rsid w:val="00031326"/>
    <w:rsid w:val="0003497A"/>
    <w:rsid w:val="00035F09"/>
    <w:rsid w:val="00037D29"/>
    <w:rsid w:val="00044ECC"/>
    <w:rsid w:val="000531D3"/>
    <w:rsid w:val="0005646B"/>
    <w:rsid w:val="00060028"/>
    <w:rsid w:val="000615D1"/>
    <w:rsid w:val="0008102D"/>
    <w:rsid w:val="00086B26"/>
    <w:rsid w:val="000942BC"/>
    <w:rsid w:val="00094C0E"/>
    <w:rsid w:val="000A12D8"/>
    <w:rsid w:val="000A146D"/>
    <w:rsid w:val="000B09AB"/>
    <w:rsid w:val="000D2A2F"/>
    <w:rsid w:val="000D6FC0"/>
    <w:rsid w:val="000D7091"/>
    <w:rsid w:val="000F0C22"/>
    <w:rsid w:val="000F6B09"/>
    <w:rsid w:val="000F6FDC"/>
    <w:rsid w:val="00104567"/>
    <w:rsid w:val="00104916"/>
    <w:rsid w:val="00104AA7"/>
    <w:rsid w:val="00110689"/>
    <w:rsid w:val="0011113A"/>
    <w:rsid w:val="00120D86"/>
    <w:rsid w:val="001245E0"/>
    <w:rsid w:val="0012732D"/>
    <w:rsid w:val="001354A3"/>
    <w:rsid w:val="0013633F"/>
    <w:rsid w:val="00143F25"/>
    <w:rsid w:val="0014545D"/>
    <w:rsid w:val="00152682"/>
    <w:rsid w:val="00154FC9"/>
    <w:rsid w:val="00164FB3"/>
    <w:rsid w:val="00166DD5"/>
    <w:rsid w:val="001754F6"/>
    <w:rsid w:val="00186EB1"/>
    <w:rsid w:val="001901C0"/>
    <w:rsid w:val="0019241A"/>
    <w:rsid w:val="00192A18"/>
    <w:rsid w:val="001A22D1"/>
    <w:rsid w:val="001A40EF"/>
    <w:rsid w:val="001A6FEC"/>
    <w:rsid w:val="001A752D"/>
    <w:rsid w:val="001A757E"/>
    <w:rsid w:val="001B295D"/>
    <w:rsid w:val="001B5032"/>
    <w:rsid w:val="001B5A12"/>
    <w:rsid w:val="001B76E1"/>
    <w:rsid w:val="001C1F05"/>
    <w:rsid w:val="001C3585"/>
    <w:rsid w:val="001C7777"/>
    <w:rsid w:val="001D344B"/>
    <w:rsid w:val="001D588F"/>
    <w:rsid w:val="001E364F"/>
    <w:rsid w:val="001F4222"/>
    <w:rsid w:val="001F7582"/>
    <w:rsid w:val="00203AA1"/>
    <w:rsid w:val="002064EA"/>
    <w:rsid w:val="00213E98"/>
    <w:rsid w:val="00221CFA"/>
    <w:rsid w:val="00230150"/>
    <w:rsid w:val="00230652"/>
    <w:rsid w:val="0023081A"/>
    <w:rsid w:val="002308B7"/>
    <w:rsid w:val="00233111"/>
    <w:rsid w:val="002543BA"/>
    <w:rsid w:val="00265FA8"/>
    <w:rsid w:val="00277EBB"/>
    <w:rsid w:val="00285BFD"/>
    <w:rsid w:val="00287E2A"/>
    <w:rsid w:val="002952ED"/>
    <w:rsid w:val="002A1AD4"/>
    <w:rsid w:val="002B0029"/>
    <w:rsid w:val="002B40FF"/>
    <w:rsid w:val="002C2A7A"/>
    <w:rsid w:val="002C3EFD"/>
    <w:rsid w:val="002C4E29"/>
    <w:rsid w:val="002C6DEC"/>
    <w:rsid w:val="002D4905"/>
    <w:rsid w:val="002E4669"/>
    <w:rsid w:val="002F460C"/>
    <w:rsid w:val="002F48D6"/>
    <w:rsid w:val="002F768F"/>
    <w:rsid w:val="00300256"/>
    <w:rsid w:val="00311F8D"/>
    <w:rsid w:val="00317391"/>
    <w:rsid w:val="003174CD"/>
    <w:rsid w:val="00326216"/>
    <w:rsid w:val="00334438"/>
    <w:rsid w:val="003362C8"/>
    <w:rsid w:val="00336580"/>
    <w:rsid w:val="003424BF"/>
    <w:rsid w:val="00344B5A"/>
    <w:rsid w:val="00354899"/>
    <w:rsid w:val="00355FD6"/>
    <w:rsid w:val="00360AC2"/>
    <w:rsid w:val="00364A5C"/>
    <w:rsid w:val="003718A9"/>
    <w:rsid w:val="00373FB1"/>
    <w:rsid w:val="00377739"/>
    <w:rsid w:val="00385413"/>
    <w:rsid w:val="00396C76"/>
    <w:rsid w:val="00397079"/>
    <w:rsid w:val="003B0F12"/>
    <w:rsid w:val="003B1812"/>
    <w:rsid w:val="003B30D8"/>
    <w:rsid w:val="003B7EF2"/>
    <w:rsid w:val="003C36BA"/>
    <w:rsid w:val="003C3FA4"/>
    <w:rsid w:val="003D0BA1"/>
    <w:rsid w:val="003F2B0C"/>
    <w:rsid w:val="003F5A0F"/>
    <w:rsid w:val="003F6F0E"/>
    <w:rsid w:val="004105B2"/>
    <w:rsid w:val="0041145A"/>
    <w:rsid w:val="00412900"/>
    <w:rsid w:val="00416C09"/>
    <w:rsid w:val="004221E4"/>
    <w:rsid w:val="004273F8"/>
    <w:rsid w:val="0042780E"/>
    <w:rsid w:val="004355A3"/>
    <w:rsid w:val="0043605E"/>
    <w:rsid w:val="00437FF4"/>
    <w:rsid w:val="00445259"/>
    <w:rsid w:val="00445587"/>
    <w:rsid w:val="00446476"/>
    <w:rsid w:val="00446546"/>
    <w:rsid w:val="0044691E"/>
    <w:rsid w:val="00452769"/>
    <w:rsid w:val="00454FA7"/>
    <w:rsid w:val="00456C18"/>
    <w:rsid w:val="00461E78"/>
    <w:rsid w:val="00465348"/>
    <w:rsid w:val="0049092A"/>
    <w:rsid w:val="004979A5"/>
    <w:rsid w:val="004A25E0"/>
    <w:rsid w:val="004A2D51"/>
    <w:rsid w:val="004A3178"/>
    <w:rsid w:val="004B0227"/>
    <w:rsid w:val="004B1CCB"/>
    <w:rsid w:val="004B632F"/>
    <w:rsid w:val="004C2E25"/>
    <w:rsid w:val="004C3281"/>
    <w:rsid w:val="004C4A0A"/>
    <w:rsid w:val="004C4DB5"/>
    <w:rsid w:val="004C5533"/>
    <w:rsid w:val="004D3FB1"/>
    <w:rsid w:val="004D54FA"/>
    <w:rsid w:val="004D602A"/>
    <w:rsid w:val="004D6F21"/>
    <w:rsid w:val="004D73A5"/>
    <w:rsid w:val="004E1323"/>
    <w:rsid w:val="004E69AD"/>
    <w:rsid w:val="004F396A"/>
    <w:rsid w:val="004F3DCE"/>
    <w:rsid w:val="004F3FE2"/>
    <w:rsid w:val="005039E9"/>
    <w:rsid w:val="0050728E"/>
    <w:rsid w:val="005160F1"/>
    <w:rsid w:val="00523BD9"/>
    <w:rsid w:val="00524F2F"/>
    <w:rsid w:val="00527811"/>
    <w:rsid w:val="00527E5C"/>
    <w:rsid w:val="00532701"/>
    <w:rsid w:val="00532CF5"/>
    <w:rsid w:val="0053399E"/>
    <w:rsid w:val="00535DF6"/>
    <w:rsid w:val="00536A54"/>
    <w:rsid w:val="00544147"/>
    <w:rsid w:val="00544C60"/>
    <w:rsid w:val="00550C52"/>
    <w:rsid w:val="005528CB"/>
    <w:rsid w:val="00556F04"/>
    <w:rsid w:val="0056333A"/>
    <w:rsid w:val="00563B8C"/>
    <w:rsid w:val="005640F2"/>
    <w:rsid w:val="0056469A"/>
    <w:rsid w:val="00566771"/>
    <w:rsid w:val="00567DAB"/>
    <w:rsid w:val="00581E2E"/>
    <w:rsid w:val="00584F15"/>
    <w:rsid w:val="00590027"/>
    <w:rsid w:val="005914D3"/>
    <w:rsid w:val="0059423E"/>
    <w:rsid w:val="005944C3"/>
    <w:rsid w:val="00594BBB"/>
    <w:rsid w:val="0059514B"/>
    <w:rsid w:val="005A1B0F"/>
    <w:rsid w:val="005A43F8"/>
    <w:rsid w:val="005B4CE6"/>
    <w:rsid w:val="005B5EFE"/>
    <w:rsid w:val="005C78C4"/>
    <w:rsid w:val="005D0660"/>
    <w:rsid w:val="005D06E9"/>
    <w:rsid w:val="005D2286"/>
    <w:rsid w:val="005E19B4"/>
    <w:rsid w:val="005E522A"/>
    <w:rsid w:val="005F5B50"/>
    <w:rsid w:val="0060630E"/>
    <w:rsid w:val="00610361"/>
    <w:rsid w:val="0061550D"/>
    <w:rsid w:val="006163F7"/>
    <w:rsid w:val="00626969"/>
    <w:rsid w:val="00627C63"/>
    <w:rsid w:val="00630648"/>
    <w:rsid w:val="0063350B"/>
    <w:rsid w:val="00644950"/>
    <w:rsid w:val="00652606"/>
    <w:rsid w:val="00655429"/>
    <w:rsid w:val="00671D0D"/>
    <w:rsid w:val="00673547"/>
    <w:rsid w:val="00677E6D"/>
    <w:rsid w:val="00687A85"/>
    <w:rsid w:val="006946EE"/>
    <w:rsid w:val="006A58A9"/>
    <w:rsid w:val="006A606D"/>
    <w:rsid w:val="006A60AB"/>
    <w:rsid w:val="006A7353"/>
    <w:rsid w:val="006B079D"/>
    <w:rsid w:val="006B0CB4"/>
    <w:rsid w:val="006C0371"/>
    <w:rsid w:val="006C08B6"/>
    <w:rsid w:val="006C0B1A"/>
    <w:rsid w:val="006C1B45"/>
    <w:rsid w:val="006C35B4"/>
    <w:rsid w:val="006C6065"/>
    <w:rsid w:val="006C7F9F"/>
    <w:rsid w:val="006E2F6D"/>
    <w:rsid w:val="006E58F6"/>
    <w:rsid w:val="006E63F3"/>
    <w:rsid w:val="006E77E1"/>
    <w:rsid w:val="006E7B14"/>
    <w:rsid w:val="006F131D"/>
    <w:rsid w:val="00711642"/>
    <w:rsid w:val="0072614B"/>
    <w:rsid w:val="0072726E"/>
    <w:rsid w:val="00740A34"/>
    <w:rsid w:val="007507C6"/>
    <w:rsid w:val="00751E0B"/>
    <w:rsid w:val="00752BCD"/>
    <w:rsid w:val="00766DA1"/>
    <w:rsid w:val="00770CAD"/>
    <w:rsid w:val="00777B25"/>
    <w:rsid w:val="00780D94"/>
    <w:rsid w:val="007866A6"/>
    <w:rsid w:val="007A130D"/>
    <w:rsid w:val="007B3048"/>
    <w:rsid w:val="007B328D"/>
    <w:rsid w:val="007C0811"/>
    <w:rsid w:val="007D1A2D"/>
    <w:rsid w:val="007D32E6"/>
    <w:rsid w:val="007D3D7E"/>
    <w:rsid w:val="007D4102"/>
    <w:rsid w:val="007D725D"/>
    <w:rsid w:val="007D7625"/>
    <w:rsid w:val="007E5331"/>
    <w:rsid w:val="007E54A7"/>
    <w:rsid w:val="007F43B7"/>
    <w:rsid w:val="0080052D"/>
    <w:rsid w:val="0080385D"/>
    <w:rsid w:val="00804A2D"/>
    <w:rsid w:val="00810E6D"/>
    <w:rsid w:val="008116F0"/>
    <w:rsid w:val="00821FFC"/>
    <w:rsid w:val="008271CA"/>
    <w:rsid w:val="00830F16"/>
    <w:rsid w:val="008344E3"/>
    <w:rsid w:val="00843F97"/>
    <w:rsid w:val="008467D5"/>
    <w:rsid w:val="008537D4"/>
    <w:rsid w:val="00853B14"/>
    <w:rsid w:val="008604DB"/>
    <w:rsid w:val="0086658B"/>
    <w:rsid w:val="008736FE"/>
    <w:rsid w:val="008748A5"/>
    <w:rsid w:val="008A3BC4"/>
    <w:rsid w:val="008A4DC4"/>
    <w:rsid w:val="008A7812"/>
    <w:rsid w:val="008B3358"/>
    <w:rsid w:val="008B438C"/>
    <w:rsid w:val="008B782C"/>
    <w:rsid w:val="008B7918"/>
    <w:rsid w:val="008D06CA"/>
    <w:rsid w:val="008D3A46"/>
    <w:rsid w:val="008D3EF9"/>
    <w:rsid w:val="008D5286"/>
    <w:rsid w:val="008E62EF"/>
    <w:rsid w:val="008F074A"/>
    <w:rsid w:val="008F2385"/>
    <w:rsid w:val="008F67B4"/>
    <w:rsid w:val="008F7473"/>
    <w:rsid w:val="009003C1"/>
    <w:rsid w:val="009038C6"/>
    <w:rsid w:val="009067A4"/>
    <w:rsid w:val="00917E88"/>
    <w:rsid w:val="009213BB"/>
    <w:rsid w:val="00930885"/>
    <w:rsid w:val="00933D68"/>
    <w:rsid w:val="009340DB"/>
    <w:rsid w:val="00934F94"/>
    <w:rsid w:val="0094618C"/>
    <w:rsid w:val="009552E5"/>
    <w:rsid w:val="0095684B"/>
    <w:rsid w:val="00963784"/>
    <w:rsid w:val="00963DE8"/>
    <w:rsid w:val="00965343"/>
    <w:rsid w:val="00972498"/>
    <w:rsid w:val="00974450"/>
    <w:rsid w:val="0097481F"/>
    <w:rsid w:val="00974CC6"/>
    <w:rsid w:val="00976AD4"/>
    <w:rsid w:val="00990786"/>
    <w:rsid w:val="00994432"/>
    <w:rsid w:val="00995547"/>
    <w:rsid w:val="009A312F"/>
    <w:rsid w:val="009A5348"/>
    <w:rsid w:val="009B0AB7"/>
    <w:rsid w:val="009C76D5"/>
    <w:rsid w:val="009D2B35"/>
    <w:rsid w:val="009F5E4D"/>
    <w:rsid w:val="009F7AA4"/>
    <w:rsid w:val="00A0296F"/>
    <w:rsid w:val="00A10AD7"/>
    <w:rsid w:val="00A323B0"/>
    <w:rsid w:val="00A559DB"/>
    <w:rsid w:val="00A569EA"/>
    <w:rsid w:val="00A676A0"/>
    <w:rsid w:val="00A7703C"/>
    <w:rsid w:val="00A85EEE"/>
    <w:rsid w:val="00A85F60"/>
    <w:rsid w:val="00A9118F"/>
    <w:rsid w:val="00A92D7D"/>
    <w:rsid w:val="00A932B2"/>
    <w:rsid w:val="00AC4151"/>
    <w:rsid w:val="00AF35FC"/>
    <w:rsid w:val="00AF52B1"/>
    <w:rsid w:val="00AF5556"/>
    <w:rsid w:val="00AF600D"/>
    <w:rsid w:val="00B03639"/>
    <w:rsid w:val="00B0652A"/>
    <w:rsid w:val="00B125B0"/>
    <w:rsid w:val="00B22582"/>
    <w:rsid w:val="00B23245"/>
    <w:rsid w:val="00B24E53"/>
    <w:rsid w:val="00B40937"/>
    <w:rsid w:val="00B423EF"/>
    <w:rsid w:val="00B453DE"/>
    <w:rsid w:val="00B62497"/>
    <w:rsid w:val="00B660FA"/>
    <w:rsid w:val="00B72597"/>
    <w:rsid w:val="00B76B98"/>
    <w:rsid w:val="00B87DC0"/>
    <w:rsid w:val="00B90008"/>
    <w:rsid w:val="00B901F9"/>
    <w:rsid w:val="00B918EC"/>
    <w:rsid w:val="00B94554"/>
    <w:rsid w:val="00B9602D"/>
    <w:rsid w:val="00BA11F3"/>
    <w:rsid w:val="00BA2C89"/>
    <w:rsid w:val="00BA5C8D"/>
    <w:rsid w:val="00BC3419"/>
    <w:rsid w:val="00BC47A6"/>
    <w:rsid w:val="00BC4D98"/>
    <w:rsid w:val="00BC6005"/>
    <w:rsid w:val="00BD1731"/>
    <w:rsid w:val="00BD6EFB"/>
    <w:rsid w:val="00BE1B82"/>
    <w:rsid w:val="00BE1CF1"/>
    <w:rsid w:val="00BE2DC6"/>
    <w:rsid w:val="00BE3DF5"/>
    <w:rsid w:val="00BF0832"/>
    <w:rsid w:val="00BF5EAB"/>
    <w:rsid w:val="00BF6852"/>
    <w:rsid w:val="00C0094A"/>
    <w:rsid w:val="00C02410"/>
    <w:rsid w:val="00C06145"/>
    <w:rsid w:val="00C07939"/>
    <w:rsid w:val="00C1584D"/>
    <w:rsid w:val="00C15BE2"/>
    <w:rsid w:val="00C26421"/>
    <w:rsid w:val="00C3447F"/>
    <w:rsid w:val="00C44714"/>
    <w:rsid w:val="00C452E8"/>
    <w:rsid w:val="00C47880"/>
    <w:rsid w:val="00C524E3"/>
    <w:rsid w:val="00C545D4"/>
    <w:rsid w:val="00C60D6D"/>
    <w:rsid w:val="00C6547E"/>
    <w:rsid w:val="00C67102"/>
    <w:rsid w:val="00C725B2"/>
    <w:rsid w:val="00C74442"/>
    <w:rsid w:val="00C744F6"/>
    <w:rsid w:val="00C80571"/>
    <w:rsid w:val="00C81491"/>
    <w:rsid w:val="00C81676"/>
    <w:rsid w:val="00C82B91"/>
    <w:rsid w:val="00C85C5D"/>
    <w:rsid w:val="00C92CC4"/>
    <w:rsid w:val="00CA0AFB"/>
    <w:rsid w:val="00CA2CE1"/>
    <w:rsid w:val="00CA3976"/>
    <w:rsid w:val="00CA50E3"/>
    <w:rsid w:val="00CA757B"/>
    <w:rsid w:val="00CB6896"/>
    <w:rsid w:val="00CC1787"/>
    <w:rsid w:val="00CC182C"/>
    <w:rsid w:val="00CD0824"/>
    <w:rsid w:val="00CD2908"/>
    <w:rsid w:val="00CD65E3"/>
    <w:rsid w:val="00CE06EB"/>
    <w:rsid w:val="00CE725D"/>
    <w:rsid w:val="00CF041B"/>
    <w:rsid w:val="00CF7BE4"/>
    <w:rsid w:val="00D03A82"/>
    <w:rsid w:val="00D13667"/>
    <w:rsid w:val="00D15344"/>
    <w:rsid w:val="00D21629"/>
    <w:rsid w:val="00D22AEC"/>
    <w:rsid w:val="00D23F57"/>
    <w:rsid w:val="00D31BEC"/>
    <w:rsid w:val="00D3338B"/>
    <w:rsid w:val="00D63150"/>
    <w:rsid w:val="00D636BA"/>
    <w:rsid w:val="00D64A32"/>
    <w:rsid w:val="00D64EFC"/>
    <w:rsid w:val="00D75295"/>
    <w:rsid w:val="00D76CE9"/>
    <w:rsid w:val="00D819BC"/>
    <w:rsid w:val="00D83452"/>
    <w:rsid w:val="00D90E00"/>
    <w:rsid w:val="00D91823"/>
    <w:rsid w:val="00D95E0C"/>
    <w:rsid w:val="00D97F12"/>
    <w:rsid w:val="00DA6095"/>
    <w:rsid w:val="00DA635A"/>
    <w:rsid w:val="00DA7E95"/>
    <w:rsid w:val="00DB42E7"/>
    <w:rsid w:val="00DC09D8"/>
    <w:rsid w:val="00DC2242"/>
    <w:rsid w:val="00DC4BFF"/>
    <w:rsid w:val="00DD169C"/>
    <w:rsid w:val="00DE01A6"/>
    <w:rsid w:val="00DE3712"/>
    <w:rsid w:val="00DE6CB1"/>
    <w:rsid w:val="00DE7A98"/>
    <w:rsid w:val="00DF32C2"/>
    <w:rsid w:val="00DF4489"/>
    <w:rsid w:val="00DF457F"/>
    <w:rsid w:val="00E03D2A"/>
    <w:rsid w:val="00E154D2"/>
    <w:rsid w:val="00E3195F"/>
    <w:rsid w:val="00E4019D"/>
    <w:rsid w:val="00E41FFB"/>
    <w:rsid w:val="00E44BA2"/>
    <w:rsid w:val="00E47092"/>
    <w:rsid w:val="00E471A7"/>
    <w:rsid w:val="00E60FE7"/>
    <w:rsid w:val="00E635CF"/>
    <w:rsid w:val="00E81E7E"/>
    <w:rsid w:val="00E92998"/>
    <w:rsid w:val="00E9346C"/>
    <w:rsid w:val="00E949A5"/>
    <w:rsid w:val="00EA060F"/>
    <w:rsid w:val="00EA163B"/>
    <w:rsid w:val="00EA6671"/>
    <w:rsid w:val="00EB1E3B"/>
    <w:rsid w:val="00EB6D9C"/>
    <w:rsid w:val="00EB7660"/>
    <w:rsid w:val="00EC6E0A"/>
    <w:rsid w:val="00ED348A"/>
    <w:rsid w:val="00ED4B4F"/>
    <w:rsid w:val="00ED4E18"/>
    <w:rsid w:val="00ED7922"/>
    <w:rsid w:val="00EE02C4"/>
    <w:rsid w:val="00EE1F37"/>
    <w:rsid w:val="00EE4F3D"/>
    <w:rsid w:val="00EE5A47"/>
    <w:rsid w:val="00EF47E7"/>
    <w:rsid w:val="00F0057C"/>
    <w:rsid w:val="00F0159C"/>
    <w:rsid w:val="00F07C36"/>
    <w:rsid w:val="00F105B7"/>
    <w:rsid w:val="00F124C6"/>
    <w:rsid w:val="00F13220"/>
    <w:rsid w:val="00F17A21"/>
    <w:rsid w:val="00F21D1D"/>
    <w:rsid w:val="00F22234"/>
    <w:rsid w:val="00F25D82"/>
    <w:rsid w:val="00F30BA8"/>
    <w:rsid w:val="00F36FC2"/>
    <w:rsid w:val="00F37B27"/>
    <w:rsid w:val="00F44521"/>
    <w:rsid w:val="00F46556"/>
    <w:rsid w:val="00F50E91"/>
    <w:rsid w:val="00F5524F"/>
    <w:rsid w:val="00F55B2E"/>
    <w:rsid w:val="00F56799"/>
    <w:rsid w:val="00F5751E"/>
    <w:rsid w:val="00F57D29"/>
    <w:rsid w:val="00F57DB0"/>
    <w:rsid w:val="00F60786"/>
    <w:rsid w:val="00F823E2"/>
    <w:rsid w:val="00F878FE"/>
    <w:rsid w:val="00F91BC7"/>
    <w:rsid w:val="00F96201"/>
    <w:rsid w:val="00FA1BBC"/>
    <w:rsid w:val="00FB15FA"/>
    <w:rsid w:val="00FC284B"/>
    <w:rsid w:val="00FC4CC1"/>
    <w:rsid w:val="00FC65FE"/>
    <w:rsid w:val="00FD0B18"/>
    <w:rsid w:val="00FD2FAD"/>
    <w:rsid w:val="00FD391B"/>
    <w:rsid w:val="00FD73EF"/>
    <w:rsid w:val="00FD7436"/>
    <w:rsid w:val="00FE3450"/>
    <w:rsid w:val="00FE714F"/>
    <w:rsid w:val="00FF12D4"/>
    <w:rsid w:val="00FF2D18"/>
    <w:rsid w:val="00FF3EAF"/>
    <w:rsid w:val="00FF42E4"/>
    <w:rsid w:val="00FF6564"/>
    <w:rsid w:val="00FF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C4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5774510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microsoft.com/office/2016/09/relationships/commentsIds" Target="commentsIds.xml"/></Relationships>
</file>

<file path=word/charts/_rels/chart1.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Users\admin\Desktop\Excel%20StarHub%20Case.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dLbl>
              <c:idx val="0"/>
              <c:layout>
                <c:manualLayout>
                  <c:x val="-7.2904009720534596E-2"/>
                  <c:y val="-2.65151515151514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6FA3-4535-BFB5-ED066B5C847F}"/>
                </c:ext>
                <c:ext xmlns:c15="http://schemas.microsoft.com/office/drawing/2012/chart" uri="{CE6537A1-D6FC-4f65-9D91-7224C49458BB}">
                  <c15:layout/>
                </c:ext>
              </c:extLst>
            </c:dLbl>
            <c:dLbl>
              <c:idx val="1"/>
              <c:layout>
                <c:manualLayout>
                  <c:x val="-6.5613608748481198E-2"/>
                  <c:y val="-3.787878787878790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FA3-4535-BFB5-ED066B5C847F}"/>
                </c:ext>
                <c:ext xmlns:c15="http://schemas.microsoft.com/office/drawing/2012/chart" uri="{CE6537A1-D6FC-4f65-9D91-7224C49458BB}">
                  <c15:layout/>
                </c:ext>
              </c:extLst>
            </c:dLbl>
            <c:dLbl>
              <c:idx val="2"/>
              <c:layout>
                <c:manualLayout>
                  <c:x val="-6.0753341433778897E-2"/>
                  <c:y val="-4.5454545454545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6FA3-4535-BFB5-ED066B5C847F}"/>
                </c:ext>
                <c:ext xmlns:c15="http://schemas.microsoft.com/office/drawing/2012/chart" uri="{CE6537A1-D6FC-4f65-9D91-7224C49458BB}">
                  <c15:layout/>
                </c:ext>
              </c:extLst>
            </c:dLbl>
            <c:dLbl>
              <c:idx val="3"/>
              <c:layout>
                <c:manualLayout>
                  <c:x val="-7.5334143377885798E-2"/>
                  <c:y val="-5.68181818181818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FA3-4535-BFB5-ED066B5C847F}"/>
                </c:ext>
                <c:ext xmlns:c15="http://schemas.microsoft.com/office/drawing/2012/chart" uri="{CE6537A1-D6FC-4f65-9D91-7224C49458BB}">
                  <c15:layout/>
                </c:ext>
              </c:extLst>
            </c:dLbl>
            <c:dLbl>
              <c:idx val="4"/>
              <c:layout>
                <c:manualLayout>
                  <c:x val="-6.8043742405832303E-2"/>
                  <c:y val="-3.40909090909091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6FA3-4535-BFB5-ED066B5C847F}"/>
                </c:ext>
                <c:ext xmlns:c15="http://schemas.microsoft.com/office/drawing/2012/chart" uri="{CE6537A1-D6FC-4f65-9D91-7224C49458BB}">
                  <c15:layout/>
                </c:ext>
              </c:extLst>
            </c:dLbl>
            <c:dLbl>
              <c:idx val="5"/>
              <c:layout>
                <c:manualLayout>
                  <c:x val="-6.0753341433778897E-2"/>
                  <c:y val="-4.92424242424241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FA3-4535-BFB5-ED066B5C847F}"/>
                </c:ext>
                <c:ext xmlns:c15="http://schemas.microsoft.com/office/drawing/2012/chart" uri="{CE6537A1-D6FC-4f65-9D91-7224C49458BB}">
                  <c15:layout/>
                </c:ext>
              </c:extLst>
            </c:dLbl>
            <c:dLbl>
              <c:idx val="6"/>
              <c:layout>
                <c:manualLayout>
                  <c:x val="-5.3462940461725401E-2"/>
                  <c:y val="-4.16666666666666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6FA3-4535-BFB5-ED066B5C847F}"/>
                </c:ext>
                <c:ext xmlns:c15="http://schemas.microsoft.com/office/drawing/2012/chart" uri="{CE6537A1-D6FC-4f65-9D91-7224C49458BB}">
                  <c15:layout/>
                </c:ext>
              </c:extLst>
            </c:dLbl>
            <c:dLbl>
              <c:idx val="7"/>
              <c:layout>
                <c:manualLayout>
                  <c:x val="-5.1188607067457502E-2"/>
                  <c:y val="-4.46296827509742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6FA3-4535-BFB5-ED066B5C847F}"/>
                </c:ext>
                <c:ext xmlns:c15="http://schemas.microsoft.com/office/drawing/2012/chart" uri="{CE6537A1-D6FC-4f65-9D91-7224C49458BB}">
                  <c15:layout>
                    <c:manualLayout>
                      <c:w val="6.2874025622643701E-2"/>
                      <c:h val="7.7838980729127996E-2"/>
                    </c:manualLayout>
                  </c15:layout>
                </c:ext>
              </c:extLst>
            </c:dLbl>
            <c:dLbl>
              <c:idx val="8"/>
              <c:layout>
                <c:manualLayout>
                  <c:x val="-3.88821385176185E-2"/>
                  <c:y val="-5.68181818181818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6FA3-4535-BFB5-ED066B5C847F}"/>
                </c:ext>
                <c:ext xmlns:c15="http://schemas.microsoft.com/office/drawing/2012/chart" uri="{CE6537A1-D6FC-4f65-9D91-7224C49458BB}">
                  <c15:layout/>
                </c:ext>
              </c:extLst>
            </c:dLbl>
            <c:dLbl>
              <c:idx val="9"/>
              <c:layout>
                <c:manualLayout>
                  <c:x val="-3.1591737545564998E-2"/>
                  <c:y val="-5.303030303030299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6FA3-4535-BFB5-ED066B5C847F}"/>
                </c:ext>
                <c:ext xmlns:c15="http://schemas.microsoft.com/office/drawing/2012/chart" uri="{CE6537A1-D6FC-4f65-9D91-7224C49458BB}">
                  <c15:layout/>
                </c:ext>
              </c:extLst>
            </c:dLbl>
            <c:dLbl>
              <c:idx val="10"/>
              <c:layout>
                <c:manualLayout>
                  <c:x val="-2.4301336573513302E-3"/>
                  <c:y val="-1.5151515151515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A-6FA3-4535-BFB5-ED066B5C847F}"/>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Sheet1!$A$41:$A$51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xVal>
          <c:yVal>
            <c:numRef>
              <c:f>Sheet1!$B$41:$B$51</c:f>
              <c:numCache>
                <c:formatCode>General</c:formatCode>
                <c:ptCount val="11"/>
                <c:pt idx="0">
                  <c:v>105.4</c:v>
                </c:pt>
                <c:pt idx="1">
                  <c:v>122.5</c:v>
                </c:pt>
                <c:pt idx="2">
                  <c:v>131</c:v>
                </c:pt>
                <c:pt idx="3">
                  <c:v>137.5</c:v>
                </c:pt>
                <c:pt idx="4">
                  <c:v>143.6</c:v>
                </c:pt>
                <c:pt idx="5">
                  <c:v>149.6</c:v>
                </c:pt>
                <c:pt idx="6">
                  <c:v>151.80000000000001</c:v>
                </c:pt>
                <c:pt idx="7">
                  <c:v>156</c:v>
                </c:pt>
                <c:pt idx="8">
                  <c:v>148</c:v>
                </c:pt>
                <c:pt idx="9">
                  <c:v>148.4</c:v>
                </c:pt>
                <c:pt idx="10">
                  <c:v>149.80000000000001</c:v>
                </c:pt>
              </c:numCache>
            </c:numRef>
          </c:yVal>
          <c:smooth val="0"/>
          <c:extLst xmlns:c16r2="http://schemas.microsoft.com/office/drawing/2015/06/chart">
            <c:ext xmlns:c16="http://schemas.microsoft.com/office/drawing/2014/chart" uri="{C3380CC4-5D6E-409C-BE32-E72D297353CC}">
              <c16:uniqueId val="{0000000B-6FA3-4535-BFB5-ED066B5C847F}"/>
            </c:ext>
          </c:extLst>
        </c:ser>
        <c:dLbls>
          <c:showLegendKey val="0"/>
          <c:showVal val="0"/>
          <c:showCatName val="0"/>
          <c:showSerName val="0"/>
          <c:showPercent val="0"/>
          <c:showBubbleSize val="0"/>
        </c:dLbls>
        <c:axId val="177694232"/>
        <c:axId val="177694624"/>
      </c:scatterChart>
      <c:valAx>
        <c:axId val="177694232"/>
        <c:scaling>
          <c:orientation val="minMax"/>
          <c:max val="201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7694624"/>
        <c:crosses val="autoZero"/>
        <c:crossBetween val="midCat"/>
      </c:valAx>
      <c:valAx>
        <c:axId val="17769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Mobile Phone Penetration Rate (%)</a:t>
                </a:r>
              </a:p>
            </c:rich>
          </c:tx>
          <c:layout>
            <c:manualLayout>
              <c:xMode val="edge"/>
              <c:yMode val="edge"/>
              <c:x val="1.94411364493659E-2"/>
              <c:y val="0.2063762445167129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94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157063324830901"/>
          <c:y val="0.15282491852630201"/>
          <c:w val="0.87709159958357197"/>
          <c:h val="0.673250019883878"/>
        </c:manualLayout>
      </c:layout>
      <c:lineChart>
        <c:grouping val="standard"/>
        <c:varyColors val="0"/>
        <c:ser>
          <c:idx val="0"/>
          <c:order val="0"/>
          <c:tx>
            <c:v>SingTel</c:v>
          </c:tx>
          <c:spPr>
            <a:ln w="28575" cap="rnd">
              <a:solidFill>
                <a:schemeClr val="tx1"/>
              </a:solidFill>
              <a:round/>
            </a:ln>
            <a:effectLst/>
          </c:spPr>
          <c:marker>
            <c:symbol val="none"/>
          </c:marker>
          <c:cat>
            <c:numRef>
              <c:f>Sheet1!$A$89:$A$98</c:f>
              <c:numCache>
                <c:formatCode>mmm\-yy</c:formatCode>
                <c:ptCount val="10"/>
                <c:pt idx="0">
                  <c:v>41883</c:v>
                </c:pt>
                <c:pt idx="1">
                  <c:v>41974</c:v>
                </c:pt>
                <c:pt idx="2">
                  <c:v>42064</c:v>
                </c:pt>
                <c:pt idx="3">
                  <c:v>42156</c:v>
                </c:pt>
                <c:pt idx="4">
                  <c:v>42248</c:v>
                </c:pt>
                <c:pt idx="5">
                  <c:v>42339</c:v>
                </c:pt>
                <c:pt idx="6">
                  <c:v>42430</c:v>
                </c:pt>
                <c:pt idx="7">
                  <c:v>42522</c:v>
                </c:pt>
                <c:pt idx="8">
                  <c:v>42614</c:v>
                </c:pt>
              </c:numCache>
            </c:numRef>
          </c:cat>
          <c:val>
            <c:numRef>
              <c:f>Sheet1!$B$89:$B$98</c:f>
              <c:numCache>
                <c:formatCode>General</c:formatCode>
                <c:ptCount val="10"/>
                <c:pt idx="0">
                  <c:v>49</c:v>
                </c:pt>
                <c:pt idx="1">
                  <c:v>49</c:v>
                </c:pt>
                <c:pt idx="2">
                  <c:v>48</c:v>
                </c:pt>
                <c:pt idx="3">
                  <c:v>49</c:v>
                </c:pt>
                <c:pt idx="4">
                  <c:v>49</c:v>
                </c:pt>
                <c:pt idx="5">
                  <c:v>49</c:v>
                </c:pt>
                <c:pt idx="6">
                  <c:v>47</c:v>
                </c:pt>
                <c:pt idx="7">
                  <c:v>48</c:v>
                </c:pt>
                <c:pt idx="8">
                  <c:v>47</c:v>
                </c:pt>
              </c:numCache>
            </c:numRef>
          </c:val>
          <c:smooth val="0"/>
          <c:extLst xmlns:c16r2="http://schemas.microsoft.com/office/drawing/2015/06/chart">
            <c:ext xmlns:c16="http://schemas.microsoft.com/office/drawing/2014/chart" uri="{C3380CC4-5D6E-409C-BE32-E72D297353CC}">
              <c16:uniqueId val="{00000000-C407-4B82-8890-6CCCBBC0539A}"/>
            </c:ext>
          </c:extLst>
        </c:ser>
        <c:ser>
          <c:idx val="1"/>
          <c:order val="1"/>
          <c:tx>
            <c:v>StarHub</c:v>
          </c:tx>
          <c:spPr>
            <a:ln w="28575" cap="rnd">
              <a:solidFill>
                <a:schemeClr val="dk1">
                  <a:tint val="55000"/>
                </a:schemeClr>
              </a:solidFill>
              <a:prstDash val="sysDash"/>
              <a:round/>
            </a:ln>
            <a:effectLst/>
          </c:spPr>
          <c:marker>
            <c:symbol val="none"/>
          </c:marker>
          <c:cat>
            <c:numRef>
              <c:f>Sheet1!$A$89:$A$98</c:f>
              <c:numCache>
                <c:formatCode>mmm\-yy</c:formatCode>
                <c:ptCount val="10"/>
                <c:pt idx="0">
                  <c:v>41883</c:v>
                </c:pt>
                <c:pt idx="1">
                  <c:v>41974</c:v>
                </c:pt>
                <c:pt idx="2">
                  <c:v>42064</c:v>
                </c:pt>
                <c:pt idx="3">
                  <c:v>42156</c:v>
                </c:pt>
                <c:pt idx="4">
                  <c:v>42248</c:v>
                </c:pt>
                <c:pt idx="5">
                  <c:v>42339</c:v>
                </c:pt>
                <c:pt idx="6">
                  <c:v>42430</c:v>
                </c:pt>
                <c:pt idx="7">
                  <c:v>42522</c:v>
                </c:pt>
                <c:pt idx="8">
                  <c:v>42614</c:v>
                </c:pt>
              </c:numCache>
            </c:numRef>
          </c:cat>
          <c:val>
            <c:numRef>
              <c:f>Sheet1!$C$89:$C$98</c:f>
              <c:numCache>
                <c:formatCode>General</c:formatCode>
                <c:ptCount val="10"/>
                <c:pt idx="0">
                  <c:v>47</c:v>
                </c:pt>
                <c:pt idx="1">
                  <c:v>50</c:v>
                </c:pt>
                <c:pt idx="2">
                  <c:v>48</c:v>
                </c:pt>
                <c:pt idx="3">
                  <c:v>50</c:v>
                </c:pt>
                <c:pt idx="4">
                  <c:v>50</c:v>
                </c:pt>
                <c:pt idx="5">
                  <c:v>50</c:v>
                </c:pt>
                <c:pt idx="6">
                  <c:v>49</c:v>
                </c:pt>
                <c:pt idx="7">
                  <c:v>50</c:v>
                </c:pt>
                <c:pt idx="8">
                  <c:v>48</c:v>
                </c:pt>
              </c:numCache>
            </c:numRef>
          </c:val>
          <c:smooth val="0"/>
          <c:extLst xmlns:c16r2="http://schemas.microsoft.com/office/drawing/2015/06/chart">
            <c:ext xmlns:c16="http://schemas.microsoft.com/office/drawing/2014/chart" uri="{C3380CC4-5D6E-409C-BE32-E72D297353CC}">
              <c16:uniqueId val="{00000001-C407-4B82-8890-6CCCBBC0539A}"/>
            </c:ext>
          </c:extLst>
        </c:ser>
        <c:ser>
          <c:idx val="2"/>
          <c:order val="2"/>
          <c:tx>
            <c:v>M1</c:v>
          </c:tx>
          <c:spPr>
            <a:ln w="28575" cap="rnd">
              <a:solidFill>
                <a:schemeClr val="dk1">
                  <a:tint val="75000"/>
                </a:schemeClr>
              </a:solidFill>
              <a:prstDash val="sysDot"/>
              <a:round/>
            </a:ln>
            <a:effectLst/>
          </c:spPr>
          <c:marker>
            <c:symbol val="none"/>
          </c:marker>
          <c:cat>
            <c:numRef>
              <c:f>Sheet1!$A$89:$A$98</c:f>
              <c:numCache>
                <c:formatCode>mmm\-yy</c:formatCode>
                <c:ptCount val="10"/>
                <c:pt idx="0">
                  <c:v>41883</c:v>
                </c:pt>
                <c:pt idx="1">
                  <c:v>41974</c:v>
                </c:pt>
                <c:pt idx="2">
                  <c:v>42064</c:v>
                </c:pt>
                <c:pt idx="3">
                  <c:v>42156</c:v>
                </c:pt>
                <c:pt idx="4">
                  <c:v>42248</c:v>
                </c:pt>
                <c:pt idx="5">
                  <c:v>42339</c:v>
                </c:pt>
                <c:pt idx="6">
                  <c:v>42430</c:v>
                </c:pt>
                <c:pt idx="7">
                  <c:v>42522</c:v>
                </c:pt>
                <c:pt idx="8">
                  <c:v>42614</c:v>
                </c:pt>
              </c:numCache>
            </c:numRef>
          </c:cat>
          <c:val>
            <c:numRef>
              <c:f>Sheet1!$D$89:$D$98</c:f>
              <c:numCache>
                <c:formatCode>General</c:formatCode>
                <c:ptCount val="10"/>
                <c:pt idx="0">
                  <c:v>40</c:v>
                </c:pt>
                <c:pt idx="1">
                  <c:v>42</c:v>
                </c:pt>
                <c:pt idx="2">
                  <c:v>40</c:v>
                </c:pt>
                <c:pt idx="3">
                  <c:v>40</c:v>
                </c:pt>
                <c:pt idx="4">
                  <c:v>39</c:v>
                </c:pt>
                <c:pt idx="5">
                  <c:v>39</c:v>
                </c:pt>
                <c:pt idx="6">
                  <c:v>37</c:v>
                </c:pt>
                <c:pt idx="7">
                  <c:v>37</c:v>
                </c:pt>
                <c:pt idx="8">
                  <c:v>34</c:v>
                </c:pt>
              </c:numCache>
            </c:numRef>
          </c:val>
          <c:smooth val="0"/>
          <c:extLst xmlns:c16r2="http://schemas.microsoft.com/office/drawing/2015/06/chart">
            <c:ext xmlns:c16="http://schemas.microsoft.com/office/drawing/2014/chart" uri="{C3380CC4-5D6E-409C-BE32-E72D297353CC}">
              <c16:uniqueId val="{00000002-C407-4B82-8890-6CCCBBC0539A}"/>
            </c:ext>
          </c:extLst>
        </c:ser>
        <c:dLbls>
          <c:showLegendKey val="0"/>
          <c:showVal val="0"/>
          <c:showCatName val="0"/>
          <c:showSerName val="0"/>
          <c:showPercent val="0"/>
          <c:showBubbleSize val="0"/>
        </c:dLbls>
        <c:smooth val="0"/>
        <c:axId val="177695408"/>
        <c:axId val="177695800"/>
      </c:lineChart>
      <c:dateAx>
        <c:axId val="177695408"/>
        <c:scaling>
          <c:orientation val="minMax"/>
        </c:scaling>
        <c:delete val="0"/>
        <c:axPos val="b"/>
        <c:title>
          <c:tx>
            <c:rich>
              <a:bodyPr rot="0" vert="horz"/>
              <a:lstStyle/>
              <a:p>
                <a:pPr>
                  <a:defRPr/>
                </a:pPr>
                <a:r>
                  <a:rPr lang="en-US"/>
                  <a:t>Year</a:t>
                </a:r>
              </a:p>
            </c:rich>
          </c:tx>
          <c:layout/>
          <c:overlay val="0"/>
          <c:spPr>
            <a:noFill/>
            <a:ln>
              <a:noFill/>
            </a:ln>
            <a:effectLst/>
          </c:spPr>
        </c:title>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77695800"/>
        <c:crosses val="autoZero"/>
        <c:auto val="1"/>
        <c:lblOffset val="100"/>
        <c:baseTimeUnit val="months"/>
        <c:majorUnit val="3"/>
        <c:majorTimeUnit val="months"/>
        <c:minorUnit val="1"/>
        <c:minorTimeUnit val="years"/>
      </c:dateAx>
      <c:valAx>
        <c:axId val="177695800"/>
        <c:scaling>
          <c:orientation val="minMax"/>
          <c:max val="55"/>
          <c:min val="3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Singapore Monthly Blended ARPU (SGD)</a:t>
                </a:r>
              </a:p>
            </c:rich>
          </c:tx>
          <c:layout>
            <c:manualLayout>
              <c:xMode val="edge"/>
              <c:yMode val="edge"/>
              <c:x val="1.34801375180215E-2"/>
              <c:y val="0.196545610837947"/>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177695408"/>
        <c:crosses val="autoZero"/>
        <c:crossBetween val="between"/>
      </c:valAx>
      <c:spPr>
        <a:noFill/>
        <a:ln>
          <a:noFill/>
        </a:ln>
        <a:effectLst/>
      </c:spPr>
    </c:plotArea>
    <c:legend>
      <c:legendPos val="r"/>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dLbls>
            <c:dLbl>
              <c:idx val="0"/>
              <c:layout/>
              <c:tx>
                <c:rich>
                  <a:bodyPr/>
                  <a:lstStyle/>
                  <a:p>
                    <a:r>
                      <a:rPr lang="en-US"/>
                      <a:t>8,017.6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35A-F847-889B-5A9A6D995025}"/>
                </c:ext>
                <c:ext xmlns:c15="http://schemas.microsoft.com/office/drawing/2012/chart" uri="{CE6537A1-D6FC-4f65-9D91-7224C49458BB}">
                  <c15:layout/>
                </c:ext>
              </c:extLst>
            </c:dLbl>
            <c:dLbl>
              <c:idx val="1"/>
              <c:layout/>
              <c:tx>
                <c:rich>
                  <a:bodyPr/>
                  <a:lstStyle/>
                  <a:p>
                    <a:r>
                      <a:rPr lang="en-US"/>
                      <a:t>5,964.5</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35A-F847-889B-5A9A6D995025}"/>
                </c:ext>
                <c:ext xmlns:c15="http://schemas.microsoft.com/office/drawing/2012/chart" uri="{CE6537A1-D6FC-4f65-9D91-7224C49458BB}">
                  <c15:layout/>
                </c:ext>
              </c:extLst>
            </c:dLbl>
            <c:dLbl>
              <c:idx val="2"/>
              <c:layout/>
              <c:tx>
                <c:rich>
                  <a:bodyPr/>
                  <a:lstStyle/>
                  <a:p>
                    <a:r>
                      <a:rPr lang="en-US"/>
                      <a:t>4,502.7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35A-F847-889B-5A9A6D995025}"/>
                </c:ext>
                <c:ext xmlns:c15="http://schemas.microsoft.com/office/drawing/2012/chart" uri="{CE6537A1-D6FC-4f65-9D91-7224C49458BB}">
                  <c15:layout/>
                </c:ext>
              </c:extLst>
            </c:dLbl>
            <c:dLbl>
              <c:idx val="3"/>
              <c:layout/>
              <c:tx>
                <c:rich>
                  <a:bodyPr/>
                  <a:lstStyle/>
                  <a:p>
                    <a:r>
                      <a:rPr lang="en-US"/>
                      <a:t>3,816</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35A-F847-889B-5A9A6D995025}"/>
                </c:ext>
                <c:ext xmlns:c15="http://schemas.microsoft.com/office/drawing/2012/chart" uri="{CE6537A1-D6FC-4f65-9D91-7224C49458BB}">
                  <c15:layout/>
                </c:ext>
              </c:extLst>
            </c:dLbl>
            <c:dLbl>
              <c:idx val="4"/>
              <c:layout/>
              <c:tx>
                <c:rich>
                  <a:bodyPr/>
                  <a:lstStyle/>
                  <a:p>
                    <a:r>
                      <a:rPr lang="en-US"/>
                      <a:t>3,260.1</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435A-F847-889B-5A9A6D995025}"/>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Sheet1!$A$76:$A$80</c:f>
              <c:numCache>
                <c:formatCode>General</c:formatCode>
                <c:ptCount val="5"/>
                <c:pt idx="0">
                  <c:v>2012</c:v>
                </c:pt>
                <c:pt idx="1">
                  <c:v>2013</c:v>
                </c:pt>
                <c:pt idx="2">
                  <c:v>2014</c:v>
                </c:pt>
                <c:pt idx="3">
                  <c:v>2015</c:v>
                </c:pt>
                <c:pt idx="4">
                  <c:v>2016</c:v>
                </c:pt>
              </c:numCache>
            </c:numRef>
          </c:cat>
          <c:val>
            <c:numRef>
              <c:f>Sheet1!$B$76:$B$80</c:f>
              <c:numCache>
                <c:formatCode>General</c:formatCode>
                <c:ptCount val="5"/>
                <c:pt idx="0">
                  <c:v>8017.6</c:v>
                </c:pt>
                <c:pt idx="1">
                  <c:v>5964.5</c:v>
                </c:pt>
                <c:pt idx="2">
                  <c:v>4502.7</c:v>
                </c:pt>
                <c:pt idx="3">
                  <c:v>3816</c:v>
                </c:pt>
                <c:pt idx="4">
                  <c:v>3260.1</c:v>
                </c:pt>
              </c:numCache>
            </c:numRef>
          </c:val>
          <c:extLst xmlns:c16r2="http://schemas.microsoft.com/office/drawing/2015/06/chart">
            <c:ext xmlns:c16="http://schemas.microsoft.com/office/drawing/2014/chart" uri="{C3380CC4-5D6E-409C-BE32-E72D297353CC}">
              <c16:uniqueId val="{00000000-8410-4224-96AB-01C7E1BC85DD}"/>
            </c:ext>
          </c:extLst>
        </c:ser>
        <c:dLbls>
          <c:showLegendKey val="0"/>
          <c:showVal val="0"/>
          <c:showCatName val="0"/>
          <c:showSerName val="0"/>
          <c:showPercent val="0"/>
          <c:showBubbleSize val="0"/>
        </c:dLbls>
        <c:gapWidth val="150"/>
        <c:axId val="178441984"/>
        <c:axId val="178442376"/>
      </c:barChart>
      <c:catAx>
        <c:axId val="17844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8442376"/>
        <c:crosses val="autoZero"/>
        <c:auto val="1"/>
        <c:lblAlgn val="ctr"/>
        <c:lblOffset val="100"/>
        <c:noMultiLvlLbl val="0"/>
      </c:catAx>
      <c:valAx>
        <c:axId val="178442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0" i="0" baseline="0">
                    <a:effectLst/>
                    <a:latin typeface="Arial" panose="020B0604020202020204" pitchFamily="34" charset="0"/>
                    <a:cs typeface="Arial" panose="020B0604020202020204" pitchFamily="34" charset="0"/>
                  </a:rPr>
                  <a:t>Total SMSes Sent &amp; Received Over Mobile Network (Mn)</a:t>
                </a:r>
                <a:endParaRPr lang="en-US" sz="900" baseline="0">
                  <a:effectLst/>
                  <a:latin typeface="Arial" panose="020B0604020202020204" pitchFamily="34" charset="0"/>
                  <a:cs typeface="Arial" panose="020B0604020202020204" pitchFamily="34" charset="0"/>
                </a:endParaRPr>
              </a:p>
            </c:rich>
          </c:tx>
          <c:layout>
            <c:manualLayout>
              <c:xMode val="edge"/>
              <c:yMode val="edge"/>
              <c:x val="2.5000000000000001E-2"/>
              <c:y val="0.1489814814814809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4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SingTel</c:v>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Sheet1!$A$57:$A$62</c:f>
              <c:numCache>
                <c:formatCode>General</c:formatCode>
                <c:ptCount val="6"/>
                <c:pt idx="0">
                  <c:v>2010</c:v>
                </c:pt>
                <c:pt idx="1">
                  <c:v>2011</c:v>
                </c:pt>
                <c:pt idx="2">
                  <c:v>2012</c:v>
                </c:pt>
                <c:pt idx="3">
                  <c:v>2013</c:v>
                </c:pt>
                <c:pt idx="4">
                  <c:v>2014</c:v>
                </c:pt>
                <c:pt idx="5">
                  <c:v>2015</c:v>
                </c:pt>
              </c:numCache>
            </c:numRef>
          </c:cat>
          <c:val>
            <c:numRef>
              <c:f>Sheet1!$B$57:$B$62</c:f>
              <c:numCache>
                <c:formatCode>General</c:formatCode>
                <c:ptCount val="6"/>
                <c:pt idx="0">
                  <c:v>264</c:v>
                </c:pt>
                <c:pt idx="1">
                  <c:v>353</c:v>
                </c:pt>
                <c:pt idx="2">
                  <c:v>398</c:v>
                </c:pt>
                <c:pt idx="3">
                  <c:v>418</c:v>
                </c:pt>
                <c:pt idx="4">
                  <c:v>420</c:v>
                </c:pt>
                <c:pt idx="5" formatCode="#,##0">
                  <c:v>424</c:v>
                </c:pt>
              </c:numCache>
            </c:numRef>
          </c:val>
          <c:extLst xmlns:c16r2="http://schemas.microsoft.com/office/drawing/2015/06/chart">
            <c:ext xmlns:c16="http://schemas.microsoft.com/office/drawing/2014/chart" uri="{C3380CC4-5D6E-409C-BE32-E72D297353CC}">
              <c16:uniqueId val="{00000000-DFD2-4D11-A39C-3840E0CAF439}"/>
            </c:ext>
          </c:extLst>
        </c:ser>
        <c:ser>
          <c:idx val="1"/>
          <c:order val="1"/>
          <c:tx>
            <c:v>StarHub</c:v>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Sheet1!$A$57:$A$62</c:f>
              <c:numCache>
                <c:formatCode>General</c:formatCode>
                <c:ptCount val="6"/>
                <c:pt idx="0">
                  <c:v>2010</c:v>
                </c:pt>
                <c:pt idx="1">
                  <c:v>2011</c:v>
                </c:pt>
                <c:pt idx="2">
                  <c:v>2012</c:v>
                </c:pt>
                <c:pt idx="3">
                  <c:v>2013</c:v>
                </c:pt>
                <c:pt idx="4">
                  <c:v>2014</c:v>
                </c:pt>
                <c:pt idx="5">
                  <c:v>2015</c:v>
                </c:pt>
              </c:numCache>
            </c:numRef>
          </c:cat>
          <c:val>
            <c:numRef>
              <c:f>Sheet1!$C$57:$C$62</c:f>
              <c:numCache>
                <c:formatCode>General</c:formatCode>
                <c:ptCount val="6"/>
                <c:pt idx="0">
                  <c:v>538</c:v>
                </c:pt>
                <c:pt idx="1">
                  <c:v>545</c:v>
                </c:pt>
                <c:pt idx="2">
                  <c:v>536</c:v>
                </c:pt>
                <c:pt idx="3">
                  <c:v>533</c:v>
                </c:pt>
                <c:pt idx="4">
                  <c:v>542</c:v>
                </c:pt>
                <c:pt idx="5">
                  <c:v>536</c:v>
                </c:pt>
              </c:numCache>
            </c:numRef>
          </c:val>
          <c:extLst xmlns:c16r2="http://schemas.microsoft.com/office/drawing/2015/06/chart">
            <c:ext xmlns:c16="http://schemas.microsoft.com/office/drawing/2014/chart" uri="{C3380CC4-5D6E-409C-BE32-E72D297353CC}">
              <c16:uniqueId val="{00000001-DFD2-4D11-A39C-3840E0CAF439}"/>
            </c:ext>
          </c:extLst>
        </c:ser>
        <c:dLbls>
          <c:showLegendKey val="0"/>
          <c:showVal val="0"/>
          <c:showCatName val="0"/>
          <c:showSerName val="0"/>
          <c:showPercent val="0"/>
          <c:showBubbleSize val="0"/>
        </c:dLbls>
        <c:gapWidth val="219"/>
        <c:axId val="178443160"/>
        <c:axId val="178443552"/>
      </c:barChart>
      <c:catAx>
        <c:axId val="178443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8443552"/>
        <c:crosses val="autoZero"/>
        <c:auto val="1"/>
        <c:lblAlgn val="ctr"/>
        <c:lblOffset val="100"/>
        <c:noMultiLvlLbl val="0"/>
      </c:catAx>
      <c:valAx>
        <c:axId val="17844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Total Pay-TV</a:t>
                </a:r>
                <a:r>
                  <a:rPr lang="en-US" baseline="0">
                    <a:latin typeface="Arial" panose="020B0604020202020204" pitchFamily="34" charset="0"/>
                    <a:cs typeface="Arial" panose="020B0604020202020204" pitchFamily="34" charset="0"/>
                  </a:rPr>
                  <a:t> Subscribers ('000)</a:t>
                </a:r>
                <a:endParaRPr lang="en-US">
                  <a:latin typeface="Arial" panose="020B0604020202020204" pitchFamily="34" charset="0"/>
                  <a:cs typeface="Arial" panose="020B0604020202020204" pitchFamily="34" charset="0"/>
                </a:endParaRPr>
              </a:p>
            </c:rich>
          </c:tx>
          <c:layout>
            <c:manualLayout>
              <c:xMode val="edge"/>
              <c:yMode val="edge"/>
              <c:x val="2.0012507817385901E-2"/>
              <c:y val="0.183022222222222"/>
            </c:manualLayout>
          </c:layout>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84431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cked"/>
        <c:varyColors val="0"/>
        <c:ser>
          <c:idx val="0"/>
          <c:order val="0"/>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Sheet1!$A$24:$A$28</c:f>
              <c:numCache>
                <c:formatCode>General</c:formatCode>
                <c:ptCount val="5"/>
                <c:pt idx="0">
                  <c:v>2012</c:v>
                </c:pt>
                <c:pt idx="1">
                  <c:v>2013</c:v>
                </c:pt>
                <c:pt idx="2">
                  <c:v>2014</c:v>
                </c:pt>
                <c:pt idx="3">
                  <c:v>2015</c:v>
                </c:pt>
                <c:pt idx="4">
                  <c:v>2016</c:v>
                </c:pt>
              </c:numCache>
            </c:numRef>
          </c:cat>
          <c:val>
            <c:numRef>
              <c:f>Sheet1!$B$24:$B$28</c:f>
              <c:numCache>
                <c:formatCode>General</c:formatCode>
                <c:ptCount val="5"/>
                <c:pt idx="0">
                  <c:v>32.299999999999997</c:v>
                </c:pt>
                <c:pt idx="1">
                  <c:v>32.9</c:v>
                </c:pt>
                <c:pt idx="2">
                  <c:v>33.700000000000003</c:v>
                </c:pt>
                <c:pt idx="3">
                  <c:v>32.200000000000003</c:v>
                </c:pt>
                <c:pt idx="4">
                  <c:v>31.2</c:v>
                </c:pt>
              </c:numCache>
            </c:numRef>
          </c:val>
          <c:smooth val="0"/>
          <c:extLst xmlns:c16r2="http://schemas.microsoft.com/office/drawing/2015/06/chart">
            <c:ext xmlns:c16="http://schemas.microsoft.com/office/drawing/2014/chart" uri="{C3380CC4-5D6E-409C-BE32-E72D297353CC}">
              <c16:uniqueId val="{00000000-B678-454D-AABC-A4738039A079}"/>
            </c:ext>
          </c:extLst>
        </c:ser>
        <c:dLbls>
          <c:showLegendKey val="0"/>
          <c:showVal val="0"/>
          <c:showCatName val="0"/>
          <c:showSerName val="0"/>
          <c:showPercent val="0"/>
          <c:showBubbleSize val="0"/>
        </c:dLbls>
        <c:marker val="1"/>
        <c:smooth val="0"/>
        <c:axId val="177414056"/>
        <c:axId val="177413664"/>
      </c:lineChart>
      <c:catAx>
        <c:axId val="17741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7413664"/>
        <c:crosses val="autoZero"/>
        <c:auto val="1"/>
        <c:lblAlgn val="ctr"/>
        <c:lblOffset val="100"/>
        <c:noMultiLvlLbl val="0"/>
      </c:catAx>
      <c:valAx>
        <c:axId val="17741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b="0" i="0" u="none" strike="noStrike" baseline="0">
                    <a:effectLst/>
                    <a:latin typeface="Arial" panose="020B0604020202020204" pitchFamily="34" charset="0"/>
                    <a:cs typeface="Arial" panose="020B0604020202020204" pitchFamily="34" charset="0"/>
                  </a:rPr>
                  <a:t>EBITDA margin as percentage of service revenue (%)</a:t>
                </a:r>
                <a:endParaRPr lang="en-US" sz="900">
                  <a:latin typeface="Arial" panose="020B0604020202020204" pitchFamily="34" charset="0"/>
                  <a:cs typeface="Arial" panose="020B0604020202020204" pitchFamily="34" charset="0"/>
                </a:endParaRPr>
              </a:p>
            </c:rich>
          </c:tx>
          <c:layout>
            <c:manualLayout>
              <c:xMode val="edge"/>
              <c:yMode val="edge"/>
              <c:x val="1.7603696776323029E-2"/>
              <c:y val="0.17694221730716064"/>
            </c:manualLayout>
          </c:layout>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7414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E8DBE-66A0-476C-8A99-29232B09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5871</Words>
  <Characters>33470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2019-06-07T12:57:00Z</dcterms:created>
  <dcterms:modified xsi:type="dcterms:W3CDTF">2019-06-07T14:08:00Z</dcterms:modified>
</cp:coreProperties>
</file>